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6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6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August 2020</w:t>
            </w:r>
          </w:p>
        </w:tc>
        <w:tc>
          <w:tcPr>
            <w:tcW w:w="76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76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GasLog Partners LP</w:t>
            </w:r>
          </w:p>
        </w:tc>
        <w:tc>
          <w:tcPr>
            <w:tcW w:w="76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6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LNG Services Ltd.</w:t>
            </w:r>
          </w:p>
        </w:tc>
        <w:tc>
          <w:tcPr>
            <w:tcW w:w="76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6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6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6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60" w:type="dxa"/>
            <w:vAlign w:val="bottom"/>
          </w:tcPr>
          <w:p>
            <w:pPr>
              <w:spacing w:after="0"/>
              <w:rPr>
                <w:sz w:val="24"/>
                <w:szCs w:val="24"/>
                <w:color w:val="auto"/>
              </w:rPr>
            </w:pPr>
          </w:p>
        </w:tc>
      </w:tr>
      <w:tr>
        <w:trPr>
          <w:trHeight w:val="41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60" w:type="dxa"/>
            <w:vAlign w:val="bottom"/>
          </w:tcPr>
          <w:p>
            <w:pPr>
              <w:ind w:left="400"/>
              <w:spacing w:after="0"/>
              <w:rPr>
                <w:sz w:val="20"/>
                <w:szCs w:val="20"/>
                <w:color w:val="auto"/>
              </w:rPr>
            </w:pPr>
            <w:r>
              <w:rPr>
                <w:rFonts w:ascii="Arial" w:cs="Arial" w:eastAsia="Arial" w:hAnsi="Arial"/>
                <w:sz w:val="18"/>
                <w:szCs w:val="18"/>
                <w:color w:val="auto"/>
              </w:rPr>
              <w:t>o</w:t>
            </w:r>
          </w:p>
        </w:tc>
      </w:tr>
      <w:tr>
        <w:trPr>
          <w:trHeight w:val="459"/>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60" w:type="dxa"/>
            <w:vAlign w:val="bottom"/>
          </w:tcPr>
          <w:p>
            <w:pPr>
              <w:ind w:left="400"/>
              <w:spacing w:after="0"/>
              <w:rPr>
                <w:sz w:val="20"/>
                <w:szCs w:val="20"/>
                <w:color w:val="auto"/>
              </w:rPr>
            </w:pPr>
            <w:r>
              <w:rPr>
                <w:rFonts w:ascii="Arial" w:cs="Arial" w:eastAsia="Arial" w:hAnsi="Arial"/>
                <w:sz w:val="18"/>
                <w:szCs w:val="18"/>
                <w:color w:val="auto"/>
              </w:rPr>
              <w:t>o</w:t>
            </w:r>
          </w:p>
        </w:tc>
      </w:tr>
      <w:tr>
        <w:trPr>
          <w:trHeight w:val="361"/>
        </w:trPr>
        <w:tc>
          <w:tcPr>
            <w:tcW w:w="10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400" w:firstLine="376"/>
        <w:spacing w:after="0" w:line="293" w:lineRule="auto"/>
        <w:rPr>
          <w:sz w:val="20"/>
          <w:szCs w:val="20"/>
          <w:color w:val="auto"/>
        </w:rPr>
      </w:pPr>
      <w:r>
        <w:rPr>
          <w:rFonts w:ascii="Arial" w:cs="Arial" w:eastAsia="Arial" w:hAnsi="Arial"/>
          <w:sz w:val="16"/>
          <w:szCs w:val="16"/>
          <w:color w:val="auto"/>
        </w:rPr>
        <w:t>The press release issued by GasLog Partners LP on August 5, 2020 relating to its results for the three-month period ended June 30, 2020 and the related financial report are attached hereto as Exhibits 99.1 and 99.2,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jc w:val="both"/>
        <w:ind w:right="160" w:firstLine="376"/>
        <w:spacing w:after="0" w:line="324" w:lineRule="auto"/>
        <w:rPr>
          <w:rFonts w:ascii="Arial" w:cs="Arial" w:eastAsia="Arial" w:hAnsi="Arial"/>
          <w:sz w:val="14"/>
          <w:szCs w:val="14"/>
          <w:color w:val="0000EE"/>
        </w:rPr>
      </w:pPr>
      <w:hyperlink r:id="rId10">
        <w:r>
          <w:rPr>
            <w:rFonts w:ascii="Arial" w:cs="Arial" w:eastAsia="Arial" w:hAnsi="Arial"/>
            <w:sz w:val="14"/>
            <w:szCs w:val="14"/>
            <w:color w:val="auto"/>
          </w:rPr>
          <w:t xml:space="preserve">Exhibits 4.1, 4.2 and 99.2, including Appendix A thereto, to this Report on Form 6-K shall be incorporated by reference into our registration statement on </w:t>
        </w:r>
        <w:r>
          <w:rPr>
            <w:rFonts w:ascii="Arial" w:cs="Arial" w:eastAsia="Arial" w:hAnsi="Arial"/>
            <w:sz w:val="14"/>
            <w:szCs w:val="14"/>
            <w:u w:val="single" w:color="auto"/>
            <w:color w:val="0000EE"/>
          </w:rPr>
          <w:t>Form F-3</w:t>
        </w:r>
      </w:hyperlink>
      <w:r>
        <w:rPr>
          <w:rFonts w:ascii="Arial" w:cs="Arial" w:eastAsia="Arial" w:hAnsi="Arial"/>
          <w:sz w:val="14"/>
          <w:szCs w:val="14"/>
          <w:color w:val="auto"/>
        </w:rPr>
        <w:t xml:space="preserve"> </w:t>
      </w:r>
      <w:hyperlink r:id="rId11">
        <w:r>
          <w:rPr>
            <w:rFonts w:ascii="Arial" w:cs="Arial" w:eastAsia="Arial" w:hAnsi="Arial"/>
            <w:sz w:val="14"/>
            <w:szCs w:val="14"/>
            <w:u w:val="single" w:color="auto"/>
            <w:color w:val="0000EE"/>
          </w:rPr>
          <w:t>(File No. 333-220736), filed with the Securities and Exchange Commission (the “SEC”) on September 29, 2017</w:t>
        </w:r>
        <w:r>
          <w:rPr>
            <w:rFonts w:ascii="Arial" w:cs="Arial" w:eastAsia="Arial" w:hAnsi="Arial"/>
            <w:sz w:val="14"/>
            <w:szCs w:val="14"/>
            <w:color w:val="0000EE"/>
          </w:rPr>
          <w:t xml:space="preserve"> </w:t>
        </w:r>
        <w:r>
          <w:rPr>
            <w:rFonts w:ascii="Arial" w:cs="Arial" w:eastAsia="Arial" w:hAnsi="Arial"/>
            <w:sz w:val="14"/>
            <w:szCs w:val="14"/>
            <w:color w:val="000000"/>
          </w:rPr>
          <w:t>and the registration statement on</w:t>
        </w:r>
        <w:r>
          <w:rPr>
            <w:rFonts w:ascii="Arial" w:cs="Arial" w:eastAsia="Arial" w:hAnsi="Arial"/>
            <w:sz w:val="14"/>
            <w:szCs w:val="14"/>
            <w:color w:val="0000EE"/>
          </w:rPr>
          <w:t xml:space="preserve"> </w:t>
        </w:r>
        <w:r>
          <w:rPr>
            <w:rFonts w:ascii="Arial" w:cs="Arial" w:eastAsia="Arial" w:hAnsi="Arial"/>
            <w:sz w:val="14"/>
            <w:szCs w:val="14"/>
            <w:u w:val="single" w:color="auto"/>
            <w:color w:val="0000EE"/>
          </w:rPr>
          <w:t>Form S-8 (File No. 333-</w:t>
        </w:r>
      </w:hyperlink>
      <w:hyperlink r:id="rId11">
        <w:r>
          <w:rPr>
            <w:rFonts w:ascii="Arial" w:cs="Arial" w:eastAsia="Arial" w:hAnsi="Arial"/>
            <w:sz w:val="14"/>
            <w:szCs w:val="14"/>
            <w:u w:val="single" w:color="auto"/>
            <w:color w:val="0000EE"/>
          </w:rPr>
          <w:t>203139), filed with the SEC on March 31, 2015,</w:t>
        </w:r>
        <w:r>
          <w:rPr>
            <w:rFonts w:ascii="Arial" w:cs="Arial" w:eastAsia="Arial" w:hAnsi="Arial"/>
            <w:sz w:val="14"/>
            <w:szCs w:val="14"/>
            <w:color w:val="0000EE"/>
          </w:rPr>
          <w:t xml:space="preserve"> </w:t>
        </w:r>
        <w:r>
          <w:rPr>
            <w:rFonts w:ascii="Arial" w:cs="Arial" w:eastAsia="Arial" w:hAnsi="Arial"/>
            <w:sz w:val="14"/>
            <w:szCs w:val="14"/>
            <w:color w:val="000000"/>
          </w:rPr>
          <w:t>in each case to the extent not superseded by information subsequently filed or furnished (to the extent we expressly state</w:t>
        </w:r>
      </w:hyperlink>
      <w:r>
        <w:rPr>
          <w:rFonts w:ascii="Arial" w:cs="Arial" w:eastAsia="Arial" w:hAnsi="Arial"/>
          <w:sz w:val="14"/>
          <w:szCs w:val="14"/>
          <w:color w:val="0000EE"/>
        </w:rPr>
        <w:t xml:space="preserve"> </w:t>
      </w:r>
      <w:r>
        <w:rPr>
          <w:rFonts w:ascii="Arial" w:cs="Arial" w:eastAsia="Arial" w:hAnsi="Arial"/>
          <w:sz w:val="14"/>
          <w:szCs w:val="14"/>
          <w:color w:val="000000"/>
        </w:rPr>
        <w:t>that we incorporate such furnished information by reference) by us under the Securities Act of 1933 or the Securities Exchange Act of 1934, in each case as amended.</w:t>
      </w:r>
    </w:p>
    <w:p>
      <w:pPr>
        <w:spacing w:after="0" w:line="157"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06"/>
        </w:trPr>
        <w:tc>
          <w:tcPr>
            <w:tcW w:w="1240" w:type="dxa"/>
            <w:vAlign w:val="bottom"/>
          </w:tcPr>
          <w:p>
            <w:pPr>
              <w:spacing w:after="0"/>
              <w:rPr>
                <w:sz w:val="17"/>
                <w:szCs w:val="17"/>
                <w:color w:val="auto"/>
              </w:rPr>
            </w:pPr>
          </w:p>
        </w:tc>
        <w:tc>
          <w:tcPr>
            <w:tcW w:w="9840" w:type="dxa"/>
            <w:vAlign w:val="bottom"/>
            <w:gridSpan w:val="6"/>
          </w:tcPr>
          <w:p>
            <w:pPr>
              <w:ind w:left="3880"/>
              <w:spacing w:after="0"/>
              <w:rPr>
                <w:sz w:val="20"/>
                <w:szCs w:val="20"/>
                <w:color w:val="auto"/>
              </w:rPr>
            </w:pPr>
            <w:r>
              <w:rPr>
                <w:rFonts w:ascii="Arial" w:cs="Arial" w:eastAsia="Arial" w:hAnsi="Arial"/>
                <w:sz w:val="16"/>
                <w:szCs w:val="16"/>
                <w:color w:val="auto"/>
              </w:rPr>
              <w:t>EXHIBIT LIST</w:t>
            </w:r>
          </w:p>
        </w:tc>
      </w:tr>
      <w:tr>
        <w:trPr>
          <w:trHeight w:val="419"/>
        </w:trPr>
        <w:tc>
          <w:tcPr>
            <w:tcW w:w="1240" w:type="dxa"/>
            <w:vAlign w:val="bottom"/>
          </w:tcPr>
          <w:p>
            <w:pPr>
              <w:spacing w:after="0"/>
              <w:rPr>
                <w:sz w:val="20"/>
                <w:szCs w:val="20"/>
                <w:color w:val="auto"/>
              </w:rPr>
            </w:pPr>
            <w:r>
              <w:rPr>
                <w:rFonts w:ascii="Arial" w:cs="Arial" w:eastAsia="Arial" w:hAnsi="Arial"/>
                <w:sz w:val="16"/>
                <w:szCs w:val="16"/>
                <w:color w:val="auto"/>
              </w:rPr>
              <w:t>Exhibit</w:t>
            </w:r>
          </w:p>
        </w:tc>
        <w:tc>
          <w:tcPr>
            <w:tcW w:w="984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424"/>
        </w:trPr>
        <w:tc>
          <w:tcPr>
            <w:tcW w:w="1240" w:type="dxa"/>
            <w:vAlign w:val="bottom"/>
          </w:tcPr>
          <w:p>
            <w:pPr>
              <w:spacing w:after="0"/>
              <w:rPr>
                <w:sz w:val="20"/>
                <w:szCs w:val="20"/>
                <w:color w:val="auto"/>
              </w:rPr>
            </w:pPr>
            <w:r>
              <w:rPr>
                <w:rFonts w:ascii="Arial" w:cs="Arial" w:eastAsia="Arial" w:hAnsi="Arial"/>
                <w:sz w:val="16"/>
                <w:szCs w:val="16"/>
                <w:color w:val="auto"/>
              </w:rPr>
              <w:t>4.1</w:t>
            </w:r>
          </w:p>
        </w:tc>
        <w:tc>
          <w:tcPr>
            <w:tcW w:w="93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4">
              <w:r>
                <w:rPr>
                  <w:rFonts w:ascii="Arial" w:cs="Arial" w:eastAsia="Arial" w:hAnsi="Arial"/>
                  <w:sz w:val="16"/>
                  <w:szCs w:val="16"/>
                  <w:color w:val="0000EE"/>
                  <w:w w:val="93"/>
                </w:rPr>
                <w:t xml:space="preserve">Facility Agreement dated July 16, 2020, relating to </w:t>
              </w:r>
              <w:r>
                <w:rPr>
                  <w:rFonts w:ascii="Arial" w:cs="Arial" w:eastAsia="Arial" w:hAnsi="Arial"/>
                  <w:sz w:val="16"/>
                  <w:szCs w:val="16"/>
                  <w:u w:val="single" w:color="auto"/>
                  <w:color w:val="0000EE"/>
                  <w:w w:val="93"/>
                </w:rPr>
                <w:t>$</w:t>
              </w:r>
              <w:r>
                <w:rPr>
                  <w:rFonts w:ascii="Arial" w:cs="Arial" w:eastAsia="Arial" w:hAnsi="Arial"/>
                  <w:sz w:val="16"/>
                  <w:szCs w:val="16"/>
                  <w:color w:val="0000EE"/>
                  <w:w w:val="93"/>
                </w:rPr>
                <w:t>260,331,250 loan facility among GAS-twenty Ltd., GAS-seven Ltd. and GAS-eight Ltd., as</w:t>
              </w:r>
            </w:hyperlink>
          </w:p>
        </w:tc>
        <w:tc>
          <w:tcPr>
            <w:tcW w:w="460" w:type="dxa"/>
            <w:vAlign w:val="bottom"/>
            <w:gridSpan w:val="3"/>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840" w:type="dxa"/>
            <w:vAlign w:val="bottom"/>
            <w:gridSpan w:val="6"/>
          </w:tcPr>
          <w:p>
            <w:pPr>
              <w:spacing w:after="0" w:line="183" w:lineRule="exact"/>
              <w:rPr>
                <w:rFonts w:ascii="Arial" w:cs="Arial" w:eastAsia="Arial" w:hAnsi="Arial"/>
                <w:sz w:val="16"/>
                <w:szCs w:val="16"/>
                <w:color w:val="0000EE"/>
                <w:w w:val="93"/>
              </w:rPr>
            </w:pPr>
            <w:hyperlink w:anchor="page4">
              <w:r>
                <w:rPr>
                  <w:rFonts w:ascii="Arial" w:cs="Arial" w:eastAsia="Arial" w:hAnsi="Arial"/>
                  <w:sz w:val="16"/>
                  <w:szCs w:val="16"/>
                  <w:color w:val="0000EE"/>
                  <w:w w:val="93"/>
                </w:rPr>
                <w:t>borrowers, BNP Paribas and Credit Suisse AG, as mandated lead arrangers, with BNP Paribas as agent and security agent and Credit Suisse AG as</w:t>
              </w:r>
            </w:hyperlink>
          </w:p>
        </w:tc>
      </w:tr>
      <w:tr>
        <w:trPr>
          <w:trHeight w:val="183"/>
        </w:trPr>
        <w:tc>
          <w:tcPr>
            <w:tcW w:w="1240" w:type="dxa"/>
            <w:vAlign w:val="bottom"/>
          </w:tcPr>
          <w:p>
            <w:pPr>
              <w:spacing w:after="0"/>
              <w:rPr>
                <w:sz w:val="15"/>
                <w:szCs w:val="15"/>
                <w:color w:val="auto"/>
              </w:rPr>
            </w:pPr>
          </w:p>
        </w:tc>
        <w:tc>
          <w:tcPr>
            <w:tcW w:w="950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global co-ordinator and bookrunner, guaranteed by GasLog Partners LP and GasLog Partners Holdings LLC*</w:t>
              </w:r>
            </w:hyperlink>
          </w:p>
        </w:tc>
        <w:tc>
          <w:tcPr>
            <w:tcW w:w="34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71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6"/>
                <w:szCs w:val="16"/>
                <w:color w:val="auto"/>
              </w:rPr>
              <w:t>4.2</w:t>
            </w:r>
          </w:p>
        </w:tc>
        <w:tc>
          <w:tcPr>
            <w:tcW w:w="9840" w:type="dxa"/>
            <w:vAlign w:val="bottom"/>
            <w:tcBorders>
              <w:bottom w:val="single" w:sz="8" w:color="0000EE"/>
            </w:tcBorders>
            <w:gridSpan w:val="6"/>
          </w:tcPr>
          <w:p>
            <w:pPr>
              <w:spacing w:after="0"/>
              <w:rPr>
                <w:rFonts w:ascii="Arial" w:cs="Arial" w:eastAsia="Arial" w:hAnsi="Arial"/>
                <w:sz w:val="16"/>
                <w:szCs w:val="16"/>
                <w:color w:val="0000EE"/>
                <w:w w:val="93"/>
              </w:rPr>
            </w:pPr>
            <w:hyperlink w:anchor="page171">
              <w:r>
                <w:rPr>
                  <w:rFonts w:ascii="Arial" w:cs="Arial" w:eastAsia="Arial" w:hAnsi="Arial"/>
                  <w:sz w:val="16"/>
                  <w:szCs w:val="16"/>
                  <w:color w:val="0000EE"/>
                  <w:w w:val="93"/>
                </w:rPr>
                <w:t xml:space="preserve">Facility Agreement dated July 16, 2020, relating to </w:t>
              </w:r>
              <w:r>
                <w:rPr>
                  <w:rFonts w:ascii="Arial" w:cs="Arial" w:eastAsia="Arial" w:hAnsi="Arial"/>
                  <w:sz w:val="16"/>
                  <w:szCs w:val="16"/>
                  <w:u w:val="single" w:color="auto"/>
                  <w:color w:val="0000EE"/>
                  <w:w w:val="93"/>
                </w:rPr>
                <w:t>$</w:t>
              </w:r>
              <w:r>
                <w:rPr>
                  <w:rFonts w:ascii="Arial" w:cs="Arial" w:eastAsia="Arial" w:hAnsi="Arial"/>
                  <w:sz w:val="16"/>
                  <w:szCs w:val="16"/>
                  <w:color w:val="0000EE"/>
                  <w:w w:val="93"/>
                </w:rPr>
                <w:t>200,000,000 loan facility among GAS-twenty seven Ltd., GAS-twenty one Ltd. and GAS-nineteen</w:t>
              </w:r>
            </w:hyperlink>
          </w:p>
        </w:tc>
      </w:tr>
      <w:tr>
        <w:trPr>
          <w:trHeight w:val="183"/>
        </w:trPr>
        <w:tc>
          <w:tcPr>
            <w:tcW w:w="1240" w:type="dxa"/>
            <w:vAlign w:val="bottom"/>
          </w:tcPr>
          <w:p>
            <w:pPr>
              <w:spacing w:after="0"/>
              <w:rPr>
                <w:sz w:val="15"/>
                <w:szCs w:val="15"/>
                <w:color w:val="auto"/>
              </w:rPr>
            </w:pPr>
          </w:p>
        </w:tc>
        <w:tc>
          <w:tcPr>
            <w:tcW w:w="970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w:anchor="page171">
              <w:r>
                <w:rPr>
                  <w:rFonts w:ascii="Arial" w:cs="Arial" w:eastAsia="Arial" w:hAnsi="Arial"/>
                  <w:sz w:val="16"/>
                  <w:szCs w:val="16"/>
                  <w:color w:val="0000EE"/>
                  <w:w w:val="92"/>
                </w:rPr>
                <w:t>Ltd., as borrowers, DNB (UK) Ltd. and ING Bank N.V., London Branch, as mandated lead arrangers, with DNB Bank ASA, London Branch as agent</w:t>
              </w:r>
            </w:hyperlink>
          </w:p>
        </w:tc>
        <w:tc>
          <w:tcPr>
            <w:tcW w:w="140" w:type="dxa"/>
            <w:vAlign w:val="bottom"/>
          </w:tcPr>
          <w:p>
            <w:pPr>
              <w:spacing w:after="0"/>
              <w:rPr>
                <w:sz w:val="15"/>
                <w:szCs w:val="15"/>
                <w:color w:val="auto"/>
              </w:rPr>
            </w:pPr>
          </w:p>
        </w:tc>
      </w:tr>
      <w:tr>
        <w:trPr>
          <w:trHeight w:val="183"/>
        </w:trPr>
        <w:tc>
          <w:tcPr>
            <w:tcW w:w="1240" w:type="dxa"/>
            <w:vAlign w:val="bottom"/>
          </w:tcPr>
          <w:p>
            <w:pPr>
              <w:spacing w:after="0"/>
              <w:rPr>
                <w:sz w:val="15"/>
                <w:szCs w:val="15"/>
                <w:color w:val="auto"/>
              </w:rPr>
            </w:pPr>
          </w:p>
        </w:tc>
        <w:tc>
          <w:tcPr>
            <w:tcW w:w="9840" w:type="dxa"/>
            <w:vAlign w:val="bottom"/>
            <w:gridSpan w:val="6"/>
          </w:tcPr>
          <w:p>
            <w:pPr>
              <w:spacing w:after="0" w:line="183" w:lineRule="exact"/>
              <w:rPr>
                <w:rFonts w:ascii="Arial" w:cs="Arial" w:eastAsia="Arial" w:hAnsi="Arial"/>
                <w:sz w:val="16"/>
                <w:szCs w:val="16"/>
                <w:color w:val="0000EE"/>
                <w:w w:val="98"/>
              </w:rPr>
            </w:pPr>
            <w:hyperlink w:anchor="page171">
              <w:r>
                <w:rPr>
                  <w:rFonts w:ascii="Arial" w:cs="Arial" w:eastAsia="Arial" w:hAnsi="Arial"/>
                  <w:sz w:val="16"/>
                  <w:szCs w:val="16"/>
                  <w:color w:val="0000EE"/>
                  <w:w w:val="98"/>
                </w:rPr>
                <w:t>and security agent, DNB (UK) Ltd. and ING Bank N.V., London Branch as bookrunners and ING Bank N.V, London Branch as structuring and</w:t>
              </w:r>
            </w:hyperlink>
          </w:p>
        </w:tc>
      </w:tr>
      <w:tr>
        <w:trPr>
          <w:trHeight w:val="217"/>
        </w:trPr>
        <w:tc>
          <w:tcPr>
            <w:tcW w:w="1240" w:type="dxa"/>
            <w:vAlign w:val="bottom"/>
          </w:tcPr>
          <w:p>
            <w:pPr>
              <w:spacing w:after="0"/>
              <w:rPr>
                <w:sz w:val="18"/>
                <w:szCs w:val="18"/>
                <w:color w:val="auto"/>
              </w:rPr>
            </w:pPr>
          </w:p>
        </w:tc>
        <w:tc>
          <w:tcPr>
            <w:tcW w:w="9280" w:type="dxa"/>
            <w:vAlign w:val="bottom"/>
            <w:tcBorders>
              <w:top w:val="single" w:sz="8" w:color="0000EE"/>
            </w:tcBorders>
            <w:gridSpan w:val="2"/>
          </w:tcPr>
          <w:p>
            <w:pPr>
              <w:spacing w:after="0"/>
              <w:rPr>
                <w:rFonts w:ascii="Arial" w:cs="Arial" w:eastAsia="Arial" w:hAnsi="Arial"/>
                <w:sz w:val="16"/>
                <w:szCs w:val="16"/>
                <w:u w:val="single" w:color="auto"/>
                <w:color w:val="0000EE"/>
              </w:rPr>
            </w:pPr>
            <w:hyperlink w:anchor="page171">
              <w:r>
                <w:rPr>
                  <w:rFonts w:ascii="Arial" w:cs="Arial" w:eastAsia="Arial" w:hAnsi="Arial"/>
                  <w:sz w:val="16"/>
                  <w:szCs w:val="16"/>
                  <w:u w:val="single" w:color="auto"/>
                  <w:color w:val="0000EE"/>
                </w:rPr>
                <w:t>documentation bank, guaranteed by GasLog Partners LP, GasLog Partners Holdings LLC, GasLog Ltd. and GasLog Carriers Ltd.*</w:t>
              </w:r>
            </w:hyperlink>
          </w:p>
        </w:tc>
        <w:tc>
          <w:tcPr>
            <w:tcW w:w="560" w:type="dxa"/>
            <w:vAlign w:val="bottom"/>
            <w:gridSpan w:val="4"/>
          </w:tcPr>
          <w:p>
            <w:pPr>
              <w:spacing w:after="0"/>
              <w:rPr>
                <w:sz w:val="18"/>
                <w:szCs w:val="18"/>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6"/>
                <w:szCs w:val="16"/>
                <w:color w:val="auto"/>
              </w:rPr>
              <w:t>99.1</w:t>
            </w:r>
          </w:p>
        </w:tc>
        <w:tc>
          <w:tcPr>
            <w:tcW w:w="9840" w:type="dxa"/>
            <w:vAlign w:val="bottom"/>
            <w:gridSpan w:val="6"/>
          </w:tcPr>
          <w:p>
            <w:pPr>
              <w:spacing w:after="0"/>
              <w:rPr>
                <w:rFonts w:ascii="Arial" w:cs="Arial" w:eastAsia="Arial" w:hAnsi="Arial"/>
                <w:sz w:val="16"/>
                <w:szCs w:val="16"/>
                <w:u w:val="single" w:color="auto"/>
                <w:color w:val="0000EE"/>
              </w:rPr>
            </w:pPr>
            <w:hyperlink w:anchor="page351">
              <w:r>
                <w:rPr>
                  <w:rFonts w:ascii="Arial" w:cs="Arial" w:eastAsia="Arial" w:hAnsi="Arial"/>
                  <w:sz w:val="16"/>
                  <w:szCs w:val="16"/>
                  <w:u w:val="single" w:color="auto"/>
                  <w:color w:val="0000EE"/>
                </w:rPr>
                <w:t>Press Release dated August 5, 2020</w:t>
              </w:r>
            </w:hyperlink>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99.2</w:t>
            </w:r>
          </w:p>
        </w:tc>
        <w:tc>
          <w:tcPr>
            <w:tcW w:w="9840" w:type="dxa"/>
            <w:vAlign w:val="bottom"/>
            <w:gridSpan w:val="6"/>
          </w:tcPr>
          <w:p>
            <w:pPr>
              <w:spacing w:after="0"/>
              <w:rPr>
                <w:rFonts w:ascii="Arial" w:cs="Arial" w:eastAsia="Arial" w:hAnsi="Arial"/>
                <w:sz w:val="16"/>
                <w:szCs w:val="16"/>
                <w:u w:val="single" w:color="auto"/>
                <w:color w:val="0000EE"/>
              </w:rPr>
            </w:pPr>
            <w:hyperlink w:anchor="page365">
              <w:r>
                <w:rPr>
                  <w:rFonts w:ascii="Arial" w:cs="Arial" w:eastAsia="Arial" w:hAnsi="Arial"/>
                  <w:sz w:val="16"/>
                  <w:szCs w:val="16"/>
                  <w:u w:val="single" w:color="auto"/>
                  <w:color w:val="0000EE"/>
                </w:rPr>
                <w:t>Financial Report for the Three and Six Months Ended June 30, 2020</w:t>
              </w:r>
            </w:hyperlink>
          </w:p>
        </w:tc>
      </w:tr>
      <w:tr>
        <w:trPr>
          <w:trHeight w:val="459"/>
        </w:trPr>
        <w:tc>
          <w:tcPr>
            <w:tcW w:w="124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w:t>
            </w:r>
          </w:p>
        </w:tc>
      </w:tr>
      <w:tr>
        <w:trPr>
          <w:trHeight w:val="459"/>
        </w:trPr>
        <w:tc>
          <w:tcPr>
            <w:tcW w:w="124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6"/>
                <w:szCs w:val="16"/>
                <w:color w:val="auto"/>
              </w:rPr>
              <w:t>Unaudited Condensed Consolidated Financial Statements</w:t>
            </w:r>
          </w:p>
        </w:tc>
      </w:tr>
      <w:tr>
        <w:trPr>
          <w:trHeight w:val="459"/>
        </w:trPr>
        <w:tc>
          <w:tcPr>
            <w:tcW w:w="124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6"/>
                <w:szCs w:val="16"/>
                <w:color w:val="auto"/>
              </w:rPr>
              <w:t>Appendix A: Supplemental Non-GAAP Partnership Performance Information and Reconciliation Tables</w:t>
            </w:r>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101.INS</w:t>
            </w:r>
          </w:p>
        </w:tc>
        <w:tc>
          <w:tcPr>
            <w:tcW w:w="984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101.SCH</w:t>
            </w:r>
          </w:p>
        </w:tc>
        <w:tc>
          <w:tcPr>
            <w:tcW w:w="984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101.CAL</w:t>
            </w:r>
          </w:p>
        </w:tc>
        <w:tc>
          <w:tcPr>
            <w:tcW w:w="9840" w:type="dxa"/>
            <w:vAlign w:val="bottom"/>
            <w:gridSpan w:val="6"/>
          </w:tcPr>
          <w:p>
            <w:pPr>
              <w:spacing w:after="0"/>
              <w:rPr>
                <w:sz w:val="20"/>
                <w:szCs w:val="20"/>
                <w:color w:val="auto"/>
              </w:rPr>
            </w:pPr>
            <w:r>
              <w:rPr>
                <w:rFonts w:ascii="Arial" w:cs="Arial" w:eastAsia="Arial" w:hAnsi="Arial"/>
                <w:sz w:val="16"/>
                <w:szCs w:val="16"/>
                <w:color w:val="auto"/>
              </w:rPr>
              <w:t>XBRL Taxonomy Extension Scheme Calculation Linkbase</w:t>
            </w:r>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101.DEF</w:t>
            </w:r>
          </w:p>
        </w:tc>
        <w:tc>
          <w:tcPr>
            <w:tcW w:w="9840" w:type="dxa"/>
            <w:vAlign w:val="bottom"/>
            <w:gridSpan w:val="6"/>
          </w:tcPr>
          <w:p>
            <w:pPr>
              <w:spacing w:after="0"/>
              <w:rPr>
                <w:sz w:val="20"/>
                <w:szCs w:val="20"/>
                <w:color w:val="auto"/>
              </w:rPr>
            </w:pPr>
            <w:r>
              <w:rPr>
                <w:rFonts w:ascii="Arial" w:cs="Arial" w:eastAsia="Arial" w:hAnsi="Arial"/>
                <w:sz w:val="16"/>
                <w:szCs w:val="16"/>
                <w:color w:val="auto"/>
              </w:rPr>
              <w:t>XBRL Taxonomy Extension Scheme Definition Linkbase</w:t>
            </w:r>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101.LAB</w:t>
            </w:r>
          </w:p>
        </w:tc>
        <w:tc>
          <w:tcPr>
            <w:tcW w:w="9840" w:type="dxa"/>
            <w:vAlign w:val="bottom"/>
            <w:gridSpan w:val="6"/>
          </w:tcPr>
          <w:p>
            <w:pPr>
              <w:spacing w:after="0"/>
              <w:rPr>
                <w:sz w:val="20"/>
                <w:szCs w:val="20"/>
                <w:color w:val="auto"/>
              </w:rPr>
            </w:pPr>
            <w:r>
              <w:rPr>
                <w:rFonts w:ascii="Arial" w:cs="Arial" w:eastAsia="Arial" w:hAnsi="Arial"/>
                <w:sz w:val="16"/>
                <w:szCs w:val="16"/>
                <w:color w:val="auto"/>
              </w:rPr>
              <w:t>XBRL Taxonomy Extension Scheme Label Linkbase</w:t>
            </w:r>
          </w:p>
        </w:tc>
      </w:tr>
      <w:tr>
        <w:trPr>
          <w:trHeight w:val="459"/>
        </w:trPr>
        <w:tc>
          <w:tcPr>
            <w:tcW w:w="1240" w:type="dxa"/>
            <w:vAlign w:val="bottom"/>
          </w:tcPr>
          <w:p>
            <w:pPr>
              <w:spacing w:after="0"/>
              <w:rPr>
                <w:sz w:val="20"/>
                <w:szCs w:val="20"/>
                <w:color w:val="auto"/>
              </w:rPr>
            </w:pPr>
            <w:r>
              <w:rPr>
                <w:rFonts w:ascii="Arial" w:cs="Arial" w:eastAsia="Arial" w:hAnsi="Arial"/>
                <w:sz w:val="16"/>
                <w:szCs w:val="16"/>
                <w:color w:val="auto"/>
              </w:rPr>
              <w:t>101.PRE</w:t>
            </w:r>
          </w:p>
        </w:tc>
        <w:tc>
          <w:tcPr>
            <w:tcW w:w="9840" w:type="dxa"/>
            <w:vAlign w:val="bottom"/>
            <w:gridSpan w:val="6"/>
          </w:tcPr>
          <w:p>
            <w:pPr>
              <w:spacing w:after="0"/>
              <w:rPr>
                <w:sz w:val="20"/>
                <w:szCs w:val="20"/>
                <w:color w:val="auto"/>
              </w:rPr>
            </w:pPr>
            <w:r>
              <w:rPr>
                <w:rFonts w:ascii="Arial" w:cs="Arial" w:eastAsia="Arial" w:hAnsi="Arial"/>
                <w:sz w:val="16"/>
                <w:szCs w:val="16"/>
                <w:color w:val="auto"/>
              </w:rPr>
              <w:t>XBRL Taxonomy Extension Scheme Presentation Linkbase</w:t>
            </w:r>
          </w:p>
        </w:tc>
      </w:tr>
    </w:tbl>
    <w:p>
      <w:pPr>
        <w:spacing w:after="0" w:line="253" w:lineRule="exact"/>
        <w:rPr>
          <w:sz w:val="20"/>
          <w:szCs w:val="20"/>
          <w:color w:val="auto"/>
        </w:rPr>
      </w:pPr>
    </w:p>
    <w:p>
      <w:pPr>
        <w:ind w:left="1240" w:hanging="436"/>
        <w:spacing w:after="0" w:line="293" w:lineRule="auto"/>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Certain schedules have been omitted. The registrant hereby undertakes to furnish supplemental copies of any of the omitted schedules upon request by the SEC.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2020</w:t>
      </w: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GASLOG PARTNERS LP</w:t>
      </w:r>
    </w:p>
    <w:p>
      <w:pPr>
        <w:spacing w:after="0" w:line="275" w:lineRule="exact"/>
        <w:rPr>
          <w:sz w:val="20"/>
          <w:szCs w:val="20"/>
          <w:color w:val="auto"/>
        </w:rPr>
      </w:pPr>
    </w:p>
    <w:tbl>
      <w:tblPr>
        <w:tblLayout w:type="fixed"/>
        <w:tblInd w:w="6200" w:type="dxa"/>
        <w:tblCellMar>
          <w:top w:w="0" w:type="dxa"/>
          <w:left w:w="0" w:type="dxa"/>
          <w:bottom w:w="0" w:type="dxa"/>
          <w:right w:w="0" w:type="dxa"/>
        </w:tblCellMar>
      </w:tblPr>
      <w:tr>
        <w:trPr>
          <w:trHeight w:val="206"/>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3840" w:type="dxa"/>
            <w:vAlign w:val="bottom"/>
            <w:gridSpan w:val="2"/>
          </w:tcPr>
          <w:p>
            <w:pPr>
              <w:spacing w:after="0"/>
              <w:rPr>
                <w:sz w:val="20"/>
                <w:szCs w:val="20"/>
                <w:color w:val="auto"/>
              </w:rPr>
            </w:pPr>
            <w:r>
              <w:rPr>
                <w:rFonts w:ascii="Arial" w:cs="Arial" w:eastAsia="Arial" w:hAnsi="Arial"/>
                <w:sz w:val="16"/>
                <w:szCs w:val="16"/>
                <w:color w:val="auto"/>
              </w:rPr>
              <w:t>/s/ Andrew Orekar</w:t>
            </w:r>
          </w:p>
        </w:tc>
      </w:tr>
      <w:tr>
        <w:trPr>
          <w:trHeight w:val="33"/>
        </w:trPr>
        <w:tc>
          <w:tcPr>
            <w:tcW w:w="4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00"/>
        </w:trPr>
        <w:tc>
          <w:tcPr>
            <w:tcW w:w="4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3300" w:type="dxa"/>
            <w:vAlign w:val="bottom"/>
          </w:tcPr>
          <w:p>
            <w:pPr>
              <w:ind w:left="100"/>
              <w:spacing w:after="0"/>
              <w:rPr>
                <w:sz w:val="20"/>
                <w:szCs w:val="20"/>
                <w:color w:val="auto"/>
              </w:rPr>
            </w:pPr>
            <w:r>
              <w:rPr>
                <w:rFonts w:ascii="Arial" w:cs="Arial" w:eastAsia="Arial" w:hAnsi="Arial"/>
                <w:sz w:val="16"/>
                <w:szCs w:val="16"/>
                <w:color w:val="auto"/>
              </w:rPr>
              <w:t>Andrew Orekar</w:t>
            </w:r>
          </w:p>
        </w:tc>
      </w:tr>
      <w:tr>
        <w:trPr>
          <w:trHeight w:val="206"/>
        </w:trPr>
        <w:tc>
          <w:tcPr>
            <w:tcW w:w="4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30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3" w:name="page4"/>
    <w:bookmarkEnd w:id="3"/>
    <w:p>
      <w:pPr>
        <w:ind w:left="10340"/>
        <w:spacing w:after="0"/>
        <w:rPr>
          <w:sz w:val="20"/>
          <w:szCs w:val="20"/>
          <w:color w:val="auto"/>
        </w:rPr>
      </w:pPr>
      <w:r>
        <w:rPr>
          <w:rFonts w:ascii="Arial" w:cs="Arial" w:eastAsia="Arial" w:hAnsi="Arial"/>
          <w:sz w:val="17"/>
          <w:szCs w:val="17"/>
          <w:b w:val="1"/>
          <w:bCs w:val="1"/>
          <w:color w:val="auto"/>
        </w:rPr>
        <w:t>Exhibit 4.1</w:t>
      </w:r>
    </w:p>
    <w:p>
      <w:pPr>
        <w:spacing w:after="0" w:line="244"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Private and Confidential</w:t>
      </w:r>
      <w:r>
        <w:rPr>
          <w:sz w:val="20"/>
          <w:szCs w:val="20"/>
          <w:color w:val="auto"/>
        </w:rPr>
        <w:tab/>
      </w:r>
      <w:r>
        <w:rPr>
          <w:rFonts w:ascii="Arial" w:cs="Arial" w:eastAsia="Arial" w:hAnsi="Arial"/>
          <w:sz w:val="17"/>
          <w:szCs w:val="17"/>
          <w:color w:val="auto"/>
        </w:rPr>
        <w:t>Execution version</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Dated 16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54610</wp:posOffset>
            </wp:positionV>
            <wp:extent cx="2674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ENTITIES LISTED IN SCHEDULE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1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BNP PARIBAS</w:t>
      </w:r>
    </w:p>
    <w:p>
      <w:pPr>
        <w:spacing w:after="0" w:line="1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and</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CREDIT SUISSE AG</w:t>
      </w:r>
    </w:p>
    <w:p>
      <w:pPr>
        <w:spacing w:after="0" w:line="19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as mandated lead arrangers</w:t>
      </w:r>
    </w:p>
    <w:p>
      <w:pPr>
        <w:spacing w:after="0" w:line="1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(together as Arrangers)</w:t>
      </w:r>
    </w:p>
    <w:p>
      <w:pPr>
        <w:spacing w:after="0" w:line="17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with</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BNP PARIBAS</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as Agent</w:t>
      </w:r>
    </w:p>
    <w:p>
      <w:pPr>
        <w:spacing w:after="0" w:line="1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BNP PARIBAS</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as Security Agent</w:t>
      </w:r>
    </w:p>
    <w:p>
      <w:pPr>
        <w:spacing w:after="0" w:line="1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BNP PARIBAS</w:t>
      </w:r>
    </w:p>
    <w:p>
      <w:pPr>
        <w:spacing w:after="0" w:line="1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and</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CREDIT SUISSE AG</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as Global Co-ordinators and Bookrunners</w:t>
      </w:r>
    </w:p>
    <w:p>
      <w:pPr>
        <w:spacing w:after="0" w:line="17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guaranteed by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jc w:val="center"/>
        <w:spacing w:after="0" w:line="234" w:lineRule="auto"/>
        <w:rPr>
          <w:sz w:val="20"/>
          <w:szCs w:val="20"/>
          <w:color w:val="auto"/>
        </w:rPr>
      </w:pPr>
      <w:r>
        <w:rPr>
          <w:rFonts w:ascii="Arial" w:cs="Arial" w:eastAsia="Arial" w:hAnsi="Arial"/>
          <w:sz w:val="18"/>
          <w:szCs w:val="18"/>
          <w:b w:val="1"/>
          <w:bCs w:val="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812165</wp:posOffset>
            </wp:positionV>
            <wp:extent cx="2674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jc w:val="center"/>
        <w:spacing w:after="0"/>
        <w:rPr>
          <w:sz w:val="20"/>
          <w:szCs w:val="20"/>
          <w:color w:val="auto"/>
        </w:rPr>
      </w:pPr>
      <w:r>
        <w:rPr>
          <w:rFonts w:ascii="Arial" w:cs="Arial" w:eastAsia="Arial" w:hAnsi="Arial"/>
          <w:sz w:val="18"/>
          <w:szCs w:val="18"/>
          <w:b w:val="1"/>
          <w:bCs w:val="1"/>
          <w:color w:val="auto"/>
        </w:rPr>
        <w:t>$260,331,250 Loan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297815</wp:posOffset>
            </wp:positionV>
            <wp:extent cx="2674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6198870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2506345</wp:posOffset>
            </wp:positionV>
            <wp:extent cx="7132320" cy="1080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5"/>
        </w:trPr>
        <w:tc>
          <w:tcPr>
            <w:tcW w:w="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860" w:type="dxa"/>
            <w:vAlign w:val="bottom"/>
          </w:tcPr>
          <w:p>
            <w:pPr>
              <w:jc w:val="right"/>
              <w:ind w:right="5089"/>
              <w:spacing w:after="0"/>
              <w:rPr>
                <w:sz w:val="20"/>
                <w:szCs w:val="20"/>
                <w:color w:val="auto"/>
              </w:rPr>
            </w:pPr>
            <w:r>
              <w:rPr>
                <w:rFonts w:ascii="Arial" w:cs="Arial" w:eastAsia="Arial" w:hAnsi="Arial"/>
                <w:sz w:val="22"/>
                <w:szCs w:val="22"/>
                <w:b w:val="1"/>
                <w:bCs w:val="1"/>
                <w:color w:val="auto"/>
              </w:rPr>
              <w:t>Contents</w:t>
            </w:r>
          </w:p>
        </w:tc>
      </w:tr>
      <w:tr>
        <w:trPr>
          <w:trHeight w:val="422"/>
        </w:trPr>
        <w:tc>
          <w:tcPr>
            <w:tcW w:w="62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3800" w:type="dxa"/>
            <w:vAlign w:val="bottom"/>
          </w:tcPr>
          <w:p>
            <w:pPr>
              <w:spacing w:after="0"/>
              <w:rPr>
                <w:sz w:val="24"/>
                <w:szCs w:val="24"/>
                <w:color w:val="auto"/>
              </w:rPr>
            </w:pPr>
          </w:p>
        </w:tc>
        <w:tc>
          <w:tcPr>
            <w:tcW w:w="68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w:t>
            </w:r>
          </w:p>
        </w:tc>
        <w:tc>
          <w:tcPr>
            <w:tcW w:w="380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6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2</w:t>
            </w:r>
          </w:p>
        </w:tc>
        <w:tc>
          <w:tcPr>
            <w:tcW w:w="3800" w:type="dxa"/>
            <w:vAlign w:val="bottom"/>
          </w:tcPr>
          <w:p>
            <w:pPr>
              <w:ind w:left="20"/>
              <w:spacing w:after="0"/>
              <w:rPr>
                <w:sz w:val="20"/>
                <w:szCs w:val="20"/>
                <w:color w:val="auto"/>
              </w:rPr>
            </w:pPr>
            <w:r>
              <w:rPr>
                <w:rFonts w:ascii="Arial" w:cs="Arial" w:eastAsia="Arial" w:hAnsi="Arial"/>
                <w:sz w:val="18"/>
                <w:szCs w:val="18"/>
                <w:color w:val="auto"/>
              </w:rPr>
              <w:t>The Facility</w:t>
            </w:r>
          </w:p>
        </w:tc>
        <w:tc>
          <w:tcPr>
            <w:tcW w:w="6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3</w:t>
            </w:r>
          </w:p>
        </w:tc>
        <w:tc>
          <w:tcPr>
            <w:tcW w:w="3800" w:type="dxa"/>
            <w:vAlign w:val="bottom"/>
          </w:tcPr>
          <w:p>
            <w:pPr>
              <w:ind w:left="20"/>
              <w:spacing w:after="0"/>
              <w:rPr>
                <w:sz w:val="20"/>
                <w:szCs w:val="20"/>
                <w:color w:val="auto"/>
              </w:rPr>
            </w:pPr>
            <w:r>
              <w:rPr>
                <w:rFonts w:ascii="Arial" w:cs="Arial" w:eastAsia="Arial" w:hAnsi="Arial"/>
                <w:sz w:val="18"/>
                <w:szCs w:val="18"/>
                <w:color w:val="auto"/>
              </w:rPr>
              <w:t>Purpose</w:t>
            </w:r>
          </w:p>
        </w:tc>
        <w:tc>
          <w:tcPr>
            <w:tcW w:w="6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w:t>
            </w:r>
          </w:p>
        </w:tc>
        <w:tc>
          <w:tcPr>
            <w:tcW w:w="3800" w:type="dxa"/>
            <w:vAlign w:val="bottom"/>
          </w:tcPr>
          <w:p>
            <w:pPr>
              <w:ind w:left="20"/>
              <w:spacing w:after="0"/>
              <w:rPr>
                <w:sz w:val="20"/>
                <w:szCs w:val="20"/>
                <w:color w:val="auto"/>
              </w:rPr>
            </w:pPr>
            <w:r>
              <w:rPr>
                <w:rFonts w:ascii="Arial" w:cs="Arial" w:eastAsia="Arial" w:hAnsi="Arial"/>
                <w:sz w:val="18"/>
                <w:szCs w:val="18"/>
                <w:color w:val="auto"/>
              </w:rPr>
              <w:t>Conditions of Utilisation</w:t>
            </w:r>
          </w:p>
        </w:tc>
        <w:tc>
          <w:tcPr>
            <w:tcW w:w="6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5</w:t>
            </w:r>
          </w:p>
        </w:tc>
        <w:tc>
          <w:tcPr>
            <w:tcW w:w="3800" w:type="dxa"/>
            <w:vAlign w:val="bottom"/>
          </w:tcPr>
          <w:p>
            <w:pPr>
              <w:ind w:left="20"/>
              <w:spacing w:after="0"/>
              <w:rPr>
                <w:sz w:val="20"/>
                <w:szCs w:val="20"/>
                <w:color w:val="auto"/>
              </w:rPr>
            </w:pPr>
            <w:r>
              <w:rPr>
                <w:rFonts w:ascii="Arial" w:cs="Arial" w:eastAsia="Arial" w:hAnsi="Arial"/>
                <w:sz w:val="18"/>
                <w:szCs w:val="18"/>
                <w:color w:val="auto"/>
              </w:rPr>
              <w:t>Utilisation</w:t>
            </w:r>
          </w:p>
        </w:tc>
        <w:tc>
          <w:tcPr>
            <w:tcW w:w="6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6</w:t>
            </w:r>
          </w:p>
        </w:tc>
        <w:tc>
          <w:tcPr>
            <w:tcW w:w="3800" w:type="dxa"/>
            <w:vAlign w:val="bottom"/>
          </w:tcPr>
          <w:p>
            <w:pPr>
              <w:ind w:left="20"/>
              <w:spacing w:after="0"/>
              <w:rPr>
                <w:sz w:val="20"/>
                <w:szCs w:val="20"/>
                <w:color w:val="auto"/>
              </w:rPr>
            </w:pPr>
            <w:r>
              <w:rPr>
                <w:rFonts w:ascii="Arial" w:cs="Arial" w:eastAsia="Arial" w:hAnsi="Arial"/>
                <w:sz w:val="18"/>
                <w:szCs w:val="18"/>
                <w:color w:val="auto"/>
              </w:rPr>
              <w:t>Repayment</w:t>
            </w: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7</w:t>
            </w:r>
          </w:p>
        </w:tc>
        <w:tc>
          <w:tcPr>
            <w:tcW w:w="3800" w:type="dxa"/>
            <w:vAlign w:val="bottom"/>
          </w:tcPr>
          <w:p>
            <w:pPr>
              <w:ind w:left="20"/>
              <w:spacing w:after="0"/>
              <w:rPr>
                <w:sz w:val="20"/>
                <w:szCs w:val="20"/>
                <w:color w:val="auto"/>
              </w:rPr>
            </w:pPr>
            <w:r>
              <w:rPr>
                <w:rFonts w:ascii="Arial" w:cs="Arial" w:eastAsia="Arial" w:hAnsi="Arial"/>
                <w:sz w:val="18"/>
                <w:szCs w:val="18"/>
                <w:color w:val="auto"/>
              </w:rPr>
              <w:t>Illegality, prepayment and cancellation</w:t>
            </w: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w:t>
            </w:r>
          </w:p>
        </w:tc>
        <w:tc>
          <w:tcPr>
            <w:tcW w:w="3800" w:type="dxa"/>
            <w:vAlign w:val="bottom"/>
          </w:tcPr>
          <w:p>
            <w:pPr>
              <w:ind w:left="20"/>
              <w:spacing w:after="0"/>
              <w:rPr>
                <w:sz w:val="20"/>
                <w:szCs w:val="20"/>
                <w:color w:val="auto"/>
              </w:rPr>
            </w:pPr>
            <w:r>
              <w:rPr>
                <w:rFonts w:ascii="Arial" w:cs="Arial" w:eastAsia="Arial" w:hAnsi="Arial"/>
                <w:sz w:val="18"/>
                <w:szCs w:val="18"/>
                <w:color w:val="auto"/>
              </w:rPr>
              <w:t>Interest</w:t>
            </w:r>
          </w:p>
        </w:tc>
        <w:tc>
          <w:tcPr>
            <w:tcW w:w="6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9</w:t>
            </w:r>
          </w:p>
        </w:tc>
        <w:tc>
          <w:tcPr>
            <w:tcW w:w="3800" w:type="dxa"/>
            <w:vAlign w:val="bottom"/>
          </w:tcPr>
          <w:p>
            <w:pPr>
              <w:ind w:left="20"/>
              <w:spacing w:after="0"/>
              <w:rPr>
                <w:sz w:val="20"/>
                <w:szCs w:val="20"/>
                <w:color w:val="auto"/>
              </w:rPr>
            </w:pPr>
            <w:r>
              <w:rPr>
                <w:rFonts w:ascii="Arial" w:cs="Arial" w:eastAsia="Arial" w:hAnsi="Arial"/>
                <w:sz w:val="18"/>
                <w:szCs w:val="18"/>
                <w:color w:val="auto"/>
              </w:rPr>
              <w:t>Interest Periods</w:t>
            </w:r>
          </w:p>
        </w:tc>
        <w:tc>
          <w:tcPr>
            <w:tcW w:w="6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w:t>
            </w:r>
          </w:p>
        </w:tc>
        <w:tc>
          <w:tcPr>
            <w:tcW w:w="3800" w:type="dxa"/>
            <w:vAlign w:val="bottom"/>
          </w:tcPr>
          <w:p>
            <w:pPr>
              <w:ind w:left="20"/>
              <w:spacing w:after="0"/>
              <w:rPr>
                <w:sz w:val="20"/>
                <w:szCs w:val="20"/>
                <w:color w:val="auto"/>
              </w:rPr>
            </w:pPr>
            <w:r>
              <w:rPr>
                <w:rFonts w:ascii="Arial" w:cs="Arial" w:eastAsia="Arial" w:hAnsi="Arial"/>
                <w:sz w:val="18"/>
                <w:szCs w:val="18"/>
                <w:color w:val="auto"/>
              </w:rPr>
              <w:t>Changes to the calculation of interest</w:t>
            </w:r>
          </w:p>
        </w:tc>
        <w:tc>
          <w:tcPr>
            <w:tcW w:w="6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11</w:t>
            </w:r>
          </w:p>
        </w:tc>
        <w:tc>
          <w:tcPr>
            <w:tcW w:w="3800" w:type="dxa"/>
            <w:vAlign w:val="bottom"/>
          </w:tcPr>
          <w:p>
            <w:pPr>
              <w:ind w:left="20"/>
              <w:spacing w:after="0"/>
              <w:rPr>
                <w:sz w:val="20"/>
                <w:szCs w:val="20"/>
                <w:color w:val="auto"/>
              </w:rPr>
            </w:pPr>
            <w:r>
              <w:rPr>
                <w:rFonts w:ascii="Arial" w:cs="Arial" w:eastAsia="Arial" w:hAnsi="Arial"/>
                <w:sz w:val="18"/>
                <w:szCs w:val="18"/>
                <w:color w:val="auto"/>
              </w:rPr>
              <w:t>Fees</w:t>
            </w:r>
          </w:p>
        </w:tc>
        <w:tc>
          <w:tcPr>
            <w:tcW w:w="6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12</w:t>
            </w:r>
          </w:p>
        </w:tc>
        <w:tc>
          <w:tcPr>
            <w:tcW w:w="3800" w:type="dxa"/>
            <w:vAlign w:val="bottom"/>
          </w:tcPr>
          <w:p>
            <w:pPr>
              <w:ind w:left="20"/>
              <w:spacing w:after="0"/>
              <w:rPr>
                <w:sz w:val="20"/>
                <w:szCs w:val="20"/>
                <w:color w:val="auto"/>
              </w:rPr>
            </w:pPr>
            <w:r>
              <w:rPr>
                <w:rFonts w:ascii="Arial" w:cs="Arial" w:eastAsia="Arial" w:hAnsi="Arial"/>
                <w:sz w:val="18"/>
                <w:szCs w:val="18"/>
                <w:color w:val="auto"/>
              </w:rPr>
              <w:t>Tax gross-up and indemnities</w:t>
            </w:r>
          </w:p>
        </w:tc>
        <w:tc>
          <w:tcPr>
            <w:tcW w:w="6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13</w:t>
            </w:r>
          </w:p>
        </w:tc>
        <w:tc>
          <w:tcPr>
            <w:tcW w:w="3800" w:type="dxa"/>
            <w:vAlign w:val="bottom"/>
          </w:tcPr>
          <w:p>
            <w:pPr>
              <w:ind w:left="20"/>
              <w:spacing w:after="0"/>
              <w:rPr>
                <w:sz w:val="20"/>
                <w:szCs w:val="20"/>
                <w:color w:val="auto"/>
              </w:rPr>
            </w:pPr>
            <w:r>
              <w:rPr>
                <w:rFonts w:ascii="Arial" w:cs="Arial" w:eastAsia="Arial" w:hAnsi="Arial"/>
                <w:sz w:val="18"/>
                <w:szCs w:val="18"/>
                <w:color w:val="auto"/>
              </w:rPr>
              <w:t>Increased Costs</w:t>
            </w:r>
          </w:p>
        </w:tc>
        <w:tc>
          <w:tcPr>
            <w:tcW w:w="6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14</w:t>
            </w:r>
          </w:p>
        </w:tc>
        <w:tc>
          <w:tcPr>
            <w:tcW w:w="3800" w:type="dxa"/>
            <w:vAlign w:val="bottom"/>
          </w:tcPr>
          <w:p>
            <w:pPr>
              <w:ind w:left="20"/>
              <w:spacing w:after="0"/>
              <w:rPr>
                <w:sz w:val="20"/>
                <w:szCs w:val="20"/>
                <w:color w:val="auto"/>
              </w:rPr>
            </w:pPr>
            <w:r>
              <w:rPr>
                <w:rFonts w:ascii="Arial" w:cs="Arial" w:eastAsia="Arial" w:hAnsi="Arial"/>
                <w:sz w:val="18"/>
                <w:szCs w:val="18"/>
                <w:color w:val="auto"/>
              </w:rPr>
              <w:t>Other indemnities</w:t>
            </w:r>
          </w:p>
        </w:tc>
        <w:tc>
          <w:tcPr>
            <w:tcW w:w="6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15</w:t>
            </w:r>
          </w:p>
        </w:tc>
        <w:tc>
          <w:tcPr>
            <w:tcW w:w="3800" w:type="dxa"/>
            <w:vAlign w:val="bottom"/>
          </w:tcPr>
          <w:p>
            <w:pPr>
              <w:ind w:left="20"/>
              <w:spacing w:after="0"/>
              <w:rPr>
                <w:sz w:val="20"/>
                <w:szCs w:val="20"/>
                <w:color w:val="auto"/>
              </w:rPr>
            </w:pPr>
            <w:r>
              <w:rPr>
                <w:rFonts w:ascii="Arial" w:cs="Arial" w:eastAsia="Arial" w:hAnsi="Arial"/>
                <w:sz w:val="18"/>
                <w:szCs w:val="18"/>
                <w:color w:val="auto"/>
              </w:rPr>
              <w:t>Mitigation by the Lenders</w:t>
            </w:r>
          </w:p>
        </w:tc>
        <w:tc>
          <w:tcPr>
            <w:tcW w:w="6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16</w:t>
            </w:r>
          </w:p>
        </w:tc>
        <w:tc>
          <w:tcPr>
            <w:tcW w:w="38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6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17</w:t>
            </w:r>
          </w:p>
        </w:tc>
        <w:tc>
          <w:tcPr>
            <w:tcW w:w="3800" w:type="dxa"/>
            <w:vAlign w:val="bottom"/>
          </w:tcPr>
          <w:p>
            <w:pPr>
              <w:ind w:left="20"/>
              <w:spacing w:after="0"/>
              <w:rPr>
                <w:sz w:val="20"/>
                <w:szCs w:val="20"/>
                <w:color w:val="auto"/>
              </w:rPr>
            </w:pPr>
            <w:r>
              <w:rPr>
                <w:rFonts w:ascii="Arial" w:cs="Arial" w:eastAsia="Arial" w:hAnsi="Arial"/>
                <w:sz w:val="18"/>
                <w:szCs w:val="18"/>
                <w:color w:val="auto"/>
              </w:rPr>
              <w:t>Guarantee and indemnity</w:t>
            </w:r>
          </w:p>
        </w:tc>
        <w:tc>
          <w:tcPr>
            <w:tcW w:w="6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18</w:t>
            </w:r>
          </w:p>
        </w:tc>
        <w:tc>
          <w:tcPr>
            <w:tcW w:w="3800" w:type="dxa"/>
            <w:vAlign w:val="bottom"/>
          </w:tcPr>
          <w:p>
            <w:pPr>
              <w:ind w:left="20"/>
              <w:spacing w:after="0"/>
              <w:rPr>
                <w:sz w:val="20"/>
                <w:szCs w:val="20"/>
                <w:color w:val="auto"/>
              </w:rPr>
            </w:pPr>
            <w:r>
              <w:rPr>
                <w:rFonts w:ascii="Arial" w:cs="Arial" w:eastAsia="Arial" w:hAnsi="Arial"/>
                <w:sz w:val="18"/>
                <w:szCs w:val="18"/>
                <w:color w:val="auto"/>
              </w:rPr>
              <w:t>Representations</w:t>
            </w:r>
          </w:p>
        </w:tc>
        <w:tc>
          <w:tcPr>
            <w:tcW w:w="6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19</w:t>
            </w:r>
          </w:p>
        </w:tc>
        <w:tc>
          <w:tcPr>
            <w:tcW w:w="3800" w:type="dxa"/>
            <w:vAlign w:val="bottom"/>
          </w:tcPr>
          <w:p>
            <w:pPr>
              <w:ind w:left="20"/>
              <w:spacing w:after="0"/>
              <w:rPr>
                <w:sz w:val="20"/>
                <w:szCs w:val="20"/>
                <w:color w:val="auto"/>
              </w:rPr>
            </w:pPr>
            <w:r>
              <w:rPr>
                <w:rFonts w:ascii="Arial" w:cs="Arial" w:eastAsia="Arial" w:hAnsi="Arial"/>
                <w:sz w:val="18"/>
                <w:szCs w:val="18"/>
                <w:color w:val="auto"/>
              </w:rPr>
              <w:t>Information undertakings</w:t>
            </w:r>
          </w:p>
        </w:tc>
        <w:tc>
          <w:tcPr>
            <w:tcW w:w="6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20</w:t>
            </w:r>
          </w:p>
        </w:tc>
        <w:tc>
          <w:tcPr>
            <w:tcW w:w="3800" w:type="dxa"/>
            <w:vAlign w:val="bottom"/>
          </w:tcPr>
          <w:p>
            <w:pPr>
              <w:ind w:left="20"/>
              <w:spacing w:after="0"/>
              <w:rPr>
                <w:sz w:val="20"/>
                <w:szCs w:val="20"/>
                <w:color w:val="auto"/>
              </w:rPr>
            </w:pPr>
            <w:r>
              <w:rPr>
                <w:rFonts w:ascii="Arial" w:cs="Arial" w:eastAsia="Arial" w:hAnsi="Arial"/>
                <w:sz w:val="18"/>
                <w:szCs w:val="18"/>
                <w:color w:val="auto"/>
              </w:rPr>
              <w:t>Financial covenants</w:t>
            </w:r>
          </w:p>
        </w:tc>
        <w:tc>
          <w:tcPr>
            <w:tcW w:w="6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3800" w:type="dxa"/>
            <w:vAlign w:val="bottom"/>
          </w:tcPr>
          <w:p>
            <w:pPr>
              <w:ind w:left="20"/>
              <w:spacing w:after="0"/>
              <w:rPr>
                <w:sz w:val="20"/>
                <w:szCs w:val="20"/>
                <w:color w:val="auto"/>
              </w:rPr>
            </w:pPr>
            <w:r>
              <w:rPr>
                <w:rFonts w:ascii="Arial" w:cs="Arial" w:eastAsia="Arial" w:hAnsi="Arial"/>
                <w:sz w:val="18"/>
                <w:szCs w:val="18"/>
                <w:color w:val="auto"/>
              </w:rPr>
              <w:t>General undertakings</w:t>
            </w:r>
          </w:p>
        </w:tc>
        <w:tc>
          <w:tcPr>
            <w:tcW w:w="6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3800" w:type="dxa"/>
            <w:vAlign w:val="bottom"/>
          </w:tcPr>
          <w:p>
            <w:pPr>
              <w:ind w:left="20"/>
              <w:spacing w:after="0"/>
              <w:rPr>
                <w:sz w:val="20"/>
                <w:szCs w:val="20"/>
                <w:color w:val="auto"/>
              </w:rPr>
            </w:pPr>
            <w:r>
              <w:rPr>
                <w:rFonts w:ascii="Arial" w:cs="Arial" w:eastAsia="Arial" w:hAnsi="Arial"/>
                <w:sz w:val="18"/>
                <w:szCs w:val="18"/>
                <w:color w:val="auto"/>
              </w:rPr>
              <w:t>Dealings with Ship</w:t>
            </w:r>
          </w:p>
        </w:tc>
        <w:tc>
          <w:tcPr>
            <w:tcW w:w="6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23</w:t>
            </w:r>
          </w:p>
        </w:tc>
        <w:tc>
          <w:tcPr>
            <w:tcW w:w="3800" w:type="dxa"/>
            <w:vAlign w:val="bottom"/>
          </w:tcPr>
          <w:p>
            <w:pPr>
              <w:ind w:left="20"/>
              <w:spacing w:after="0"/>
              <w:rPr>
                <w:sz w:val="20"/>
                <w:szCs w:val="20"/>
                <w:color w:val="auto"/>
              </w:rPr>
            </w:pPr>
            <w:r>
              <w:rPr>
                <w:rFonts w:ascii="Arial" w:cs="Arial" w:eastAsia="Arial" w:hAnsi="Arial"/>
                <w:sz w:val="18"/>
                <w:szCs w:val="18"/>
                <w:color w:val="auto"/>
              </w:rPr>
              <w:t>Condition and operation of Ship</w:t>
            </w:r>
          </w:p>
        </w:tc>
        <w:tc>
          <w:tcPr>
            <w:tcW w:w="6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24</w:t>
            </w:r>
          </w:p>
        </w:tc>
        <w:tc>
          <w:tcPr>
            <w:tcW w:w="38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68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25</w:t>
            </w:r>
          </w:p>
        </w:tc>
        <w:tc>
          <w:tcPr>
            <w:tcW w:w="3800" w:type="dxa"/>
            <w:vAlign w:val="bottom"/>
          </w:tcPr>
          <w:p>
            <w:pPr>
              <w:ind w:left="20"/>
              <w:spacing w:after="0"/>
              <w:rPr>
                <w:sz w:val="20"/>
                <w:szCs w:val="20"/>
                <w:color w:val="auto"/>
              </w:rPr>
            </w:pPr>
            <w:r>
              <w:rPr>
                <w:rFonts w:ascii="Arial" w:cs="Arial" w:eastAsia="Arial" w:hAnsi="Arial"/>
                <w:sz w:val="18"/>
                <w:szCs w:val="18"/>
                <w:color w:val="auto"/>
              </w:rPr>
              <w:t>Minimum security value</w:t>
            </w:r>
          </w:p>
        </w:tc>
        <w:tc>
          <w:tcPr>
            <w:tcW w:w="6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26</w:t>
            </w:r>
          </w:p>
        </w:tc>
        <w:tc>
          <w:tcPr>
            <w:tcW w:w="3800" w:type="dxa"/>
            <w:vAlign w:val="bottom"/>
          </w:tcPr>
          <w:p>
            <w:pPr>
              <w:ind w:left="20"/>
              <w:spacing w:after="0"/>
              <w:rPr>
                <w:sz w:val="20"/>
                <w:szCs w:val="20"/>
                <w:color w:val="auto"/>
              </w:rPr>
            </w:pPr>
            <w:r>
              <w:rPr>
                <w:rFonts w:ascii="Arial" w:cs="Arial" w:eastAsia="Arial" w:hAnsi="Arial"/>
                <w:sz w:val="18"/>
                <w:szCs w:val="18"/>
                <w:color w:val="auto"/>
              </w:rPr>
              <w:t>Chartering undertakings</w:t>
            </w:r>
          </w:p>
        </w:tc>
        <w:tc>
          <w:tcPr>
            <w:tcW w:w="68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27</w:t>
            </w:r>
          </w:p>
        </w:tc>
        <w:tc>
          <w:tcPr>
            <w:tcW w:w="3800" w:type="dxa"/>
            <w:vAlign w:val="bottom"/>
          </w:tcPr>
          <w:p>
            <w:pPr>
              <w:ind w:left="20"/>
              <w:spacing w:after="0"/>
              <w:rPr>
                <w:sz w:val="20"/>
                <w:szCs w:val="20"/>
                <w:color w:val="auto"/>
              </w:rPr>
            </w:pPr>
            <w:r>
              <w:rPr>
                <w:rFonts w:ascii="Arial" w:cs="Arial" w:eastAsia="Arial" w:hAnsi="Arial"/>
                <w:sz w:val="18"/>
                <w:szCs w:val="18"/>
                <w:color w:val="auto"/>
              </w:rPr>
              <w:t>Bank accounts</w:t>
            </w:r>
          </w:p>
        </w:tc>
        <w:tc>
          <w:tcPr>
            <w:tcW w:w="6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34"/>
        </w:trPr>
        <w:tc>
          <w:tcPr>
            <w:tcW w:w="62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6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3"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7"/>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8080" w:type="dxa"/>
            <w:vAlign w:val="bottom"/>
          </w:tcPr>
          <w:p>
            <w:pPr>
              <w:ind w:left="220"/>
              <w:spacing w:after="0"/>
              <w:rPr>
                <w:sz w:val="20"/>
                <w:szCs w:val="20"/>
                <w:color w:val="auto"/>
              </w:rPr>
            </w:pPr>
            <w:r>
              <w:rPr>
                <w:rFonts w:ascii="Arial" w:cs="Arial" w:eastAsia="Arial" w:hAnsi="Arial"/>
                <w:sz w:val="18"/>
                <w:szCs w:val="18"/>
                <w:color w:val="auto"/>
              </w:rPr>
              <w:t>Business restrictions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808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8080" w:type="dxa"/>
            <w:vAlign w:val="bottom"/>
          </w:tcPr>
          <w:p>
            <w:pPr>
              <w:ind w:left="220"/>
              <w:spacing w:after="0"/>
              <w:rPr>
                <w:sz w:val="20"/>
                <w:szCs w:val="20"/>
                <w:color w:val="auto"/>
              </w:rPr>
            </w:pPr>
            <w:r>
              <w:rPr>
                <w:rFonts w:ascii="Arial" w:cs="Arial" w:eastAsia="Arial" w:hAnsi="Arial"/>
                <w:sz w:val="18"/>
                <w:szCs w:val="18"/>
                <w:color w:val="auto"/>
              </w:rPr>
              <w:t>Changes to the Lenders</w:t>
            </w:r>
          </w:p>
        </w:tc>
        <w:tc>
          <w:tcPr>
            <w:tcW w:w="2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8080" w:type="dxa"/>
            <w:vAlign w:val="bottom"/>
          </w:tcPr>
          <w:p>
            <w:pPr>
              <w:ind w:left="220"/>
              <w:spacing w:after="0"/>
              <w:rPr>
                <w:sz w:val="20"/>
                <w:szCs w:val="20"/>
                <w:color w:val="auto"/>
              </w:rPr>
            </w:pPr>
            <w:r>
              <w:rPr>
                <w:rFonts w:ascii="Arial" w:cs="Arial" w:eastAsia="Arial" w:hAnsi="Arial"/>
                <w:sz w:val="18"/>
                <w:szCs w:val="18"/>
                <w:color w:val="auto"/>
              </w:rPr>
              <w:t>Changes to the Obligors/Restriction on Debt Purchase Transactions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8080" w:type="dxa"/>
            <w:vAlign w:val="bottom"/>
          </w:tcPr>
          <w:p>
            <w:pPr>
              <w:ind w:left="220"/>
              <w:spacing w:after="0"/>
              <w:rPr>
                <w:sz w:val="20"/>
                <w:szCs w:val="20"/>
                <w:color w:val="auto"/>
              </w:rPr>
            </w:pPr>
            <w:r>
              <w:rPr>
                <w:rFonts w:ascii="Arial" w:cs="Arial" w:eastAsia="Arial" w:hAnsi="Arial"/>
                <w:sz w:val="18"/>
                <w:szCs w:val="18"/>
                <w:color w:val="auto"/>
              </w:rPr>
              <w:t>Roles of Agent, Security Agent and Arrangers</w:t>
            </w:r>
          </w:p>
        </w:tc>
        <w:tc>
          <w:tcPr>
            <w:tcW w:w="2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8080" w:type="dxa"/>
            <w:vAlign w:val="bottom"/>
          </w:tcPr>
          <w:p>
            <w:pPr>
              <w:ind w:left="220"/>
              <w:spacing w:after="0"/>
              <w:rPr>
                <w:sz w:val="20"/>
                <w:szCs w:val="20"/>
                <w:color w:val="auto"/>
              </w:rPr>
            </w:pPr>
            <w:r>
              <w:rPr>
                <w:rFonts w:ascii="Arial" w:cs="Arial" w:eastAsia="Arial" w:hAnsi="Arial"/>
                <w:sz w:val="18"/>
                <w:szCs w:val="18"/>
                <w:color w:val="auto"/>
              </w:rPr>
              <w:t>Conduct of business by the Finance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8080" w:type="dxa"/>
            <w:vAlign w:val="bottom"/>
          </w:tcPr>
          <w:p>
            <w:pPr>
              <w:ind w:left="220"/>
              <w:spacing w:after="0"/>
              <w:rPr>
                <w:sz w:val="20"/>
                <w:szCs w:val="20"/>
                <w:color w:val="auto"/>
              </w:rPr>
            </w:pPr>
            <w:r>
              <w:rPr>
                <w:rFonts w:ascii="Arial" w:cs="Arial" w:eastAsia="Arial" w:hAnsi="Arial"/>
                <w:sz w:val="18"/>
                <w:szCs w:val="18"/>
                <w:color w:val="auto"/>
              </w:rPr>
              <w:t>Sharing among the Finance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35</w:t>
            </w:r>
          </w:p>
        </w:tc>
        <w:tc>
          <w:tcPr>
            <w:tcW w:w="8080" w:type="dxa"/>
            <w:vAlign w:val="bottom"/>
          </w:tcPr>
          <w:p>
            <w:pPr>
              <w:ind w:left="220"/>
              <w:spacing w:after="0"/>
              <w:rPr>
                <w:sz w:val="20"/>
                <w:szCs w:val="20"/>
                <w:color w:val="auto"/>
              </w:rPr>
            </w:pPr>
            <w:r>
              <w:rPr>
                <w:rFonts w:ascii="Arial" w:cs="Arial" w:eastAsia="Arial" w:hAnsi="Arial"/>
                <w:sz w:val="18"/>
                <w:szCs w:val="18"/>
                <w:color w:val="auto"/>
              </w:rPr>
              <w:t>Payment mechanics</w:t>
            </w:r>
          </w:p>
        </w:tc>
        <w:tc>
          <w:tcPr>
            <w:tcW w:w="27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36</w:t>
            </w:r>
          </w:p>
        </w:tc>
        <w:tc>
          <w:tcPr>
            <w:tcW w:w="8080" w:type="dxa"/>
            <w:vAlign w:val="bottom"/>
          </w:tcPr>
          <w:p>
            <w:pPr>
              <w:ind w:left="220"/>
              <w:spacing w:after="0"/>
              <w:rPr>
                <w:sz w:val="20"/>
                <w:szCs w:val="20"/>
                <w:color w:val="auto"/>
              </w:rPr>
            </w:pPr>
            <w:r>
              <w:rPr>
                <w:rFonts w:ascii="Arial" w:cs="Arial" w:eastAsia="Arial" w:hAnsi="Arial"/>
                <w:sz w:val="18"/>
                <w:szCs w:val="18"/>
                <w:color w:val="auto"/>
              </w:rPr>
              <w:t>Set-off</w:t>
            </w:r>
          </w:p>
        </w:tc>
        <w:tc>
          <w:tcPr>
            <w:tcW w:w="2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37</w:t>
            </w:r>
          </w:p>
        </w:tc>
        <w:tc>
          <w:tcPr>
            <w:tcW w:w="8080" w:type="dxa"/>
            <w:vAlign w:val="bottom"/>
          </w:tcPr>
          <w:p>
            <w:pPr>
              <w:ind w:left="22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8080" w:type="dxa"/>
            <w:vAlign w:val="bottom"/>
          </w:tcPr>
          <w:p>
            <w:pPr>
              <w:ind w:left="220"/>
              <w:spacing w:after="0"/>
              <w:rPr>
                <w:sz w:val="20"/>
                <w:szCs w:val="20"/>
                <w:color w:val="auto"/>
              </w:rPr>
            </w:pPr>
            <w:r>
              <w:rPr>
                <w:rFonts w:ascii="Arial" w:cs="Arial" w:eastAsia="Arial" w:hAnsi="Arial"/>
                <w:sz w:val="18"/>
                <w:szCs w:val="18"/>
                <w:color w:val="auto"/>
              </w:rPr>
              <w:t>Calculations and certificates</w:t>
            </w:r>
          </w:p>
        </w:tc>
        <w:tc>
          <w:tcPr>
            <w:tcW w:w="2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8080" w:type="dxa"/>
            <w:vAlign w:val="bottom"/>
          </w:tcPr>
          <w:p>
            <w:pPr>
              <w:ind w:left="220"/>
              <w:spacing w:after="0"/>
              <w:rPr>
                <w:sz w:val="20"/>
                <w:szCs w:val="20"/>
                <w:color w:val="auto"/>
              </w:rPr>
            </w:pPr>
            <w:r>
              <w:rPr>
                <w:rFonts w:ascii="Arial" w:cs="Arial" w:eastAsia="Arial" w:hAnsi="Arial"/>
                <w:sz w:val="18"/>
                <w:szCs w:val="18"/>
                <w:color w:val="auto"/>
              </w:rPr>
              <w:t>Partial invalidity</w:t>
            </w:r>
          </w:p>
        </w:tc>
        <w:tc>
          <w:tcPr>
            <w:tcW w:w="2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8080" w:type="dxa"/>
            <w:vAlign w:val="bottom"/>
          </w:tcPr>
          <w:p>
            <w:pPr>
              <w:ind w:left="220"/>
              <w:spacing w:after="0"/>
              <w:rPr>
                <w:sz w:val="20"/>
                <w:szCs w:val="20"/>
                <w:color w:val="auto"/>
              </w:rPr>
            </w:pPr>
            <w:r>
              <w:rPr>
                <w:rFonts w:ascii="Arial" w:cs="Arial" w:eastAsia="Arial" w:hAnsi="Arial"/>
                <w:sz w:val="18"/>
                <w:szCs w:val="18"/>
                <w:color w:val="auto"/>
              </w:rPr>
              <w:t>Remedies and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8080" w:type="dxa"/>
            <w:vAlign w:val="bottom"/>
          </w:tcPr>
          <w:p>
            <w:pPr>
              <w:ind w:left="220"/>
              <w:spacing w:after="0"/>
              <w:rPr>
                <w:sz w:val="20"/>
                <w:szCs w:val="20"/>
                <w:color w:val="auto"/>
              </w:rPr>
            </w:pPr>
            <w:r>
              <w:rPr>
                <w:rFonts w:ascii="Arial" w:cs="Arial" w:eastAsia="Arial" w:hAnsi="Arial"/>
                <w:sz w:val="18"/>
                <w:szCs w:val="18"/>
                <w:color w:val="auto"/>
              </w:rPr>
              <w:t>Amendments and grant of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808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808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44</w:t>
            </w:r>
          </w:p>
        </w:tc>
        <w:tc>
          <w:tcPr>
            <w:tcW w:w="80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7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8080" w:type="dxa"/>
            <w:vAlign w:val="bottom"/>
          </w:tcPr>
          <w:p>
            <w:pPr>
              <w:ind w:left="220"/>
              <w:spacing w:after="0"/>
              <w:rPr>
                <w:sz w:val="20"/>
                <w:szCs w:val="20"/>
                <w:color w:val="auto"/>
              </w:rPr>
            </w:pPr>
            <w:r>
              <w:rPr>
                <w:rFonts w:ascii="Arial" w:cs="Arial" w:eastAsia="Arial" w:hAnsi="Arial"/>
                <w:sz w:val="18"/>
                <w:szCs w:val="18"/>
                <w:color w:val="auto"/>
              </w:rPr>
              <w:t>Enforcement</w:t>
            </w:r>
          </w:p>
        </w:tc>
        <w:tc>
          <w:tcPr>
            <w:tcW w:w="27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8"/>
        </w:trPr>
        <w:tc>
          <w:tcPr>
            <w:tcW w:w="850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18"/>
        </w:trPr>
        <w:tc>
          <w:tcPr>
            <w:tcW w:w="850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419"/>
        </w:trPr>
        <w:tc>
          <w:tcPr>
            <w:tcW w:w="850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27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418"/>
        </w:trPr>
        <w:tc>
          <w:tcPr>
            <w:tcW w:w="850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2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418"/>
        </w:trPr>
        <w:tc>
          <w:tcPr>
            <w:tcW w:w="8500" w:type="dxa"/>
            <w:vAlign w:val="bottom"/>
            <w:gridSpan w:val="2"/>
          </w:tcPr>
          <w:p>
            <w:pPr>
              <w:spacing w:after="0"/>
              <w:rPr>
                <w:sz w:val="20"/>
                <w:szCs w:val="20"/>
                <w:color w:val="auto"/>
              </w:rPr>
            </w:pPr>
            <w:r>
              <w:rPr>
                <w:rFonts w:ascii="Arial" w:cs="Arial" w:eastAsia="Arial" w:hAnsi="Arial"/>
                <w:sz w:val="18"/>
                <w:szCs w:val="18"/>
                <w:color w:val="auto"/>
              </w:rPr>
              <w:t>Schedule 5 Form of Compliance Certificate</w:t>
            </w:r>
          </w:p>
        </w:tc>
        <w:tc>
          <w:tcPr>
            <w:tcW w:w="27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419"/>
        </w:trPr>
        <w:tc>
          <w:tcPr>
            <w:tcW w:w="8500" w:type="dxa"/>
            <w:vAlign w:val="bottom"/>
            <w:gridSpan w:val="2"/>
          </w:tcPr>
          <w:p>
            <w:pPr>
              <w:spacing w:after="0"/>
              <w:rPr>
                <w:sz w:val="20"/>
                <w:szCs w:val="20"/>
                <w:color w:val="auto"/>
              </w:rPr>
            </w:pPr>
            <w:r>
              <w:rPr>
                <w:rFonts w:ascii="Arial" w:cs="Arial" w:eastAsia="Arial" w:hAnsi="Arial"/>
                <w:sz w:val="18"/>
                <w:szCs w:val="18"/>
                <w:color w:val="auto"/>
              </w:rPr>
              <w:t>Schedule 6 Form of Transfer Certificate</w:t>
            </w:r>
          </w:p>
        </w:tc>
        <w:tc>
          <w:tcPr>
            <w:tcW w:w="27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418"/>
        </w:trPr>
        <w:tc>
          <w:tcPr>
            <w:tcW w:w="8500" w:type="dxa"/>
            <w:vAlign w:val="bottom"/>
            <w:gridSpan w:val="2"/>
          </w:tcPr>
          <w:p>
            <w:pPr>
              <w:spacing w:after="0"/>
              <w:rPr>
                <w:sz w:val="20"/>
                <w:szCs w:val="20"/>
                <w:color w:val="auto"/>
              </w:rPr>
            </w:pPr>
            <w:r>
              <w:rPr>
                <w:rFonts w:ascii="Arial" w:cs="Arial" w:eastAsia="Arial" w:hAnsi="Arial"/>
                <w:sz w:val="18"/>
                <w:szCs w:val="18"/>
                <w:color w:val="auto"/>
              </w:rPr>
              <w:t>Schedule 7 Forms of Notifiable Debt Purchase Transaction Notice</w:t>
            </w:r>
          </w:p>
        </w:tc>
        <w:tc>
          <w:tcPr>
            <w:tcW w:w="27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418"/>
        </w:trPr>
        <w:tc>
          <w:tcPr>
            <w:tcW w:w="8500" w:type="dxa"/>
            <w:vAlign w:val="bottom"/>
            <w:gridSpan w:val="2"/>
          </w:tcPr>
          <w:p>
            <w:pPr>
              <w:spacing w:after="0"/>
              <w:rPr>
                <w:sz w:val="20"/>
                <w:szCs w:val="20"/>
                <w:color w:val="auto"/>
              </w:rPr>
            </w:pPr>
            <w:r>
              <w:rPr>
                <w:rFonts w:ascii="Arial" w:cs="Arial" w:eastAsia="Arial" w:hAnsi="Arial"/>
                <w:sz w:val="18"/>
                <w:szCs w:val="18"/>
                <w:color w:val="auto"/>
              </w:rPr>
              <w:t>Schedule 8 Repayment Schedule</w:t>
            </w:r>
          </w:p>
        </w:tc>
        <w:tc>
          <w:tcPr>
            <w:tcW w:w="27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34"/>
        </w:trPr>
        <w:tc>
          <w:tcPr>
            <w:tcW w:w="42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5"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16 July 2020, and made between:</w:t>
      </w:r>
    </w:p>
    <w:p>
      <w:pPr>
        <w:spacing w:after="0" w:line="212"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borrowers (the</w:t>
      </w:r>
      <w:r>
        <w:rPr>
          <w:rFonts w:ascii="Arial" w:cs="Arial" w:eastAsia="Arial" w:hAnsi="Arial"/>
          <w:sz w:val="18"/>
          <w:szCs w:val="18"/>
          <w:b w:val="1"/>
          <w:bCs w:val="1"/>
          <w:color w:val="auto"/>
        </w:rPr>
        <w:t xml:space="preserve"> Borrowers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LP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HOLDINGS LLC </w:t>
      </w:r>
      <w:r>
        <w:rPr>
          <w:rFonts w:ascii="Arial" w:cs="Arial" w:eastAsia="Arial" w:hAnsi="Arial"/>
          <w:sz w:val="18"/>
          <w:szCs w:val="18"/>
          <w:color w:val="auto"/>
        </w:rPr>
        <w:t>(</w:t>
      </w:r>
      <w:r>
        <w:rPr>
          <w:rFonts w:ascii="Arial" w:cs="Arial" w:eastAsia="Arial" w:hAnsi="Arial"/>
          <w:sz w:val="18"/>
          <w:szCs w:val="18"/>
          <w:b w:val="1"/>
          <w:bCs w:val="1"/>
          <w:color w:val="auto"/>
        </w:rPr>
        <w:t>GasLog Holdings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SUISSE AG </w:t>
      </w:r>
      <w:r>
        <w:rPr>
          <w:rFonts w:ascii="Arial" w:cs="Arial" w:eastAsia="Arial" w:hAnsi="Arial"/>
          <w:sz w:val="18"/>
          <w:szCs w:val="18"/>
          <w:color w:val="auto"/>
        </w:rPr>
        <w:t>as mandated lead arrangers (whether acting individually or together, the</w:t>
      </w:r>
      <w:r>
        <w:rPr>
          <w:rFonts w:ascii="Arial" w:cs="Arial" w:eastAsia="Arial" w:hAnsi="Arial"/>
          <w:sz w:val="18"/>
          <w:szCs w:val="18"/>
          <w:b w:val="1"/>
          <w:bCs w:val="1"/>
          <w:color w:val="auto"/>
        </w:rPr>
        <w:t xml:space="preserve"> Arrangers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520" w:hanging="512"/>
        <w:spacing w:after="0" w:line="271" w:lineRule="auto"/>
        <w:tabs>
          <w:tab w:leader="none" w:pos="5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SUISSE AG </w:t>
      </w:r>
      <w:r>
        <w:rPr>
          <w:rFonts w:ascii="Arial" w:cs="Arial" w:eastAsia="Arial" w:hAnsi="Arial"/>
          <w:sz w:val="18"/>
          <w:szCs w:val="18"/>
          <w:color w:val="auto"/>
        </w:rPr>
        <w:t>as global co-ordinator of the Finance Parties (whether acting individually or together, the</w:t>
      </w:r>
      <w:r>
        <w:rPr>
          <w:rFonts w:ascii="Arial" w:cs="Arial" w:eastAsia="Arial" w:hAnsi="Arial"/>
          <w:sz w:val="18"/>
          <w:szCs w:val="18"/>
          <w:b w:val="1"/>
          <w:bCs w:val="1"/>
          <w:color w:val="auto"/>
        </w:rPr>
        <w:t xml:space="preserve"> Global Co-ordinator</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SUISSE AG </w:t>
      </w:r>
      <w:r>
        <w:rPr>
          <w:rFonts w:ascii="Arial" w:cs="Arial" w:eastAsia="Arial" w:hAnsi="Arial"/>
          <w:sz w:val="18"/>
          <w:szCs w:val="18"/>
          <w:color w:val="auto"/>
        </w:rPr>
        <w:t>as bookrunners (whether acting individually or together, the</w:t>
      </w:r>
      <w:r>
        <w:rPr>
          <w:rFonts w:ascii="Arial" w:cs="Arial" w:eastAsia="Arial" w:hAnsi="Arial"/>
          <w:sz w:val="18"/>
          <w:szCs w:val="18"/>
          <w:b w:val="1"/>
          <w:bCs w:val="1"/>
          <w:color w:val="auto"/>
        </w:rPr>
        <w:t xml:space="preserve"> Bookrunner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security agent and trustee for and on behalf of the other Finance Parties (the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02" w:lineRule="exact"/>
        <w:rPr>
          <w:sz w:val="20"/>
          <w:szCs w:val="20"/>
          <w:color w:val="auto"/>
        </w:rPr>
      </w:pPr>
    </w:p>
    <w:p>
      <w:pPr>
        <w:ind w:left="460" w:hanging="32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tab/>
        <w:t>Definitions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34" w:lineRule="exact"/>
        <w:rPr>
          <w:sz w:val="20"/>
          <w:szCs w:val="20"/>
          <w:color w:val="auto"/>
        </w:rPr>
      </w:pPr>
    </w:p>
    <w:p>
      <w:pPr>
        <w:jc w:val="both"/>
        <w:ind w:left="1020" w:hanging="502"/>
        <w:spacing w:after="0"/>
        <w:tabs>
          <w:tab w:leader="none" w:pos="105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non-credit enhanced debt obligations of “A-” or higher by Standard &amp; Poor’s Rating Services or Fitch Ratings Ltd or “Baa1” or higher by Moody’s Investor Services Limited or a comparable rating from another internationally recognised credit rating agency; or</w:t>
      </w:r>
    </w:p>
    <w:p>
      <w:pPr>
        <w:spacing w:after="0" w:line="202" w:lineRule="exact"/>
        <w:rPr>
          <w:rFonts w:ascii="Arial" w:cs="Arial" w:eastAsia="Arial" w:hAnsi="Arial"/>
          <w:sz w:val="18"/>
          <w:szCs w:val="18"/>
          <w:color w:val="auto"/>
        </w:rPr>
      </w:pPr>
    </w:p>
    <w:p>
      <w:pPr>
        <w:ind w:left="980" w:hanging="4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which is approved by the Borrowers.</w:t>
      </w:r>
    </w:p>
    <w:p>
      <w:pPr>
        <w:spacing w:after="0" w:line="190"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means any bank account, deposit or certificate of deposit opened, made or established in accordance with clause 27 (</w:t>
      </w:r>
      <w:r>
        <w:rPr>
          <w:rFonts w:ascii="Arial" w:cs="Arial" w:eastAsia="Arial" w:hAnsi="Arial"/>
          <w:sz w:val="18"/>
          <w:szCs w:val="18"/>
          <w:i w:val="1"/>
          <w:iCs w:val="1"/>
          <w:color w:val="auto"/>
        </w:rPr>
        <w:t>Bank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54"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BNP Paribas (Suisse) S.A., a Swiss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acting through its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Place de Hollande 2, CP CH-1211, Geneva 11, Switzerland or another bank or financial institution approved by the Majority Lenders at the request of the Borrowers.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212"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Security Agent and/or any other Finance Parties in an agreed form conferring a Security Interest over that Account.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2"/>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Advance A </w:t>
      </w:r>
      <w:r>
        <w:rPr>
          <w:rFonts w:ascii="Arial" w:cs="Arial" w:eastAsia="Arial" w:hAnsi="Arial"/>
          <w:sz w:val="18"/>
          <w:szCs w:val="18"/>
          <w:color w:val="auto"/>
        </w:rPr>
        <w:t>means the advance of the Ship Commitment in respect of Ship A, being in an amount of up to the lesser of</w:t>
      </w:r>
    </w:p>
    <w:p>
      <w:pPr>
        <w:spacing w:after="0" w:line="18" w:lineRule="exact"/>
        <w:rPr>
          <w:sz w:val="20"/>
          <w:szCs w:val="20"/>
          <w:color w:val="auto"/>
        </w:rPr>
      </w:pPr>
    </w:p>
    <w:p>
      <w:pPr>
        <w:ind w:left="2" w:hanging="2"/>
        <w:spacing w:after="0" w:line="246"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$41,800,000 and (b) 55 per cent of the market value of Ship A, as determined in accordance with clause 25 (</w:t>
      </w:r>
      <w:r>
        <w:rPr>
          <w:rFonts w:ascii="Arial" w:cs="Arial" w:eastAsia="Arial" w:hAnsi="Arial"/>
          <w:sz w:val="18"/>
          <w:szCs w:val="18"/>
          <w:i w:val="1"/>
          <w:iCs w:val="1"/>
          <w:color w:val="auto"/>
        </w:rPr>
        <w:t>Minimum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Value</w:t>
      </w:r>
      <w:r>
        <w:rPr>
          <w:rFonts w:ascii="Arial" w:cs="Arial" w:eastAsia="Arial" w:hAnsi="Arial"/>
          <w:sz w:val="18"/>
          <w:szCs w:val="18"/>
          <w:color w:val="auto"/>
        </w:rPr>
        <w:t>).</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Advance B </w:t>
      </w:r>
      <w:r>
        <w:rPr>
          <w:rFonts w:ascii="Arial" w:cs="Arial" w:eastAsia="Arial" w:hAnsi="Arial"/>
          <w:sz w:val="18"/>
          <w:szCs w:val="18"/>
          <w:color w:val="auto"/>
        </w:rPr>
        <w:t>means the advance of the Ship Commitment in respect of Ship B, being in an amount of up to the lesser of</w:t>
      </w:r>
    </w:p>
    <w:p>
      <w:pPr>
        <w:spacing w:after="0" w:line="18" w:lineRule="exact"/>
        <w:rPr>
          <w:sz w:val="20"/>
          <w:szCs w:val="20"/>
          <w:color w:val="auto"/>
        </w:rPr>
      </w:pPr>
    </w:p>
    <w:p>
      <w:pPr>
        <w:ind w:left="2" w:hanging="2"/>
        <w:spacing w:after="0" w:line="246" w:lineRule="auto"/>
        <w:tabs>
          <w:tab w:leader="none" w:pos="278" w:val="left"/>
        </w:tabs>
        <w:numPr>
          <w:ilvl w:val="0"/>
          <w:numId w:val="6"/>
        </w:numPr>
        <w:rPr>
          <w:rFonts w:ascii="Arial" w:cs="Arial" w:eastAsia="Arial" w:hAnsi="Arial"/>
          <w:sz w:val="18"/>
          <w:szCs w:val="18"/>
          <w:color w:val="auto"/>
        </w:rPr>
      </w:pPr>
      <w:r>
        <w:rPr>
          <w:rFonts w:ascii="Arial" w:cs="Arial" w:eastAsia="Arial" w:hAnsi="Arial"/>
          <w:sz w:val="18"/>
          <w:szCs w:val="18"/>
          <w:color w:val="auto"/>
        </w:rPr>
        <w:t>$108,675,000 and (b) 67.5 per cent of the market value of Ship B, as determined in accordance with clause 25 (</w:t>
      </w:r>
      <w:r>
        <w:rPr>
          <w:rFonts w:ascii="Arial" w:cs="Arial" w:eastAsia="Arial" w:hAnsi="Arial"/>
          <w:sz w:val="18"/>
          <w:szCs w:val="18"/>
          <w:i w:val="1"/>
          <w:iCs w:val="1"/>
          <w:color w:val="auto"/>
        </w:rPr>
        <w:t>Minimum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Value</w:t>
      </w:r>
      <w:r>
        <w:rPr>
          <w:rFonts w:ascii="Arial" w:cs="Arial" w:eastAsia="Arial" w:hAnsi="Arial"/>
          <w:sz w:val="18"/>
          <w:szCs w:val="18"/>
          <w:color w:val="auto"/>
        </w:rPr>
        <w:t>).</w:t>
      </w:r>
    </w:p>
    <w:p>
      <w:pPr>
        <w:spacing w:after="0" w:line="17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Advance C </w:t>
      </w:r>
      <w:r>
        <w:rPr>
          <w:rFonts w:ascii="Arial" w:cs="Arial" w:eastAsia="Arial" w:hAnsi="Arial"/>
          <w:sz w:val="18"/>
          <w:szCs w:val="18"/>
          <w:color w:val="auto"/>
        </w:rPr>
        <w:t>means the advance of Ship Commitment in respect of Ship C, being in an amount up to the lesser of (a) $109,856,250</w:t>
      </w:r>
      <w:r>
        <w:rPr>
          <w:rFonts w:ascii="Arial" w:cs="Arial" w:eastAsia="Arial" w:hAnsi="Arial"/>
          <w:sz w:val="18"/>
          <w:szCs w:val="18"/>
          <w:b w:val="1"/>
          <w:bCs w:val="1"/>
          <w:color w:val="auto"/>
        </w:rPr>
        <w:t xml:space="preserve"> </w:t>
      </w:r>
      <w:r>
        <w:rPr>
          <w:rFonts w:ascii="Arial" w:cs="Arial" w:eastAsia="Arial" w:hAnsi="Arial"/>
          <w:sz w:val="18"/>
          <w:szCs w:val="18"/>
          <w:color w:val="auto"/>
        </w:rPr>
        <w:t>and (b) 67.5 per cent of the market value of Ship C, as determined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Advances </w:t>
      </w:r>
      <w:r>
        <w:rPr>
          <w:rFonts w:ascii="Arial" w:cs="Arial" w:eastAsia="Arial" w:hAnsi="Arial"/>
          <w:sz w:val="18"/>
          <w:szCs w:val="18"/>
          <w:color w:val="auto"/>
        </w:rPr>
        <w:t>means Advance A, Advance B and Advance C and</w:t>
      </w:r>
      <w:r>
        <w:rPr>
          <w:rFonts w:ascii="Arial" w:cs="Arial" w:eastAsia="Arial" w:hAnsi="Arial"/>
          <w:sz w:val="18"/>
          <w:szCs w:val="18"/>
          <w:b w:val="1"/>
          <w:bCs w:val="1"/>
          <w:color w:val="auto"/>
        </w:rPr>
        <w:t xml:space="preserve"> Advance </w:t>
      </w:r>
      <w:r>
        <w:rPr>
          <w:rFonts w:ascii="Arial" w:cs="Arial" w:eastAsia="Arial" w:hAnsi="Arial"/>
          <w:sz w:val="18"/>
          <w:szCs w:val="18"/>
          <w:color w:val="auto"/>
        </w:rPr>
        <w:t>means any of them.</w:t>
      </w:r>
    </w:p>
    <w:p>
      <w:pPr>
        <w:spacing w:after="0" w:line="212"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Holding Company.</w:t>
      </w:r>
    </w:p>
    <w:p>
      <w:pPr>
        <w:spacing w:after="0" w:line="154"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32.12 (</w:t>
      </w:r>
      <w:r>
        <w:rPr>
          <w:rFonts w:ascii="Arial" w:cs="Arial" w:eastAsia="Arial" w:hAnsi="Arial"/>
          <w:sz w:val="18"/>
          <w:szCs w:val="18"/>
          <w:i w:val="1"/>
          <w:iCs w:val="1"/>
          <w:color w:val="auto"/>
        </w:rPr>
        <w:t>Resignation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or any other provision of this Agreement.</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w:t>
      </w:r>
    </w:p>
    <w:p>
      <w:pPr>
        <w:spacing w:after="0" w:line="212"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Clarksons, Braemar Seascope Ltd, Fearnleys AS, Simpson, Spence &amp; Young Ltd and Poten &amp;</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or any other independent firm of shipbrokers agreed in writing from time to time between the Borrowers and the Agent (acting on the instructions of the Majority Lenders), unless any such person is a or becomes a Prohibited Person or otherwise is in breach of Sanctions.</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national stock exchange acceptable to the Majority Lenders.</w:t>
      </w:r>
    </w:p>
    <w:p>
      <w:pPr>
        <w:spacing w:after="0" w:line="212"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Cayman Islands, Cyprus, Hellenic Republic, Hong Kong, Malta, Marshall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and the United Kingdom.</w:t>
      </w:r>
    </w:p>
    <w:p>
      <w:pPr>
        <w:spacing w:after="0" w:line="154"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Auditors </w:t>
      </w:r>
      <w:r>
        <w:rPr>
          <w:rFonts w:ascii="Arial" w:cs="Arial" w:eastAsia="Arial" w:hAnsi="Arial"/>
          <w:sz w:val="18"/>
          <w:szCs w:val="18"/>
          <w:color w:val="auto"/>
        </w:rPr>
        <w:t>means one of PricewaterhouseCoopers, Ernst &amp; Young, KPMG or Deloitte &amp; Touche or another firm proposed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and 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76"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at any relevant time, such part of the Total Commitments (drawn and undrawn) which is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under 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Commitments is not cancelled or reduced under this Agreement.</w:t>
      </w:r>
    </w:p>
    <w:p>
      <w:pPr>
        <w:spacing w:after="0" w:line="169"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by the Basel Committee on Banking Supervision in June 2004 as updated prior to, and in the form existing on, the date of this Agreement, excluding any amendment thereto arising out of the Basel III Accord or Reformed Basel III.</w:t>
      </w:r>
    </w:p>
    <w:p>
      <w:pPr>
        <w:spacing w:after="0" w:line="169"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(each as defined in the Basel II Regulations applicable to such Finance Party) adopted by that Finance Party (or any of its Affiliates) for the purposes of implementing or complying with the Basel II Accord.</w:t>
      </w:r>
    </w:p>
    <w:p>
      <w:pPr>
        <w:spacing w:after="0" w:line="191"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33"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34" w:lineRule="exact"/>
        <w:rPr>
          <w:sz w:val="20"/>
          <w:szCs w:val="20"/>
          <w:color w:val="auto"/>
        </w:rPr>
      </w:pPr>
    </w:p>
    <w:p>
      <w:pPr>
        <w:jc w:val="both"/>
        <w:ind w:left="520" w:hanging="502"/>
        <w:spacing w:after="0"/>
        <w:tabs>
          <w:tab w:leader="none" w:pos="517"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202" w:lineRule="exact"/>
        <w:rPr>
          <w:rFonts w:ascii="Arial" w:cs="Arial" w:eastAsia="Arial" w:hAnsi="Arial"/>
          <w:sz w:val="18"/>
          <w:szCs w:val="18"/>
          <w:color w:val="auto"/>
        </w:rPr>
      </w:pPr>
    </w:p>
    <w:p>
      <w:pPr>
        <w:ind w:left="520" w:hanging="50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34" w:lineRule="exact"/>
        <w:rPr>
          <w:sz w:val="20"/>
          <w:szCs w:val="20"/>
          <w:color w:val="auto"/>
        </w:rPr>
      </w:pPr>
    </w:p>
    <w:p>
      <w:pPr>
        <w:jc w:val="both"/>
        <w:ind w:left="520" w:hanging="502"/>
        <w:spacing w:after="0" w:line="238"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on or before the date of this Agreement;</w:t>
      </w:r>
    </w:p>
    <w:p>
      <w:pPr>
        <w:spacing w:after="0" w:line="202" w:lineRule="exact"/>
        <w:rPr>
          <w:rFonts w:ascii="Arial" w:cs="Arial" w:eastAsia="Arial" w:hAnsi="Arial"/>
          <w:sz w:val="18"/>
          <w:szCs w:val="18"/>
          <w:color w:val="auto"/>
        </w:rPr>
      </w:pPr>
    </w:p>
    <w:p>
      <w:pPr>
        <w:jc w:val="both"/>
        <w:ind w:left="520" w:hanging="502"/>
        <w:spacing w:after="0"/>
        <w:tabs>
          <w:tab w:leader="none" w:pos="5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on or before the date of this Agreement; and</w:t>
      </w:r>
    </w:p>
    <w:p>
      <w:pPr>
        <w:spacing w:after="0" w:line="202" w:lineRule="exact"/>
        <w:rPr>
          <w:rFonts w:ascii="Arial" w:cs="Arial" w:eastAsia="Arial" w:hAnsi="Arial"/>
          <w:sz w:val="18"/>
          <w:szCs w:val="18"/>
          <w:color w:val="auto"/>
        </w:rPr>
      </w:pPr>
    </w:p>
    <w:p>
      <w:pPr>
        <w:ind w:left="520" w:hanging="502"/>
        <w:spacing w:after="0" w:line="246" w:lineRule="auto"/>
        <w:tabs>
          <w:tab w:leader="none" w:pos="56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 on or before the date of this Agreement”.</w:t>
      </w:r>
    </w:p>
    <w:p>
      <w:pPr>
        <w:spacing w:after="0" w:line="17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Basel III Increased Cost </w:t>
      </w:r>
      <w:r>
        <w:rPr>
          <w:rFonts w:ascii="Arial" w:cs="Arial" w:eastAsia="Arial" w:hAnsi="Arial"/>
          <w:sz w:val="18"/>
          <w:szCs w:val="18"/>
          <w:color w:val="auto"/>
        </w:rPr>
        <w:t>means an Increased Cost which is attributable to the implementation or application of or compliance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Basel III Regulation (whether such implementation, application or compliance is by a government, regulator, Finance Party or any of its Affiliates).</w:t>
      </w:r>
    </w:p>
    <w:p>
      <w:pPr>
        <w:spacing w:after="0" w:line="16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Basel III Regulation </w:t>
      </w:r>
      <w:r>
        <w:rPr>
          <w:rFonts w:ascii="Arial" w:cs="Arial" w:eastAsia="Arial" w:hAnsi="Arial"/>
          <w:sz w:val="18"/>
          <w:szCs w:val="18"/>
          <w:color w:val="auto"/>
        </w:rPr>
        <w:t>means any law or regulation implementing the Basel III Accord (including the relevant provisions of CRD IV and</w:t>
      </w:r>
      <w:r>
        <w:rPr>
          <w:rFonts w:ascii="Arial" w:cs="Arial" w:eastAsia="Arial" w:hAnsi="Arial"/>
          <w:sz w:val="18"/>
          <w:szCs w:val="18"/>
          <w:b w:val="1"/>
          <w:bCs w:val="1"/>
          <w:color w:val="auto"/>
        </w:rPr>
        <w:t xml:space="preserve"> </w:t>
      </w:r>
      <w:r>
        <w:rPr>
          <w:rFonts w:ascii="Arial" w:cs="Arial" w:eastAsia="Arial" w:hAnsi="Arial"/>
          <w:sz w:val="18"/>
          <w:szCs w:val="18"/>
          <w:color w:val="auto"/>
        </w:rPr>
        <w:t>CRR) save to the extent that such law or regulation re-enacts a Basel II Regulation and excluding any such law or regulation which implements Reformed Basel III.</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34" w:lineRule="exact"/>
        <w:rPr>
          <w:sz w:val="20"/>
          <w:szCs w:val="20"/>
          <w:color w:val="auto"/>
        </w:rPr>
      </w:pPr>
    </w:p>
    <w:p>
      <w:pPr>
        <w:jc w:val="both"/>
        <w:ind w:left="520" w:hanging="512"/>
        <w:spacing w:after="0"/>
        <w:tabs>
          <w:tab w:leader="none" w:pos="5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exceeds:</w:t>
      </w:r>
    </w:p>
    <w:p>
      <w:pPr>
        <w:spacing w:after="0" w:line="212" w:lineRule="exact"/>
        <w:rPr>
          <w:sz w:val="20"/>
          <w:szCs w:val="20"/>
          <w:color w:val="auto"/>
        </w:rPr>
      </w:pPr>
    </w:p>
    <w:p>
      <w:pPr>
        <w:jc w:val="both"/>
        <w:ind w:left="520" w:hanging="512"/>
        <w:spacing w:after="0"/>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8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(a) which is not a public holiday in Athens and (b) on which banks are</w:t>
      </w:r>
      <w:r>
        <w:rPr>
          <w:rFonts w:ascii="Arial" w:cs="Arial" w:eastAsia="Arial" w:hAnsi="Arial"/>
          <w:sz w:val="18"/>
          <w:szCs w:val="18"/>
          <w:b w:val="1"/>
          <w:bCs w:val="1"/>
          <w:color w:val="auto"/>
        </w:rPr>
        <w:t xml:space="preserve"> </w:t>
      </w:r>
      <w:r>
        <w:rPr>
          <w:rFonts w:ascii="Arial" w:cs="Arial" w:eastAsia="Arial" w:hAnsi="Arial"/>
          <w:sz w:val="18"/>
          <w:szCs w:val="18"/>
          <w:color w:val="auto"/>
        </w:rPr>
        <w:t>open for general business in Basel, Geneva, London, Paris, Zurich and Tokyo and (c) (in relation to any date for payment or purchase of dollars) New York.</w:t>
      </w:r>
    </w:p>
    <w:p>
      <w:pPr>
        <w:spacing w:after="0" w:line="169"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Cash Collateral Account </w:t>
      </w:r>
      <w:r>
        <w:rPr>
          <w:rFonts w:ascii="Arial" w:cs="Arial" w:eastAsia="Arial" w:hAnsi="Arial"/>
          <w:sz w:val="18"/>
          <w:szCs w:val="18"/>
          <w:color w:val="auto"/>
        </w:rPr>
        <w:t>means, to the extent required pursuant to clause 29.20(a)(ii) (</w:t>
      </w:r>
      <w:r>
        <w:rPr>
          <w:rFonts w:ascii="Arial" w:cs="Arial" w:eastAsia="Arial" w:hAnsi="Arial"/>
          <w:sz w:val="18"/>
          <w:szCs w:val="18"/>
          <w:i w:val="1"/>
          <w:iCs w:val="1"/>
          <w:color w:val="auto"/>
        </w:rPr>
        <w:t>Charters</w:t>
      </w:r>
      <w:r>
        <w:rPr>
          <w:rFonts w:ascii="Arial" w:cs="Arial" w:eastAsia="Arial" w:hAnsi="Arial"/>
          <w:sz w:val="18"/>
          <w:szCs w:val="18"/>
          <w:color w:val="auto"/>
        </w:rPr>
        <w:t>), each of the interest bearing dollar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of a Borrower with the Account Bank</w:t>
      </w:r>
    </w:p>
    <w:p>
      <w:pPr>
        <w:spacing w:after="0" w:line="16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3"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t>designated as a Cash Collateral Account 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xml:space="preserve">), and </w:t>
      </w:r>
      <w:r>
        <w:rPr>
          <w:rFonts w:ascii="Arial" w:cs="Arial" w:eastAsia="Arial" w:hAnsi="Arial"/>
          <w:sz w:val="18"/>
          <w:szCs w:val="18"/>
          <w:b w:val="1"/>
          <w:bCs w:val="1"/>
          <w:color w:val="auto"/>
        </w:rPr>
        <w:t>Cash Collateral Accounts</w:t>
      </w:r>
      <w:r>
        <w:rPr>
          <w:rFonts w:ascii="Arial" w:cs="Arial" w:eastAsia="Arial" w:hAnsi="Arial"/>
          <w:sz w:val="18"/>
          <w:szCs w:val="18"/>
          <w:color w:val="auto"/>
        </w:rPr>
        <w:t xml:space="preserve"> means all of them.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34" w:lineRule="exact"/>
        <w:rPr>
          <w:sz w:val="20"/>
          <w:szCs w:val="20"/>
          <w:color w:val="auto"/>
        </w:rPr>
      </w:pPr>
    </w:p>
    <w:p>
      <w:pPr>
        <w:ind w:left="520" w:hanging="512"/>
        <w:spacing w:after="0" w:line="246" w:lineRule="auto"/>
        <w:tabs>
          <w:tab w:leader="none" w:pos="5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person or persons, acting in concert (other than the Permitted Holders or any of them) have or acquire the right or the ability to control, either directly or indirectly, the affairs or composition of the majority of the board of directors (or equivalent) of GasLog;</w:t>
      </w:r>
    </w:p>
    <w:p>
      <w:pPr>
        <w:spacing w:after="0" w:line="196" w:lineRule="exact"/>
        <w:rPr>
          <w:rFonts w:ascii="Arial" w:cs="Arial" w:eastAsia="Arial" w:hAnsi="Arial"/>
          <w:sz w:val="18"/>
          <w:szCs w:val="18"/>
          <w:color w:val="auto"/>
        </w:rPr>
      </w:pPr>
    </w:p>
    <w:p>
      <w:pPr>
        <w:ind w:left="520" w:hanging="512"/>
        <w:spacing w:after="0" w:line="246" w:lineRule="auto"/>
        <w:tabs>
          <w:tab w:leader="none" w:pos="5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any of the Borrowers or GasLog Holdings;</w:t>
      </w:r>
    </w:p>
    <w:p>
      <w:pPr>
        <w:spacing w:after="0" w:line="196" w:lineRule="exact"/>
        <w:rPr>
          <w:rFonts w:ascii="Arial" w:cs="Arial" w:eastAsia="Arial" w:hAnsi="Arial"/>
          <w:sz w:val="18"/>
          <w:szCs w:val="18"/>
          <w:color w:val="auto"/>
        </w:rPr>
      </w:pPr>
    </w:p>
    <w:p>
      <w:pPr>
        <w:ind w:left="540" w:hanging="522"/>
        <w:spacing w:after="0" w:line="246" w:lineRule="auto"/>
        <w:tabs>
          <w:tab w:leader="none" w:pos="5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GasLog ceases to control, directly or indirectly, the affairs or the composition of the board of directors (or equivalent) of any of the Parent or GasLog Holdings;</w:t>
      </w:r>
    </w:p>
    <w:p>
      <w:pPr>
        <w:spacing w:after="0" w:line="196" w:lineRule="exact"/>
        <w:rPr>
          <w:rFonts w:ascii="Arial" w:cs="Arial" w:eastAsia="Arial" w:hAnsi="Arial"/>
          <w:sz w:val="18"/>
          <w:szCs w:val="18"/>
          <w:color w:val="auto"/>
        </w:rPr>
      </w:pPr>
    </w:p>
    <w:p>
      <w:pPr>
        <w:ind w:left="520" w:hanging="50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GasLog Holdings ceases to control, directly or indirectly, any Borrower;</w:t>
      </w:r>
    </w:p>
    <w:p>
      <w:pPr>
        <w:spacing w:after="0" w:line="211" w:lineRule="exact"/>
        <w:rPr>
          <w:rFonts w:ascii="Arial" w:cs="Arial" w:eastAsia="Arial" w:hAnsi="Arial"/>
          <w:sz w:val="18"/>
          <w:szCs w:val="18"/>
          <w:color w:val="auto"/>
        </w:rPr>
      </w:pPr>
    </w:p>
    <w:p>
      <w:pPr>
        <w:ind w:left="520" w:hanging="50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GasLog Holdings ceases to be a wholly-owned subsidiary of the Parent;</w:t>
      </w:r>
    </w:p>
    <w:p>
      <w:pPr>
        <w:spacing w:after="0" w:line="211" w:lineRule="exact"/>
        <w:rPr>
          <w:rFonts w:ascii="Arial" w:cs="Arial" w:eastAsia="Arial" w:hAnsi="Arial"/>
          <w:sz w:val="18"/>
          <w:szCs w:val="18"/>
          <w:color w:val="auto"/>
        </w:rPr>
      </w:pPr>
    </w:p>
    <w:p>
      <w:pPr>
        <w:ind w:left="540" w:hanging="522"/>
        <w:spacing w:after="0" w:line="246" w:lineRule="auto"/>
        <w:tabs>
          <w:tab w:leader="none" w:pos="5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50.1% of the issued and outstanding shares (including the voting shares) of any Borrower are legally and beneficially owned or controlled, directly or indirectly, by the Parent; or</w:t>
      </w:r>
    </w:p>
    <w:p>
      <w:pPr>
        <w:spacing w:after="0" w:line="196" w:lineRule="exact"/>
        <w:rPr>
          <w:rFonts w:ascii="Arial" w:cs="Arial" w:eastAsia="Arial" w:hAnsi="Arial"/>
          <w:sz w:val="18"/>
          <w:szCs w:val="18"/>
          <w:color w:val="auto"/>
        </w:rPr>
      </w:pPr>
    </w:p>
    <w:p>
      <w:pPr>
        <w:ind w:left="540" w:right="20" w:hanging="522"/>
        <w:spacing w:after="0" w:line="246" w:lineRule="auto"/>
        <w:tabs>
          <w:tab w:leader="none" w:pos="5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GP LLC cease to be legally and beneficially owned by GasLog or GP LLC ceases to be the general partner of the Parent,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any case without the prior written consent of the Agent (acting on the instructions of the Majority Lenders).</w:t>
      </w:r>
    </w:p>
    <w:p>
      <w:pPr>
        <w:spacing w:after="0" w:line="19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Security Documents.</w:t>
      </w:r>
    </w:p>
    <w:p>
      <w:pPr>
        <w:spacing w:after="0" w:line="15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in relation to a Ship, the charter commitment (if any) for that Ship details of which are provided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may from time-to-time be amended or replaced in the circumstances and as permitted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clause 29.20(b) (</w:t>
      </w:r>
      <w:r>
        <w:rPr>
          <w:rFonts w:ascii="Arial" w:cs="Arial" w:eastAsia="Arial" w:hAnsi="Arial"/>
          <w:sz w:val="18"/>
          <w:szCs w:val="18"/>
          <w:i w:val="1"/>
          <w:iCs w:val="1"/>
          <w:color w:val="auto"/>
        </w:rPr>
        <w:t>Charters</w:t>
      </w:r>
      <w:r>
        <w:rPr>
          <w:rFonts w:ascii="Arial" w:cs="Arial" w:eastAsia="Arial" w:hAnsi="Arial"/>
          <w:sz w:val="18"/>
          <w:szCs w:val="18"/>
          <w:color w:val="auto"/>
        </w:rPr>
        <w:t>).</w:t>
      </w:r>
    </w:p>
    <w:p>
      <w:pPr>
        <w:spacing w:after="0" w:line="16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Ship and its Charter Documents, an assignment by the relevant Owner of its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Charter Documents in favour of the Security Agent in the agreed form.</w:t>
      </w:r>
    </w:p>
    <w:p>
      <w:pPr>
        <w:spacing w:after="0" w:line="154"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in relation to a Ship, the Charter (if any) of that Ship, any documents supplementing it and any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or security given by any person to the relevant Owner for the relevant Charterer’s obligations under it.</w:t>
      </w:r>
    </w:p>
    <w:p>
      <w:pPr>
        <w:spacing w:after="0" w:line="15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in relation to a Ship, the charterer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 that Ship,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 charterer that is party to any Charter entered into in the circumstances and as permitted in accordance with clause 29.20(b) (</w:t>
      </w:r>
      <w:r>
        <w:rPr>
          <w:rFonts w:ascii="Arial" w:cs="Arial" w:eastAsia="Arial" w:hAnsi="Arial"/>
          <w:sz w:val="18"/>
          <w:szCs w:val="18"/>
          <w:i w:val="1"/>
          <w:iCs w:val="1"/>
          <w:color w:val="auto"/>
        </w:rPr>
        <w:t>Charters</w:t>
      </w:r>
      <w:r>
        <w:rPr>
          <w:rFonts w:ascii="Arial" w:cs="Arial" w:eastAsia="Arial" w:hAnsi="Arial"/>
          <w:sz w:val="18"/>
          <w:szCs w:val="18"/>
          <w:color w:val="auto"/>
        </w:rPr>
        <w:t>).</w:t>
      </w:r>
    </w:p>
    <w:p>
      <w:pPr>
        <w:spacing w:after="0" w:line="16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in relation to a Ship, the classification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Classification Society or another classification approved by the Majority Lenders as its classification (such approval not to be unreasonably withheld), at the request of the relevant Owner.</w:t>
      </w:r>
    </w:p>
    <w:p>
      <w:pPr>
        <w:spacing w:after="0" w:line="16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Classification Society </w:t>
      </w:r>
      <w:r>
        <w:rPr>
          <w:rFonts w:ascii="Arial" w:cs="Arial" w:eastAsia="Arial" w:hAnsi="Arial"/>
          <w:sz w:val="18"/>
          <w:szCs w:val="18"/>
          <w:color w:val="auto"/>
        </w:rPr>
        <w:t>means, in relation to a Ship, the classification society specified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DNV GL, American Bureau of Shipping and Lloyd’s Register of Shipping or another classification society being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International Association of Classification Societies (IACS) or, if such association no longer exists, any similar association nominated by the Agent) approved by the Majority Lenders as its</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Classification Society (such approval not to be unreasonably withheld or delayed), at the request of the relevant Owner.</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212"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in relation to a Ship, GasLog, GasLog LNG Services (whose appointment as Commercial Manager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Ship shall be effective on and from the Utilisation Date) or another manager appointed as the commercial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34" w:lineRule="exact"/>
        <w:rPr>
          <w:sz w:val="20"/>
          <w:szCs w:val="20"/>
          <w:color w:val="auto"/>
        </w:rPr>
      </w:pPr>
    </w:p>
    <w:p>
      <w:pPr>
        <w:ind w:left="520" w:right="20" w:hanging="502"/>
        <w:spacing w:after="0" w:line="246"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under its name opposite the heading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Commitment transferred to it under this Agreement; and</w:t>
      </w:r>
    </w:p>
    <w:p>
      <w:pPr>
        <w:spacing w:after="0" w:line="196" w:lineRule="exact"/>
        <w:rPr>
          <w:rFonts w:ascii="Arial" w:cs="Arial" w:eastAsia="Arial" w:hAnsi="Arial"/>
          <w:sz w:val="18"/>
          <w:szCs w:val="18"/>
          <w:color w:val="auto"/>
        </w:rPr>
      </w:pPr>
    </w:p>
    <w:p>
      <w:pPr>
        <w:ind w:left="480" w:hanging="46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9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approved.</w:t>
      </w:r>
    </w:p>
    <w:p>
      <w:pPr>
        <w:spacing w:after="0" w:line="15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an Obligor, the Group, the Finance Documents, the Charter Documents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charter commitments (to the extent such information relating to such other charter commitments is confidential as a matter of law or contract) for each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98"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211" w:lineRule="exact"/>
        <w:rPr>
          <w:rFonts w:ascii="Arial" w:cs="Arial" w:eastAsia="Arial" w:hAnsi="Arial"/>
          <w:sz w:val="18"/>
          <w:szCs w:val="18"/>
          <w:color w:val="auto"/>
        </w:rPr>
      </w:pPr>
    </w:p>
    <w:p>
      <w:pPr>
        <w:ind w:left="520" w:right="20" w:hanging="512"/>
        <w:spacing w:after="0" w:line="246" w:lineRule="auto"/>
        <w:tabs>
          <w:tab w:leader="none" w:pos="5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or any of its advisers,</w:t>
      </w:r>
    </w:p>
    <w:p>
      <w:pPr>
        <w:spacing w:after="0" w:line="197"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97" w:lineRule="exact"/>
        <w:rPr>
          <w:sz w:val="20"/>
          <w:szCs w:val="20"/>
          <w:color w:val="auto"/>
        </w:rPr>
      </w:pPr>
    </w:p>
    <w:p>
      <w:pPr>
        <w:ind w:left="1040" w:hanging="511"/>
        <w:spacing w:after="0" w:line="246" w:lineRule="auto"/>
        <w:tabs>
          <w:tab w:leader="none" w:pos="10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96" w:lineRule="exact"/>
        <w:rPr>
          <w:rFonts w:ascii="Arial" w:cs="Arial" w:eastAsia="Arial" w:hAnsi="Arial"/>
          <w:sz w:val="18"/>
          <w:szCs w:val="18"/>
          <w:color w:val="auto"/>
        </w:rPr>
      </w:pPr>
    </w:p>
    <w:p>
      <w:pPr>
        <w:ind w:left="1020" w:hanging="491"/>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207" w:lineRule="exact"/>
        <w:rPr>
          <w:rFonts w:ascii="Arial" w:cs="Arial" w:eastAsia="Arial" w:hAnsi="Arial"/>
          <w:sz w:val="18"/>
          <w:szCs w:val="18"/>
          <w:color w:val="auto"/>
        </w:rPr>
      </w:pPr>
    </w:p>
    <w:p>
      <w:pPr>
        <w:ind w:left="1140" w:hanging="61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w:t>
      </w:r>
    </w:p>
    <w:p>
      <w:pPr>
        <w:jc w:val="both"/>
        <w:ind w:left="1040" w:hanging="1"/>
        <w:spacing w:after="0"/>
        <w:tabs>
          <w:tab w:leader="none" w:pos="13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8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Constitutional Documents </w:t>
      </w:r>
      <w:r>
        <w:rPr>
          <w:rFonts w:ascii="Arial" w:cs="Arial" w:eastAsia="Arial" w:hAnsi="Arial"/>
          <w:sz w:val="18"/>
          <w:szCs w:val="18"/>
          <w:color w:val="auto"/>
        </w:rPr>
        <w:t>means, in respect of an Obligor or a Manager (other than the Shell Technical Manager), such Obligor’s or</w:t>
      </w:r>
      <w:r>
        <w:rPr>
          <w:rFonts w:ascii="Arial" w:cs="Arial" w:eastAsia="Arial" w:hAnsi="Arial"/>
          <w:sz w:val="18"/>
          <w:szCs w:val="18"/>
          <w:b w:val="1"/>
          <w:bCs w:val="1"/>
          <w:color w:val="auto"/>
        </w:rPr>
        <w:t xml:space="preserve"> </w:t>
      </w:r>
      <w:r>
        <w:rPr>
          <w:rFonts w:ascii="Arial" w:cs="Arial" w:eastAsia="Arial" w:hAnsi="Arial"/>
          <w:sz w:val="18"/>
          <w:szCs w:val="18"/>
          <w:color w:val="auto"/>
        </w:rPr>
        <w:t>Manager’s memorandum and articles of association, by-laws or other constitutional documents including as referred to in any certificate relating to an Obligor or a Manager delivered pursuant to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2" w:name="page13"/>
    <w:bookmarkEnd w:id="12"/>
    <w:p>
      <w:pPr>
        <w:ind w:left="2"/>
        <w:spacing w:after="0" w:line="271"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credit institutions and investment firms.</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34" w:lineRule="exact"/>
        <w:rPr>
          <w:sz w:val="20"/>
          <w:szCs w:val="20"/>
          <w:color w:val="auto"/>
        </w:rPr>
      </w:pPr>
    </w:p>
    <w:p>
      <w:pPr>
        <w:ind w:left="502" w:hanging="502"/>
        <w:spacing w:after="0"/>
        <w:tabs>
          <w:tab w:leader="none" w:pos="5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11" w:lineRule="exact"/>
        <w:rPr>
          <w:rFonts w:ascii="Arial" w:cs="Arial" w:eastAsia="Arial" w:hAnsi="Arial"/>
          <w:sz w:val="18"/>
          <w:szCs w:val="18"/>
          <w:color w:val="auto"/>
        </w:rPr>
      </w:pPr>
    </w:p>
    <w:p>
      <w:pPr>
        <w:ind w:left="462" w:hanging="462"/>
        <w:spacing w:after="0"/>
        <w:tabs>
          <w:tab w:leader="none" w:pos="4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11" w:lineRule="exact"/>
        <w:rPr>
          <w:rFonts w:ascii="Arial" w:cs="Arial" w:eastAsia="Arial" w:hAnsi="Arial"/>
          <w:sz w:val="18"/>
          <w:szCs w:val="18"/>
          <w:color w:val="auto"/>
        </w:rPr>
      </w:pPr>
    </w:p>
    <w:p>
      <w:pPr>
        <w:ind w:left="502" w:hanging="502"/>
        <w:spacing w:after="0" w:line="246" w:lineRule="auto"/>
        <w:tabs>
          <w:tab w:leader="none" w:pos="5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19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Deed of Covenant </w:t>
      </w:r>
      <w:r>
        <w:rPr>
          <w:rFonts w:ascii="Arial" w:cs="Arial" w:eastAsia="Arial" w:hAnsi="Arial"/>
          <w:sz w:val="18"/>
          <w:szCs w:val="18"/>
          <w:color w:val="auto"/>
        </w:rPr>
        <w:t>means, in relation to a Ship, a first deed of covenant (including a first assignment of its interest in the Ship’s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Insurances, Earnings and Requisition Compensation) in respect of such Ship by the relevant Owner in favour of the Security Agent in the agreed form.</w:t>
      </w:r>
    </w:p>
    <w:p>
      <w:pPr>
        <w:spacing w:after="0" w:line="169"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making of any determination under the Finance Documents or any combination of them) be an Event of Default.</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34" w:lineRule="exact"/>
        <w:rPr>
          <w:sz w:val="20"/>
          <w:szCs w:val="20"/>
          <w:color w:val="auto"/>
        </w:rPr>
      </w:pPr>
    </w:p>
    <w:p>
      <w:pPr>
        <w:ind w:left="502" w:hanging="502"/>
        <w:spacing w:after="0" w:line="246" w:lineRule="auto"/>
        <w:tabs>
          <w:tab w:leader="none" w:pos="4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which has failed to make its participation in an Advance available or has notified the Agent that it will not make its participation in an Advance available by the Utilisation Date of that Advance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462" w:hanging="462"/>
        <w:spacing w:after="0"/>
        <w:tabs>
          <w:tab w:leader="none" w:pos="4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11" w:lineRule="exact"/>
        <w:rPr>
          <w:rFonts w:ascii="Arial" w:cs="Arial" w:eastAsia="Arial" w:hAnsi="Arial"/>
          <w:sz w:val="18"/>
          <w:szCs w:val="18"/>
          <w:color w:val="auto"/>
        </w:rPr>
      </w:pPr>
    </w:p>
    <w:p>
      <w:pPr>
        <w:ind w:left="502" w:right="4360" w:hanging="502"/>
        <w:spacing w:after="0" w:line="485" w:lineRule="auto"/>
        <w:tabs>
          <w:tab w:leader="none" w:pos="4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 (a) above:</w:t>
      </w:r>
    </w:p>
    <w:p>
      <w:pPr>
        <w:ind w:left="1002" w:hanging="491"/>
        <w:spacing w:after="0"/>
        <w:tabs>
          <w:tab w:leader="none" w:pos="100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11" w:lineRule="exact"/>
        <w:rPr>
          <w:rFonts w:ascii="Arial" w:cs="Arial" w:eastAsia="Arial" w:hAnsi="Arial"/>
          <w:sz w:val="18"/>
          <w:szCs w:val="18"/>
          <w:color w:val="auto"/>
        </w:rPr>
      </w:pPr>
    </w:p>
    <w:p>
      <w:pPr>
        <w:ind w:left="1522" w:hanging="501"/>
        <w:spacing w:after="0"/>
        <w:tabs>
          <w:tab w:leader="none" w:pos="1522" w:val="left"/>
        </w:tabs>
        <w:numPr>
          <w:ilvl w:val="2"/>
          <w:numId w:val="1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11" w:lineRule="exact"/>
        <w:rPr>
          <w:rFonts w:ascii="Arial" w:cs="Arial" w:eastAsia="Arial" w:hAnsi="Arial"/>
          <w:sz w:val="18"/>
          <w:szCs w:val="18"/>
          <w:color w:val="auto"/>
        </w:rPr>
      </w:pPr>
    </w:p>
    <w:p>
      <w:pPr>
        <w:ind w:left="1522" w:hanging="501"/>
        <w:spacing w:after="0"/>
        <w:tabs>
          <w:tab w:leader="none" w:pos="1522" w:val="left"/>
        </w:tabs>
        <w:numPr>
          <w:ilvl w:val="2"/>
          <w:numId w:val="16"/>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12"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12" w:lineRule="exact"/>
        <w:rPr>
          <w:sz w:val="20"/>
          <w:szCs w:val="20"/>
          <w:color w:val="auto"/>
        </w:rPr>
      </w:pPr>
    </w:p>
    <w:p>
      <w:pPr>
        <w:ind w:left="1002" w:hanging="491"/>
        <w:spacing w:after="0"/>
        <w:tabs>
          <w:tab w:leader="none" w:pos="10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19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any Finance Document.</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34" w:lineRule="exact"/>
        <w:rPr>
          <w:sz w:val="20"/>
          <w:szCs w:val="20"/>
          <w:color w:val="auto"/>
        </w:rPr>
      </w:pPr>
    </w:p>
    <w:p>
      <w:pPr>
        <w:ind w:left="502" w:hanging="502"/>
        <w:spacing w:after="0"/>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Total Loss of a Mortgaged Ship, the applicable Total Loss Repayment Date; or</w:t>
      </w:r>
    </w:p>
    <w:p>
      <w:pPr>
        <w:spacing w:after="0" w:line="211" w:lineRule="exact"/>
        <w:rPr>
          <w:rFonts w:ascii="Arial" w:cs="Arial" w:eastAsia="Arial" w:hAnsi="Arial"/>
          <w:sz w:val="18"/>
          <w:szCs w:val="18"/>
          <w:color w:val="auto"/>
        </w:rPr>
      </w:pPr>
    </w:p>
    <w:p>
      <w:pPr>
        <w:jc w:val="both"/>
        <w:ind w:left="502" w:hanging="502"/>
        <w:spacing w:after="0"/>
        <w:tabs>
          <w:tab w:leader="none" w:pos="5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sale of a Mortgaged Ship by the relevant Owner, the date upon which such sale is completed by the transfer of title to the purchaser in exchange for payment of all or part of the relevant purchase price (and upon or immediately prior to such completion).</w:t>
      </w:r>
    </w:p>
    <w:p>
      <w:pPr>
        <w:spacing w:after="0" w:line="203"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33" w:right="339" w:bottom="1440" w:gutter="0" w:footer="0" w:header="0"/>
        </w:sectPr>
      </w:pPr>
    </w:p>
    <w:bookmarkStart w:id="13" w:name="page14"/>
    <w:bookmarkEnd w:id="13"/>
    <w:p>
      <w:pPr>
        <w:jc w:val="both"/>
        <w:ind w:left="20"/>
        <w:spacing w:after="0" w:line="244"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a Ship and a person, all money at any time payable to that person for or in relation to the use or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such Ship 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7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each of the interest bearing dollar accounts of a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and</w:t>
      </w:r>
      <w:r>
        <w:rPr>
          <w:rFonts w:ascii="Arial" w:cs="Arial" w:eastAsia="Arial" w:hAnsi="Arial"/>
          <w:sz w:val="18"/>
          <w:szCs w:val="18"/>
          <w:b w:val="1"/>
          <w:bCs w:val="1"/>
          <w:color w:val="auto"/>
        </w:rPr>
        <w:t xml:space="preserve"> Earnings Accounts </w:t>
      </w:r>
      <w:r>
        <w:rPr>
          <w:rFonts w:ascii="Arial" w:cs="Arial" w:eastAsia="Arial" w:hAnsi="Arial"/>
          <w:sz w:val="18"/>
          <w:szCs w:val="18"/>
          <w:color w:val="auto"/>
        </w:rPr>
        <w:t>means all of them.</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34" w:lineRule="exact"/>
        <w:rPr>
          <w:sz w:val="20"/>
          <w:szCs w:val="20"/>
          <w:color w:val="auto"/>
        </w:rPr>
      </w:pPr>
    </w:p>
    <w:p>
      <w:pPr>
        <w:ind w:left="520" w:hanging="502"/>
        <w:spacing w:after="0" w:line="246"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96" w:lineRule="exact"/>
        <w:rPr>
          <w:rFonts w:ascii="Arial" w:cs="Arial" w:eastAsia="Arial" w:hAnsi="Arial"/>
          <w:sz w:val="18"/>
          <w:szCs w:val="18"/>
          <w:color w:val="auto"/>
        </w:rPr>
      </w:pPr>
    </w:p>
    <w:p>
      <w:pPr>
        <w:ind w:left="480" w:hanging="46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34" w:lineRule="exact"/>
        <w:rPr>
          <w:sz w:val="20"/>
          <w:szCs w:val="20"/>
          <w:color w:val="auto"/>
        </w:rPr>
      </w:pPr>
    </w:p>
    <w:p>
      <w:pPr>
        <w:ind w:left="520" w:hanging="502"/>
        <w:spacing w:after="0" w:line="246"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96" w:lineRule="exact"/>
        <w:rPr>
          <w:rFonts w:ascii="Arial" w:cs="Arial" w:eastAsia="Arial" w:hAnsi="Arial"/>
          <w:sz w:val="18"/>
          <w:szCs w:val="18"/>
          <w:color w:val="auto"/>
        </w:rPr>
      </w:pPr>
    </w:p>
    <w:p>
      <w:pPr>
        <w:ind w:left="480" w:hanging="46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190"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all laws, regulations and conventions concerning pollution or protection of human health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1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at any relevant time, the aggregate principal amounts owing by the Borrowers or any of them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on the Ships or any of them by way of first priority ship mortgage or mortgages, under one or more credit facilities as disclosed by or on behalf of the Borrowers to the Lenders prior to the date of this Agreement, together with interest thereon and any other amounts owing thereunder or in connection therewith.</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Existing Indebtedness Lender </w:t>
      </w:r>
      <w:r>
        <w:rPr>
          <w:rFonts w:ascii="Arial" w:cs="Arial" w:eastAsia="Arial" w:hAnsi="Arial"/>
          <w:sz w:val="18"/>
          <w:szCs w:val="18"/>
          <w:color w:val="auto"/>
        </w:rPr>
        <w:t>means any bank, financial institution or other person, who is a lender of Existing Indebtedness.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term loan facility made available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w:t>
      </w:r>
    </w:p>
    <w:p>
      <w:pPr>
        <w:spacing w:after="0" w:line="234" w:lineRule="exact"/>
        <w:rPr>
          <w:sz w:val="20"/>
          <w:szCs w:val="20"/>
          <w:color w:val="auto"/>
        </w:rPr>
      </w:pPr>
    </w:p>
    <w:p>
      <w:pPr>
        <w:jc w:val="both"/>
        <w:ind w:left="520" w:hanging="512"/>
        <w:spacing w:after="0"/>
        <w:tabs>
          <w:tab w:leader="none" w:pos="5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a Lender, the office or no more than two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202" w:lineRule="exact"/>
        <w:rPr>
          <w:rFonts w:ascii="Arial" w:cs="Arial" w:eastAsia="Arial" w:hAnsi="Arial"/>
          <w:sz w:val="18"/>
          <w:szCs w:val="18"/>
          <w:color w:val="auto"/>
        </w:rPr>
      </w:pPr>
    </w:p>
    <w:p>
      <w:pPr>
        <w:ind w:left="480" w:hanging="46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9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have reduced to zero and all indebtedness of the Obligors under the Finance Documents has been irrevocably and unconditionally paid and discharged in full.</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3"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34"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11" w:lineRule="exact"/>
        <w:rPr>
          <w:rFonts w:ascii="Arial" w:cs="Arial" w:eastAsia="Arial" w:hAnsi="Arial"/>
          <w:sz w:val="18"/>
          <w:szCs w:val="18"/>
          <w:color w:val="auto"/>
        </w:rPr>
      </w:pPr>
    </w:p>
    <w:p>
      <w:pPr>
        <w:jc w:val="both"/>
        <w:ind w:left="520" w:hanging="502"/>
        <w:spacing w:after="0"/>
        <w:tabs>
          <w:tab w:leader="none" w:pos="5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treaty, law or a regulation of any other jurisdiction, or relating to an intergovernmental agreement between the US and any other jurisdiction, which (in either case) facilitates the implementation of any law or regulation referred to in paragraph (a) above; or</w:t>
      </w:r>
    </w:p>
    <w:p>
      <w:pPr>
        <w:spacing w:after="0" w:line="202" w:lineRule="exact"/>
        <w:rPr>
          <w:rFonts w:ascii="Arial" w:cs="Arial" w:eastAsia="Arial" w:hAnsi="Arial"/>
          <w:sz w:val="18"/>
          <w:szCs w:val="18"/>
          <w:color w:val="auto"/>
        </w:rPr>
      </w:pPr>
    </w:p>
    <w:p>
      <w:pPr>
        <w:ind w:left="520" w:right="20" w:hanging="502"/>
        <w:spacing w:after="0" w:line="246" w:lineRule="auto"/>
        <w:tabs>
          <w:tab w:leader="none" w:pos="5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34" w:lineRule="exact"/>
        <w:rPr>
          <w:sz w:val="20"/>
          <w:szCs w:val="20"/>
          <w:color w:val="auto"/>
        </w:rPr>
      </w:pPr>
    </w:p>
    <w:p>
      <w:pPr>
        <w:ind w:left="520" w:hanging="512"/>
        <w:spacing w:after="0" w:line="246" w:lineRule="auto"/>
        <w:tabs>
          <w:tab w:leader="none" w:pos="5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196" w:lineRule="exact"/>
        <w:rPr>
          <w:rFonts w:ascii="Arial" w:cs="Arial" w:eastAsia="Arial" w:hAnsi="Arial"/>
          <w:sz w:val="18"/>
          <w:szCs w:val="18"/>
          <w:color w:val="auto"/>
        </w:rPr>
      </w:pPr>
    </w:p>
    <w:p>
      <w:pPr>
        <w:ind w:left="520" w:hanging="502"/>
        <w:spacing w:after="0" w:line="246" w:lineRule="auto"/>
        <w:tabs>
          <w:tab w:leader="none" w:pos="5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date from which such payment may become subject to a deduction or withholding required by FATCA.</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12"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relation to any fees 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the earlier of (a)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 the date falling five years from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Utilisation Date and (b) 15 July 2025.</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any Quiet Enjoyment Agreement in relation to any Ship,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any Transfer Certificate and any other document designated as such by the Agent and the Borrowers.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the Global Co-ordinator, the Bookrunners, any Arranger or a Lender.</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34" w:lineRule="exact"/>
        <w:rPr>
          <w:sz w:val="20"/>
          <w:szCs w:val="20"/>
          <w:color w:val="auto"/>
        </w:rPr>
      </w:pPr>
    </w:p>
    <w:p>
      <w:pPr>
        <w:ind w:left="520" w:hanging="50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211" w:lineRule="exact"/>
        <w:rPr>
          <w:rFonts w:ascii="Arial" w:cs="Arial" w:eastAsia="Arial" w:hAnsi="Arial"/>
          <w:sz w:val="18"/>
          <w:szCs w:val="18"/>
          <w:color w:val="auto"/>
        </w:rPr>
      </w:pPr>
    </w:p>
    <w:p>
      <w:pPr>
        <w:ind w:left="520" w:hanging="502"/>
        <w:spacing w:after="0" w:line="246"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196" w:lineRule="exact"/>
        <w:rPr>
          <w:rFonts w:ascii="Arial" w:cs="Arial" w:eastAsia="Arial" w:hAnsi="Arial"/>
          <w:sz w:val="18"/>
          <w:szCs w:val="18"/>
          <w:color w:val="auto"/>
        </w:rPr>
      </w:pPr>
    </w:p>
    <w:p>
      <w:pPr>
        <w:ind w:left="520" w:hanging="502"/>
        <w:spacing w:after="0" w:line="246" w:lineRule="auto"/>
        <w:tabs>
          <w:tab w:leader="none" w:pos="4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96" w:lineRule="exact"/>
        <w:rPr>
          <w:rFonts w:ascii="Arial" w:cs="Arial" w:eastAsia="Arial" w:hAnsi="Arial"/>
          <w:sz w:val="18"/>
          <w:szCs w:val="18"/>
          <w:color w:val="auto"/>
        </w:rPr>
      </w:pPr>
    </w:p>
    <w:p>
      <w:pPr>
        <w:ind w:left="520" w:hanging="50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11" w:lineRule="exact"/>
        <w:rPr>
          <w:rFonts w:ascii="Arial" w:cs="Arial" w:eastAsia="Arial" w:hAnsi="Arial"/>
          <w:sz w:val="18"/>
          <w:szCs w:val="18"/>
          <w:color w:val="auto"/>
        </w:rPr>
      </w:pPr>
    </w:p>
    <w:p>
      <w:pPr>
        <w:ind w:left="520" w:hanging="502"/>
        <w:spacing w:after="0" w:line="246" w:lineRule="auto"/>
        <w:tabs>
          <w:tab w:leader="none" w:pos="5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that Treasury Transaction, only the marked to market value (or, if any actual amount is due as a result of the</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3" w:right="339" w:bottom="1440" w:gutter="0" w:footer="0" w:header="0"/>
        </w:sectPr>
      </w:pPr>
    </w:p>
    <w:bookmarkStart w:id="15" w:name="page16"/>
    <w:bookmarkEnd w:id="15"/>
    <w:p>
      <w:pPr>
        <w:ind w:left="522"/>
        <w:spacing w:after="0"/>
        <w:rPr>
          <w:sz w:val="20"/>
          <w:szCs w:val="20"/>
          <w:color w:val="auto"/>
        </w:rPr>
      </w:pPr>
      <w:r>
        <w:rPr>
          <w:rFonts w:ascii="Arial" w:cs="Arial" w:eastAsia="Arial" w:hAnsi="Arial"/>
          <w:sz w:val="18"/>
          <w:szCs w:val="18"/>
          <w:color w:val="auto"/>
        </w:rPr>
        <w:t>termination or close-out of that Treasury Transaction, that amount) shall be taken into account);</w:t>
      </w:r>
    </w:p>
    <w:p>
      <w:pPr>
        <w:spacing w:after="0" w:line="212" w:lineRule="exact"/>
        <w:rPr>
          <w:sz w:val="20"/>
          <w:szCs w:val="20"/>
          <w:color w:val="auto"/>
        </w:rPr>
      </w:pPr>
    </w:p>
    <w:p>
      <w:pPr>
        <w:ind w:left="502" w:hanging="502"/>
        <w:spacing w:after="0" w:line="246" w:lineRule="auto"/>
        <w:tabs>
          <w:tab w:leader="none" w:pos="4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96" w:lineRule="exact"/>
        <w:rPr>
          <w:rFonts w:ascii="Arial" w:cs="Arial" w:eastAsia="Arial" w:hAnsi="Arial"/>
          <w:sz w:val="18"/>
          <w:szCs w:val="18"/>
          <w:color w:val="auto"/>
        </w:rPr>
      </w:pPr>
    </w:p>
    <w:p>
      <w:pPr>
        <w:jc w:val="both"/>
        <w:ind w:left="502" w:hanging="502"/>
        <w:spacing w:after="0"/>
        <w:tabs>
          <w:tab w:leader="none" w:pos="5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202" w:lineRule="exact"/>
        <w:rPr>
          <w:rFonts w:ascii="Arial" w:cs="Arial" w:eastAsia="Arial" w:hAnsi="Arial"/>
          <w:sz w:val="18"/>
          <w:szCs w:val="18"/>
          <w:color w:val="auto"/>
        </w:rPr>
      </w:pPr>
    </w:p>
    <w:p>
      <w:pPr>
        <w:ind w:left="502" w:hanging="502"/>
        <w:spacing w:after="0" w:line="246" w:lineRule="auto"/>
        <w:tabs>
          <w:tab w:leader="none" w:pos="4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96" w:lineRule="exact"/>
        <w:rPr>
          <w:rFonts w:ascii="Arial" w:cs="Arial" w:eastAsia="Arial" w:hAnsi="Arial"/>
          <w:sz w:val="18"/>
          <w:szCs w:val="18"/>
          <w:color w:val="auto"/>
        </w:rPr>
      </w:pPr>
    </w:p>
    <w:p>
      <w:pPr>
        <w:ind w:left="482" w:hanging="482"/>
        <w:spacing w:after="0"/>
        <w:tabs>
          <w:tab w:leader="none" w:pos="4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19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in relation to each Advance, the date falling six months after the relevant Utilisation Date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subject in each case,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w:t>
      </w:r>
    </w:p>
    <w:p>
      <w:pPr>
        <w:spacing w:after="0" w:line="154"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Flag State </w:t>
      </w:r>
      <w:r>
        <w:rPr>
          <w:rFonts w:ascii="Arial" w:cs="Arial" w:eastAsia="Arial" w:hAnsi="Arial"/>
          <w:sz w:val="18"/>
          <w:szCs w:val="18"/>
          <w:color w:val="auto"/>
        </w:rPr>
        <w:t>means, in relation to a Ship, the country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Flag State (provided that the provisions of clause 22.1(b) (</w:t>
      </w:r>
      <w:r>
        <w:rPr>
          <w:rFonts w:ascii="Arial" w:cs="Arial" w:eastAsia="Arial" w:hAnsi="Arial"/>
          <w:sz w:val="18"/>
          <w:szCs w:val="18"/>
          <w:i w:val="1"/>
          <w:iCs w:val="1"/>
          <w:color w:val="auto"/>
        </w:rPr>
        <w:t>Ship’s name and registration</w:t>
      </w:r>
      <w:r>
        <w:rPr>
          <w:rFonts w:ascii="Arial" w:cs="Arial" w:eastAsia="Arial" w:hAnsi="Arial"/>
          <w:sz w:val="18"/>
          <w:szCs w:val="18"/>
          <w:color w:val="auto"/>
        </w:rPr>
        <w:t xml:space="preserve">) are complied with) or such other state or territory as may be approved by all the Lenders (acting reasonably), at the request of the relevant Owner, as being the </w:t>
      </w:r>
      <w:r>
        <w:rPr>
          <w:rFonts w:ascii="Arial" w:cs="Arial" w:eastAsia="Arial" w:hAnsi="Arial"/>
          <w:sz w:val="18"/>
          <w:szCs w:val="18"/>
          <w:b w:val="1"/>
          <w:bCs w:val="1"/>
          <w:color w:val="auto"/>
        </w:rPr>
        <w:t>Flag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State </w:t>
      </w:r>
      <w:r>
        <w:rPr>
          <w:rFonts w:ascii="Arial" w:cs="Arial" w:eastAsia="Arial" w:hAnsi="Arial"/>
          <w:sz w:val="18"/>
          <w:szCs w:val="18"/>
          <w:color w:val="auto"/>
        </w:rPr>
        <w:t>of such Ship for the purposes of the Finance Documents.</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each Mortgaged Ship and any other vessel directly or indirectly owned, wholly or partly, by any Group Member.</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Funding Rate </w:t>
      </w:r>
      <w:r>
        <w:rPr>
          <w:rFonts w:ascii="Arial" w:cs="Arial" w:eastAsia="Arial" w:hAnsi="Arial"/>
          <w:sz w:val="18"/>
          <w:szCs w:val="18"/>
          <w:color w:val="auto"/>
        </w:rPr>
        <w:t>means any individual rate notified by a Lender to the Agent pursuant to paragraph (a)(ii) of clause 10.3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(Cost of funds)</w:t>
      </w:r>
      <w:r>
        <w:rPr>
          <w:rFonts w:ascii="Arial" w:cs="Arial" w:eastAsia="Arial" w:hAnsi="Arial"/>
          <w:sz w:val="18"/>
          <w:szCs w:val="18"/>
          <w:b w:val="1"/>
          <w:bCs w:val="1"/>
          <w:color w:val="auto"/>
        </w:rPr>
        <w:t>.</w:t>
      </w:r>
    </w:p>
    <w:p>
      <w:pPr>
        <w:spacing w:after="0" w:line="212"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International Accounting Standards, International Financial Reporting Standards and related interpretations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issued or adopted from time to time by the International Accounting Standards Board to the extent applicable to the relevant financial statements.</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w:t>
      </w:r>
      <w:r>
        <w:rPr>
          <w:rFonts w:ascii="Arial" w:cs="Arial" w:eastAsia="Arial" w:hAnsi="Arial"/>
          <w:sz w:val="18"/>
          <w:szCs w:val="18"/>
          <w:color w:val="auto"/>
        </w:rPr>
        <w:t>means GasLog Ltd. of Clarendon House, 2 Church Street, Hamilton HM 11, Bermuda.</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Holdings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12"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GasLog LNG Services </w:t>
      </w:r>
      <w:r>
        <w:rPr>
          <w:rFonts w:ascii="Arial" w:cs="Arial" w:eastAsia="Arial" w:hAnsi="Arial"/>
          <w:sz w:val="18"/>
          <w:szCs w:val="18"/>
          <w:color w:val="auto"/>
        </w:rPr>
        <w:t>means GasLog LNG Services Ltd. of Clarendon House, 2 Church Street, Hamilton HM11, Bermuda (being a</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subsidiary of GasLog).</w:t>
      </w:r>
    </w:p>
    <w:p>
      <w:pPr>
        <w:spacing w:after="0" w:line="154"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a Ship in respect of which the mortgage is not an account current form, a first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interest in the Ship’s Insurances, Earnings and Requisition Compensation by the relevant Owner in favour of the Security Agent and/or any of the other Finance Parties in the agreed form.</w:t>
      </w:r>
    </w:p>
    <w:p>
      <w:pPr>
        <w:spacing w:after="0" w:line="169"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GP LLC </w:t>
      </w:r>
      <w:r>
        <w:rPr>
          <w:rFonts w:ascii="Arial" w:cs="Arial" w:eastAsia="Arial" w:hAnsi="Arial"/>
          <w:sz w:val="18"/>
          <w:szCs w:val="18"/>
          <w:color w:val="auto"/>
        </w:rPr>
        <w:t>means GasLog Partners GP LLC of Trust Company Complex, Ajeltake Road, Ajeltake Island, Majuro, Marshall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MH96960.</w:t>
      </w:r>
    </w:p>
    <w:p>
      <w:pPr>
        <w:spacing w:after="0" w:line="154"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 and, for the purposes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clause</w:t>
      </w:r>
      <w:r>
        <w:rPr>
          <w:rFonts w:ascii="Arial" w:cs="Arial" w:eastAsia="Arial" w:hAnsi="Arial"/>
          <w:sz w:val="18"/>
          <w:szCs w:val="18"/>
          <w:b w:val="1"/>
          <w:bCs w:val="1"/>
          <w:color w:val="auto"/>
        </w:rPr>
        <w:t xml:space="preserve"> </w:t>
      </w:r>
      <w:r>
        <w:rPr>
          <w:rFonts w:ascii="Arial" w:cs="Arial" w:eastAsia="Arial" w:hAnsi="Arial"/>
          <w:sz w:val="18"/>
          <w:szCs w:val="18"/>
          <w:color w:val="auto"/>
        </w:rPr>
        <w:t>20 (</w:t>
      </w:r>
      <w:r>
        <w:rPr>
          <w:rFonts w:ascii="Arial" w:cs="Arial" w:eastAsia="Arial" w:hAnsi="Arial"/>
          <w:sz w:val="18"/>
          <w:szCs w:val="18"/>
          <w:i w:val="1"/>
          <w:iCs w:val="1"/>
          <w:color w:val="auto"/>
        </w:rPr>
        <w:t>Financial covenants</w:t>
      </w:r>
      <w:r>
        <w:rPr>
          <w:rFonts w:ascii="Arial" w:cs="Arial" w:eastAsia="Arial" w:hAnsi="Arial"/>
          <w:sz w:val="18"/>
          <w:szCs w:val="18"/>
          <w:color w:val="auto"/>
        </w:rPr>
        <w:t>), any other entity required to be treated as a subsidiary in Parent’s consolidated accounts in accordance with GAAP and/or any applicable law.</w:t>
      </w:r>
    </w:p>
    <w:p>
      <w:pPr>
        <w:spacing w:after="0" w:line="191"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Group.</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obligations of the Guarantors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the Parent and GasLog Holdings and</w:t>
      </w:r>
      <w:r>
        <w:rPr>
          <w:rFonts w:ascii="Arial" w:cs="Arial" w:eastAsia="Arial" w:hAnsi="Arial"/>
          <w:sz w:val="18"/>
          <w:szCs w:val="18"/>
          <w:b w:val="1"/>
          <w:bCs w:val="1"/>
          <w:color w:val="auto"/>
        </w:rPr>
        <w:t xml:space="preserve"> Guarantor </w:t>
      </w:r>
      <w:r>
        <w:rPr>
          <w:rFonts w:ascii="Arial" w:cs="Arial" w:eastAsia="Arial" w:hAnsi="Arial"/>
          <w:sz w:val="18"/>
          <w:szCs w:val="18"/>
          <w:color w:val="auto"/>
        </w:rPr>
        <w:t>means either of them.</w:t>
      </w:r>
    </w:p>
    <w:p>
      <w:pPr>
        <w:spacing w:after="0" w:line="212"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which it is a Subsidiary.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34" w:lineRule="exact"/>
        <w:rPr>
          <w:sz w:val="20"/>
          <w:szCs w:val="20"/>
          <w:color w:val="auto"/>
        </w:rPr>
      </w:pPr>
    </w:p>
    <w:p>
      <w:pPr>
        <w:ind w:left="520" w:hanging="512"/>
        <w:spacing w:after="0" w:line="246" w:lineRule="auto"/>
        <w:tabs>
          <w:tab w:leader="none" w:pos="6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96" w:lineRule="exact"/>
        <w:rPr>
          <w:rFonts w:ascii="Arial" w:cs="Arial" w:eastAsia="Arial" w:hAnsi="Arial"/>
          <w:sz w:val="18"/>
          <w:szCs w:val="18"/>
          <w:color w:val="auto"/>
        </w:rPr>
      </w:pPr>
    </w:p>
    <w:p>
      <w:pPr>
        <w:ind w:left="480" w:hanging="46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11" w:lineRule="exact"/>
        <w:rPr>
          <w:rFonts w:ascii="Arial" w:cs="Arial" w:eastAsia="Arial" w:hAnsi="Arial"/>
          <w:sz w:val="18"/>
          <w:szCs w:val="18"/>
          <w:color w:val="auto"/>
        </w:rPr>
      </w:pPr>
    </w:p>
    <w:p>
      <w:pPr>
        <w:ind w:left="520" w:hanging="50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in the case of paragraph (a) above:</w:t>
      </w:r>
    </w:p>
    <w:p>
      <w:pPr>
        <w:spacing w:after="0" w:line="212" w:lineRule="exact"/>
        <w:rPr>
          <w:sz w:val="20"/>
          <w:szCs w:val="20"/>
          <w:color w:val="auto"/>
        </w:rPr>
      </w:pPr>
    </w:p>
    <w:p>
      <w:pPr>
        <w:ind w:left="1020" w:hanging="491"/>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11" w:lineRule="exact"/>
        <w:rPr>
          <w:rFonts w:ascii="Arial" w:cs="Arial" w:eastAsia="Arial" w:hAnsi="Arial"/>
          <w:sz w:val="18"/>
          <w:szCs w:val="18"/>
          <w:color w:val="auto"/>
        </w:rPr>
      </w:pPr>
    </w:p>
    <w:p>
      <w:pPr>
        <w:ind w:left="1540" w:hanging="501"/>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11" w:lineRule="exact"/>
        <w:rPr>
          <w:rFonts w:ascii="Arial" w:cs="Arial" w:eastAsia="Arial" w:hAnsi="Arial"/>
          <w:sz w:val="18"/>
          <w:szCs w:val="18"/>
          <w:color w:val="auto"/>
        </w:rPr>
      </w:pPr>
    </w:p>
    <w:p>
      <w:pPr>
        <w:ind w:left="1540" w:hanging="501"/>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12" w:lineRule="exact"/>
        <w:rPr>
          <w:sz w:val="20"/>
          <w:szCs w:val="20"/>
          <w:color w:val="auto"/>
        </w:rPr>
      </w:pPr>
    </w:p>
    <w:p>
      <w:pPr>
        <w:ind w:left="1020" w:hanging="491"/>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hanging="512"/>
        <w:spacing w:after="0" w:line="246" w:lineRule="auto"/>
        <w:tabs>
          <w:tab w:leader="none" w:pos="5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Finance Party, each Receiver, any Delegate and any other attorney, agent or other person appointed by them under the Finance Documents;</w:t>
      </w:r>
    </w:p>
    <w:p>
      <w:pPr>
        <w:spacing w:after="0" w:line="196" w:lineRule="exact"/>
        <w:rPr>
          <w:rFonts w:ascii="Arial" w:cs="Arial" w:eastAsia="Arial" w:hAnsi="Arial"/>
          <w:sz w:val="18"/>
          <w:szCs w:val="18"/>
          <w:color w:val="auto"/>
        </w:rPr>
      </w:pPr>
    </w:p>
    <w:p>
      <w:pPr>
        <w:ind w:left="480" w:hanging="462"/>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211" w:lineRule="exact"/>
        <w:rPr>
          <w:rFonts w:ascii="Arial" w:cs="Arial" w:eastAsia="Arial" w:hAnsi="Arial"/>
          <w:sz w:val="18"/>
          <w:szCs w:val="18"/>
          <w:color w:val="auto"/>
        </w:rPr>
      </w:pPr>
    </w:p>
    <w:p>
      <w:pPr>
        <w:ind w:left="520" w:hanging="50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hanging="50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11" w:lineRule="exact"/>
        <w:rPr>
          <w:rFonts w:ascii="Arial" w:cs="Arial" w:eastAsia="Arial" w:hAnsi="Arial"/>
          <w:sz w:val="18"/>
          <w:szCs w:val="18"/>
          <w:color w:val="auto"/>
        </w:rPr>
      </w:pPr>
    </w:p>
    <w:p>
      <w:pPr>
        <w:ind w:left="520" w:hanging="502"/>
        <w:spacing w:after="0" w:line="246" w:lineRule="auto"/>
        <w:tabs>
          <w:tab w:leader="none" w:pos="5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96" w:lineRule="exact"/>
        <w:rPr>
          <w:rFonts w:ascii="Arial" w:cs="Arial" w:eastAsia="Arial" w:hAnsi="Arial"/>
          <w:sz w:val="18"/>
          <w:szCs w:val="18"/>
          <w:color w:val="auto"/>
        </w:rPr>
      </w:pPr>
    </w:p>
    <w:p>
      <w:pPr>
        <w:ind w:left="520" w:hanging="50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3" w:right="339" w:bottom="1440" w:gutter="0" w:footer="0" w:header="0"/>
        </w:sectPr>
      </w:pPr>
    </w:p>
    <w:bookmarkStart w:id="17" w:name="page18"/>
    <w:bookmarkEnd w:id="17"/>
    <w:p>
      <w:pPr>
        <w:jc w:val="both"/>
        <w:ind w:left="502" w:hanging="502"/>
        <w:spacing w:after="0" w:line="238" w:lineRule="auto"/>
        <w:tabs>
          <w:tab w:leader="none" w:pos="5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202" w:lineRule="exact"/>
        <w:rPr>
          <w:rFonts w:ascii="Arial" w:cs="Arial" w:eastAsia="Arial" w:hAnsi="Arial"/>
          <w:sz w:val="18"/>
          <w:szCs w:val="18"/>
          <w:color w:val="auto"/>
        </w:rPr>
      </w:pPr>
    </w:p>
    <w:p>
      <w:pPr>
        <w:jc w:val="both"/>
        <w:ind w:left="502" w:hanging="502"/>
        <w:spacing w:after="0" w:line="243" w:lineRule="auto"/>
        <w:tabs>
          <w:tab w:leader="none" w:pos="4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201" w:lineRule="exact"/>
        <w:rPr>
          <w:rFonts w:ascii="Arial" w:cs="Arial" w:eastAsia="Arial" w:hAnsi="Arial"/>
          <w:sz w:val="18"/>
          <w:szCs w:val="18"/>
          <w:color w:val="auto"/>
        </w:rPr>
      </w:pPr>
    </w:p>
    <w:p>
      <w:pPr>
        <w:ind w:left="1022" w:hanging="511"/>
        <w:spacing w:after="0" w:line="246" w:lineRule="auto"/>
        <w:tabs>
          <w:tab w:leader="none" w:pos="11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96" w:lineRule="exact"/>
        <w:rPr>
          <w:rFonts w:ascii="Arial" w:cs="Arial" w:eastAsia="Arial" w:hAnsi="Arial"/>
          <w:sz w:val="18"/>
          <w:szCs w:val="18"/>
          <w:color w:val="auto"/>
        </w:rPr>
      </w:pPr>
    </w:p>
    <w:p>
      <w:pPr>
        <w:ind w:left="1002" w:hanging="491"/>
        <w:spacing w:after="0"/>
        <w:tabs>
          <w:tab w:leader="none" w:pos="10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11" w:lineRule="exact"/>
        <w:rPr>
          <w:rFonts w:ascii="Arial" w:cs="Arial" w:eastAsia="Arial" w:hAnsi="Arial"/>
          <w:sz w:val="18"/>
          <w:szCs w:val="18"/>
          <w:color w:val="auto"/>
        </w:rPr>
      </w:pPr>
    </w:p>
    <w:p>
      <w:pPr>
        <w:jc w:val="both"/>
        <w:ind w:left="502" w:hanging="502"/>
        <w:spacing w:after="0"/>
        <w:tabs>
          <w:tab w:leader="none" w:pos="5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202" w:lineRule="exact"/>
        <w:rPr>
          <w:rFonts w:ascii="Arial" w:cs="Arial" w:eastAsia="Arial" w:hAnsi="Arial"/>
          <w:sz w:val="18"/>
          <w:szCs w:val="18"/>
          <w:color w:val="auto"/>
        </w:rPr>
      </w:pPr>
    </w:p>
    <w:p>
      <w:pPr>
        <w:ind w:left="502" w:hanging="502"/>
        <w:spacing w:after="0" w:line="246"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96" w:lineRule="exact"/>
        <w:rPr>
          <w:rFonts w:ascii="Arial" w:cs="Arial" w:eastAsia="Arial" w:hAnsi="Arial"/>
          <w:sz w:val="18"/>
          <w:szCs w:val="18"/>
          <w:color w:val="auto"/>
        </w:rPr>
      </w:pPr>
    </w:p>
    <w:p>
      <w:pPr>
        <w:ind w:left="502" w:right="20" w:hanging="502"/>
        <w:spacing w:after="0" w:line="246" w:lineRule="auto"/>
        <w:tabs>
          <w:tab w:leader="none" w:pos="5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96" w:lineRule="exact"/>
        <w:rPr>
          <w:rFonts w:ascii="Arial" w:cs="Arial" w:eastAsia="Arial" w:hAnsi="Arial"/>
          <w:sz w:val="18"/>
          <w:szCs w:val="18"/>
          <w:color w:val="auto"/>
        </w:rPr>
      </w:pPr>
    </w:p>
    <w:p>
      <w:pPr>
        <w:jc w:val="both"/>
        <w:ind w:left="502" w:hanging="502"/>
        <w:spacing w:after="0"/>
        <w:tabs>
          <w:tab w:leader="none" w:pos="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202" w:lineRule="exact"/>
        <w:rPr>
          <w:rFonts w:ascii="Arial" w:cs="Arial" w:eastAsia="Arial" w:hAnsi="Arial"/>
          <w:sz w:val="18"/>
          <w:szCs w:val="18"/>
          <w:color w:val="auto"/>
        </w:rPr>
      </w:pPr>
    </w:p>
    <w:p>
      <w:pPr>
        <w:ind w:left="502" w:hanging="502"/>
        <w:spacing w:after="0" w:line="246" w:lineRule="auto"/>
        <w:tabs>
          <w:tab w:leader="none" w:pos="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96" w:lineRule="exact"/>
        <w:rPr>
          <w:rFonts w:ascii="Arial" w:cs="Arial" w:eastAsia="Arial" w:hAnsi="Arial"/>
          <w:sz w:val="18"/>
          <w:szCs w:val="18"/>
          <w:color w:val="auto"/>
        </w:rPr>
      </w:pPr>
    </w:p>
    <w:p>
      <w:pPr>
        <w:ind w:left="502" w:hanging="502"/>
        <w:spacing w:after="0"/>
        <w:tabs>
          <w:tab w:leader="none" w:pos="5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9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Insurance Notice </w:t>
      </w:r>
      <w:r>
        <w:rPr>
          <w:rFonts w:ascii="Arial" w:cs="Arial" w:eastAsia="Arial" w:hAnsi="Arial"/>
          <w:sz w:val="18"/>
          <w:szCs w:val="18"/>
          <w:color w:val="auto"/>
        </w:rPr>
        <w:t>means, in relation to a Ship, a notice of assignment in the form scheduled to that Ship’s General Assignment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Deed of Covenant or in another approved form.</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a Ship:</w:t>
      </w:r>
    </w:p>
    <w:p>
      <w:pPr>
        <w:spacing w:after="0" w:line="234" w:lineRule="exact"/>
        <w:rPr>
          <w:sz w:val="20"/>
          <w:szCs w:val="20"/>
          <w:color w:val="auto"/>
        </w:rPr>
      </w:pPr>
    </w:p>
    <w:p>
      <w:pPr>
        <w:ind w:left="502" w:hanging="502"/>
        <w:spacing w:after="0"/>
        <w:tabs>
          <w:tab w:leader="none" w:pos="5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211" w:lineRule="exact"/>
        <w:rPr>
          <w:rFonts w:ascii="Arial" w:cs="Arial" w:eastAsia="Arial" w:hAnsi="Arial"/>
          <w:sz w:val="18"/>
          <w:szCs w:val="18"/>
          <w:color w:val="auto"/>
        </w:rPr>
      </w:pPr>
    </w:p>
    <w:p>
      <w:pPr>
        <w:ind w:left="462" w:hanging="462"/>
        <w:spacing w:after="0"/>
        <w:tabs>
          <w:tab w:leader="none" w:pos="4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212" w:lineRule="exact"/>
        <w:rPr>
          <w:sz w:val="20"/>
          <w:szCs w:val="20"/>
          <w:color w:val="auto"/>
        </w:rPr>
      </w:pPr>
    </w:p>
    <w:p>
      <w:pPr>
        <w:jc w:val="both"/>
        <w:ind w:left="2"/>
        <w:spacing w:after="0"/>
        <w:rPr>
          <w:sz w:val="20"/>
          <w:szCs w:val="20"/>
          <w:color w:val="auto"/>
        </w:rPr>
      </w:pPr>
      <w:r>
        <w:rPr>
          <w:rFonts w:ascii="Arial" w:cs="Arial" w:eastAsia="Arial" w:hAnsi="Arial"/>
          <w:sz w:val="18"/>
          <w:szCs w:val="18"/>
          <w:color w:val="auto"/>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spacing w:after="0" w:line="18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34"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55" w:right="339" w:bottom="1440" w:gutter="0" w:footer="0" w:header="0"/>
        </w:sectPr>
      </w:pPr>
    </w:p>
    <w:bookmarkStart w:id="18" w:name="page19"/>
    <w:bookmarkEnd w:id="18"/>
    <w:p>
      <w:pPr>
        <w:jc w:val="both"/>
        <w:ind w:left="20"/>
        <w:spacing w:after="0" w:line="271"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an Advance,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5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Interpolated Screen Rate </w:t>
      </w:r>
      <w:r>
        <w:rPr>
          <w:rFonts w:ascii="Arial" w:cs="Arial" w:eastAsia="Arial" w:hAnsi="Arial"/>
          <w:sz w:val="18"/>
          <w:szCs w:val="18"/>
          <w:color w:val="auto"/>
        </w:rPr>
        <w:t>means, in relation to LIBOR for an Interest Period with respect to any Advance or any part of it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Unpaid Sum, the rate (rounded to the same number of decimal places as the two relevant Screen Rates) which results from interpolating on a linear basis between:</w:t>
      </w:r>
    </w:p>
    <w:p>
      <w:pPr>
        <w:spacing w:after="0" w:line="191" w:lineRule="exact"/>
        <w:rPr>
          <w:sz w:val="20"/>
          <w:szCs w:val="20"/>
          <w:color w:val="auto"/>
        </w:rPr>
      </w:pPr>
    </w:p>
    <w:p>
      <w:pPr>
        <w:ind w:left="520" w:right="20" w:hanging="502"/>
        <w:spacing w:after="0" w:line="246" w:lineRule="auto"/>
        <w:tabs>
          <w:tab w:leader="none" w:pos="6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that Advance or the relevant Unpaid Sum; and</w:t>
      </w:r>
    </w:p>
    <w:p>
      <w:pPr>
        <w:spacing w:after="0" w:line="196" w:lineRule="exact"/>
        <w:rPr>
          <w:rFonts w:ascii="Arial" w:cs="Arial" w:eastAsia="Arial" w:hAnsi="Arial"/>
          <w:sz w:val="18"/>
          <w:szCs w:val="18"/>
          <w:color w:val="auto"/>
        </w:rPr>
      </w:pPr>
    </w:p>
    <w:p>
      <w:pPr>
        <w:ind w:left="520" w:hanging="502"/>
        <w:spacing w:after="0" w:line="246" w:lineRule="auto"/>
        <w:tabs>
          <w:tab w:leader="none" w:pos="5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that Advance or the relevant Unpaid Sum,</w:t>
      </w:r>
    </w:p>
    <w:p>
      <w:pPr>
        <w:spacing w:after="0" w:line="197"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each as of 11:00 a.m. (London time) on the relevant Quotation Day, and if that applicable interpolated rate is less than zero (0), the Interpolated Screen Rate shall be deemed to be zero (0).</w:t>
      </w:r>
    </w:p>
    <w:p>
      <w:pPr>
        <w:spacing w:after="0" w:line="17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Inventory of Hazardous Materials </w:t>
      </w:r>
      <w:r>
        <w:rPr>
          <w:rFonts w:ascii="Arial" w:cs="Arial" w:eastAsia="Arial" w:hAnsi="Arial"/>
          <w:sz w:val="18"/>
          <w:szCs w:val="18"/>
          <w:color w:val="auto"/>
        </w:rPr>
        <w:t>means, in relation to a Mortgaged Ship, a document describing the materials present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Mortgaged Ship’s structure and equipment that may be hazardous to human health or the environment along with their respective location and approximate quantities.</w:t>
      </w:r>
    </w:p>
    <w:p>
      <w:pPr>
        <w:spacing w:after="0" w:line="169"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 the earlier of (a) 31 August 2020 and (b) the date falling two (2) months from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34" w:lineRule="exact"/>
        <w:rPr>
          <w:sz w:val="20"/>
          <w:szCs w:val="20"/>
          <w:color w:val="auto"/>
        </w:rPr>
      </w:pPr>
    </w:p>
    <w:p>
      <w:pPr>
        <w:ind w:left="520" w:hanging="502"/>
        <w:spacing w:after="0" w:line="246" w:lineRule="auto"/>
        <w:tabs>
          <w:tab w:leader="none" w:pos="5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96" w:lineRule="exact"/>
        <w:rPr>
          <w:rFonts w:ascii="Arial" w:cs="Arial" w:eastAsia="Arial" w:hAnsi="Arial"/>
          <w:sz w:val="18"/>
          <w:szCs w:val="18"/>
          <w:color w:val="auto"/>
        </w:rPr>
      </w:pPr>
    </w:p>
    <w:p>
      <w:pPr>
        <w:jc w:val="both"/>
        <w:ind w:left="520" w:hanging="502"/>
        <w:spacing w:after="0"/>
        <w:tabs>
          <w:tab w:leader="none" w:pos="6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202" w:lineRule="exact"/>
        <w:rPr>
          <w:rFonts w:ascii="Arial" w:cs="Arial" w:eastAsia="Arial" w:hAnsi="Arial"/>
          <w:sz w:val="18"/>
          <w:szCs w:val="18"/>
          <w:color w:val="auto"/>
        </w:rPr>
      </w:pPr>
    </w:p>
    <w:p>
      <w:pPr>
        <w:ind w:left="520" w:hanging="50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211" w:lineRule="exact"/>
        <w:rPr>
          <w:rFonts w:ascii="Arial" w:cs="Arial" w:eastAsia="Arial" w:hAnsi="Arial"/>
          <w:sz w:val="18"/>
          <w:szCs w:val="18"/>
          <w:color w:val="auto"/>
        </w:rPr>
      </w:pPr>
    </w:p>
    <w:p>
      <w:pPr>
        <w:ind w:left="520" w:hanging="502"/>
        <w:spacing w:after="0" w:line="246" w:lineRule="auto"/>
        <w:tabs>
          <w:tab w:leader="none" w:pos="6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 Legal Opinion.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3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211" w:lineRule="exact"/>
        <w:rPr>
          <w:rFonts w:ascii="Arial" w:cs="Arial" w:eastAsia="Arial" w:hAnsi="Arial"/>
          <w:sz w:val="18"/>
          <w:szCs w:val="18"/>
          <w:color w:val="auto"/>
        </w:rPr>
      </w:pPr>
    </w:p>
    <w:p>
      <w:pPr>
        <w:ind w:left="520" w:hanging="502"/>
        <w:spacing w:after="0" w:line="246" w:lineRule="auto"/>
        <w:tabs>
          <w:tab w:leader="none" w:pos="5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Advance or any part of it or any Unpaid Sum:</w:t>
      </w:r>
    </w:p>
    <w:p>
      <w:pPr>
        <w:spacing w:after="0" w:line="23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3" w:right="339" w:bottom="1440" w:gutter="0" w:footer="0" w:header="0"/>
        </w:sectPr>
      </w:pPr>
    </w:p>
    <w:bookmarkStart w:id="19" w:name="page20"/>
    <w:bookmarkEnd w:id="19"/>
    <w:p>
      <w:pPr>
        <w:ind w:left="520" w:hanging="512"/>
        <w:spacing w:after="0" w:line="246" w:lineRule="auto"/>
        <w:tabs>
          <w:tab w:leader="none" w:pos="5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applicable Screen Rate as of 11:00 a.m. (London time) on the relevant Quotation Day for the currency of that Advance for a period equal in length to the Interest Period for that Advance or relevant part of it or Unpaid Sum; or</w:t>
      </w:r>
    </w:p>
    <w:p>
      <w:pPr>
        <w:spacing w:after="0" w:line="178" w:lineRule="exact"/>
        <w:rPr>
          <w:rFonts w:ascii="Arial" w:cs="Arial" w:eastAsia="Arial" w:hAnsi="Arial"/>
          <w:sz w:val="18"/>
          <w:szCs w:val="18"/>
          <w:color w:val="auto"/>
        </w:rPr>
      </w:pPr>
    </w:p>
    <w:p>
      <w:pPr>
        <w:ind w:left="480" w:hanging="46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or to be made under the Facility or the principal amount outstanding for the time being of that loan.</w:t>
      </w:r>
    </w:p>
    <w:p>
      <w:pPr>
        <w:spacing w:after="0" w:line="212"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Loss Payable Clauses </w:t>
      </w:r>
      <w:r>
        <w:rPr>
          <w:rFonts w:ascii="Arial" w:cs="Arial" w:eastAsia="Arial" w:hAnsi="Arial"/>
          <w:sz w:val="18"/>
          <w:szCs w:val="18"/>
          <w:color w:val="auto"/>
        </w:rPr>
        <w:t>means, in relation to a Ship, the provisions concerning payment of claims under the Ship’s Insurances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scheduled to the Ship’s General Assignment or (as the case may be) Deed of Covenant or in another approved form.</w:t>
      </w:r>
    </w:p>
    <w:p>
      <w:pPr>
        <w:spacing w:after="0" w:line="154"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VAT) claims, actions, proceedings, penalties, fines, damages, judgments, orders or other sanctions.</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w:t>
      </w:r>
      <w:r>
        <w:rPr>
          <w:rFonts w:ascii="Arial" w:cs="Arial" w:eastAsia="Arial" w:hAnsi="Arial"/>
          <w:sz w:val="18"/>
          <w:szCs w:val="18"/>
          <w:b w:val="1"/>
          <w:bCs w:val="1"/>
          <w:color w:val="auto"/>
        </w:rPr>
        <w:t xml:space="preserve"> </w:t>
      </w:r>
      <w:r>
        <w:rPr>
          <w:rFonts w:ascii="Arial" w:cs="Arial" w:eastAsia="Arial" w:hAnsi="Arial"/>
          <w:sz w:val="18"/>
          <w:szCs w:val="18"/>
          <w:color w:val="auto"/>
        </w:rPr>
        <w:t>exceed the Major Casualty Amount.</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Major Casualty Amount </w:t>
      </w:r>
      <w:r>
        <w:rPr>
          <w:rFonts w:ascii="Arial" w:cs="Arial" w:eastAsia="Arial" w:hAnsi="Arial"/>
          <w:sz w:val="18"/>
          <w:szCs w:val="18"/>
          <w:color w:val="auto"/>
        </w:rPr>
        <w:t>means, in relation to a Ship, the amount specified as such against the name of that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the equivalent in any other currency.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34" w:lineRule="exact"/>
        <w:rPr>
          <w:sz w:val="20"/>
          <w:szCs w:val="20"/>
          <w:color w:val="auto"/>
        </w:rPr>
      </w:pPr>
    </w:p>
    <w:p>
      <w:pPr>
        <w:ind w:left="520" w:hanging="512"/>
        <w:spacing w:after="0" w:line="246" w:lineRule="auto"/>
        <w:tabs>
          <w:tab w:leader="none" w:pos="5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no part of the Loan is then outstanding, a Lender or Lenders whose Commitments aggregate more than 66.66% of the Total Commitments; or</w:t>
      </w:r>
    </w:p>
    <w:p>
      <w:pPr>
        <w:spacing w:after="0" w:line="196"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any other time, a Lender or Lenders whose participations in the Loan aggregate more than 66.66% of the Loan.</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Management Agreement </w:t>
      </w:r>
      <w:r>
        <w:rPr>
          <w:rFonts w:ascii="Arial" w:cs="Arial" w:eastAsia="Arial" w:hAnsi="Arial"/>
          <w:sz w:val="18"/>
          <w:szCs w:val="18"/>
          <w:color w:val="auto"/>
        </w:rPr>
        <w:t>means any management agreement of a Ship approved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12"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in relation to a Ship, the Commercial Manager or the Technical Manager for that Ship and</w:t>
      </w:r>
      <w:r>
        <w:rPr>
          <w:rFonts w:ascii="Arial" w:cs="Arial" w:eastAsia="Arial" w:hAnsi="Arial"/>
          <w:sz w:val="18"/>
          <w:szCs w:val="18"/>
          <w:b w:val="1"/>
          <w:bCs w:val="1"/>
          <w:color w:val="auto"/>
        </w:rPr>
        <w:t xml:space="preserve"> Managers </w:t>
      </w:r>
      <w:r>
        <w:rPr>
          <w:rFonts w:ascii="Arial" w:cs="Arial" w:eastAsia="Arial" w:hAnsi="Arial"/>
          <w:sz w:val="18"/>
          <w:szCs w:val="18"/>
          <w:color w:val="auto"/>
        </w:rPr>
        <w:t>means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them.</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in relation to a Ship, an undertaking by any manager of the Ship to the Security Agent in the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form, including if required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2.70 per cent per annum.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34" w:lineRule="exact"/>
        <w:rPr>
          <w:sz w:val="20"/>
          <w:szCs w:val="20"/>
          <w:color w:val="auto"/>
        </w:rPr>
      </w:pPr>
    </w:p>
    <w:p>
      <w:pPr>
        <w:ind w:left="520" w:hanging="512"/>
        <w:spacing w:after="0" w:line="246" w:lineRule="auto"/>
        <w:tabs>
          <w:tab w:leader="none" w:pos="5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operations, assets, condition (financial or otherwise) results of operation or liabilities of the Borrowers and/or the Guarantors; or</w:t>
      </w:r>
    </w:p>
    <w:p>
      <w:pPr>
        <w:spacing w:after="0" w:line="196" w:lineRule="exact"/>
        <w:rPr>
          <w:rFonts w:ascii="Arial" w:cs="Arial" w:eastAsia="Arial" w:hAnsi="Arial"/>
          <w:sz w:val="18"/>
          <w:szCs w:val="18"/>
          <w:color w:val="auto"/>
        </w:rPr>
      </w:pPr>
    </w:p>
    <w:p>
      <w:pPr>
        <w:ind w:left="520" w:hanging="502"/>
        <w:spacing w:after="0" w:line="246" w:lineRule="auto"/>
        <w:tabs>
          <w:tab w:leader="none" w:pos="5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the Borrowers and/or the Guarantors to perform their respective obligations under any of the Finance Documents; or</w:t>
      </w:r>
    </w:p>
    <w:p>
      <w:pPr>
        <w:spacing w:after="0" w:line="196" w:lineRule="exact"/>
        <w:rPr>
          <w:rFonts w:ascii="Arial" w:cs="Arial" w:eastAsia="Arial" w:hAnsi="Arial"/>
          <w:sz w:val="18"/>
          <w:szCs w:val="18"/>
          <w:color w:val="auto"/>
        </w:rPr>
      </w:pPr>
    </w:p>
    <w:p>
      <w:pPr>
        <w:jc w:val="both"/>
        <w:ind w:left="520" w:hanging="502"/>
        <w:spacing w:after="0"/>
        <w:tabs>
          <w:tab w:leader="none" w:pos="6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this Agreement or any of the Finance Documents or any of the rights or remedies of any Finance Party under this Agreement or any of the Finance Documents.</w:t>
      </w:r>
    </w:p>
    <w:p>
      <w:pPr>
        <w:spacing w:after="0" w:line="181"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in respect of an Advance and at any time, the amount in dollars which is 120% of the outstanding principal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Advance.</w:t>
      </w:r>
    </w:p>
    <w:p>
      <w:pPr>
        <w:spacing w:after="0" w:line="17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55" w:right="339" w:bottom="1440" w:gutter="0" w:footer="0" w:header="0"/>
        </w:sectPr>
      </w:pPr>
    </w:p>
    <w:bookmarkStart w:id="20" w:name="page21"/>
    <w:bookmarkEnd w:id="20"/>
    <w:p>
      <w:pPr>
        <w:ind w:left="20"/>
        <w:spacing w:after="0" w:line="271"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in relation to a Ship, a first priority or (as the case may be) first preferred mortgage of the Ship in the agreed form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Owner in favour of the Security Agent and/or any of the other Finance Parties.</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a Mortgaged Ship, the period from the date the Mortgage over that Ship is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until the date such Mortgage is released and discharged or, if earlier, its Total Loss Date.</w:t>
      </w:r>
    </w:p>
    <w:p>
      <w:pPr>
        <w:spacing w:after="0" w:line="15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Mortgaged Ship </w:t>
      </w:r>
      <w:r>
        <w:rPr>
          <w:rFonts w:ascii="Arial" w:cs="Arial" w:eastAsia="Arial" w:hAnsi="Arial"/>
          <w:sz w:val="18"/>
          <w:szCs w:val="18"/>
          <w:color w:val="auto"/>
        </w:rPr>
        <w:t>means, at any relevant time, any Ship which is subject to a Mortgage and/or whose Earnings, Insurances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Requisition Compensation are subject to a Security Interest under the Finance Documents.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Non-Acceptable Charterer </w:t>
      </w:r>
      <w:r>
        <w:rPr>
          <w:rFonts w:ascii="Arial" w:cs="Arial" w:eastAsia="Arial" w:hAnsi="Arial"/>
          <w:sz w:val="18"/>
          <w:szCs w:val="18"/>
          <w:color w:val="auto"/>
        </w:rPr>
        <w:t>means a charterer who:</w:t>
      </w:r>
    </w:p>
    <w:p>
      <w:pPr>
        <w:spacing w:after="0" w:line="234" w:lineRule="exact"/>
        <w:rPr>
          <w:sz w:val="20"/>
          <w:szCs w:val="20"/>
          <w:color w:val="auto"/>
        </w:rPr>
      </w:pPr>
    </w:p>
    <w:p>
      <w:pPr>
        <w:ind w:left="520" w:hanging="512"/>
        <w:spacing w:after="0" w:line="246" w:lineRule="auto"/>
        <w:tabs>
          <w:tab w:leader="none" w:pos="6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subject to Sanctions or otherwise a Prohibited Person, other than any such charterer with whom the relevant chartering activity by an Owner is not in breach of Sanctions; or</w:t>
      </w:r>
    </w:p>
    <w:p>
      <w:pPr>
        <w:spacing w:after="0" w:line="196" w:lineRule="exact"/>
        <w:rPr>
          <w:rFonts w:ascii="Arial" w:cs="Arial" w:eastAsia="Arial" w:hAnsi="Arial"/>
          <w:sz w:val="18"/>
          <w:szCs w:val="18"/>
          <w:color w:val="auto"/>
        </w:rPr>
      </w:pPr>
    </w:p>
    <w:p>
      <w:pPr>
        <w:jc w:val="both"/>
        <w:ind w:left="520" w:hanging="502"/>
        <w:spacing w:after="0" w:line="238" w:lineRule="auto"/>
        <w:tabs>
          <w:tab w:leader="none" w:pos="5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Borrowers’ knowledge) is subject to a final, non-appealable order or judgment of a court of competent jurisdiction being the outcome of proceedings regarding sanctions, anti-bribery, anti-corruption, securities or environmental laws violations, to the extent such order or judgment would reasonably be expected to have a material adverse effect on the standing and reputation of such charterer.</w:t>
      </w:r>
    </w:p>
    <w:p>
      <w:pPr>
        <w:spacing w:after="0" w:line="183"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Notifiable Debt Purchase Transaction </w:t>
      </w:r>
      <w:r>
        <w:rPr>
          <w:rFonts w:ascii="Arial" w:cs="Arial" w:eastAsia="Arial" w:hAnsi="Arial"/>
          <w:sz w:val="18"/>
          <w:szCs w:val="18"/>
          <w:color w:val="auto"/>
        </w:rPr>
        <w:t>has the meaning given to that term in clause 31.3(b) (</w:t>
      </w:r>
      <w:r>
        <w:rPr>
          <w:rFonts w:ascii="Arial" w:cs="Arial" w:eastAsia="Arial" w:hAnsi="Arial"/>
          <w:sz w:val="18"/>
          <w:szCs w:val="18"/>
          <w:i w:val="1"/>
          <w:iCs w:val="1"/>
          <w:color w:val="auto"/>
        </w:rPr>
        <w:t>Disenfranchisement of Debt Purchase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Transactions entered into by Affiliates</w:t>
      </w:r>
      <w:r>
        <w:rPr>
          <w:rFonts w:ascii="Arial" w:cs="Arial" w:eastAsia="Arial" w:hAnsi="Arial"/>
          <w:sz w:val="18"/>
          <w:szCs w:val="18"/>
          <w:color w:val="auto"/>
        </w:rPr>
        <w: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together the Borrowers and the Guarantors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34"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its financial year ended on 31 December 2019; and</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GasLog Holdings for the financial year ended on 31 December 2019.</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34" w:lineRule="exact"/>
        <w:rPr>
          <w:sz w:val="20"/>
          <w:szCs w:val="20"/>
          <w:color w:val="auto"/>
        </w:rPr>
      </w:pPr>
    </w:p>
    <w:p>
      <w:pPr>
        <w:ind w:left="520" w:hanging="50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Deeds of Covenant in relation to each of the Ships in respect of which the Mortgage is in account current form;</w:t>
      </w:r>
    </w:p>
    <w:p>
      <w:pPr>
        <w:spacing w:after="0" w:line="211" w:lineRule="exact"/>
        <w:rPr>
          <w:rFonts w:ascii="Arial" w:cs="Arial" w:eastAsia="Arial" w:hAnsi="Arial"/>
          <w:sz w:val="18"/>
          <w:szCs w:val="18"/>
          <w:color w:val="auto"/>
        </w:rPr>
      </w:pPr>
    </w:p>
    <w:p>
      <w:pPr>
        <w:ind w:left="520" w:hanging="50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General Assignments in relation to each of the Ships in respect of which the Mortgage is in preferred form;</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Charter Assignment in relation to each Ship’s Charter Documents if applicable;</w:t>
      </w:r>
    </w:p>
    <w:p>
      <w:pPr>
        <w:spacing w:after="0" w:line="211" w:lineRule="exact"/>
        <w:rPr>
          <w:rFonts w:ascii="Arial" w:cs="Arial" w:eastAsia="Arial" w:hAnsi="Arial"/>
          <w:sz w:val="18"/>
          <w:szCs w:val="18"/>
          <w:color w:val="auto"/>
        </w:rPr>
      </w:pPr>
    </w:p>
    <w:p>
      <w:pPr>
        <w:ind w:left="520" w:hanging="50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 Security in relation to each Borrower;</w:t>
      </w:r>
    </w:p>
    <w:p>
      <w:pPr>
        <w:spacing w:after="0" w:line="193" w:lineRule="exact"/>
        <w:rPr>
          <w:rFonts w:ascii="Arial" w:cs="Arial" w:eastAsia="Arial" w:hAnsi="Arial"/>
          <w:sz w:val="18"/>
          <w:szCs w:val="18"/>
          <w:color w:val="auto"/>
        </w:rPr>
      </w:pPr>
    </w:p>
    <w:p>
      <w:pPr>
        <w:ind w:left="480" w:hanging="46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Manager’s Undertaking in relation to a Ship, including if required under clause 22.3 (</w:t>
      </w:r>
      <w:r>
        <w:rPr>
          <w:rFonts w:ascii="Arial" w:cs="Arial" w:eastAsia="Arial" w:hAnsi="Arial"/>
          <w:sz w:val="18"/>
          <w:szCs w:val="18"/>
          <w:i w:val="1"/>
          <w:iCs w:val="1"/>
          <w:color w:val="auto"/>
        </w:rPr>
        <w:t>Manager</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520" w:hanging="50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Security Power of Attorney.</w:t>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3" w:right="339" w:bottom="1440" w:gutter="0" w:footer="0" w:header="0"/>
        </w:sectPr>
      </w:pPr>
    </w:p>
    <w:bookmarkStart w:id="21" w:name="page22"/>
    <w:bookmarkEnd w:id="21"/>
    <w:p>
      <w:pPr>
        <w:jc w:val="both"/>
        <w:ind w:left="2"/>
        <w:spacing w:after="0" w:line="271" w:lineRule="auto"/>
        <w:rPr>
          <w:sz w:val="20"/>
          <w:szCs w:val="20"/>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means, in relation to a Ship, the Borrower specified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Owners </w:t>
      </w:r>
      <w:r>
        <w:rPr>
          <w:rFonts w:ascii="Arial" w:cs="Arial" w:eastAsia="Arial" w:hAnsi="Arial"/>
          <w:sz w:val="18"/>
          <w:szCs w:val="18"/>
          <w:color w:val="auto"/>
        </w:rPr>
        <w:t>means all of them.</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12"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Parent Affiliate </w:t>
      </w:r>
      <w:r>
        <w:rPr>
          <w:rFonts w:ascii="Arial" w:cs="Arial" w:eastAsia="Arial" w:hAnsi="Arial"/>
          <w:sz w:val="18"/>
          <w:szCs w:val="18"/>
          <w:color w:val="auto"/>
        </w:rPr>
        <w:t>means the Parent, each of its Affiliates, any trust of which the Parent or any of its Affiliates is a trustee,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of which the Parent or any of its Affiliates is a partner and any trust, fund or other entity which is managed by, or is under the control of, the Parent or any of its Affiliates.</w:t>
      </w:r>
    </w:p>
    <w:p>
      <w:pPr>
        <w:spacing w:after="0" w:line="169"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legislation of the European Union relating to Economic and Monetary Union.</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34" w:lineRule="exact"/>
        <w:rPr>
          <w:sz w:val="20"/>
          <w:szCs w:val="20"/>
          <w:color w:val="auto"/>
        </w:rPr>
      </w:pPr>
    </w:p>
    <w:p>
      <w:pPr>
        <w:jc w:val="both"/>
        <w:ind w:left="502" w:hanging="502"/>
        <w:spacing w:after="0" w:line="238" w:lineRule="auto"/>
        <w:tabs>
          <w:tab w:leader="none" w:pos="6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204" w:lineRule="exact"/>
        <w:rPr>
          <w:rFonts w:ascii="Arial" w:cs="Arial" w:eastAsia="Arial" w:hAnsi="Arial"/>
          <w:sz w:val="18"/>
          <w:szCs w:val="18"/>
          <w:color w:val="auto"/>
        </w:rPr>
      </w:pPr>
    </w:p>
    <w:p>
      <w:pPr>
        <w:ind w:left="502" w:right="20" w:hanging="502"/>
        <w:spacing w:after="0" w:line="246" w:lineRule="auto"/>
        <w:tabs>
          <w:tab w:leader="none" w:pos="6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96" w:lineRule="exact"/>
        <w:rPr>
          <w:rFonts w:ascii="Arial" w:cs="Arial" w:eastAsia="Arial" w:hAnsi="Arial"/>
          <w:sz w:val="18"/>
          <w:szCs w:val="18"/>
          <w:color w:val="auto"/>
        </w:rPr>
      </w:pPr>
    </w:p>
    <w:p>
      <w:pPr>
        <w:ind w:left="1002" w:hanging="491"/>
        <w:spacing w:after="0"/>
        <w:tabs>
          <w:tab w:leader="none" w:pos="10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11" w:lineRule="exact"/>
        <w:rPr>
          <w:rFonts w:ascii="Arial" w:cs="Arial" w:eastAsia="Arial" w:hAnsi="Arial"/>
          <w:sz w:val="18"/>
          <w:szCs w:val="18"/>
          <w:color w:val="auto"/>
        </w:rPr>
      </w:pPr>
    </w:p>
    <w:p>
      <w:pPr>
        <w:ind w:left="1002" w:hanging="491"/>
        <w:spacing w:after="0"/>
        <w:tabs>
          <w:tab w:leader="none" w:pos="10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90"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Permitted Holders </w:t>
      </w:r>
      <w:r>
        <w:rPr>
          <w:rFonts w:ascii="Arial" w:cs="Arial" w:eastAsia="Arial" w:hAnsi="Arial"/>
          <w:sz w:val="18"/>
          <w:szCs w:val="18"/>
          <w:color w:val="auto"/>
        </w:rPr>
        <w:t>means the persons disclosed by the Obligors to the Lenders in the negotiation of this Agreement as the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the affairs and composition of the majority of the board of directors of GasLog (as such persons are set out in item 7 (headed “Major Shareholder and related party transactions”) of the form 20-F relevant to the annual report submitted to the United States Securities and Exchange Commission by GasLog for the financial year ended on 31 December 2019).</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a Ship:</w:t>
      </w:r>
    </w:p>
    <w:p>
      <w:pPr>
        <w:spacing w:after="0" w:line="234" w:lineRule="exact"/>
        <w:rPr>
          <w:sz w:val="20"/>
          <w:szCs w:val="20"/>
          <w:color w:val="auto"/>
        </w:rPr>
      </w:pPr>
    </w:p>
    <w:p>
      <w:pPr>
        <w:ind w:left="502" w:right="20" w:hanging="502"/>
        <w:spacing w:after="0" w:line="246" w:lineRule="auto"/>
        <w:tabs>
          <w:tab w:leader="none" w:pos="6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such Ship for an amount not exceeding the Major Casualty Amount for such Ship;</w:t>
      </w:r>
    </w:p>
    <w:p>
      <w:pPr>
        <w:spacing w:after="0" w:line="196" w:lineRule="exact"/>
        <w:rPr>
          <w:rFonts w:ascii="Arial" w:cs="Arial" w:eastAsia="Arial" w:hAnsi="Arial"/>
          <w:sz w:val="18"/>
          <w:szCs w:val="18"/>
          <w:color w:val="auto"/>
        </w:rPr>
      </w:pPr>
    </w:p>
    <w:p>
      <w:pPr>
        <w:ind w:left="462" w:hanging="462"/>
        <w:spacing w:after="0"/>
        <w:tabs>
          <w:tab w:leader="none" w:pos="4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lien on such Ship for master’s, officer’s or crew’s wages outstanding in the ordinary course of its trading;</w:t>
      </w:r>
    </w:p>
    <w:p>
      <w:pPr>
        <w:spacing w:after="0" w:line="211" w:lineRule="exact"/>
        <w:rPr>
          <w:rFonts w:ascii="Arial" w:cs="Arial" w:eastAsia="Arial" w:hAnsi="Arial"/>
          <w:sz w:val="18"/>
          <w:szCs w:val="18"/>
          <w:color w:val="auto"/>
        </w:rPr>
      </w:pPr>
    </w:p>
    <w:p>
      <w:pPr>
        <w:ind w:left="502" w:hanging="502"/>
        <w:spacing w:after="0"/>
        <w:tabs>
          <w:tab w:leader="none" w:pos="5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lien on such Ship for salvage; and</w:t>
      </w:r>
    </w:p>
    <w:p>
      <w:pPr>
        <w:spacing w:after="0" w:line="211" w:lineRule="exact"/>
        <w:rPr>
          <w:rFonts w:ascii="Arial" w:cs="Arial" w:eastAsia="Arial" w:hAnsi="Arial"/>
          <w:sz w:val="18"/>
          <w:szCs w:val="18"/>
          <w:color w:val="auto"/>
        </w:rPr>
      </w:pPr>
    </w:p>
    <w:p>
      <w:pPr>
        <w:ind w:left="502" w:hanging="502"/>
        <w:spacing w:after="0" w:line="246" w:lineRule="auto"/>
        <w:tabs>
          <w:tab w:leader="none" w:pos="4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such Ship,</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8"/>
          <w:szCs w:val="18"/>
          <w:color w:val="auto"/>
        </w:rPr>
        <w:t>each securing obligations not more than 30 days overdue.</w:t>
      </w:r>
    </w:p>
    <w:p>
      <w:pPr>
        <w:spacing w:after="0" w:line="212"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33" w:right="339" w:bottom="1440" w:gutter="0" w:footer="0" w:header="0"/>
        </w:sectPr>
      </w:pPr>
    </w:p>
    <w:bookmarkStart w:id="22" w:name="page23"/>
    <w:bookmarkEnd w:id="22"/>
    <w:p>
      <w:pPr>
        <w:ind w:left="2"/>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any Mortgaged Ship, any Security Interest over it which is:</w:t>
      </w:r>
    </w:p>
    <w:p>
      <w:pPr>
        <w:spacing w:after="0" w:line="234" w:lineRule="exact"/>
        <w:rPr>
          <w:sz w:val="20"/>
          <w:szCs w:val="20"/>
          <w:color w:val="auto"/>
        </w:rPr>
      </w:pPr>
    </w:p>
    <w:p>
      <w:pPr>
        <w:ind w:left="502" w:hanging="502"/>
        <w:spacing w:after="0"/>
        <w:tabs>
          <w:tab w:leader="none" w:pos="5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211" w:lineRule="exact"/>
        <w:rPr>
          <w:rFonts w:ascii="Arial" w:cs="Arial" w:eastAsia="Arial" w:hAnsi="Arial"/>
          <w:sz w:val="18"/>
          <w:szCs w:val="18"/>
          <w:color w:val="auto"/>
        </w:rPr>
      </w:pPr>
    </w:p>
    <w:p>
      <w:pPr>
        <w:ind w:left="462" w:hanging="462"/>
        <w:spacing w:after="0"/>
        <w:tabs>
          <w:tab w:leader="none" w:pos="4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211" w:lineRule="exact"/>
        <w:rPr>
          <w:rFonts w:ascii="Arial" w:cs="Arial" w:eastAsia="Arial" w:hAnsi="Arial"/>
          <w:sz w:val="18"/>
          <w:szCs w:val="18"/>
          <w:color w:val="auto"/>
        </w:rPr>
      </w:pPr>
    </w:p>
    <w:p>
      <w:pPr>
        <w:ind w:left="502" w:hanging="502"/>
        <w:spacing w:after="0" w:line="246" w:lineRule="auto"/>
        <w:tabs>
          <w:tab w:leader="none" w:pos="6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96" w:lineRule="exact"/>
        <w:rPr>
          <w:rFonts w:ascii="Arial" w:cs="Arial" w:eastAsia="Arial" w:hAnsi="Arial"/>
          <w:sz w:val="18"/>
          <w:szCs w:val="18"/>
          <w:color w:val="auto"/>
        </w:rPr>
      </w:pPr>
    </w:p>
    <w:p>
      <w:pPr>
        <w:ind w:left="502" w:right="20" w:hanging="502"/>
        <w:spacing w:after="0" w:line="246" w:lineRule="auto"/>
        <w:tabs>
          <w:tab w:leader="none" w:pos="4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96" w:lineRule="exact"/>
        <w:rPr>
          <w:rFonts w:ascii="Arial" w:cs="Arial" w:eastAsia="Arial" w:hAnsi="Arial"/>
          <w:sz w:val="18"/>
          <w:szCs w:val="18"/>
          <w:color w:val="auto"/>
        </w:rPr>
      </w:pPr>
    </w:p>
    <w:p>
      <w:pPr>
        <w:ind w:left="502" w:hanging="502"/>
        <w:spacing w:after="0"/>
        <w:tabs>
          <w:tab w:leader="none" w:pos="5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approved by the Majority Lenders; or</w:t>
      </w:r>
    </w:p>
    <w:p>
      <w:pPr>
        <w:spacing w:after="0" w:line="211" w:lineRule="exact"/>
        <w:rPr>
          <w:rFonts w:ascii="Arial" w:cs="Arial" w:eastAsia="Arial" w:hAnsi="Arial"/>
          <w:sz w:val="18"/>
          <w:szCs w:val="18"/>
          <w:color w:val="auto"/>
        </w:rPr>
      </w:pPr>
    </w:p>
    <w:p>
      <w:pPr>
        <w:ind w:left="502" w:right="20" w:hanging="502"/>
        <w:spacing w:after="0" w:line="246" w:lineRule="auto"/>
        <w:tabs>
          <w:tab w:leader="none" w:pos="5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created in connection with the Existing Indebtedness, until the Existing Indebtedness is discharged in full and in any event not later than the first Utilisation Date,</w:t>
      </w:r>
    </w:p>
    <w:p>
      <w:pPr>
        <w:spacing w:after="0" w:line="197" w:lineRule="exact"/>
        <w:rPr>
          <w:sz w:val="20"/>
          <w:szCs w:val="20"/>
          <w:color w:val="auto"/>
        </w:rPr>
      </w:pPr>
    </w:p>
    <w:p>
      <w:pPr>
        <w:jc w:val="both"/>
        <w:ind w:left="2"/>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81"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release into the environment is regulated or penalised by Environmental Laws.</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Pool Arrangement </w:t>
      </w:r>
      <w:r>
        <w:rPr>
          <w:rFonts w:ascii="Arial" w:cs="Arial" w:eastAsia="Arial" w:hAnsi="Arial"/>
          <w:sz w:val="18"/>
          <w:szCs w:val="18"/>
          <w:color w:val="auto"/>
        </w:rPr>
        <w:t>has the meaning given to such term in clause 22.9 (</w:t>
      </w:r>
      <w:r>
        <w:rPr>
          <w:rFonts w:ascii="Arial" w:cs="Arial" w:eastAsia="Arial" w:hAnsi="Arial"/>
          <w:sz w:val="18"/>
          <w:szCs w:val="18"/>
          <w:i w:val="1"/>
          <w:iCs w:val="1"/>
          <w:color w:val="auto"/>
        </w:rPr>
        <w:t>Sharing of Earnings</w:t>
      </w:r>
      <w:r>
        <w:rPr>
          <w:rFonts w:ascii="Arial" w:cs="Arial" w:eastAsia="Arial" w:hAnsi="Arial"/>
          <w:sz w:val="18"/>
          <w:szCs w:val="18"/>
          <w:color w:val="auto"/>
        </w:rPr>
        <w:t>).</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 to such term in clause 21.11(g)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12"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a Ship, a letter by the Security Agent addressed to, and acknowledged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Owner and Charterer of that Ship in the agreed form (other than in respect of the Charters at the date of this Agreement, including being subject to compliance with Sanctions laws to the extent sanctions provisions acceptable to the Lenders, acting reasonably, are not included in the relevant charter).</w:t>
      </w:r>
    </w:p>
    <w:p>
      <w:pPr>
        <w:spacing w:after="0" w:line="174"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business days on which banks are</w:t>
      </w:r>
      <w:r>
        <w:rPr>
          <w:rFonts w:ascii="Arial" w:cs="Arial" w:eastAsia="Arial" w:hAnsi="Arial"/>
          <w:sz w:val="18"/>
          <w:szCs w:val="18"/>
          <w:b w:val="1"/>
          <w:bCs w:val="1"/>
          <w:color w:val="auto"/>
        </w:rPr>
        <w:t xml:space="preserve"> </w:t>
      </w:r>
      <w:r>
        <w:rPr>
          <w:rFonts w:ascii="Arial" w:cs="Arial" w:eastAsia="Arial" w:hAnsi="Arial"/>
          <w:sz w:val="18"/>
          <w:szCs w:val="18"/>
          <w:color w:val="auto"/>
        </w:rPr>
        <w:t>open for general business in London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76"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Charged Property under any relevant Security Document.</w:t>
      </w:r>
    </w:p>
    <w:p>
      <w:pPr>
        <w:spacing w:after="0" w:line="154"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set out in the document entitled “Basel III: Finalising post-crisis reforms” published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Basel Committee on Banking Supervision in December 2017, as amended, supplemented or restated.</w:t>
      </w:r>
    </w:p>
    <w:p>
      <w:pPr>
        <w:spacing w:after="0" w:line="154"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Registry </w:t>
      </w:r>
      <w:r>
        <w:rPr>
          <w:rFonts w:ascii="Arial" w:cs="Arial" w:eastAsia="Arial" w:hAnsi="Arial"/>
          <w:sz w:val="18"/>
          <w:szCs w:val="18"/>
          <w:color w:val="auto"/>
        </w:rPr>
        <w:t>means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each Ship, such registrar, commissioner or representative of the relevant Flag State who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authorised and empowered to register the relevant Ship, the relevant Owner’s title to such Ship and the relevant Mortgage under the laws of its Flag State.</w:t>
      </w:r>
    </w:p>
    <w:p>
      <w:pPr>
        <w:spacing w:after="0" w:line="169"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Related Fund </w:t>
      </w:r>
      <w:r>
        <w:rPr>
          <w:rFonts w:ascii="Arial" w:cs="Arial" w:eastAsia="Arial" w:hAnsi="Arial"/>
          <w:sz w:val="18"/>
          <w:szCs w:val="18"/>
          <w:color w:val="auto"/>
        </w:rPr>
        <w:t>means in relation to a fund (the</w:t>
      </w:r>
      <w:r>
        <w:rPr>
          <w:rFonts w:ascii="Arial" w:cs="Arial" w:eastAsia="Arial" w:hAnsi="Arial"/>
          <w:sz w:val="18"/>
          <w:szCs w:val="18"/>
          <w:b w:val="1"/>
          <w:bCs w:val="1"/>
          <w:color w:val="auto"/>
        </w:rPr>
        <w:t xml:space="preserve"> first fund</w:t>
      </w:r>
      <w:r>
        <w:rPr>
          <w:rFonts w:ascii="Arial" w:cs="Arial" w:eastAsia="Arial" w:hAnsi="Arial"/>
          <w:sz w:val="18"/>
          <w:szCs w:val="18"/>
          <w:color w:val="auto"/>
        </w:rPr>
        <w:t>), means a fund which is managed or advised by the same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or investment adviser as the first fund or, if it is managed by a different investment manager or investment adviser, a fund whose investment</w:t>
      </w:r>
    </w:p>
    <w:p>
      <w:pPr>
        <w:spacing w:after="0" w:line="177"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33"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color w:val="auto"/>
        </w:rPr>
        <w:t>manager or investment adviser is an Affiliate of the investment manager or investment adviser of the first fund.</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34" w:lineRule="exact"/>
        <w:rPr>
          <w:sz w:val="20"/>
          <w:szCs w:val="20"/>
          <w:color w:val="auto"/>
        </w:rPr>
      </w:pPr>
    </w:p>
    <w:p>
      <w:pPr>
        <w:ind w:left="520" w:hanging="50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211" w:lineRule="exact"/>
        <w:rPr>
          <w:rFonts w:ascii="Arial" w:cs="Arial" w:eastAsia="Arial" w:hAnsi="Arial"/>
          <w:sz w:val="18"/>
          <w:szCs w:val="18"/>
          <w:color w:val="auto"/>
        </w:rPr>
      </w:pPr>
    </w:p>
    <w:p>
      <w:pPr>
        <w:ind w:left="520" w:hanging="50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211" w:lineRule="exact"/>
        <w:rPr>
          <w:rFonts w:ascii="Arial" w:cs="Arial" w:eastAsia="Arial" w:hAnsi="Arial"/>
          <w:sz w:val="18"/>
          <w:szCs w:val="18"/>
          <w:color w:val="auto"/>
        </w:rPr>
      </w:pPr>
    </w:p>
    <w:p>
      <w:pPr>
        <w:ind w:left="480" w:hanging="46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 in relation to each Advance:</w:t>
      </w:r>
    </w:p>
    <w:p>
      <w:pPr>
        <w:spacing w:after="0" w:line="234" w:lineRule="exact"/>
        <w:rPr>
          <w:sz w:val="20"/>
          <w:szCs w:val="20"/>
          <w:color w:val="auto"/>
        </w:rPr>
      </w:pPr>
    </w:p>
    <w:p>
      <w:pPr>
        <w:ind w:left="640" w:hanging="62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First Repayment Date for such Advance;</w:t>
      </w:r>
    </w:p>
    <w:p>
      <w:pPr>
        <w:spacing w:after="0" w:line="211" w:lineRule="exact"/>
        <w:rPr>
          <w:rFonts w:ascii="Arial" w:cs="Arial" w:eastAsia="Arial" w:hAnsi="Arial"/>
          <w:sz w:val="18"/>
          <w:szCs w:val="18"/>
          <w:color w:val="auto"/>
        </w:rPr>
      </w:pPr>
    </w:p>
    <w:p>
      <w:pPr>
        <w:ind w:left="640" w:hanging="62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the dates falling six monthly intervals thereafter up to but not including the Final Repayment Date; and</w:t>
      </w:r>
    </w:p>
    <w:p>
      <w:pPr>
        <w:spacing w:after="0" w:line="211" w:lineRule="exact"/>
        <w:rPr>
          <w:rFonts w:ascii="Arial" w:cs="Arial" w:eastAsia="Arial" w:hAnsi="Arial"/>
          <w:sz w:val="18"/>
          <w:szCs w:val="18"/>
          <w:color w:val="auto"/>
        </w:rPr>
      </w:pPr>
    </w:p>
    <w:p>
      <w:pPr>
        <w:ind w:left="620" w:hanging="60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Final Repayment Date.</w:t>
      </w:r>
    </w:p>
    <w:p>
      <w:pPr>
        <w:spacing w:after="0" w:line="19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Repayment Schedule </w:t>
      </w:r>
      <w:r>
        <w:rPr>
          <w:rFonts w:ascii="Arial" w:cs="Arial" w:eastAsia="Arial" w:hAnsi="Arial"/>
          <w:sz w:val="18"/>
          <w:szCs w:val="18"/>
          <w:color w:val="auto"/>
        </w:rPr>
        <w:t>means in relation to each Borrower, the repayment schedule for the Advance relating to that Borrower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in Schedule 8 (</w:t>
      </w:r>
      <w:r>
        <w:rPr>
          <w:rFonts w:ascii="Arial" w:cs="Arial" w:eastAsia="Arial" w:hAnsi="Arial"/>
          <w:sz w:val="18"/>
          <w:szCs w:val="18"/>
          <w:i w:val="1"/>
          <w:iCs w:val="1"/>
          <w:color w:val="auto"/>
        </w:rPr>
        <w:t>Repayment Schedule</w:t>
      </w:r>
      <w:r>
        <w:rPr>
          <w:rFonts w:ascii="Arial" w:cs="Arial" w:eastAsia="Arial" w:hAnsi="Arial"/>
          <w:sz w:val="18"/>
          <w:szCs w:val="18"/>
          <w:color w:val="auto"/>
        </w:rPr>
        <w:t>).</w:t>
      </w:r>
    </w:p>
    <w:p>
      <w:pPr>
        <w:spacing w:after="0" w:line="15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and warranties set out in clauses 18.3 (</w:t>
      </w:r>
      <w:r>
        <w:rPr>
          <w:rFonts w:ascii="Arial" w:cs="Arial" w:eastAsia="Arial" w:hAnsi="Arial"/>
          <w:sz w:val="18"/>
          <w:szCs w:val="18"/>
          <w:i w:val="1"/>
          <w:iCs w:val="1"/>
          <w:color w:val="auto"/>
        </w:rPr>
        <w:t>Status</w:t>
      </w:r>
      <w:r>
        <w:rPr>
          <w:rFonts w:ascii="Arial" w:cs="Arial" w:eastAsia="Arial" w:hAnsi="Arial"/>
          <w:sz w:val="18"/>
          <w:szCs w:val="18"/>
          <w:color w:val="auto"/>
        </w:rPr>
        <w:t>) to 18.12 (</w:t>
      </w:r>
      <w:r>
        <w:rPr>
          <w:rFonts w:ascii="Arial" w:cs="Arial" w:eastAsia="Arial" w:hAnsi="Arial"/>
          <w:sz w:val="18"/>
          <w:szCs w:val="18"/>
          <w:i w:val="1"/>
          <w:iCs w:val="1"/>
          <w:color w:val="auto"/>
        </w:rPr>
        <w:t>Ranking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effectiveness of security</w:t>
      </w:r>
      <w:r>
        <w:rPr>
          <w:rFonts w:ascii="Arial" w:cs="Arial" w:eastAsia="Arial" w:hAnsi="Arial"/>
          <w:sz w:val="18"/>
          <w:szCs w:val="18"/>
          <w:color w:val="auto"/>
        </w:rPr>
        <w:t>), 18.18 (</w:t>
      </w:r>
      <w:r>
        <w:rPr>
          <w:rFonts w:ascii="Arial" w:cs="Arial" w:eastAsia="Arial" w:hAnsi="Arial"/>
          <w:sz w:val="18"/>
          <w:szCs w:val="18"/>
          <w:i w:val="1"/>
          <w:iCs w:val="1"/>
          <w:color w:val="auto"/>
        </w:rPr>
        <w:t>No breach of laws</w:t>
      </w:r>
      <w:r>
        <w:rPr>
          <w:rFonts w:ascii="Arial" w:cs="Arial" w:eastAsia="Arial" w:hAnsi="Arial"/>
          <w:sz w:val="18"/>
          <w:szCs w:val="18"/>
          <w:color w:val="auto"/>
        </w:rPr>
        <w:t>), 18.21 (</w:t>
      </w:r>
      <w:r>
        <w:rPr>
          <w:rFonts w:ascii="Arial" w:cs="Arial" w:eastAsia="Arial" w:hAnsi="Arial"/>
          <w:sz w:val="18"/>
          <w:szCs w:val="18"/>
          <w:i w:val="1"/>
          <w:iCs w:val="1"/>
          <w:color w:val="auto"/>
        </w:rPr>
        <w:t>Anti-corruption law</w:t>
      </w:r>
      <w:r>
        <w:rPr>
          <w:rFonts w:ascii="Arial" w:cs="Arial" w:eastAsia="Arial" w:hAnsi="Arial"/>
          <w:sz w:val="18"/>
          <w:szCs w:val="18"/>
          <w:color w:val="auto"/>
        </w:rPr>
        <w:t>), 18.22 (</w:t>
      </w:r>
      <w:r>
        <w:rPr>
          <w:rFonts w:ascii="Arial" w:cs="Arial" w:eastAsia="Arial" w:hAnsi="Arial"/>
          <w:sz w:val="18"/>
          <w:szCs w:val="18"/>
          <w:i w:val="1"/>
          <w:iCs w:val="1"/>
          <w:color w:val="auto"/>
        </w:rPr>
        <w:t>Security and Financial Indebtedness</w:t>
      </w:r>
      <w:r>
        <w:rPr>
          <w:rFonts w:ascii="Arial" w:cs="Arial" w:eastAsia="Arial" w:hAnsi="Arial"/>
          <w:sz w:val="18"/>
          <w:szCs w:val="18"/>
          <w:color w:val="auto"/>
        </w:rPr>
        <w:t>), 18.24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18.26 (</w:t>
      </w:r>
      <w:r>
        <w:rPr>
          <w:rFonts w:ascii="Arial" w:cs="Arial" w:eastAsia="Arial" w:hAnsi="Arial"/>
          <w:sz w:val="18"/>
          <w:szCs w:val="18"/>
          <w:i w:val="1"/>
          <w:iCs w:val="1"/>
          <w:color w:val="auto"/>
        </w:rPr>
        <w:t>No adverse consequences</w:t>
      </w:r>
      <w:r>
        <w:rPr>
          <w:rFonts w:ascii="Arial" w:cs="Arial" w:eastAsia="Arial" w:hAnsi="Arial"/>
          <w:sz w:val="18"/>
          <w:szCs w:val="18"/>
          <w:color w:val="auto"/>
        </w:rPr>
        <w:t>), 18.27 (</w:t>
      </w:r>
      <w:r>
        <w:rPr>
          <w:rFonts w:ascii="Arial" w:cs="Arial" w:eastAsia="Arial" w:hAnsi="Arial"/>
          <w:sz w:val="18"/>
          <w:szCs w:val="18"/>
          <w:i w:val="1"/>
          <w:iCs w:val="1"/>
          <w:color w:val="auto"/>
        </w:rPr>
        <w:t>Copies of documents</w:t>
      </w:r>
      <w:r>
        <w:rPr>
          <w:rFonts w:ascii="Arial" w:cs="Arial" w:eastAsia="Arial" w:hAnsi="Arial"/>
          <w:sz w:val="18"/>
          <w:szCs w:val="18"/>
          <w:color w:val="auto"/>
        </w:rPr>
        <w:t>), 18.29 (</w:t>
      </w:r>
      <w:r>
        <w:rPr>
          <w:rFonts w:ascii="Arial" w:cs="Arial" w:eastAsia="Arial" w:hAnsi="Arial"/>
          <w:sz w:val="18"/>
          <w:szCs w:val="18"/>
          <w:i w:val="1"/>
          <w:iCs w:val="1"/>
          <w:color w:val="auto"/>
        </w:rPr>
        <w:t>No immunity</w:t>
      </w:r>
      <w:r>
        <w:rPr>
          <w:rFonts w:ascii="Arial" w:cs="Arial" w:eastAsia="Arial" w:hAnsi="Arial"/>
          <w:sz w:val="18"/>
          <w:szCs w:val="18"/>
          <w:color w:val="auto"/>
        </w:rPr>
        <w:t>), and 18.33 (</w:t>
      </w:r>
      <w:r>
        <w:rPr>
          <w:rFonts w:ascii="Arial" w:cs="Arial" w:eastAsia="Arial" w:hAnsi="Arial"/>
          <w:sz w:val="18"/>
          <w:szCs w:val="18"/>
          <w:i w:val="1"/>
          <w:iCs w:val="1"/>
          <w:color w:val="auto"/>
        </w:rPr>
        <w:t>Money Laundering</w:t>
      </w:r>
      <w:r>
        <w:rPr>
          <w:rFonts w:ascii="Arial" w:cs="Arial" w:eastAsia="Arial" w:hAnsi="Arial"/>
          <w:sz w:val="18"/>
          <w:szCs w:val="18"/>
          <w:color w:val="auto"/>
        </w:rPr>
        <w:t>) and 18.34(a) and 18.34(b)(v)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74"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in relation to a Ship, any compensation paid or payable by a government entity for the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title, confiscation or compulsory acquisition of such Ship.</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12"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Security Power of Attorney </w:t>
      </w:r>
      <w:r>
        <w:rPr>
          <w:rFonts w:ascii="Arial" w:cs="Arial" w:eastAsia="Arial" w:hAnsi="Arial"/>
          <w:sz w:val="18"/>
          <w:szCs w:val="18"/>
          <w:color w:val="auto"/>
        </w:rPr>
        <w:t>means a power of attorney in the agreed form issued by an Obligor in favour of the Security Agent,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to the Security Documents executed by that Obligor.</w:t>
      </w:r>
    </w:p>
    <w:p>
      <w:pPr>
        <w:spacing w:after="0" w:line="154"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takes over 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Borrowers.</w:t>
      </w:r>
    </w:p>
    <w:p>
      <w:pPr>
        <w:spacing w:after="0" w:line="179"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Finance Documents.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34"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4" w:name="page25"/>
    <w:bookmarkEnd w:id="24"/>
    <w:p>
      <w:pPr>
        <w:ind w:left="520" w:hanging="512"/>
        <w:spacing w:after="0" w:line="246" w:lineRule="auto"/>
        <w:tabs>
          <w:tab w:leader="none" w:pos="6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7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any obligation of any person or any other agreement or arrangement having a similar effect.</w:t>
      </w:r>
    </w:p>
    <w:p>
      <w:pPr>
        <w:spacing w:after="0" w:line="15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in respect of an Advance and at any time, the amount in dollars which, at that time, is the aggregate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Mortgaged Ship relevant to that Advance which has not then become a Total Loss (or, if less, the maximum amount capable of being secured by such Mortgaged Ship) and (b) the value of any additional security then held by the Security Agent or any other Finance Party provided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 clause 29.20(a)(ii) (</w:t>
      </w:r>
      <w:r>
        <w:rPr>
          <w:rFonts w:ascii="Arial" w:cs="Arial" w:eastAsia="Arial" w:hAnsi="Arial"/>
          <w:sz w:val="18"/>
          <w:szCs w:val="18"/>
          <w:i w:val="1"/>
          <w:iCs w:val="1"/>
          <w:color w:val="auto"/>
        </w:rPr>
        <w:t>Charters</w:t>
      </w:r>
      <w:r>
        <w:rPr>
          <w:rFonts w:ascii="Arial" w:cs="Arial" w:eastAsia="Arial" w:hAnsi="Arial"/>
          <w:sz w:val="18"/>
          <w:szCs w:val="18"/>
          <w:color w:val="auto"/>
        </w:rPr>
        <w:t>) in respect of that Advance, in each case as most recently determined in accordance with this Agreement.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12" w:lineRule="exact"/>
        <w:rPr>
          <w:sz w:val="20"/>
          <w:szCs w:val="20"/>
          <w:color w:val="auto"/>
        </w:rPr>
      </w:pPr>
    </w:p>
    <w:p>
      <w:pPr>
        <w:jc w:val="both"/>
        <w:ind w:left="20"/>
        <w:spacing w:after="0" w:line="287" w:lineRule="auto"/>
        <w:rPr>
          <w:sz w:val="20"/>
          <w:szCs w:val="20"/>
          <w:color w:val="auto"/>
        </w:rPr>
      </w:pPr>
      <w:r>
        <w:rPr>
          <w:rFonts w:ascii="Arial" w:cs="Arial" w:eastAsia="Arial" w:hAnsi="Arial"/>
          <w:sz w:val="18"/>
          <w:szCs w:val="18"/>
          <w:b w:val="1"/>
          <w:bCs w:val="1"/>
          <w:color w:val="auto"/>
        </w:rPr>
        <w:t xml:space="preserve">Share Security </w:t>
      </w:r>
      <w:r>
        <w:rPr>
          <w:rFonts w:ascii="Arial" w:cs="Arial" w:eastAsia="Arial" w:hAnsi="Arial"/>
          <w:sz w:val="18"/>
          <w:szCs w:val="18"/>
          <w:color w:val="auto"/>
        </w:rPr>
        <w:t>means, in relation to each Borrower, the document constituting a first Security Interest in respect of all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Borrower executed by GasLog Holdings in favour of the Security Agent in the agreed form.</w:t>
      </w:r>
    </w:p>
    <w:p>
      <w:pPr>
        <w:spacing w:after="0" w:line="139"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Shell Technical Manager </w:t>
      </w:r>
      <w:r>
        <w:rPr>
          <w:rFonts w:ascii="Arial" w:cs="Arial" w:eastAsia="Arial" w:hAnsi="Arial"/>
          <w:sz w:val="18"/>
          <w:szCs w:val="18"/>
          <w:color w:val="auto"/>
        </w:rPr>
        <w:t>means, in relation to Ship C, Shell International Shipping and Trading Company Limited of Shell Centre,</w:t>
      </w:r>
      <w:r>
        <w:rPr>
          <w:rFonts w:ascii="Arial" w:cs="Arial" w:eastAsia="Arial" w:hAnsi="Arial"/>
          <w:sz w:val="18"/>
          <w:szCs w:val="18"/>
          <w:b w:val="1"/>
          <w:bCs w:val="1"/>
          <w:color w:val="auto"/>
        </w:rPr>
        <w:t xml:space="preserve"> </w:t>
      </w:r>
      <w:r>
        <w:rPr>
          <w:rFonts w:ascii="Arial" w:cs="Arial" w:eastAsia="Arial" w:hAnsi="Arial"/>
          <w:sz w:val="18"/>
          <w:szCs w:val="18"/>
          <w:color w:val="auto"/>
        </w:rPr>
        <w:t>London, SE1 7NA.</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Ship A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Ship B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Ship C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12"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Ship Commitment </w:t>
      </w:r>
      <w:r>
        <w:rPr>
          <w:rFonts w:ascii="Arial" w:cs="Arial" w:eastAsia="Arial" w:hAnsi="Arial"/>
          <w:sz w:val="18"/>
          <w:szCs w:val="18"/>
          <w:color w:val="auto"/>
        </w:rPr>
        <w:t>means, in relation to a Ship, the amount specified as such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being a part of the Total Commitments, as cancelled or reduced pursuant to any provision of this Agreement.</w:t>
      </w:r>
    </w:p>
    <w:p>
      <w:pPr>
        <w:spacing w:after="0" w:line="154"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Ship Representations </w:t>
      </w:r>
      <w:r>
        <w:rPr>
          <w:rFonts w:ascii="Arial" w:cs="Arial" w:eastAsia="Arial" w:hAnsi="Arial"/>
          <w:sz w:val="18"/>
          <w:szCs w:val="18"/>
          <w:color w:val="auto"/>
        </w:rPr>
        <w:t>means each of the representations and warranties set out in clauses 18.30 (</w:t>
      </w:r>
      <w:r>
        <w:rPr>
          <w:rFonts w:ascii="Arial" w:cs="Arial" w:eastAsia="Arial" w:hAnsi="Arial"/>
          <w:sz w:val="18"/>
          <w:szCs w:val="18"/>
          <w:i w:val="1"/>
          <w:iCs w:val="1"/>
          <w:color w:val="auto"/>
        </w:rPr>
        <w:t>Ship status</w:t>
      </w:r>
      <w:r>
        <w:rPr>
          <w:rFonts w:ascii="Arial" w:cs="Arial" w:eastAsia="Arial" w:hAnsi="Arial"/>
          <w:sz w:val="18"/>
          <w:szCs w:val="18"/>
          <w:color w:val="auto"/>
        </w:rPr>
        <w:t>) and 18.31 (</w:t>
      </w:r>
      <w:r>
        <w:rPr>
          <w:rFonts w:ascii="Arial" w:cs="Arial" w:eastAsia="Arial" w:hAnsi="Arial"/>
          <w:sz w:val="18"/>
          <w:szCs w:val="18"/>
          <w:i w:val="1"/>
          <w:iCs w:val="1"/>
          <w:color w:val="auto"/>
        </w:rPr>
        <w:t>Ship’s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employment</w:t>
      </w:r>
      <w:r>
        <w:rPr>
          <w:rFonts w:ascii="Arial" w:cs="Arial" w:eastAsia="Arial" w:hAnsi="Arial"/>
          <w:sz w:val="18"/>
          <w:szCs w:val="18"/>
          <w:color w:val="auto"/>
        </w:rPr>
        <w:t>).</w:t>
      </w:r>
    </w:p>
    <w:p>
      <w:pPr>
        <w:spacing w:after="0" w:line="154"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means each of the ships described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being each of Ship A, Ship B and Ship C and</w:t>
      </w:r>
      <w:r>
        <w:rPr>
          <w:rFonts w:ascii="Arial" w:cs="Arial" w:eastAsia="Arial" w:hAnsi="Arial"/>
          <w:sz w:val="18"/>
          <w:szCs w:val="18"/>
          <w:b w:val="1"/>
          <w:bCs w:val="1"/>
          <w:color w:val="auto"/>
        </w:rPr>
        <w:t xml:space="preserve"> Ship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them.</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34" w:lineRule="exact"/>
        <w:rPr>
          <w:sz w:val="20"/>
          <w:szCs w:val="20"/>
          <w:color w:val="auto"/>
        </w:rPr>
      </w:pPr>
    </w:p>
    <w:p>
      <w:pPr>
        <w:ind w:left="540" w:hanging="52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211" w:lineRule="exact"/>
        <w:rPr>
          <w:rFonts w:ascii="Arial" w:cs="Arial" w:eastAsia="Arial" w:hAnsi="Arial"/>
          <w:sz w:val="18"/>
          <w:szCs w:val="18"/>
          <w:color w:val="auto"/>
        </w:rPr>
      </w:pPr>
    </w:p>
    <w:p>
      <w:pPr>
        <w:ind w:left="500" w:hanging="48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190"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5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in relation to a Ship, GasLog LNG Services, GasLog, any wholly owned subsidiary of GasLog, (in relation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Ship C only and for so long as Ship C is subject to its Charter) the Shell Technical Manager or another manager appointed as technical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7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55" w:right="339" w:bottom="1440" w:gutter="0" w:footer="0" w:header="0"/>
        </w:sectPr>
      </w:pPr>
    </w:p>
    <w:bookmarkStart w:id="25" w:name="page26"/>
    <w:bookmarkEnd w:id="25"/>
    <w:p>
      <w:pPr>
        <w:ind w:left="2"/>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$260,331,250 as at the date of this Agreement.</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a vessel, its:</w:t>
      </w:r>
    </w:p>
    <w:p>
      <w:pPr>
        <w:spacing w:after="0" w:line="234" w:lineRule="exact"/>
        <w:rPr>
          <w:sz w:val="20"/>
          <w:szCs w:val="20"/>
          <w:color w:val="auto"/>
        </w:rPr>
      </w:pPr>
    </w:p>
    <w:p>
      <w:pPr>
        <w:ind w:left="522" w:hanging="522"/>
        <w:spacing w:after="0"/>
        <w:tabs>
          <w:tab w:leader="none" w:pos="5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211" w:lineRule="exact"/>
        <w:rPr>
          <w:rFonts w:ascii="Arial" w:cs="Arial" w:eastAsia="Arial" w:hAnsi="Arial"/>
          <w:sz w:val="18"/>
          <w:szCs w:val="18"/>
          <w:color w:val="auto"/>
        </w:rPr>
      </w:pPr>
    </w:p>
    <w:p>
      <w:pPr>
        <w:ind w:left="482" w:hanging="482"/>
        <w:spacing w:after="0"/>
        <w:tabs>
          <w:tab w:leader="none" w:pos="4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211" w:lineRule="exact"/>
        <w:rPr>
          <w:rFonts w:ascii="Arial" w:cs="Arial" w:eastAsia="Arial" w:hAnsi="Arial"/>
          <w:sz w:val="18"/>
          <w:szCs w:val="18"/>
          <w:color w:val="auto"/>
        </w:rPr>
      </w:pPr>
    </w:p>
    <w:p>
      <w:pPr>
        <w:ind w:left="522" w:hanging="522"/>
        <w:spacing w:after="0"/>
        <w:tabs>
          <w:tab w:leader="none" w:pos="5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211" w:lineRule="exact"/>
        <w:rPr>
          <w:rFonts w:ascii="Arial" w:cs="Arial" w:eastAsia="Arial" w:hAnsi="Arial"/>
          <w:sz w:val="18"/>
          <w:szCs w:val="18"/>
          <w:color w:val="auto"/>
        </w:rPr>
      </w:pPr>
    </w:p>
    <w:p>
      <w:pPr>
        <w:ind w:left="482" w:hanging="482"/>
        <w:spacing w:after="0"/>
        <w:tabs>
          <w:tab w:leader="none" w:pos="4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2" w:hanging="502"/>
        <w:spacing w:after="0" w:line="246" w:lineRule="auto"/>
        <w:tabs>
          <w:tab w:leader="none" w:pos="6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an actual total loss, the date it happened or, if such date is not known, the date on which the vessel was last reported;</w:t>
      </w:r>
    </w:p>
    <w:p>
      <w:pPr>
        <w:spacing w:after="0" w:line="196" w:lineRule="exact"/>
        <w:rPr>
          <w:rFonts w:ascii="Arial" w:cs="Arial" w:eastAsia="Arial" w:hAnsi="Arial"/>
          <w:sz w:val="18"/>
          <w:szCs w:val="18"/>
          <w:color w:val="auto"/>
        </w:rPr>
      </w:pPr>
    </w:p>
    <w:p>
      <w:pPr>
        <w:ind w:left="482" w:hanging="482"/>
        <w:spacing w:after="0"/>
        <w:tabs>
          <w:tab w:leader="none" w:pos="4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211" w:lineRule="exact"/>
        <w:rPr>
          <w:rFonts w:ascii="Arial" w:cs="Arial" w:eastAsia="Arial" w:hAnsi="Arial"/>
          <w:sz w:val="18"/>
          <w:szCs w:val="18"/>
          <w:color w:val="auto"/>
        </w:rPr>
      </w:pPr>
    </w:p>
    <w:p>
      <w:pPr>
        <w:ind w:left="1022" w:hanging="511"/>
        <w:spacing w:after="0"/>
        <w:tabs>
          <w:tab w:leader="none" w:pos="10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211" w:lineRule="exact"/>
        <w:rPr>
          <w:rFonts w:ascii="Arial" w:cs="Arial" w:eastAsia="Arial" w:hAnsi="Arial"/>
          <w:sz w:val="18"/>
          <w:szCs w:val="18"/>
          <w:color w:val="auto"/>
        </w:rPr>
      </w:pPr>
    </w:p>
    <w:p>
      <w:pPr>
        <w:ind w:left="1022" w:hanging="511"/>
        <w:spacing w:after="0" w:line="246" w:lineRule="auto"/>
        <w:tabs>
          <w:tab w:leader="none" w:pos="10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96" w:lineRule="exact"/>
        <w:rPr>
          <w:rFonts w:ascii="Arial" w:cs="Arial" w:eastAsia="Arial" w:hAnsi="Arial"/>
          <w:sz w:val="18"/>
          <w:szCs w:val="18"/>
          <w:color w:val="auto"/>
        </w:rPr>
      </w:pPr>
    </w:p>
    <w:p>
      <w:pPr>
        <w:ind w:left="1022" w:hanging="511"/>
        <w:spacing w:after="0" w:line="246" w:lineRule="auto"/>
        <w:tabs>
          <w:tab w:leader="none" w:pos="1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date upon which a binding agreement as to such compromised or arranged total loss has been entered into by the vessel’s insurers;</w:t>
      </w:r>
    </w:p>
    <w:p>
      <w:pPr>
        <w:spacing w:after="0" w:line="196" w:lineRule="exact"/>
        <w:rPr>
          <w:rFonts w:ascii="Arial" w:cs="Arial" w:eastAsia="Arial" w:hAnsi="Arial"/>
          <w:sz w:val="18"/>
          <w:szCs w:val="18"/>
          <w:color w:val="auto"/>
        </w:rPr>
      </w:pPr>
    </w:p>
    <w:p>
      <w:pPr>
        <w:ind w:left="522" w:hanging="522"/>
        <w:spacing w:after="0"/>
        <w:tabs>
          <w:tab w:leader="none" w:pos="5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211" w:lineRule="exact"/>
        <w:rPr>
          <w:rFonts w:ascii="Arial" w:cs="Arial" w:eastAsia="Arial" w:hAnsi="Arial"/>
          <w:sz w:val="18"/>
          <w:szCs w:val="18"/>
          <w:color w:val="auto"/>
        </w:rPr>
      </w:pPr>
    </w:p>
    <w:p>
      <w:pPr>
        <w:ind w:left="482" w:hanging="482"/>
        <w:spacing w:after="0"/>
        <w:tabs>
          <w:tab w:leader="none" w:pos="4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211" w:lineRule="exact"/>
        <w:rPr>
          <w:rFonts w:ascii="Arial" w:cs="Arial" w:eastAsia="Arial" w:hAnsi="Arial"/>
          <w:sz w:val="18"/>
          <w:szCs w:val="18"/>
          <w:color w:val="auto"/>
        </w:rPr>
      </w:pPr>
    </w:p>
    <w:p>
      <w:pPr>
        <w:ind w:left="522" w:hanging="522"/>
        <w:spacing w:after="0"/>
        <w:tabs>
          <w:tab w:leader="none" w:pos="5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Repayment Date </w:t>
      </w:r>
      <w:r>
        <w:rPr>
          <w:rFonts w:ascii="Arial" w:cs="Arial" w:eastAsia="Arial" w:hAnsi="Arial"/>
          <w:sz w:val="18"/>
          <w:szCs w:val="18"/>
          <w:color w:val="auto"/>
        </w:rPr>
        <w:t>means, where a Mortgaged Ship has become a Total Loss, the earlier of:</w:t>
      </w:r>
    </w:p>
    <w:p>
      <w:pPr>
        <w:spacing w:after="0" w:line="234" w:lineRule="exact"/>
        <w:rPr>
          <w:sz w:val="20"/>
          <w:szCs w:val="20"/>
          <w:color w:val="auto"/>
        </w:rPr>
      </w:pPr>
    </w:p>
    <w:p>
      <w:pPr>
        <w:ind w:left="522" w:hanging="522"/>
        <w:spacing w:after="0"/>
        <w:tabs>
          <w:tab w:leader="none" w:pos="52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falling 180 days after its Total Loss Date; and</w:t>
      </w:r>
    </w:p>
    <w:p>
      <w:pPr>
        <w:spacing w:after="0" w:line="211" w:lineRule="exact"/>
        <w:rPr>
          <w:rFonts w:ascii="Arial" w:cs="Arial" w:eastAsia="Arial" w:hAnsi="Arial"/>
          <w:sz w:val="18"/>
          <w:szCs w:val="18"/>
          <w:color w:val="auto"/>
        </w:rPr>
      </w:pPr>
    </w:p>
    <w:p>
      <w:pPr>
        <w:ind w:left="502" w:hanging="502"/>
        <w:spacing w:after="0" w:line="246" w:lineRule="auto"/>
        <w:tabs>
          <w:tab w:leader="none" w:pos="5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75"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6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between the Agent and the Borrowers or, at any time after the occurrence of an Event of Default, required by the Agent.</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34" w:lineRule="exact"/>
        <w:rPr>
          <w:sz w:val="20"/>
          <w:szCs w:val="20"/>
          <w:color w:val="auto"/>
        </w:rPr>
      </w:pPr>
    </w:p>
    <w:p>
      <w:pPr>
        <w:ind w:left="522" w:hanging="522"/>
        <w:spacing w:after="0"/>
        <w:tabs>
          <w:tab w:leader="none" w:pos="52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211" w:lineRule="exact"/>
        <w:rPr>
          <w:rFonts w:ascii="Arial" w:cs="Arial" w:eastAsia="Arial" w:hAnsi="Arial"/>
          <w:sz w:val="18"/>
          <w:szCs w:val="18"/>
          <w:color w:val="auto"/>
        </w:rPr>
      </w:pPr>
    </w:p>
    <w:p>
      <w:pPr>
        <w:ind w:left="482" w:hanging="482"/>
        <w:spacing w:after="0"/>
        <w:tabs>
          <w:tab w:leader="none" w:pos="4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19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rate or price.</w:t>
      </w:r>
    </w:p>
    <w:p>
      <w:pPr>
        <w:spacing w:after="0" w:line="162"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34" w:lineRule="exact"/>
        <w:rPr>
          <w:sz w:val="20"/>
          <w:szCs w:val="20"/>
          <w:color w:val="auto"/>
        </w:rPr>
      </w:pPr>
    </w:p>
    <w:p>
      <w:pPr>
        <w:ind w:left="1040" w:hanging="52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211" w:lineRule="exact"/>
        <w:rPr>
          <w:rFonts w:ascii="Arial" w:cs="Arial" w:eastAsia="Arial" w:hAnsi="Arial"/>
          <w:sz w:val="18"/>
          <w:szCs w:val="18"/>
          <w:color w:val="auto"/>
        </w:rPr>
      </w:pPr>
    </w:p>
    <w:p>
      <w:pPr>
        <w:ind w:left="1000" w:hanging="48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211" w:lineRule="exact"/>
        <w:rPr>
          <w:rFonts w:ascii="Arial" w:cs="Arial" w:eastAsia="Arial" w:hAnsi="Arial"/>
          <w:sz w:val="18"/>
          <w:szCs w:val="18"/>
          <w:color w:val="auto"/>
        </w:rPr>
      </w:pPr>
    </w:p>
    <w:p>
      <w:pPr>
        <w:jc w:val="both"/>
        <w:ind w:left="1020" w:hanging="502"/>
        <w:spacing w:after="0"/>
        <w:tabs>
          <w:tab w:leader="none" w:pos="11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 (other than the Shell Technical Manager);</w:t>
      </w:r>
    </w:p>
    <w:p>
      <w:pPr>
        <w:spacing w:after="0" w:line="202" w:lineRule="exact"/>
        <w:rPr>
          <w:rFonts w:ascii="Arial" w:cs="Arial" w:eastAsia="Arial" w:hAnsi="Arial"/>
          <w:sz w:val="18"/>
          <w:szCs w:val="18"/>
          <w:color w:val="auto"/>
        </w:rPr>
      </w:pPr>
    </w:p>
    <w:p>
      <w:pPr>
        <w:ind w:left="1020" w:hanging="502"/>
        <w:spacing w:after="0" w:line="246" w:lineRule="auto"/>
        <w:tabs>
          <w:tab w:leader="none" w:pos="10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96" w:lineRule="exact"/>
        <w:rPr>
          <w:rFonts w:ascii="Arial" w:cs="Arial" w:eastAsia="Arial" w:hAnsi="Arial"/>
          <w:sz w:val="18"/>
          <w:szCs w:val="18"/>
          <w:color w:val="auto"/>
        </w:rPr>
      </w:pPr>
    </w:p>
    <w:p>
      <w:pPr>
        <w:jc w:val="both"/>
        <w:ind w:left="1020" w:hanging="502"/>
        <w:spacing w:after="0"/>
        <w:tabs>
          <w:tab w:leader="none" w:pos="11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34" w:lineRule="exact"/>
        <w:rPr>
          <w:sz w:val="20"/>
          <w:szCs w:val="20"/>
          <w:color w:val="auto"/>
        </w:rPr>
      </w:pPr>
    </w:p>
    <w:p>
      <w:pPr>
        <w:ind w:left="1040" w:hanging="522"/>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Borrower if it is resident for tax purposes in the US; or</w:t>
      </w:r>
    </w:p>
    <w:p>
      <w:pPr>
        <w:spacing w:after="0" w:line="211" w:lineRule="exact"/>
        <w:rPr>
          <w:rFonts w:ascii="Arial" w:cs="Arial" w:eastAsia="Arial" w:hAnsi="Arial"/>
          <w:sz w:val="18"/>
          <w:szCs w:val="18"/>
          <w:color w:val="auto"/>
        </w:rPr>
      </w:pPr>
    </w:p>
    <w:p>
      <w:pPr>
        <w:ind w:left="1020" w:hanging="502"/>
        <w:spacing w:after="0" w:line="246" w:lineRule="auto"/>
        <w:tabs>
          <w:tab w:leader="none" w:pos="10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US for US federal income tax purposes.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an Advance.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a Utilisation is made.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34" w:lineRule="exact"/>
        <w:rPr>
          <w:sz w:val="20"/>
          <w:szCs w:val="20"/>
          <w:color w:val="auto"/>
        </w:rPr>
      </w:pPr>
    </w:p>
    <w:p>
      <w:pPr>
        <w:ind w:left="1020" w:hanging="502"/>
        <w:spacing w:after="0" w:line="246" w:lineRule="auto"/>
        <w:tabs>
          <w:tab w:leader="none" w:pos="10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96" w:lineRule="exact"/>
        <w:rPr>
          <w:rFonts w:ascii="Arial" w:cs="Arial" w:eastAsia="Arial" w:hAnsi="Arial"/>
          <w:sz w:val="18"/>
          <w:szCs w:val="18"/>
          <w:color w:val="auto"/>
        </w:rPr>
      </w:pPr>
    </w:p>
    <w:p>
      <w:pPr>
        <w:ind w:left="1020" w:hanging="502"/>
        <w:spacing w:after="0" w:line="246" w:lineRule="auto"/>
        <w:tabs>
          <w:tab w:leader="none" w:pos="11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tab/>
        <w:t>Construction</w:t>
      </w:r>
    </w:p>
    <w:p>
      <w:pPr>
        <w:spacing w:after="0" w:line="234" w:lineRule="exact"/>
        <w:rPr>
          <w:sz w:val="20"/>
          <w:szCs w:val="20"/>
          <w:color w:val="auto"/>
        </w:rPr>
      </w:pPr>
    </w:p>
    <w:p>
      <w:pPr>
        <w:ind w:left="1040" w:hanging="522"/>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212" w:lineRule="exact"/>
        <w:rPr>
          <w:sz w:val="20"/>
          <w:szCs w:val="20"/>
          <w:color w:val="auto"/>
        </w:rPr>
      </w:pPr>
    </w:p>
    <w:p>
      <w:pPr>
        <w:ind w:left="1540" w:hanging="511"/>
        <w:spacing w:after="0" w:line="246" w:lineRule="auto"/>
        <w:tabs>
          <w:tab w:leader="none" w:pos="15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 w:name="page28"/>
    <w:bookmarkEnd w:id="27"/>
    <w:p>
      <w:pPr>
        <w:ind w:left="511" w:hanging="511"/>
        <w:spacing w:after="0" w:line="271" w:lineRule="auto"/>
        <w:tabs>
          <w:tab w:leader="none" w:pos="5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75" w:lineRule="exact"/>
        <w:rPr>
          <w:rFonts w:ascii="Arial" w:cs="Arial" w:eastAsia="Arial" w:hAnsi="Arial"/>
          <w:sz w:val="18"/>
          <w:szCs w:val="18"/>
          <w:color w:val="auto"/>
        </w:rPr>
      </w:pPr>
    </w:p>
    <w:p>
      <w:pPr>
        <w:ind w:left="511" w:hanging="511"/>
        <w:spacing w:after="0"/>
        <w:tabs>
          <w:tab w:leader="none" w:pos="5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211" w:lineRule="exact"/>
        <w:rPr>
          <w:rFonts w:ascii="Arial" w:cs="Arial" w:eastAsia="Arial" w:hAnsi="Arial"/>
          <w:sz w:val="18"/>
          <w:szCs w:val="18"/>
          <w:color w:val="auto"/>
        </w:rPr>
      </w:pPr>
    </w:p>
    <w:p>
      <w:pPr>
        <w:ind w:left="511" w:hanging="511"/>
        <w:spacing w:after="0"/>
        <w:tabs>
          <w:tab w:leader="none" w:pos="5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time of day is to Paris time;</w:t>
      </w:r>
    </w:p>
    <w:p>
      <w:pPr>
        <w:spacing w:after="0" w:line="211" w:lineRule="exact"/>
        <w:rPr>
          <w:rFonts w:ascii="Arial" w:cs="Arial" w:eastAsia="Arial" w:hAnsi="Arial"/>
          <w:sz w:val="18"/>
          <w:szCs w:val="18"/>
          <w:color w:val="auto"/>
        </w:rPr>
      </w:pPr>
    </w:p>
    <w:p>
      <w:pPr>
        <w:ind w:left="511" w:hanging="511"/>
        <w:spacing w:after="0"/>
        <w:tabs>
          <w:tab w:leader="none" w:pos="5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211" w:lineRule="exact"/>
        <w:rPr>
          <w:rFonts w:ascii="Arial" w:cs="Arial" w:eastAsia="Arial" w:hAnsi="Arial"/>
          <w:sz w:val="18"/>
          <w:szCs w:val="18"/>
          <w:color w:val="auto"/>
        </w:rPr>
      </w:pPr>
    </w:p>
    <w:p>
      <w:pPr>
        <w:ind w:left="511" w:hanging="511"/>
        <w:spacing w:after="0" w:line="246"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74" w:lineRule="exact"/>
        <w:rPr>
          <w:rFonts w:ascii="Arial" w:cs="Arial" w:eastAsia="Arial" w:hAnsi="Arial"/>
          <w:sz w:val="18"/>
          <w:szCs w:val="18"/>
          <w:color w:val="auto"/>
        </w:rPr>
      </w:pPr>
    </w:p>
    <w:p>
      <w:pPr>
        <w:jc w:val="both"/>
        <w:ind w:left="511" w:hanging="511"/>
        <w:spacing w:after="0" w:line="247" w:lineRule="auto"/>
        <w:tabs>
          <w:tab w:leader="none" w:pos="6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two or more persons are </w:t>
      </w:r>
      <w:r>
        <w:rPr>
          <w:rFonts w:ascii="Arial" w:cs="Arial" w:eastAsia="Arial" w:hAnsi="Arial"/>
          <w:sz w:val="18"/>
          <w:szCs w:val="18"/>
          <w:b w:val="1"/>
          <w:bCs w:val="1"/>
          <w:color w:val="auto"/>
        </w:rPr>
        <w:t>acting in concert</w:t>
      </w:r>
      <w:r>
        <w:rPr>
          <w:rFonts w:ascii="Arial" w:cs="Arial" w:eastAsia="Arial" w:hAnsi="Arial"/>
          <w:sz w:val="18"/>
          <w:szCs w:val="18"/>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73" w:lineRule="exact"/>
        <w:rPr>
          <w:rFonts w:ascii="Arial" w:cs="Arial" w:eastAsia="Arial" w:hAnsi="Arial"/>
          <w:sz w:val="18"/>
          <w:szCs w:val="18"/>
          <w:color w:val="auto"/>
        </w:rPr>
      </w:pPr>
    </w:p>
    <w:p>
      <w:pPr>
        <w:ind w:left="511" w:hanging="511"/>
        <w:spacing w:after="0"/>
        <w:tabs>
          <w:tab w:leader="none" w:pos="5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33" w:lineRule="exact"/>
        <w:rPr>
          <w:rFonts w:ascii="Arial" w:cs="Arial" w:eastAsia="Arial" w:hAnsi="Arial"/>
          <w:sz w:val="18"/>
          <w:szCs w:val="18"/>
          <w:color w:val="auto"/>
        </w:rPr>
      </w:pPr>
    </w:p>
    <w:p>
      <w:pPr>
        <w:ind w:left="1011" w:hanging="501"/>
        <w:spacing w:after="0" w:line="246" w:lineRule="auto"/>
        <w:tabs>
          <w:tab w:leader="none" w:pos="1049"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 and</w:t>
      </w:r>
    </w:p>
    <w:p>
      <w:pPr>
        <w:spacing w:after="0" w:line="196" w:lineRule="exact"/>
        <w:rPr>
          <w:rFonts w:ascii="Arial" w:cs="Arial" w:eastAsia="Arial" w:hAnsi="Arial"/>
          <w:sz w:val="18"/>
          <w:szCs w:val="18"/>
          <w:color w:val="auto"/>
        </w:rPr>
      </w:pPr>
    </w:p>
    <w:p>
      <w:pPr>
        <w:jc w:val="both"/>
        <w:ind w:left="1011" w:hanging="501"/>
        <w:spacing w:after="0" w:line="238" w:lineRule="auto"/>
        <w:tabs>
          <w:tab w:leader="none" w:pos="1116"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Borrowers, whether before or after the date of this Agreement, as the form in which that Finance Document is to be executed or another form approved at the request of the Borrowers or, if not so agreed or approved, in the form reasonably required by the Agent;</w:t>
      </w:r>
    </w:p>
    <w:p>
      <w:pPr>
        <w:spacing w:after="0" w:line="182" w:lineRule="exact"/>
        <w:rPr>
          <w:rFonts w:ascii="Arial" w:cs="Arial" w:eastAsia="Arial" w:hAnsi="Arial"/>
          <w:sz w:val="18"/>
          <w:szCs w:val="18"/>
          <w:color w:val="auto"/>
        </w:rPr>
      </w:pPr>
    </w:p>
    <w:p>
      <w:pPr>
        <w:jc w:val="both"/>
        <w:ind w:left="511" w:hanging="511"/>
        <w:spacing w:after="0" w:line="244" w:lineRule="auto"/>
        <w:tabs>
          <w:tab w:leader="none" w:pos="54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approved by the Majority Lenders </w:t>
      </w:r>
      <w:r>
        <w:rPr>
          <w:rFonts w:ascii="Arial" w:cs="Arial" w:eastAsia="Arial" w:hAnsi="Arial"/>
          <w:sz w:val="18"/>
          <w:szCs w:val="18"/>
          <w:color w:val="auto"/>
        </w:rPr>
        <w:t>or</w:t>
      </w:r>
      <w:r>
        <w:rPr>
          <w:rFonts w:ascii="Arial" w:cs="Arial" w:eastAsia="Arial" w:hAnsi="Arial"/>
          <w:sz w:val="18"/>
          <w:szCs w:val="18"/>
          <w:b w:val="1"/>
          <w:bCs w:val="1"/>
          <w:color w:val="auto"/>
        </w:rPr>
        <w:t xml:space="preserve"> approved by the Lenders </w:t>
      </w:r>
      <w:r>
        <w:rPr>
          <w:rFonts w:ascii="Arial" w:cs="Arial" w:eastAsia="Arial" w:hAnsi="Arial"/>
          <w:sz w:val="18"/>
          <w:szCs w:val="18"/>
          <w:color w:val="auto"/>
        </w:rPr>
        <w:t>means approved in writing by the Agent acting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of the Majority Lenders or, as the case may be, all of the Lenders (on such conditions as they may respectively impose) and otherwise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8"/>
          <w:szCs w:val="18"/>
          <w:b w:val="1"/>
          <w:bCs w:val="1"/>
          <w:color w:val="auto"/>
        </w:rPr>
        <w:t xml:space="preserve">approval </w:t>
      </w:r>
      <w:r>
        <w:rPr>
          <w:rFonts w:ascii="Arial" w:cs="Arial" w:eastAsia="Arial" w:hAnsi="Arial"/>
          <w:sz w:val="18"/>
          <w:szCs w:val="18"/>
          <w:color w:val="auto"/>
        </w:rPr>
        <w:t>and</w:t>
      </w:r>
      <w:r>
        <w:rPr>
          <w:rFonts w:ascii="Arial" w:cs="Arial" w:eastAsia="Arial" w:hAnsi="Arial"/>
          <w:sz w:val="18"/>
          <w:szCs w:val="18"/>
          <w:b w:val="1"/>
          <w:bCs w:val="1"/>
          <w:color w:val="auto"/>
        </w:rPr>
        <w:t xml:space="preserve"> approve </w:t>
      </w:r>
      <w:r>
        <w:rPr>
          <w:rFonts w:ascii="Arial" w:cs="Arial" w:eastAsia="Arial" w:hAnsi="Arial"/>
          <w:sz w:val="18"/>
          <w:szCs w:val="18"/>
          <w:color w:val="auto"/>
        </w:rPr>
        <w:t>shall be construed accordingly;</w:t>
      </w:r>
    </w:p>
    <w:p>
      <w:pPr>
        <w:spacing w:after="0" w:line="176" w:lineRule="exact"/>
        <w:rPr>
          <w:rFonts w:ascii="Arial" w:cs="Arial" w:eastAsia="Arial" w:hAnsi="Arial"/>
          <w:sz w:val="18"/>
          <w:szCs w:val="18"/>
          <w:color w:val="auto"/>
        </w:rPr>
      </w:pPr>
    </w:p>
    <w:p>
      <w:pPr>
        <w:ind w:left="511" w:hanging="511"/>
        <w:spacing w:after="0"/>
        <w:tabs>
          <w:tab w:leader="none" w:pos="511"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11" w:lineRule="exact"/>
        <w:rPr>
          <w:rFonts w:ascii="Arial" w:cs="Arial" w:eastAsia="Arial" w:hAnsi="Arial"/>
          <w:sz w:val="18"/>
          <w:szCs w:val="18"/>
          <w:color w:val="auto"/>
        </w:rPr>
      </w:pPr>
    </w:p>
    <w:p>
      <w:pPr>
        <w:ind w:left="511" w:hanging="511"/>
        <w:spacing w:after="0" w:line="271" w:lineRule="auto"/>
        <w:tabs>
          <w:tab w:leader="none" w:pos="8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53" w:lineRule="exact"/>
        <w:rPr>
          <w:rFonts w:ascii="Arial" w:cs="Arial" w:eastAsia="Arial" w:hAnsi="Arial"/>
          <w:sz w:val="18"/>
          <w:szCs w:val="18"/>
          <w:color w:val="auto"/>
        </w:rPr>
      </w:pPr>
    </w:p>
    <w:p>
      <w:pPr>
        <w:jc w:val="both"/>
        <w:ind w:left="511" w:hanging="511"/>
        <w:spacing w:after="0" w:line="253" w:lineRule="auto"/>
        <w:tabs>
          <w:tab w:leader="none" w:pos="54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vessel or the carriage of people and/or cargo or the provision of services by or from it and includes any agreement for pooling or sharing income derived from any such charter or contract;</w:t>
      </w:r>
    </w:p>
    <w:p>
      <w:pPr>
        <w:spacing w:after="0" w:line="168" w:lineRule="exact"/>
        <w:rPr>
          <w:rFonts w:ascii="Arial" w:cs="Arial" w:eastAsia="Arial" w:hAnsi="Arial"/>
          <w:sz w:val="18"/>
          <w:szCs w:val="18"/>
          <w:color w:val="auto"/>
        </w:rPr>
      </w:pPr>
    </w:p>
    <w:p>
      <w:pPr>
        <w:ind w:left="631" w:hanging="631"/>
        <w:spacing w:after="0"/>
        <w:tabs>
          <w:tab w:leader="none" w:pos="631"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33" w:lineRule="exact"/>
        <w:rPr>
          <w:rFonts w:ascii="Arial" w:cs="Arial" w:eastAsia="Arial" w:hAnsi="Arial"/>
          <w:sz w:val="18"/>
          <w:szCs w:val="18"/>
          <w:color w:val="auto"/>
        </w:rPr>
      </w:pPr>
    </w:p>
    <w:p>
      <w:pPr>
        <w:ind w:left="1011" w:hanging="501"/>
        <w:spacing w:after="0" w:line="246" w:lineRule="auto"/>
        <w:tabs>
          <w:tab w:leader="none" w:pos="10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97" w:lineRule="exact"/>
        <w:rPr>
          <w:sz w:val="20"/>
          <w:szCs w:val="20"/>
          <w:color w:val="auto"/>
        </w:rPr>
      </w:pPr>
    </w:p>
    <w:p>
      <w:pPr>
        <w:ind w:left="1531" w:hanging="511"/>
        <w:spacing w:after="0" w:line="246" w:lineRule="auto"/>
        <w:tabs>
          <w:tab w:leader="none" w:pos="1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83"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64135</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11"/>
          </w:cols>
          <w:pgMar w:left="1349" w:top="319" w:right="339" w:bottom="1440" w:gutter="0" w:footer="0" w:header="0"/>
        </w:sectPr>
      </w:pPr>
    </w:p>
    <w:bookmarkStart w:id="28" w:name="page29"/>
    <w:bookmarkEnd w:id="28"/>
    <w:p>
      <w:pPr>
        <w:ind w:left="1560" w:hanging="531"/>
        <w:spacing w:after="0"/>
        <w:tabs>
          <w:tab w:leader="none" w:pos="15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211" w:lineRule="exact"/>
        <w:rPr>
          <w:rFonts w:ascii="Arial" w:cs="Arial" w:eastAsia="Arial" w:hAnsi="Arial"/>
          <w:sz w:val="18"/>
          <w:szCs w:val="18"/>
          <w:color w:val="auto"/>
        </w:rPr>
      </w:pPr>
    </w:p>
    <w:p>
      <w:pPr>
        <w:ind w:left="1540" w:hanging="511"/>
        <w:spacing w:after="0" w:line="246" w:lineRule="auto"/>
        <w:tabs>
          <w:tab w:leader="none" w:pos="16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96" w:lineRule="exact"/>
        <w:rPr>
          <w:rFonts w:ascii="Arial" w:cs="Arial" w:eastAsia="Arial" w:hAnsi="Arial"/>
          <w:sz w:val="18"/>
          <w:szCs w:val="18"/>
          <w:color w:val="auto"/>
        </w:rPr>
      </w:pPr>
    </w:p>
    <w:p>
      <w:pPr>
        <w:jc w:val="both"/>
        <w:ind w:left="1020" w:hanging="501"/>
        <w:spacing w:after="0" w:line="237" w:lineRule="auto"/>
        <w:tabs>
          <w:tab w:leader="none" w:pos="10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212" w:lineRule="exact"/>
        <w:rPr>
          <w:sz w:val="20"/>
          <w:szCs w:val="20"/>
          <w:color w:val="auto"/>
        </w:rPr>
      </w:pPr>
    </w:p>
    <w:p>
      <w:pPr>
        <w:jc w:val="both"/>
        <w:ind w:left="520" w:hanging="511"/>
        <w:spacing w:after="0" w:line="253" w:lineRule="auto"/>
        <w:tabs>
          <w:tab w:leader="none" w:pos="5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68" w:lineRule="exact"/>
        <w:rPr>
          <w:rFonts w:ascii="Arial" w:cs="Arial" w:eastAsia="Arial" w:hAnsi="Arial"/>
          <w:sz w:val="18"/>
          <w:szCs w:val="18"/>
          <w:color w:val="auto"/>
        </w:rPr>
      </w:pPr>
    </w:p>
    <w:p>
      <w:pPr>
        <w:ind w:left="500" w:hanging="491"/>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211" w:lineRule="exact"/>
        <w:rPr>
          <w:rFonts w:ascii="Arial" w:cs="Arial" w:eastAsia="Arial" w:hAnsi="Arial"/>
          <w:sz w:val="18"/>
          <w:szCs w:val="18"/>
          <w:color w:val="auto"/>
        </w:rPr>
      </w:pPr>
    </w:p>
    <w:p>
      <w:pPr>
        <w:jc w:val="both"/>
        <w:ind w:left="520" w:hanging="511"/>
        <w:spacing w:after="0" w:line="244" w:lineRule="auto"/>
        <w:tabs>
          <w:tab w:leader="none" w:pos="5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equivalent</w:t>
      </w:r>
      <w:r>
        <w:rPr>
          <w:rFonts w:ascii="Arial" w:cs="Arial" w:eastAsia="Arial" w:hAnsi="Arial"/>
          <w:sz w:val="18"/>
          <w:szCs w:val="18"/>
          <w:color w:val="auto"/>
        </w:rPr>
        <w:t xml:space="preserve"> of an amount specified in a particular currency (the </w:t>
      </w:r>
      <w:r>
        <w:rPr>
          <w:rFonts w:ascii="Arial" w:cs="Arial" w:eastAsia="Arial" w:hAnsi="Arial"/>
          <w:sz w:val="18"/>
          <w:szCs w:val="18"/>
          <w:b w:val="1"/>
          <w:bCs w:val="1"/>
          <w:color w:val="auto"/>
        </w:rPr>
        <w:t>specified currency amount</w:t>
      </w:r>
      <w:r>
        <w:rPr>
          <w:rFonts w:ascii="Arial" w:cs="Arial" w:eastAsia="Arial" w:hAnsi="Arial"/>
          <w:sz w:val="18"/>
          <w:szCs w:val="18"/>
          <w:color w:val="auto"/>
        </w:rPr>
        <w:t xml:space="preserve">) shall be construed as a reference to the amount of the other relevant currency which can be purchased with the specified currency amount in the London foreign exchange market at or about 11:00 a.m. on the date the calculation falls to be made for spot delivery, as conclusively determined by the Agent (with the relevant exchange rate of any such purchase being the </w:t>
      </w:r>
      <w:r>
        <w:rPr>
          <w:rFonts w:ascii="Arial" w:cs="Arial" w:eastAsia="Arial" w:hAnsi="Arial"/>
          <w:sz w:val="18"/>
          <w:szCs w:val="18"/>
          <w:b w:val="1"/>
          <w:bCs w:val="1"/>
          <w:color w:val="auto"/>
        </w:rPr>
        <w:t>Agent’s spot rate</w:t>
      </w:r>
      <w:r>
        <w:rPr>
          <w:rFonts w:ascii="Arial" w:cs="Arial" w:eastAsia="Arial" w:hAnsi="Arial"/>
          <w:sz w:val="18"/>
          <w:szCs w:val="18"/>
          <w:color w:val="auto"/>
        </w:rPr>
        <w:t xml:space="preserve"> </w:t>
      </w:r>
      <w:r>
        <w:rPr>
          <w:rFonts w:ascii="Arial" w:cs="Arial" w:eastAsia="Arial" w:hAnsi="Arial"/>
          <w:sz w:val="18"/>
          <w:szCs w:val="18"/>
          <w:b w:val="1"/>
          <w:bCs w:val="1"/>
          <w:color w:val="auto"/>
        </w:rPr>
        <w:t>of exchange</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500" w:hanging="491"/>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211" w:lineRule="exact"/>
        <w:rPr>
          <w:rFonts w:ascii="Arial" w:cs="Arial" w:eastAsia="Arial" w:hAnsi="Arial"/>
          <w:sz w:val="18"/>
          <w:szCs w:val="18"/>
          <w:color w:val="auto"/>
        </w:rPr>
      </w:pPr>
    </w:p>
    <w:p>
      <w:pPr>
        <w:ind w:left="500" w:hanging="491"/>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11" w:lineRule="exact"/>
        <w:rPr>
          <w:rFonts w:ascii="Arial" w:cs="Arial" w:eastAsia="Arial" w:hAnsi="Arial"/>
          <w:sz w:val="18"/>
          <w:szCs w:val="18"/>
          <w:color w:val="auto"/>
        </w:rPr>
      </w:pPr>
    </w:p>
    <w:p>
      <w:pPr>
        <w:jc w:val="both"/>
        <w:ind w:left="520" w:hanging="511"/>
        <w:spacing w:after="0" w:line="247" w:lineRule="auto"/>
        <w:tabs>
          <w:tab w:leader="none" w:pos="5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73" w:lineRule="exact"/>
        <w:rPr>
          <w:rFonts w:ascii="Arial" w:cs="Arial" w:eastAsia="Arial" w:hAnsi="Arial"/>
          <w:sz w:val="18"/>
          <w:szCs w:val="18"/>
          <w:color w:val="auto"/>
        </w:rPr>
      </w:pPr>
    </w:p>
    <w:p>
      <w:pPr>
        <w:ind w:left="520" w:right="20" w:hanging="511"/>
        <w:spacing w:after="0" w:line="271" w:lineRule="auto"/>
        <w:tabs>
          <w:tab w:leader="none" w:pos="636"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money, whether present or future, actual or contingent;</w:t>
      </w:r>
    </w:p>
    <w:p>
      <w:pPr>
        <w:spacing w:after="0" w:line="153" w:lineRule="exact"/>
        <w:rPr>
          <w:rFonts w:ascii="Arial" w:cs="Arial" w:eastAsia="Arial" w:hAnsi="Arial"/>
          <w:sz w:val="18"/>
          <w:szCs w:val="18"/>
          <w:color w:val="auto"/>
        </w:rPr>
      </w:pPr>
    </w:p>
    <w:p>
      <w:pPr>
        <w:ind w:left="520" w:hanging="511"/>
        <w:spacing w:after="0" w:line="271" w:lineRule="auto"/>
        <w:tabs>
          <w:tab w:leader="none" w:pos="529"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calendar month or the calendar month in which it is to end, except that:</w:t>
      </w:r>
    </w:p>
    <w:p>
      <w:pPr>
        <w:spacing w:after="0" w:line="175" w:lineRule="exact"/>
        <w:rPr>
          <w:rFonts w:ascii="Arial" w:cs="Arial" w:eastAsia="Arial" w:hAnsi="Arial"/>
          <w:sz w:val="18"/>
          <w:szCs w:val="18"/>
          <w:color w:val="auto"/>
        </w:rPr>
      </w:pPr>
    </w:p>
    <w:p>
      <w:pPr>
        <w:ind w:left="1020" w:hanging="501"/>
        <w:spacing w:after="0" w:line="246" w:lineRule="auto"/>
        <w:tabs>
          <w:tab w:leader="none" w:pos="1058"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96" w:lineRule="exact"/>
        <w:rPr>
          <w:rFonts w:ascii="Arial" w:cs="Arial" w:eastAsia="Arial" w:hAnsi="Arial"/>
          <w:sz w:val="18"/>
          <w:szCs w:val="18"/>
          <w:color w:val="auto"/>
        </w:rPr>
      </w:pPr>
    </w:p>
    <w:p>
      <w:pPr>
        <w:ind w:left="1020" w:hanging="501"/>
        <w:spacing w:after="0" w:line="246" w:lineRule="auto"/>
        <w:tabs>
          <w:tab w:leader="none" w:pos="1098"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month, that period shall end on the last Business Day in that month,</w:t>
      </w:r>
    </w:p>
    <w:p>
      <w:pPr>
        <w:spacing w:after="0" w:line="1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64135</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20"/>
          </w:cols>
          <w:pgMar w:left="1340" w:top="341" w:right="339" w:bottom="1440" w:gutter="0" w:footer="0" w:header="0"/>
        </w:sectPr>
      </w:pPr>
    </w:p>
    <w:bookmarkStart w:id="29" w:name="page30"/>
    <w:bookmarkEnd w:id="29"/>
    <w:p>
      <w:pPr>
        <w:ind w:left="502"/>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190" w:lineRule="exact"/>
        <w:rPr>
          <w:sz w:val="20"/>
          <w:szCs w:val="20"/>
          <w:color w:val="auto"/>
        </w:rPr>
      </w:pPr>
    </w:p>
    <w:p>
      <w:pPr>
        <w:ind w:left="1002" w:hanging="491"/>
        <w:spacing w:after="0"/>
        <w:tabs>
          <w:tab w:leader="none" w:pos="1002"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211" w:lineRule="exact"/>
        <w:rPr>
          <w:rFonts w:ascii="Arial" w:cs="Arial" w:eastAsia="Arial" w:hAnsi="Arial"/>
          <w:sz w:val="18"/>
          <w:szCs w:val="18"/>
          <w:color w:val="auto"/>
        </w:rPr>
      </w:pPr>
    </w:p>
    <w:p>
      <w:pPr>
        <w:jc w:val="both"/>
        <w:ind w:left="1022" w:hanging="511"/>
        <w:spacing w:after="0" w:line="253" w:lineRule="auto"/>
        <w:tabs>
          <w:tab w:leader="none" w:pos="1021"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68" w:lineRule="exact"/>
        <w:rPr>
          <w:rFonts w:ascii="Arial" w:cs="Arial" w:eastAsia="Arial" w:hAnsi="Arial"/>
          <w:sz w:val="18"/>
          <w:szCs w:val="18"/>
          <w:color w:val="auto"/>
        </w:rPr>
      </w:pPr>
    </w:p>
    <w:p>
      <w:pPr>
        <w:ind w:left="1022" w:hanging="511"/>
        <w:spacing w:after="0" w:line="271" w:lineRule="auto"/>
        <w:tabs>
          <w:tab w:leader="none" w:pos="1099"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pay</w:t>
      </w:r>
      <w:r>
        <w:rPr>
          <w:rFonts w:ascii="Arial" w:cs="Arial" w:eastAsia="Arial" w:hAnsi="Arial"/>
          <w:sz w:val="18"/>
          <w:szCs w:val="18"/>
          <w:color w:val="auto"/>
        </w:rPr>
        <w:t>,</w:t>
      </w:r>
      <w:r>
        <w:rPr>
          <w:rFonts w:ascii="Arial" w:cs="Arial" w:eastAsia="Arial" w:hAnsi="Arial"/>
          <w:sz w:val="18"/>
          <w:szCs w:val="18"/>
          <w:b w:val="1"/>
          <w:bCs w:val="1"/>
          <w:color w:val="auto"/>
        </w:rPr>
        <w:t xml:space="preserve"> prepay </w:t>
      </w:r>
      <w:r>
        <w:rPr>
          <w:rFonts w:ascii="Arial" w:cs="Arial" w:eastAsia="Arial" w:hAnsi="Arial"/>
          <w:sz w:val="18"/>
          <w:szCs w:val="18"/>
          <w:color w:val="auto"/>
        </w:rPr>
        <w:t>or</w:t>
      </w:r>
      <w:r>
        <w:rPr>
          <w:rFonts w:ascii="Arial" w:cs="Arial" w:eastAsia="Arial" w:hAnsi="Arial"/>
          <w:sz w:val="18"/>
          <w:szCs w:val="18"/>
          <w:b w:val="1"/>
          <w:bCs w:val="1"/>
          <w:color w:val="auto"/>
        </w:rPr>
        <w:t xml:space="preserve"> repay </w:t>
      </w:r>
      <w:r>
        <w:rPr>
          <w:rFonts w:ascii="Arial" w:cs="Arial" w:eastAsia="Arial" w:hAnsi="Arial"/>
          <w:sz w:val="18"/>
          <w:szCs w:val="18"/>
          <w:color w:val="auto"/>
        </w:rPr>
        <w:t>in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includes by way of set-off, combination of accounts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w:t>
      </w:r>
    </w:p>
    <w:p>
      <w:pPr>
        <w:spacing w:after="0" w:line="153" w:lineRule="exact"/>
        <w:rPr>
          <w:rFonts w:ascii="Arial" w:cs="Arial" w:eastAsia="Arial" w:hAnsi="Arial"/>
          <w:sz w:val="18"/>
          <w:szCs w:val="18"/>
          <w:color w:val="auto"/>
        </w:rPr>
      </w:pPr>
    </w:p>
    <w:p>
      <w:pPr>
        <w:ind w:left="1022" w:hanging="511"/>
        <w:spacing w:after="0" w:line="271" w:lineRule="auto"/>
        <w:tabs>
          <w:tab w:leader="none" w:pos="1056"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53" w:lineRule="exact"/>
        <w:rPr>
          <w:rFonts w:ascii="Arial" w:cs="Arial" w:eastAsia="Arial" w:hAnsi="Arial"/>
          <w:sz w:val="18"/>
          <w:szCs w:val="18"/>
          <w:color w:val="auto"/>
        </w:rPr>
      </w:pPr>
    </w:p>
    <w:p>
      <w:pPr>
        <w:jc w:val="both"/>
        <w:ind w:left="1022" w:hanging="511"/>
        <w:spacing w:after="0" w:line="253" w:lineRule="auto"/>
        <w:tabs>
          <w:tab w:leader="none" w:pos="10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includes (without limitation) any Basel II Regulation or Basel III Regulation;</w:t>
      </w:r>
    </w:p>
    <w:p>
      <w:pPr>
        <w:spacing w:after="0" w:line="168" w:lineRule="exact"/>
        <w:rPr>
          <w:rFonts w:ascii="Arial" w:cs="Arial" w:eastAsia="Arial" w:hAnsi="Arial"/>
          <w:sz w:val="18"/>
          <w:szCs w:val="18"/>
          <w:color w:val="auto"/>
        </w:rPr>
      </w:pPr>
    </w:p>
    <w:p>
      <w:pPr>
        <w:ind w:left="1022" w:right="20" w:hanging="511"/>
        <w:spacing w:after="0" w:line="287" w:lineRule="auto"/>
        <w:tabs>
          <w:tab w:leader="none" w:pos="1026"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 whether actual or contingent, present or future, arising under contract or law, or in equity;</w:t>
      </w:r>
    </w:p>
    <w:p>
      <w:pPr>
        <w:spacing w:after="0" w:line="139" w:lineRule="exact"/>
        <w:rPr>
          <w:rFonts w:ascii="Arial" w:cs="Arial" w:eastAsia="Arial" w:hAnsi="Arial"/>
          <w:sz w:val="18"/>
          <w:szCs w:val="18"/>
          <w:color w:val="auto"/>
        </w:rPr>
      </w:pPr>
    </w:p>
    <w:p>
      <w:pPr>
        <w:ind w:left="1062" w:hanging="551"/>
        <w:spacing w:after="0"/>
        <w:tabs>
          <w:tab w:leader="none" w:pos="1062"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211" w:lineRule="exact"/>
        <w:rPr>
          <w:rFonts w:ascii="Arial" w:cs="Arial" w:eastAsia="Arial" w:hAnsi="Arial"/>
          <w:sz w:val="18"/>
          <w:szCs w:val="18"/>
          <w:color w:val="auto"/>
        </w:rPr>
      </w:pPr>
    </w:p>
    <w:p>
      <w:pPr>
        <w:jc w:val="both"/>
        <w:ind w:left="1022" w:hanging="511"/>
        <w:spacing w:after="0"/>
        <w:tabs>
          <w:tab w:leader="none" w:pos="10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(i)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winding up</w:t>
      </w:r>
      <w:r>
        <w:rPr>
          <w:rFonts w:ascii="Arial" w:cs="Arial" w:eastAsia="Arial" w:hAnsi="Arial"/>
          <w:sz w:val="18"/>
          <w:szCs w:val="18"/>
          <w:color w:val="auto"/>
        </w:rPr>
        <w:t xml:space="preserve">,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of person or (ii) 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in the context of insolvency proceedings or security enforcement actions in respect of a person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84" w:lineRule="exact"/>
        <w:rPr>
          <w:rFonts w:ascii="Arial" w:cs="Arial" w:eastAsia="Arial" w:hAnsi="Arial"/>
          <w:sz w:val="18"/>
          <w:szCs w:val="18"/>
          <w:color w:val="auto"/>
        </w:rPr>
      </w:pPr>
    </w:p>
    <w:p>
      <w:pPr>
        <w:ind w:left="1022" w:hanging="511"/>
        <w:spacing w:after="0"/>
        <w:tabs>
          <w:tab w:leader="none" w:pos="10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33" w:lineRule="exact"/>
        <w:rPr>
          <w:rFonts w:ascii="Arial" w:cs="Arial" w:eastAsia="Arial" w:hAnsi="Arial"/>
          <w:sz w:val="18"/>
          <w:szCs w:val="18"/>
          <w:color w:val="auto"/>
        </w:rPr>
      </w:pPr>
    </w:p>
    <w:p>
      <w:pPr>
        <w:ind w:left="1022" w:hanging="511"/>
        <w:spacing w:after="0"/>
        <w:tabs>
          <w:tab w:leader="none" w:pos="10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189" w:lineRule="exact"/>
        <w:rPr>
          <w:rFonts w:ascii="Arial" w:cs="Arial" w:eastAsia="Arial" w:hAnsi="Arial"/>
          <w:sz w:val="18"/>
          <w:szCs w:val="18"/>
          <w:color w:val="auto"/>
        </w:rPr>
      </w:pPr>
    </w:p>
    <w:p>
      <w:pPr>
        <w:ind w:left="502" w:right="20" w:hanging="502"/>
        <w:spacing w:after="0" w:line="271" w:lineRule="auto"/>
        <w:tabs>
          <w:tab w:leader="none" w:pos="65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75" w:lineRule="exact"/>
        <w:rPr>
          <w:rFonts w:ascii="Arial" w:cs="Arial" w:eastAsia="Arial" w:hAnsi="Arial"/>
          <w:sz w:val="18"/>
          <w:szCs w:val="18"/>
          <w:color w:val="auto"/>
        </w:rPr>
      </w:pPr>
    </w:p>
    <w:p>
      <w:pPr>
        <w:jc w:val="both"/>
        <w:ind w:left="502" w:hanging="502"/>
        <w:spacing w:after="0"/>
        <w:tabs>
          <w:tab w:leader="none" w:pos="5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202" w:lineRule="exact"/>
        <w:rPr>
          <w:rFonts w:ascii="Arial" w:cs="Arial" w:eastAsia="Arial" w:hAnsi="Arial"/>
          <w:sz w:val="18"/>
          <w:szCs w:val="18"/>
          <w:color w:val="auto"/>
        </w:rPr>
      </w:pPr>
    </w:p>
    <w:p>
      <w:pPr>
        <w:ind w:left="482" w:hanging="482"/>
        <w:spacing w:after="0"/>
        <w:tabs>
          <w:tab w:leader="none" w:pos="4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11" w:lineRule="exact"/>
        <w:rPr>
          <w:rFonts w:ascii="Arial" w:cs="Arial" w:eastAsia="Arial" w:hAnsi="Arial"/>
          <w:sz w:val="18"/>
          <w:szCs w:val="18"/>
          <w:color w:val="auto"/>
        </w:rPr>
      </w:pPr>
    </w:p>
    <w:p>
      <w:pPr>
        <w:ind w:left="502" w:hanging="502"/>
        <w:spacing w:after="0" w:line="246" w:lineRule="auto"/>
        <w:tabs>
          <w:tab w:leader="none" w:pos="5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8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55" w:right="339" w:bottom="1440" w:gutter="0" w:footer="0" w:header="0"/>
        </w:sectPr>
      </w:pPr>
    </w:p>
    <w:bookmarkStart w:id="30" w:name="page31"/>
    <w:bookmarkEnd w:id="30"/>
    <w:p>
      <w:pPr>
        <w:ind w:left="1020" w:hanging="502"/>
        <w:spacing w:after="0" w:line="271" w:lineRule="auto"/>
        <w:tabs>
          <w:tab w:leader="none" w:pos="11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 xml:space="preserve">continuing </w:t>
      </w:r>
      <w:r>
        <w:rPr>
          <w:rFonts w:ascii="Arial" w:cs="Arial" w:eastAsia="Arial" w:hAnsi="Arial"/>
          <w:sz w:val="18"/>
          <w:szCs w:val="18"/>
          <w:color w:val="auto"/>
        </w:rPr>
        <w:t>if it has not been waived or remedied to the satisfaction of the Agent (acting on the instructions of all the Lenders).</w:t>
      </w:r>
    </w:p>
    <w:p>
      <w:pPr>
        <w:spacing w:after="0" w:line="175" w:lineRule="exact"/>
        <w:rPr>
          <w:rFonts w:ascii="Arial" w:cs="Arial" w:eastAsia="Arial" w:hAnsi="Arial"/>
          <w:sz w:val="18"/>
          <w:szCs w:val="18"/>
          <w:color w:val="auto"/>
        </w:rPr>
      </w:pPr>
    </w:p>
    <w:p>
      <w:pPr>
        <w:ind w:left="1020" w:right="20" w:hanging="502"/>
        <w:spacing w:after="0" w:line="246" w:lineRule="auto"/>
        <w:tabs>
          <w:tab w:leader="none" w:pos="10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tab/>
        <w:t>Third party rights</w:t>
      </w:r>
    </w:p>
    <w:p>
      <w:pPr>
        <w:spacing w:after="0" w:line="234" w:lineRule="exact"/>
        <w:rPr>
          <w:sz w:val="20"/>
          <w:szCs w:val="20"/>
          <w:color w:val="auto"/>
        </w:rPr>
      </w:pPr>
    </w:p>
    <w:p>
      <w:pPr>
        <w:jc w:val="both"/>
        <w:ind w:left="1020" w:hanging="502"/>
        <w:spacing w:after="0"/>
        <w:tabs>
          <w:tab w:leader="none" w:pos="11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202" w:lineRule="exact"/>
        <w:rPr>
          <w:rFonts w:ascii="Arial" w:cs="Arial" w:eastAsia="Arial" w:hAnsi="Arial"/>
          <w:sz w:val="18"/>
          <w:szCs w:val="18"/>
          <w:color w:val="auto"/>
        </w:rPr>
      </w:pPr>
    </w:p>
    <w:p>
      <w:pPr>
        <w:ind w:left="1000" w:hanging="482"/>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w:t>
      </w:r>
    </w:p>
    <w:p>
      <w:pPr>
        <w:spacing w:after="0" w:line="211" w:lineRule="exact"/>
        <w:rPr>
          <w:rFonts w:ascii="Arial" w:cs="Arial" w:eastAsia="Arial" w:hAnsi="Arial"/>
          <w:sz w:val="18"/>
          <w:szCs w:val="18"/>
          <w:color w:val="auto"/>
        </w:rPr>
      </w:pPr>
    </w:p>
    <w:p>
      <w:pPr>
        <w:ind w:left="1020" w:hanging="502"/>
        <w:spacing w:after="0" w:line="246"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tab/>
        <w:t>Finance Documents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Conflict of documents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71" w:lineRule="exact"/>
        <w:rPr>
          <w:sz w:val="20"/>
          <w:szCs w:val="20"/>
          <w:color w:val="auto"/>
        </w:rPr>
      </w:pPr>
    </w:p>
    <w:p>
      <w:pPr>
        <w:ind w:left="480" w:hanging="370"/>
        <w:spacing w:after="0"/>
        <w:tabs>
          <w:tab w:leader="none" w:pos="4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The Facility</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w:t>
        <w:tab/>
        <w:t>The Facility</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Subject to the terms of this Agreement, the Lenders make available to the Borrowers a term loan facility in an aggregate amount equal to the Total Commitments.</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w:t>
        <w:tab/>
        <w:t>Finance Parties’ rights and obligations</w:t>
      </w:r>
    </w:p>
    <w:p>
      <w:pPr>
        <w:spacing w:after="0" w:line="234" w:lineRule="exact"/>
        <w:rPr>
          <w:sz w:val="20"/>
          <w:szCs w:val="20"/>
          <w:color w:val="auto"/>
        </w:rPr>
      </w:pPr>
    </w:p>
    <w:p>
      <w:pPr>
        <w:jc w:val="both"/>
        <w:ind w:left="1020" w:hanging="502"/>
        <w:spacing w:after="0"/>
        <w:tabs>
          <w:tab w:leader="none" w:pos="11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202" w:lineRule="exact"/>
        <w:rPr>
          <w:rFonts w:ascii="Arial" w:cs="Arial" w:eastAsia="Arial" w:hAnsi="Arial"/>
          <w:sz w:val="18"/>
          <w:szCs w:val="18"/>
          <w:color w:val="auto"/>
        </w:rPr>
      </w:pPr>
    </w:p>
    <w:p>
      <w:pPr>
        <w:ind w:left="1020" w:hanging="502"/>
        <w:spacing w:after="0" w:line="246" w:lineRule="auto"/>
        <w:tabs>
          <w:tab w:leader="none" w:pos="10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1" w:name="page32"/>
    <w:bookmarkEnd w:id="31"/>
    <w:p>
      <w:pPr>
        <w:jc w:val="both"/>
        <w:ind w:left="1020" w:hanging="502"/>
        <w:spacing w:after="0" w:line="250" w:lineRule="auto"/>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Finance Party may, except as otherwise stated in the Finance Documents (including clauses 32.30 (</w:t>
      </w:r>
      <w:r>
        <w:rPr>
          <w:rFonts w:ascii="Arial" w:cs="Arial" w:eastAsia="Arial" w:hAnsi="Arial"/>
          <w:sz w:val="18"/>
          <w:szCs w:val="18"/>
          <w:i w:val="1"/>
          <w:iCs w:val="1"/>
          <w:color w:val="auto"/>
        </w:rPr>
        <w:t>All enforcement action</w:t>
      </w:r>
      <w:r>
        <w:rPr>
          <w:rFonts w:ascii="Arial" w:cs="Arial" w:eastAsia="Arial" w:hAnsi="Arial"/>
          <w:sz w:val="18"/>
          <w:szCs w:val="18"/>
          <w:color w:val="auto"/>
        </w:rPr>
        <w:t xml:space="preserve"> </w:t>
      </w:r>
      <w:r>
        <w:rPr>
          <w:rFonts w:ascii="Arial" w:cs="Arial" w:eastAsia="Arial" w:hAnsi="Arial"/>
          <w:sz w:val="18"/>
          <w:szCs w:val="18"/>
          <w:i w:val="1"/>
          <w:iCs w:val="1"/>
          <w:color w:val="auto"/>
        </w:rPr>
        <w:t>through the Security Agent</w:t>
      </w:r>
      <w:r>
        <w:rPr>
          <w:rFonts w:ascii="Arial" w:cs="Arial" w:eastAsia="Arial" w:hAnsi="Arial"/>
          <w:sz w:val="18"/>
          <w:szCs w:val="18"/>
          <w:color w:val="auto"/>
        </w:rPr>
        <w:t>) and 33.2 (</w:t>
      </w:r>
      <w:r>
        <w:rPr>
          <w:rFonts w:ascii="Arial" w:cs="Arial" w:eastAsia="Arial" w:hAnsi="Arial"/>
          <w:sz w:val="18"/>
          <w:szCs w:val="18"/>
          <w:i w:val="1"/>
          <w:iCs w:val="1"/>
          <w:color w:val="auto"/>
        </w:rPr>
        <w:t>Finance Parties acting together</w:t>
      </w:r>
      <w:r>
        <w:rPr>
          <w:rFonts w:ascii="Arial" w:cs="Arial" w:eastAsia="Arial" w:hAnsi="Arial"/>
          <w:sz w:val="18"/>
          <w:szCs w:val="18"/>
          <w:color w:val="auto"/>
        </w:rPr>
        <w:t>)), separately enforce its rights under the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w:t>
      </w:r>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Borrowers’ rights and obligations</w:t>
      </w:r>
    </w:p>
    <w:p>
      <w:pPr>
        <w:spacing w:after="0" w:line="234" w:lineRule="exact"/>
        <w:rPr>
          <w:sz w:val="20"/>
          <w:szCs w:val="20"/>
          <w:color w:val="auto"/>
        </w:rPr>
      </w:pPr>
    </w:p>
    <w:p>
      <w:pPr>
        <w:ind w:left="1020" w:hanging="502"/>
        <w:spacing w:after="0" w:line="246"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obligations of each Borrower under this Agreement are joint and several. Failure by a Borrower to perform its obligations under this Agreement shall constitute a failure by all of the Borrowers.</w:t>
      </w:r>
    </w:p>
    <w:p>
      <w:pPr>
        <w:spacing w:after="0" w:line="196" w:lineRule="exact"/>
        <w:rPr>
          <w:rFonts w:ascii="Arial" w:cs="Arial" w:eastAsia="Arial" w:hAnsi="Arial"/>
          <w:sz w:val="18"/>
          <w:szCs w:val="18"/>
          <w:color w:val="auto"/>
        </w:rPr>
      </w:pPr>
    </w:p>
    <w:p>
      <w:pPr>
        <w:ind w:left="1000" w:hanging="482"/>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Borrower irrevocably and unconditionally jointly and severally with each other Borrower: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each other Borrower under this Agreement;</w:t>
      </w:r>
    </w:p>
    <w:p>
      <w:pPr>
        <w:spacing w:after="0" w:line="211" w:lineRule="exact"/>
        <w:rPr>
          <w:rFonts w:ascii="Arial" w:cs="Arial" w:eastAsia="Arial" w:hAnsi="Arial"/>
          <w:sz w:val="18"/>
          <w:szCs w:val="18"/>
          <w:color w:val="auto"/>
        </w:rPr>
      </w:pPr>
    </w:p>
    <w:p>
      <w:pPr>
        <w:ind w:left="1540" w:right="20" w:hanging="511"/>
        <w:spacing w:after="0" w:line="246" w:lineRule="auto"/>
        <w:tabs>
          <w:tab w:leader="none" w:pos="1549" w:val="left"/>
        </w:tabs>
        <w:numPr>
          <w:ilvl w:val="1"/>
          <w:numId w:val="71"/>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Borrowers under this Agreement; and</w:t>
      </w:r>
    </w:p>
    <w:p>
      <w:pPr>
        <w:spacing w:after="0" w:line="196" w:lineRule="exact"/>
        <w:rPr>
          <w:rFonts w:ascii="Arial" w:cs="Arial" w:eastAsia="Arial" w:hAnsi="Arial"/>
          <w:sz w:val="18"/>
          <w:szCs w:val="18"/>
          <w:color w:val="auto"/>
        </w:rPr>
      </w:pPr>
    </w:p>
    <w:p>
      <w:pPr>
        <w:jc w:val="both"/>
        <w:ind w:left="1540" w:hanging="511"/>
        <w:spacing w:after="0" w:line="237" w:lineRule="auto"/>
        <w:tabs>
          <w:tab w:leader="none" w:pos="17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another Borrower under this Agreement is or becomes unenforceable, invalid or illegal for any reason it will, as an independent and primary obligation, indemnify that Finance Party immediately on demand against any and all Losses it incurs as a result of another Borrower not paying any amount which would, but for such unenforceability, invalidity or illegality, have been payable by that other Borrower under this Agreement. The amount payable under this indemnity shall be equal to the amount which that Finance Party would otherwise have been entitled to recover.</w:t>
      </w:r>
    </w:p>
    <w:p>
      <w:pPr>
        <w:spacing w:after="0" w:line="204" w:lineRule="exact"/>
        <w:rPr>
          <w:rFonts w:ascii="Arial" w:cs="Arial" w:eastAsia="Arial" w:hAnsi="Arial"/>
          <w:sz w:val="18"/>
          <w:szCs w:val="18"/>
          <w:color w:val="auto"/>
        </w:rPr>
      </w:pPr>
    </w:p>
    <w:p>
      <w:pPr>
        <w:jc w:val="both"/>
        <w:ind w:left="1020" w:hanging="502"/>
        <w:spacing w:after="0"/>
        <w:tabs>
          <w:tab w:leader="none" w:pos="11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continue until all amounts which may be or become payable by the Borrowers under or in connection with the Finance Documents have been irrevocably and unconditionally paid or discharged in full, regardless of any intermediate payment or discharge in whole or in part.</w:t>
      </w:r>
    </w:p>
    <w:p>
      <w:pPr>
        <w:spacing w:after="0" w:line="202" w:lineRule="exact"/>
        <w:rPr>
          <w:rFonts w:ascii="Arial" w:cs="Arial" w:eastAsia="Arial" w:hAnsi="Arial"/>
          <w:sz w:val="18"/>
          <w:szCs w:val="18"/>
          <w:color w:val="auto"/>
        </w:rPr>
      </w:pPr>
    </w:p>
    <w:p>
      <w:pPr>
        <w:jc w:val="both"/>
        <w:ind w:left="1020" w:hanging="502"/>
        <w:spacing w:after="0" w:line="238" w:lineRule="auto"/>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any discharge, release or arrangement (whether in respect of the obligations of a Borrower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Borrowers under this Agreement will continue or be reinstated as if the discharge, release or arrangement had not occurred.</w:t>
      </w:r>
    </w:p>
    <w:p>
      <w:pPr>
        <w:spacing w:after="0" w:line="202" w:lineRule="exact"/>
        <w:rPr>
          <w:rFonts w:ascii="Arial" w:cs="Arial" w:eastAsia="Arial" w:hAnsi="Arial"/>
          <w:sz w:val="18"/>
          <w:szCs w:val="18"/>
          <w:color w:val="auto"/>
        </w:rPr>
      </w:pPr>
    </w:p>
    <w:p>
      <w:pPr>
        <w:jc w:val="both"/>
        <w:ind w:left="1020" w:hanging="502"/>
        <w:spacing w:after="0"/>
        <w:tabs>
          <w:tab w:leader="none" w:pos="10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not be affected by an act, omission, matter or thing which, but for this clause (whether or not known to it or any Finance Party), would reduce, release or prejudice any of its obligations under the Finance Documents including:</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11" w:lineRule="exact"/>
        <w:rPr>
          <w:rFonts w:ascii="Arial" w:cs="Arial" w:eastAsia="Arial" w:hAnsi="Arial"/>
          <w:sz w:val="18"/>
          <w:szCs w:val="18"/>
          <w:color w:val="auto"/>
        </w:rPr>
      </w:pPr>
    </w:p>
    <w:p>
      <w:pPr>
        <w:ind w:left="1540" w:hanging="511"/>
        <w:spacing w:after="0" w:line="246" w:lineRule="auto"/>
        <w:tabs>
          <w:tab w:leader="none" w:pos="1549"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96" w:lineRule="exact"/>
        <w:rPr>
          <w:rFonts w:ascii="Arial" w:cs="Arial" w:eastAsia="Arial" w:hAnsi="Arial"/>
          <w:sz w:val="18"/>
          <w:szCs w:val="18"/>
          <w:color w:val="auto"/>
        </w:rPr>
      </w:pPr>
    </w:p>
    <w:p>
      <w:pPr>
        <w:jc w:val="both"/>
        <w:ind w:left="1540" w:hanging="511"/>
        <w:spacing w:after="0"/>
        <w:tabs>
          <w:tab w:leader="none" w:pos="16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202" w:lineRule="exact"/>
        <w:rPr>
          <w:rFonts w:ascii="Arial" w:cs="Arial" w:eastAsia="Arial" w:hAnsi="Arial"/>
          <w:sz w:val="18"/>
          <w:szCs w:val="18"/>
          <w:color w:val="auto"/>
        </w:rPr>
      </w:pPr>
    </w:p>
    <w:p>
      <w:pPr>
        <w:ind w:left="1540" w:hanging="511"/>
        <w:spacing w:after="0" w:line="246" w:lineRule="auto"/>
        <w:tabs>
          <w:tab w:leader="none" w:pos="160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2" w:name="page33"/>
    <w:bookmarkEnd w:id="32"/>
    <w:p>
      <w:pPr>
        <w:ind w:left="1022" w:hanging="511"/>
        <w:spacing w:after="0" w:line="246" w:lineRule="auto"/>
        <w:tabs>
          <w:tab w:leader="none" w:pos="105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Finance Document or any other document or security;</w:t>
      </w:r>
    </w:p>
    <w:p>
      <w:pPr>
        <w:spacing w:after="0" w:line="196" w:lineRule="exact"/>
        <w:rPr>
          <w:rFonts w:ascii="Arial" w:cs="Arial" w:eastAsia="Arial" w:hAnsi="Arial"/>
          <w:sz w:val="18"/>
          <w:szCs w:val="18"/>
          <w:color w:val="auto"/>
        </w:rPr>
      </w:pPr>
    </w:p>
    <w:p>
      <w:pPr>
        <w:ind w:left="1022" w:hanging="511"/>
        <w:spacing w:after="0" w:line="246" w:lineRule="auto"/>
        <w:tabs>
          <w:tab w:leader="none" w:pos="11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96" w:lineRule="exact"/>
        <w:rPr>
          <w:rFonts w:ascii="Arial" w:cs="Arial" w:eastAsia="Arial" w:hAnsi="Arial"/>
          <w:sz w:val="18"/>
          <w:szCs w:val="18"/>
          <w:color w:val="auto"/>
        </w:rPr>
      </w:pPr>
    </w:p>
    <w:p>
      <w:pPr>
        <w:ind w:left="1022" w:hanging="511"/>
        <w:spacing w:after="0"/>
        <w:tabs>
          <w:tab w:leader="none" w:pos="102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11" w:lineRule="exact"/>
        <w:rPr>
          <w:rFonts w:ascii="Arial" w:cs="Arial" w:eastAsia="Arial" w:hAnsi="Arial"/>
          <w:sz w:val="18"/>
          <w:szCs w:val="18"/>
          <w:color w:val="auto"/>
        </w:rPr>
      </w:pPr>
    </w:p>
    <w:p>
      <w:pPr>
        <w:jc w:val="both"/>
        <w:ind w:left="502" w:hanging="502"/>
        <w:spacing w:after="0"/>
        <w:tabs>
          <w:tab w:leader="none" w:pos="4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Borrower waives any right it may have of first requiring any Finance Party (or any trustee or agent on its behalf) to proceed against or enforce any other rights or security or claim payment from any person before claiming from that Borrower under any Finance Document. This waiver applies irrespective of any law or any provision of a Finance Document to the contrary.</w:t>
      </w:r>
    </w:p>
    <w:p>
      <w:pPr>
        <w:spacing w:after="0" w:line="202" w:lineRule="exact"/>
        <w:rPr>
          <w:rFonts w:ascii="Arial" w:cs="Arial" w:eastAsia="Arial" w:hAnsi="Arial"/>
          <w:sz w:val="18"/>
          <w:szCs w:val="18"/>
          <w:color w:val="auto"/>
        </w:rPr>
      </w:pPr>
    </w:p>
    <w:p>
      <w:pPr>
        <w:ind w:left="502" w:right="20" w:hanging="502"/>
        <w:spacing w:after="0" w:line="246" w:lineRule="auto"/>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and unconditionally paid or discharged in full, each Finance Party (or any trustee or agent on its behalf) may:</w:t>
      </w:r>
    </w:p>
    <w:p>
      <w:pPr>
        <w:spacing w:after="0" w:line="196" w:lineRule="exact"/>
        <w:rPr>
          <w:rFonts w:ascii="Arial" w:cs="Arial" w:eastAsia="Arial" w:hAnsi="Arial"/>
          <w:sz w:val="18"/>
          <w:szCs w:val="18"/>
          <w:color w:val="auto"/>
        </w:rPr>
      </w:pPr>
    </w:p>
    <w:p>
      <w:pPr>
        <w:jc w:val="both"/>
        <w:ind w:left="1022" w:hanging="511"/>
        <w:spacing w:after="0"/>
        <w:tabs>
          <w:tab w:leader="none" w:pos="11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Borrower will be entitled to the benefit of the same; and</w:t>
      </w:r>
    </w:p>
    <w:p>
      <w:pPr>
        <w:spacing w:after="0" w:line="202" w:lineRule="exact"/>
        <w:rPr>
          <w:rFonts w:ascii="Arial" w:cs="Arial" w:eastAsia="Arial" w:hAnsi="Arial"/>
          <w:sz w:val="18"/>
          <w:szCs w:val="18"/>
          <w:color w:val="auto"/>
        </w:rPr>
      </w:pPr>
    </w:p>
    <w:p>
      <w:pPr>
        <w:ind w:left="1022" w:hanging="511"/>
        <w:spacing w:after="0" w:line="246" w:lineRule="auto"/>
        <w:tabs>
          <w:tab w:leader="none" w:pos="11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Borrower or on account of any Borrower’s liability under any Finance Document.</w:t>
      </w:r>
    </w:p>
    <w:p>
      <w:pPr>
        <w:spacing w:after="0" w:line="196" w:lineRule="exact"/>
        <w:rPr>
          <w:rFonts w:ascii="Arial" w:cs="Arial" w:eastAsia="Arial" w:hAnsi="Arial"/>
          <w:sz w:val="18"/>
          <w:szCs w:val="18"/>
          <w:color w:val="auto"/>
        </w:rPr>
      </w:pPr>
    </w:p>
    <w:p>
      <w:pPr>
        <w:jc w:val="both"/>
        <w:ind w:left="502" w:hanging="502"/>
        <w:spacing w:after="0" w:line="238" w:lineRule="auto"/>
        <w:tabs>
          <w:tab w:leader="none" w:pos="5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(on such terms as it may require), no Borrower shall exercise any rights (including rights of set-off) which it may have by reason of performance by it of its obligations under the Finance Documents:</w:t>
      </w:r>
    </w:p>
    <w:p>
      <w:pPr>
        <w:spacing w:after="0" w:line="204" w:lineRule="exact"/>
        <w:rPr>
          <w:rFonts w:ascii="Arial" w:cs="Arial" w:eastAsia="Arial" w:hAnsi="Arial"/>
          <w:sz w:val="18"/>
          <w:szCs w:val="18"/>
          <w:color w:val="auto"/>
        </w:rPr>
      </w:pPr>
    </w:p>
    <w:p>
      <w:pPr>
        <w:ind w:left="1022" w:hanging="511"/>
        <w:spacing w:after="0"/>
        <w:tabs>
          <w:tab w:leader="none" w:pos="10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be indemnified by another Obligor; and/or</w:t>
      </w:r>
    </w:p>
    <w:p>
      <w:pPr>
        <w:spacing w:after="0" w:line="211" w:lineRule="exact"/>
        <w:rPr>
          <w:rFonts w:ascii="Arial" w:cs="Arial" w:eastAsia="Arial" w:hAnsi="Arial"/>
          <w:sz w:val="18"/>
          <w:szCs w:val="18"/>
          <w:color w:val="auto"/>
        </w:rPr>
      </w:pPr>
    </w:p>
    <w:p>
      <w:pPr>
        <w:ind w:left="1022" w:hanging="511"/>
        <w:spacing w:after="0" w:line="246" w:lineRule="auto"/>
        <w:tabs>
          <w:tab w:leader="none" w:pos="127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claim any contribution from any other Obligor or any guarantor of any Obligor’s obligations under the Finance Documents; and/or</w:t>
      </w:r>
    </w:p>
    <w:p>
      <w:pPr>
        <w:spacing w:after="0" w:line="196" w:lineRule="exact"/>
        <w:rPr>
          <w:rFonts w:ascii="Arial" w:cs="Arial" w:eastAsia="Arial" w:hAnsi="Arial"/>
          <w:sz w:val="18"/>
          <w:szCs w:val="18"/>
          <w:color w:val="auto"/>
        </w:rPr>
      </w:pPr>
    </w:p>
    <w:p>
      <w:pPr>
        <w:jc w:val="both"/>
        <w:ind w:left="1022" w:right="20" w:hanging="511"/>
        <w:spacing w:after="0"/>
        <w:tabs>
          <w:tab w:leader="none" w:pos="11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guarantee or security taken pursuant to, or in connection with, the Finance Documents by any Finance Party; and/or</w:t>
      </w:r>
    </w:p>
    <w:p>
      <w:pPr>
        <w:spacing w:after="0" w:line="202" w:lineRule="exact"/>
        <w:rPr>
          <w:rFonts w:ascii="Arial" w:cs="Arial" w:eastAsia="Arial" w:hAnsi="Arial"/>
          <w:sz w:val="18"/>
          <w:szCs w:val="18"/>
          <w:color w:val="auto"/>
        </w:rPr>
      </w:pPr>
    </w:p>
    <w:p>
      <w:pPr>
        <w:ind w:left="1022" w:hanging="511"/>
        <w:spacing w:after="0" w:line="246" w:lineRule="auto"/>
        <w:tabs>
          <w:tab w:leader="none" w:pos="1069"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Borrower is liable under this Agreement or any of the other Finance Documents; and/or</w:t>
      </w:r>
    </w:p>
    <w:p>
      <w:pPr>
        <w:spacing w:after="0" w:line="196" w:lineRule="exact"/>
        <w:rPr>
          <w:rFonts w:ascii="Arial" w:cs="Arial" w:eastAsia="Arial" w:hAnsi="Arial"/>
          <w:sz w:val="18"/>
          <w:szCs w:val="18"/>
          <w:color w:val="auto"/>
        </w:rPr>
      </w:pPr>
    </w:p>
    <w:p>
      <w:pPr>
        <w:ind w:left="1022" w:hanging="511"/>
        <w:spacing w:after="0"/>
        <w:tabs>
          <w:tab w:leader="none" w:pos="10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11" w:lineRule="exact"/>
        <w:rPr>
          <w:rFonts w:ascii="Arial" w:cs="Arial" w:eastAsia="Arial" w:hAnsi="Arial"/>
          <w:sz w:val="18"/>
          <w:szCs w:val="18"/>
          <w:color w:val="auto"/>
        </w:rPr>
      </w:pPr>
    </w:p>
    <w:p>
      <w:pPr>
        <w:ind w:left="1022" w:hanging="511"/>
        <w:spacing w:after="0"/>
        <w:tabs>
          <w:tab w:leader="none" w:pos="10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12" w:lineRule="exact"/>
        <w:rPr>
          <w:sz w:val="20"/>
          <w:szCs w:val="20"/>
          <w:color w:val="auto"/>
        </w:rPr>
      </w:pPr>
    </w:p>
    <w:p>
      <w:pPr>
        <w:jc w:val="both"/>
        <w:ind w:left="2"/>
        <w:spacing w:after="0"/>
        <w:rPr>
          <w:sz w:val="20"/>
          <w:szCs w:val="20"/>
          <w:color w:val="auto"/>
        </w:rPr>
      </w:pPr>
      <w:r>
        <w:rPr>
          <w:rFonts w:ascii="Arial" w:cs="Arial" w:eastAsia="Arial" w:hAnsi="Arial"/>
          <w:sz w:val="18"/>
          <w:szCs w:val="18"/>
          <w:color w:val="auto"/>
        </w:rPr>
        <w:t>If a Borrower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20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33" w:name="page34"/>
    <w:bookmarkEnd w:id="33"/>
    <w:p>
      <w:pPr>
        <w:ind w:left="480" w:hanging="370"/>
        <w:spacing w:after="0"/>
        <w:tabs>
          <w:tab w:leader="none" w:pos="4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Purpose</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apply all amounts borrowed under the Facility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3.2</w:t>
        <w:tab/>
        <w:t>Use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Ship Commitment for each Ship shall be made available solely for the purpose of:</w:t>
      </w:r>
    </w:p>
    <w:p>
      <w:pPr>
        <w:spacing w:after="0" w:line="212" w:lineRule="exact"/>
        <w:rPr>
          <w:sz w:val="20"/>
          <w:szCs w:val="20"/>
          <w:color w:val="auto"/>
        </w:rPr>
      </w:pPr>
    </w:p>
    <w:p>
      <w:pPr>
        <w:ind w:left="1040" w:hanging="522"/>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assisting the relevant Owner to refinance the Existing Indebtedness made available in respect of that Ship in full; and</w:t>
      </w:r>
    </w:p>
    <w:p>
      <w:pPr>
        <w:spacing w:after="0" w:line="193" w:lineRule="exact"/>
        <w:rPr>
          <w:rFonts w:ascii="Arial" w:cs="Arial" w:eastAsia="Arial" w:hAnsi="Arial"/>
          <w:sz w:val="18"/>
          <w:szCs w:val="18"/>
          <w:color w:val="auto"/>
        </w:rPr>
      </w:pPr>
    </w:p>
    <w:p>
      <w:pPr>
        <w:ind w:left="1000" w:hanging="482"/>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payment of fees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any other fees, costs and expenses arising under this Agreement.</w:t>
      </w:r>
    </w:p>
    <w:p>
      <w:pPr>
        <w:spacing w:after="0" w:line="20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3.3</w:t>
        <w:tab/>
        <w:t>Monitoring</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80" w:lineRule="exact"/>
        <w:rPr>
          <w:sz w:val="20"/>
          <w:szCs w:val="20"/>
          <w:color w:val="auto"/>
        </w:rPr>
      </w:pPr>
    </w:p>
    <w:p>
      <w:pPr>
        <w:ind w:left="480" w:hanging="370"/>
        <w:spacing w:after="0"/>
        <w:tabs>
          <w:tab w:leader="none" w:pos="4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of Utilisation</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4.1</w:t>
        <w:tab/>
        <w:t>Conditions precedent to the delivery of a Utilisation Request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may not deliver a Utilisation Request unless the Agent, or its duly authorised representative, has received all of the documents and the evidence listed in Schedule 3, Part 1 (</w:t>
      </w:r>
      <w:r>
        <w:rPr>
          <w:rFonts w:ascii="Arial" w:cs="Arial" w:eastAsia="Arial" w:hAnsi="Arial"/>
          <w:sz w:val="18"/>
          <w:szCs w:val="18"/>
          <w:i w:val="1"/>
          <w:iCs w:val="1"/>
          <w:color w:val="auto"/>
        </w:rPr>
        <w:t>Conditions precedent to any Utilisation</w:t>
      </w:r>
      <w:r>
        <w:rPr>
          <w:rFonts w:ascii="Arial" w:cs="Arial" w:eastAsia="Arial" w:hAnsi="Arial"/>
          <w:sz w:val="18"/>
          <w:szCs w:val="18"/>
          <w:color w:val="auto"/>
        </w:rPr>
        <w:t>) in form and substance satisfactory to the Agent.</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4.2</w:t>
        <w:tab/>
        <w:t>Conditions precedent to Utilisation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Commitment in respect of each Ship may only be made available under this Agreement if, the Agent, or its duly authorised representative, has received all of the documents and evidence listed in Schedule 3, Part 2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in relation to such Ship in form and substance satisfactory to the Agent.</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Notice to Lenders</w:t>
      </w:r>
    </w:p>
    <w:p>
      <w:pPr>
        <w:spacing w:after="0" w:line="234" w:lineRule="exact"/>
        <w:rPr>
          <w:sz w:val="20"/>
          <w:szCs w:val="20"/>
          <w:color w:val="auto"/>
        </w:rPr>
      </w:pPr>
    </w:p>
    <w:p>
      <w:pPr>
        <w:jc w:val="both"/>
        <w:ind w:left="520" w:right="20"/>
        <w:spacing w:after="0" w:line="238" w:lineRule="auto"/>
        <w:rPr>
          <w:sz w:val="20"/>
          <w:szCs w:val="20"/>
          <w:color w:val="auto"/>
        </w:rPr>
      </w:pPr>
      <w:r>
        <w:rPr>
          <w:rFonts w:ascii="Arial" w:cs="Arial" w:eastAsia="Arial" w:hAnsi="Arial"/>
          <w:sz w:val="18"/>
          <w:szCs w:val="18"/>
          <w:color w:val="auto"/>
        </w:rPr>
        <w:t>The Agent shall notify the Borrowers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Further conditions precedent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w:t>
      </w:r>
    </w:p>
    <w:p>
      <w:pPr>
        <w:spacing w:after="0" w:line="230" w:lineRule="exact"/>
        <w:rPr>
          <w:sz w:val="20"/>
          <w:szCs w:val="20"/>
          <w:color w:val="auto"/>
        </w:rPr>
      </w:pPr>
    </w:p>
    <w:p>
      <w:pPr>
        <w:ind w:left="1040" w:hanging="522"/>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211" w:lineRule="exact"/>
        <w:rPr>
          <w:rFonts w:ascii="Arial" w:cs="Arial" w:eastAsia="Arial" w:hAnsi="Arial"/>
          <w:sz w:val="18"/>
          <w:szCs w:val="18"/>
          <w:color w:val="auto"/>
        </w:rPr>
      </w:pPr>
    </w:p>
    <w:p>
      <w:pPr>
        <w:ind w:left="1020" w:hanging="502"/>
        <w:spacing w:after="0" w:line="246" w:lineRule="auto"/>
        <w:tabs>
          <w:tab w:leader="none" w:pos="129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relation to each Utilisation, on the date of the Utilisation Request and on the proposed Utilisation Date, all of the representations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(except the Ship Representations) are true;</w:t>
      </w:r>
    </w:p>
    <w:p>
      <w:pPr>
        <w:spacing w:after="0" w:line="196" w:lineRule="exact"/>
        <w:rPr>
          <w:rFonts w:ascii="Arial" w:cs="Arial" w:eastAsia="Arial" w:hAnsi="Arial"/>
          <w:sz w:val="18"/>
          <w:szCs w:val="18"/>
          <w:color w:val="auto"/>
        </w:rPr>
      </w:pPr>
    </w:p>
    <w:p>
      <w:pPr>
        <w:ind w:left="1020" w:hanging="502"/>
        <w:spacing w:after="0" w:line="246" w:lineRule="auto"/>
        <w:tabs>
          <w:tab w:leader="none" w:pos="11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the proposed Utilisation Date is to be the first day of the Mortgage Period for a Ship, the Ship Representations for that Ship are true on the proposed Utilisation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4" w:name="page35"/>
    <w:bookmarkEnd w:id="34"/>
    <w:p>
      <w:pPr>
        <w:jc w:val="both"/>
        <w:ind w:left="1020" w:hanging="502"/>
        <w:spacing w:after="0"/>
        <w:tabs>
          <w:tab w:leader="none" w:pos="10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202" w:lineRule="exact"/>
        <w:rPr>
          <w:rFonts w:ascii="Arial" w:cs="Arial" w:eastAsia="Arial" w:hAnsi="Arial"/>
          <w:sz w:val="18"/>
          <w:szCs w:val="18"/>
          <w:color w:val="auto"/>
        </w:rPr>
      </w:pPr>
    </w:p>
    <w:p>
      <w:pPr>
        <w:ind w:left="1040" w:hanging="522"/>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Total Loss Date has occurred in relation to the applicable Ship;</w:t>
      </w:r>
    </w:p>
    <w:p>
      <w:pPr>
        <w:spacing w:after="0" w:line="211" w:lineRule="exact"/>
        <w:rPr>
          <w:rFonts w:ascii="Arial" w:cs="Arial" w:eastAsia="Arial" w:hAnsi="Arial"/>
          <w:sz w:val="18"/>
          <w:szCs w:val="18"/>
          <w:color w:val="auto"/>
        </w:rPr>
      </w:pPr>
    </w:p>
    <w:p>
      <w:pPr>
        <w:ind w:left="1020" w:hanging="502"/>
        <w:spacing w:after="0" w:line="246" w:lineRule="auto"/>
        <w:tabs>
          <w:tab w:leader="none" w:pos="10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Security Value in respect of an Advance would not be less than the Minimum Value for such Advance immediately after the proposed Utilisation; and</w:t>
      </w:r>
    </w:p>
    <w:p>
      <w:pPr>
        <w:spacing w:after="0" w:line="178" w:lineRule="exact"/>
        <w:rPr>
          <w:rFonts w:ascii="Arial" w:cs="Arial" w:eastAsia="Arial" w:hAnsi="Arial"/>
          <w:sz w:val="18"/>
          <w:szCs w:val="18"/>
          <w:color w:val="auto"/>
        </w:rPr>
      </w:pPr>
    </w:p>
    <w:p>
      <w:pPr>
        <w:ind w:left="1020" w:hanging="502"/>
        <w:spacing w:after="0" w:line="267" w:lineRule="auto"/>
        <w:tabs>
          <w:tab w:leader="none" w:pos="11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prepayment or cancellation event has occurred under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w:t>
      </w:r>
    </w:p>
    <w:p>
      <w:pPr>
        <w:spacing w:after="0" w:line="15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Waiver of conditions precedent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 xml:space="preserve">The conditions in this clause 4 are inserted solely for the benefit of the Finance Parties and may be waived on their behalf in whole or in part and with or without conditions by the Agent acting on the instructions of the Majority Lenders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the conditions set out under paragraphs 2, 3, 6, 7, 8, 9, 10 and 11 of Part 2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may only be waived by the Agent, acting on the instructions of all the Lenders.</w:t>
      </w:r>
    </w:p>
    <w:p>
      <w:pPr>
        <w:spacing w:after="0" w:line="173" w:lineRule="exact"/>
        <w:rPr>
          <w:sz w:val="20"/>
          <w:szCs w:val="20"/>
          <w:color w:val="auto"/>
        </w:rPr>
      </w:pPr>
    </w:p>
    <w:p>
      <w:pPr>
        <w:ind w:left="480" w:hanging="370"/>
        <w:spacing w:after="0"/>
        <w:tabs>
          <w:tab w:leader="none" w:pos="4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Utilisation</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5.1</w:t>
        <w:tab/>
        <w:t>Delivery of a Utilisation Request</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Borrowers may utilise the Facility by delivery to the Agent of a duly completed Utilisation Request not later than 11:00 a.m. three (3) Business Days before the proposed Utilisation Date.</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Completion of a Utilisation Request</w:t>
      </w:r>
    </w:p>
    <w:p>
      <w:pPr>
        <w:spacing w:after="0" w:line="234" w:lineRule="exact"/>
        <w:rPr>
          <w:sz w:val="20"/>
          <w:szCs w:val="20"/>
          <w:color w:val="auto"/>
        </w:rPr>
      </w:pPr>
    </w:p>
    <w:p>
      <w:pPr>
        <w:ind w:left="1040" w:hanging="522"/>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proposed Utilisation Date for each Advance is the same Business Day falling not later than the Last Availability Date;</w:t>
      </w:r>
    </w:p>
    <w:p>
      <w:pPr>
        <w:spacing w:after="0" w:line="193" w:lineRule="exact"/>
        <w:rPr>
          <w:rFonts w:ascii="Arial" w:cs="Arial" w:eastAsia="Arial" w:hAnsi="Arial"/>
          <w:sz w:val="18"/>
          <w:szCs w:val="18"/>
          <w:color w:val="auto"/>
        </w:rPr>
      </w:pPr>
    </w:p>
    <w:p>
      <w:pPr>
        <w:ind w:left="1540" w:hanging="511"/>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Advance for each Ship must be requested in the same Utilisation Request.</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Currency and amount</w:t>
      </w:r>
    </w:p>
    <w:p>
      <w:pPr>
        <w:spacing w:after="0" w:line="234" w:lineRule="exact"/>
        <w:rPr>
          <w:sz w:val="20"/>
          <w:szCs w:val="20"/>
          <w:color w:val="auto"/>
        </w:rPr>
      </w:pPr>
    </w:p>
    <w:p>
      <w:pPr>
        <w:ind w:left="1040" w:hanging="522"/>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11" w:lineRule="exact"/>
        <w:rPr>
          <w:rFonts w:ascii="Arial" w:cs="Arial" w:eastAsia="Arial" w:hAnsi="Arial"/>
          <w:sz w:val="18"/>
          <w:szCs w:val="18"/>
          <w:color w:val="auto"/>
        </w:rPr>
      </w:pPr>
    </w:p>
    <w:p>
      <w:pPr>
        <w:ind w:left="1020" w:hanging="502"/>
        <w:spacing w:after="0" w:line="246" w:lineRule="auto"/>
        <w:tabs>
          <w:tab w:leader="none" w:pos="9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Ship Commitment for a Ship shall not exceed that permitted by the definition of Advance for that Ship.</w:t>
      </w:r>
    </w:p>
    <w:p>
      <w:pPr>
        <w:spacing w:after="0" w:line="196" w:lineRule="exact"/>
        <w:rPr>
          <w:rFonts w:ascii="Arial" w:cs="Arial" w:eastAsia="Arial" w:hAnsi="Arial"/>
          <w:sz w:val="18"/>
          <w:szCs w:val="18"/>
          <w:color w:val="auto"/>
        </w:rPr>
      </w:pPr>
    </w:p>
    <w:p>
      <w:pPr>
        <w:ind w:left="1040" w:hanging="522"/>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Only one Utilisation may be made in respect of each Ship.</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Lenders’ participation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ind w:left="1020" w:hanging="502"/>
        <w:spacing w:after="0"/>
        <w:tabs>
          <w:tab w:leader="none" w:pos="10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each Advance available by providing funds or a copy of an irrevocable payment order to the Agent no later than 11:00 am Paris time on the Utilisation Date through its Facility Office.</w:t>
      </w:r>
    </w:p>
    <w:p>
      <w:pPr>
        <w:spacing w:after="0" w:line="202" w:lineRule="exact"/>
        <w:rPr>
          <w:rFonts w:ascii="Arial" w:cs="Arial" w:eastAsia="Arial" w:hAnsi="Arial"/>
          <w:sz w:val="18"/>
          <w:szCs w:val="18"/>
          <w:color w:val="auto"/>
        </w:rPr>
      </w:pPr>
    </w:p>
    <w:p>
      <w:pPr>
        <w:ind w:left="1020" w:hanging="502"/>
        <w:spacing w:after="0" w:line="246" w:lineRule="auto"/>
        <w:tabs>
          <w:tab w:leader="none" w:pos="10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each Lender’s participation in an Advance will be equal to the proportion borne by its Commitment to the Total Commitments immediately prior to making the relevant Advance.</w:t>
      </w:r>
    </w:p>
    <w:p>
      <w:pPr>
        <w:spacing w:after="0" w:line="196" w:lineRule="exact"/>
        <w:rPr>
          <w:rFonts w:ascii="Arial" w:cs="Arial" w:eastAsia="Arial" w:hAnsi="Arial"/>
          <w:sz w:val="18"/>
          <w:szCs w:val="18"/>
          <w:color w:val="auto"/>
        </w:rPr>
      </w:pPr>
    </w:p>
    <w:p>
      <w:pPr>
        <w:ind w:left="1020" w:hanging="502"/>
        <w:spacing w:after="0" w:line="246" w:lineRule="auto"/>
        <w:tabs>
          <w:tab w:leader="none" w:pos="103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the Advance and the amount of its participation in the Advance, in each case by 11:00 am Paris time on the second Business Day before the proposed Utilisation Date.</w:t>
      </w:r>
    </w:p>
    <w:p>
      <w:pPr>
        <w:spacing w:after="0" w:line="196" w:lineRule="exact"/>
        <w:rPr>
          <w:rFonts w:ascii="Arial" w:cs="Arial" w:eastAsia="Arial" w:hAnsi="Arial"/>
          <w:sz w:val="18"/>
          <w:szCs w:val="18"/>
          <w:color w:val="auto"/>
        </w:rPr>
      </w:pPr>
    </w:p>
    <w:p>
      <w:pPr>
        <w:jc w:val="both"/>
        <w:ind w:left="1020" w:hanging="502"/>
        <w:spacing w:after="0" w:line="248" w:lineRule="auto"/>
        <w:tabs>
          <w:tab w:leader="none" w:pos="9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each Advance (and its own participation in it, if any) to the Borrowers or for the account of any of them or to any Existing Indebtedness Lender, in each case in accordance with the instructions contained in the Utilisation Request.</w:t>
      </w:r>
    </w:p>
    <w:p>
      <w:pPr>
        <w:spacing w:after="0" w:line="164" w:lineRule="exact"/>
        <w:rPr>
          <w:sz w:val="20"/>
          <w:szCs w:val="20"/>
          <w:color w:val="auto"/>
        </w:rPr>
      </w:pPr>
    </w:p>
    <w:p>
      <w:pPr>
        <w:ind w:left="480" w:hanging="370"/>
        <w:spacing w:after="0"/>
        <w:tabs>
          <w:tab w:leader="none" w:pos="48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Scheduled Repayment of Facility</w:t>
      </w:r>
    </w:p>
    <w:p>
      <w:pPr>
        <w:spacing w:after="0" w:line="234" w:lineRule="exact"/>
        <w:rPr>
          <w:sz w:val="20"/>
          <w:szCs w:val="20"/>
          <w:color w:val="auto"/>
        </w:rPr>
      </w:pPr>
    </w:p>
    <w:p>
      <w:pPr>
        <w:ind w:left="1020" w:hanging="502"/>
        <w:spacing w:after="0" w:line="246" w:lineRule="auto"/>
        <w:tabs>
          <w:tab w:leader="none" w:pos="11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not previously reduced or prepaid, the Advance in respect of each Ship shall be repaid by instalments on each Repayment Date in the amounts as specified in the Repayment Schedule for the relevant Advance.</w:t>
      </w:r>
    </w:p>
    <w:p>
      <w:pPr>
        <w:spacing w:after="0" w:line="196" w:lineRule="exact"/>
        <w:rPr>
          <w:rFonts w:ascii="Arial" w:cs="Arial" w:eastAsia="Arial" w:hAnsi="Arial"/>
          <w:sz w:val="18"/>
          <w:szCs w:val="18"/>
          <w:color w:val="auto"/>
        </w:rPr>
      </w:pPr>
    </w:p>
    <w:p>
      <w:pPr>
        <w:jc w:val="both"/>
        <w:ind w:left="1020" w:hanging="502"/>
        <w:spacing w:after="0"/>
        <w:tabs>
          <w:tab w:leader="none" w:pos="10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the Final Repayment Date (without prejudice to any other provision of this Agreement), each Advance shall, to the extent not previously reduced be repaid in full together with all outstanding amounts under this Agreement and all other Finance Documents.</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6.2</w:t>
        <w:tab/>
        <w:t>Adjustment of scheduled repayments</w:t>
      </w:r>
    </w:p>
    <w:p>
      <w:pPr>
        <w:spacing w:after="0" w:line="234" w:lineRule="exact"/>
        <w:rPr>
          <w:sz w:val="20"/>
          <w:szCs w:val="20"/>
          <w:color w:val="auto"/>
        </w:rPr>
      </w:pPr>
    </w:p>
    <w:p>
      <w:pPr>
        <w:jc w:val="both"/>
        <w:ind w:left="1020" w:hanging="502"/>
        <w:spacing w:after="0" w:line="238" w:lineRule="auto"/>
        <w:tabs>
          <w:tab w:leader="none" w:pos="11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Advance for a Ship has been partially reduced under this Agreement and/or any part of the relevant Advance is prepaid (other than under clause 6.1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 before any Repayment Date in respect of that Advance then, unless stated otherwise in this Agreement, the amount of the instalment by which the relevant Advance shall be repaid under clause 6.1 on any such Repayment Date (as reduced by any earlier operation of this clause 6.2) shall be reduced pro rata to such reduction and/or prepayment of the relevant Advance.</w:t>
      </w:r>
    </w:p>
    <w:p>
      <w:pPr>
        <w:spacing w:after="0" w:line="202" w:lineRule="exact"/>
        <w:rPr>
          <w:rFonts w:ascii="Arial" w:cs="Arial" w:eastAsia="Arial" w:hAnsi="Arial"/>
          <w:sz w:val="18"/>
          <w:szCs w:val="18"/>
          <w:color w:val="auto"/>
        </w:rPr>
      </w:pPr>
    </w:p>
    <w:p>
      <w:pPr>
        <w:ind w:left="1020" w:hanging="502"/>
        <w:spacing w:after="0" w:line="246" w:lineRule="auto"/>
        <w:tabs>
          <w:tab w:leader="none" w:pos="10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at any stage an Advance is reduced pursuant to this clause 6.2, the Agent shall issue a replacement Repayment Schedule which shall, in the absence of manifest error, be binding on all Parties.</w:t>
      </w:r>
    </w:p>
    <w:p>
      <w:pPr>
        <w:spacing w:after="0" w:line="165" w:lineRule="exact"/>
        <w:rPr>
          <w:sz w:val="20"/>
          <w:szCs w:val="20"/>
          <w:color w:val="auto"/>
        </w:rPr>
      </w:pPr>
    </w:p>
    <w:p>
      <w:pPr>
        <w:ind w:left="480" w:hanging="370"/>
        <w:spacing w:after="0"/>
        <w:tabs>
          <w:tab w:leader="none" w:pos="48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Illegality, prepayment and cancellation</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Illegality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the Loan or it becomes unlawful for any Affiliate of a Lender for that Lender to do so:</w:t>
      </w:r>
    </w:p>
    <w:p>
      <w:pPr>
        <w:spacing w:after="0" w:line="203" w:lineRule="exact"/>
        <w:rPr>
          <w:sz w:val="20"/>
          <w:szCs w:val="20"/>
          <w:color w:val="auto"/>
        </w:rPr>
      </w:pPr>
    </w:p>
    <w:p>
      <w:pPr>
        <w:ind w:left="1040" w:hanging="522"/>
        <w:spacing w:after="0"/>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11" w:lineRule="exact"/>
        <w:rPr>
          <w:rFonts w:ascii="Arial" w:cs="Arial" w:eastAsia="Arial" w:hAnsi="Arial"/>
          <w:sz w:val="18"/>
          <w:szCs w:val="18"/>
          <w:color w:val="auto"/>
        </w:rPr>
      </w:pPr>
    </w:p>
    <w:p>
      <w:pPr>
        <w:ind w:left="1020" w:hanging="502"/>
        <w:spacing w:after="0" w:line="246"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Commitments of that Lender will be immediately cancelled and the Total Commitments shall be reduced accordingly and the remaining Ship Commitments shall be reduced rateably;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left="1020" w:hanging="502"/>
        <w:spacing w:after="0"/>
        <w:tabs>
          <w:tab w:leader="none" w:pos="10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Loan on the last day of the Interest Period occurring after the Agent has notified the Borrowers or, if earlier, the date specified by the Lender in the notice delivered to the Agent (being no earlier than the last day of any applicable grace period permitted by law).</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Change of Control; delisting</w:t>
      </w:r>
    </w:p>
    <w:p>
      <w:pPr>
        <w:spacing w:after="0" w:line="234" w:lineRule="exact"/>
        <w:rPr>
          <w:sz w:val="20"/>
          <w:szCs w:val="20"/>
          <w:color w:val="auto"/>
        </w:rPr>
      </w:pPr>
    </w:p>
    <w:p>
      <w:pPr>
        <w:ind w:left="1020" w:hanging="502"/>
        <w:spacing w:after="0" w:line="246" w:lineRule="auto"/>
        <w:tabs>
          <w:tab w:leader="none" w:pos="10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there is a Change of Control, the Borrowers shall promptly notify the Agent upon any Obligor becoming aware of a Change of Control occurring.</w:t>
      </w:r>
    </w:p>
    <w:p>
      <w:pPr>
        <w:spacing w:after="0" w:line="196" w:lineRule="exact"/>
        <w:rPr>
          <w:rFonts w:ascii="Arial" w:cs="Arial" w:eastAsia="Arial" w:hAnsi="Arial"/>
          <w:sz w:val="18"/>
          <w:szCs w:val="18"/>
          <w:color w:val="auto"/>
        </w:rPr>
      </w:pPr>
    </w:p>
    <w:p>
      <w:pPr>
        <w:ind w:left="1000" w:hanging="482"/>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becoming notified by any Party of:</w:t>
      </w:r>
    </w:p>
    <w:p>
      <w:pPr>
        <w:spacing w:after="0" w:line="212" w:lineRule="exact"/>
        <w:rPr>
          <w:sz w:val="20"/>
          <w:szCs w:val="20"/>
          <w:color w:val="auto"/>
        </w:rPr>
      </w:pPr>
    </w:p>
    <w:p>
      <w:pPr>
        <w:jc w:val="both"/>
        <w:ind w:left="1540" w:hanging="511"/>
        <w:spacing w:after="0"/>
        <w:tabs>
          <w:tab w:leader="none" w:pos="15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Change of Control in respect of the Parent or GasLog Holdings, the Agent shall, if instructed by the Majority Lenders, by notice to the Borrowers, cancel the Total Commitments immediately and declare the Advances to be payable within ten (10) Business Days from the date of such notice. Upon such notice being given, the Total Commitments shall be forthwith</w:t>
      </w:r>
    </w:p>
    <w:p>
      <w:pPr>
        <w:ind w:left="1540"/>
        <w:spacing w:after="0" w:line="246" w:lineRule="auto"/>
        <w:rPr>
          <w:sz w:val="20"/>
          <w:szCs w:val="20"/>
          <w:color w:val="auto"/>
        </w:rPr>
      </w:pPr>
      <w:r>
        <w:rPr>
          <w:rFonts w:ascii="Arial" w:cs="Arial" w:eastAsia="Arial" w:hAnsi="Arial"/>
          <w:sz w:val="18"/>
          <w:szCs w:val="18"/>
          <w:color w:val="auto"/>
        </w:rPr>
        <w:t>cancelled and the Borrowers shall, within such ten (10) Business Day period, prepay the Advances in full together with all other amounts owing under this Agreement or any of the other Finance Documents; and</w:t>
      </w:r>
    </w:p>
    <w:p>
      <w:pPr>
        <w:spacing w:after="0" w:line="179" w:lineRule="exact"/>
        <w:rPr>
          <w:sz w:val="20"/>
          <w:szCs w:val="20"/>
          <w:color w:val="auto"/>
        </w:rPr>
      </w:pPr>
    </w:p>
    <w:p>
      <w:pPr>
        <w:ind w:left="1540" w:hanging="511"/>
        <w:spacing w:after="0" w:line="267" w:lineRule="auto"/>
        <w:tabs>
          <w:tab w:leader="none" w:pos="15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Change of Control in respect of a Borrower, clause 7.6 (</w:t>
      </w:r>
      <w:r>
        <w:rPr>
          <w:rFonts w:ascii="Arial" w:cs="Arial" w:eastAsia="Arial" w:hAnsi="Arial"/>
          <w:sz w:val="18"/>
          <w:szCs w:val="18"/>
          <w:i w:val="1"/>
          <w:iCs w:val="1"/>
          <w:color w:val="auto"/>
        </w:rPr>
        <w:t>Sale, Total Loss, Change of Control in respect of a Borrower or</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 in full of an Advance</w:t>
      </w:r>
      <w:r>
        <w:rPr>
          <w:rFonts w:ascii="Arial" w:cs="Arial" w:eastAsia="Arial" w:hAnsi="Arial"/>
          <w:sz w:val="18"/>
          <w:szCs w:val="18"/>
          <w:color w:val="auto"/>
        </w:rPr>
        <w:t>) shall apply.</w:t>
      </w:r>
    </w:p>
    <w:p>
      <w:pPr>
        <w:spacing w:after="0" w:line="178" w:lineRule="exact"/>
        <w:rPr>
          <w:rFonts w:ascii="Arial" w:cs="Arial" w:eastAsia="Arial" w:hAnsi="Arial"/>
          <w:sz w:val="18"/>
          <w:szCs w:val="18"/>
          <w:color w:val="auto"/>
        </w:rPr>
      </w:pPr>
    </w:p>
    <w:p>
      <w:pPr>
        <w:jc w:val="both"/>
        <w:ind w:left="1020" w:hanging="502"/>
        <w:spacing w:after="0" w:line="237" w:lineRule="auto"/>
        <w:tabs>
          <w:tab w:leader="none" w:pos="11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Parent ceases to be listed on an Approved Exchange for any reason, without the prior consent of the Majority Lenders, other than as a result of a voluntary decision to delist taken by the Parent, the Borrowers shall notify the Agent of the same upon its occurrence, and the Agent, upon being notified shall, if instructed by the Majority Lenders, cancel the Total Commitments immediately and declare the Advances to be payable within ten (10) Business Days from the date of such notice. Upon such notice being given, the Total Commitments shall be immediately cancelled and the Borrowers shall, within such ten (10) Business Day period, prepay the Advances in full together with all other amounts owing under this Agreement or any of the other Finance Documents.</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Voluntary cancellation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may, if they give the Agent not less than ten (10) Business Days’ (or such shorter period as the Majority Lenders may agree) prior notice, cancel the whole or any part (being a minimum amount of $5,000,000 and a multiple of $1,000,000) of any Ship Commitment which is undrawn at the proposed date of cancellation. Any cancellation under this clause 7.3 shall reduce the Commitments of the Lenders rateably.</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Voluntary prepayment</w:t>
      </w:r>
    </w:p>
    <w:p>
      <w:pPr>
        <w:spacing w:after="0" w:line="234" w:lineRule="exact"/>
        <w:rPr>
          <w:sz w:val="20"/>
          <w:szCs w:val="20"/>
          <w:color w:val="auto"/>
        </w:rPr>
      </w:pPr>
    </w:p>
    <w:p>
      <w:pPr>
        <w:jc w:val="both"/>
        <w:ind w:left="1020" w:hanging="502"/>
        <w:spacing w:after="0" w:line="238" w:lineRule="auto"/>
        <w:tabs>
          <w:tab w:leader="none" w:pos="10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Borrowers may, if they give the Agent not less than ten (10) Business Days (or such shorter period as the Majority Lenders may agree) prior written notice, prepay the whole or any part of the Loan (being a minimum amount of $5,000,000 and a multiple of $1,000,000), on the last day of an Interest Period in respect of the amount to be prepaid (or any other date subject to payment of any Break Costs).</w:t>
      </w:r>
    </w:p>
    <w:p>
      <w:pPr>
        <w:spacing w:after="0" w:line="204" w:lineRule="exact"/>
        <w:rPr>
          <w:rFonts w:ascii="Arial" w:cs="Arial" w:eastAsia="Arial" w:hAnsi="Arial"/>
          <w:sz w:val="18"/>
          <w:szCs w:val="18"/>
          <w:color w:val="auto"/>
        </w:rPr>
      </w:pPr>
    </w:p>
    <w:p>
      <w:pPr>
        <w:jc w:val="both"/>
        <w:ind w:left="1020" w:hanging="502"/>
        <w:spacing w:after="0" w:line="238" w:lineRule="auto"/>
        <w:tabs>
          <w:tab w:leader="none" w:pos="12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election by the Borrowers to make a voluntary prepayment pursuant to clause 7.4(a) shall, where such voluntary prepayment is for the whole of an Advance, be subject to the conditions set out in clause 7.6 (</w:t>
      </w:r>
      <w:r>
        <w:rPr>
          <w:rFonts w:ascii="Arial" w:cs="Arial" w:eastAsia="Arial" w:hAnsi="Arial"/>
          <w:sz w:val="18"/>
          <w:szCs w:val="18"/>
          <w:i w:val="1"/>
          <w:iCs w:val="1"/>
          <w:color w:val="auto"/>
        </w:rPr>
        <w:t>Sale, Total Loss, 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in respect of a Borrower or prepayment in full of an Advance</w:t>
      </w:r>
      <w:r>
        <w:rPr>
          <w:rFonts w:ascii="Arial" w:cs="Arial" w:eastAsia="Arial" w:hAnsi="Arial"/>
          <w:sz w:val="18"/>
          <w:szCs w:val="18"/>
          <w:color w:val="auto"/>
        </w:rPr>
        <w:t>) being complied with</w:t>
      </w:r>
      <w:r>
        <w:rPr>
          <w:rFonts w:ascii="Arial" w:cs="Arial" w:eastAsia="Arial" w:hAnsi="Arial"/>
          <w:sz w:val="18"/>
          <w:szCs w:val="18"/>
          <w:i w:val="1"/>
          <w:iCs w:val="1"/>
          <w:color w:val="auto"/>
        </w:rPr>
        <w:t xml:space="preserve"> mutatis mutandis </w:t>
      </w:r>
      <w:r>
        <w:rPr>
          <w:rFonts w:ascii="Arial" w:cs="Arial" w:eastAsia="Arial" w:hAnsi="Arial"/>
          <w:sz w:val="18"/>
          <w:szCs w:val="18"/>
          <w:color w:val="auto"/>
        </w:rPr>
        <w:t>as if set out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86" w:lineRule="exact"/>
        <w:rPr>
          <w:rFonts w:ascii="Arial" w:cs="Arial" w:eastAsia="Arial" w:hAnsi="Arial"/>
          <w:sz w:val="18"/>
          <w:szCs w:val="18"/>
          <w:color w:val="auto"/>
        </w:rPr>
      </w:pPr>
    </w:p>
    <w:p>
      <w:pPr>
        <w:ind w:left="1040" w:hanging="522"/>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Borrowers may prepay a part of any Advance in accordance with the terms of clause 25.12(a)(ii)(</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1000" w:hanging="482"/>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Borrowers may prepay any part of any Advance in accordance with the terms of clause 29.20(a)(i)(</w:t>
      </w:r>
      <w:r>
        <w:rPr>
          <w:rFonts w:ascii="Arial" w:cs="Arial" w:eastAsia="Arial" w:hAnsi="Arial"/>
          <w:sz w:val="18"/>
          <w:szCs w:val="18"/>
          <w:i w:val="1"/>
          <w:iCs w:val="1"/>
          <w:color w:val="auto"/>
        </w:rPr>
        <w:t>Charters</w:t>
      </w:r>
      <w:r>
        <w:rPr>
          <w:rFonts w:ascii="Arial" w:cs="Arial" w:eastAsia="Arial" w:hAnsi="Arial"/>
          <w:sz w:val="18"/>
          <w:szCs w:val="18"/>
          <w:color w:val="auto"/>
        </w:rPr>
        <w:t>).</w:t>
      </w:r>
    </w:p>
    <w:p>
      <w:pPr>
        <w:spacing w:after="0" w:line="208" w:lineRule="exact"/>
        <w:rPr>
          <w:sz w:val="20"/>
          <w:szCs w:val="20"/>
          <w:color w:val="auto"/>
        </w:rPr>
      </w:pPr>
    </w:p>
    <w:p>
      <w:pPr>
        <w:ind w:left="520" w:right="20" w:hanging="505"/>
        <w:spacing w:after="0" w:line="271" w:lineRule="auto"/>
        <w:tabs>
          <w:tab w:leader="none" w:pos="500" w:val="left"/>
        </w:tabs>
        <w:rPr>
          <w:sz w:val="20"/>
          <w:szCs w:val="20"/>
          <w:color w:val="auto"/>
        </w:rPr>
      </w:pPr>
      <w:r>
        <w:rPr>
          <w:rFonts w:ascii="Arial" w:cs="Arial" w:eastAsia="Arial" w:hAnsi="Arial"/>
          <w:sz w:val="18"/>
          <w:szCs w:val="18"/>
          <w:b w:val="1"/>
          <w:bCs w:val="1"/>
          <w:color w:val="auto"/>
        </w:rPr>
        <w:t>7.5</w:t>
        <w:tab/>
        <w:t>Right of replacement or cancellation and prepayment in relation to a single Lender/Right of cancellation in relation to a Defaulting Lender</w:t>
      </w:r>
    </w:p>
    <w:p>
      <w:pPr>
        <w:spacing w:after="0" w:line="176" w:lineRule="exact"/>
        <w:rPr>
          <w:sz w:val="20"/>
          <w:szCs w:val="20"/>
          <w:color w:val="auto"/>
        </w:rPr>
      </w:pPr>
    </w:p>
    <w:p>
      <w:pPr>
        <w:ind w:left="1040" w:hanging="522"/>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w:t>
      </w:r>
    </w:p>
    <w:p>
      <w:pPr>
        <w:spacing w:after="0" w:line="193" w:lineRule="exact"/>
        <w:rPr>
          <w:rFonts w:ascii="Arial" w:cs="Arial" w:eastAsia="Arial" w:hAnsi="Arial"/>
          <w:sz w:val="18"/>
          <w:szCs w:val="18"/>
          <w:color w:val="auto"/>
        </w:rPr>
      </w:pPr>
    </w:p>
    <w:p>
      <w:pPr>
        <w:ind w:left="1540" w:hanging="511"/>
        <w:spacing w:after="0"/>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211" w:lineRule="exact"/>
        <w:rPr>
          <w:rFonts w:ascii="Arial" w:cs="Arial" w:eastAsia="Arial" w:hAnsi="Arial"/>
          <w:sz w:val="18"/>
          <w:szCs w:val="18"/>
          <w:color w:val="auto"/>
        </w:rPr>
      </w:pPr>
    </w:p>
    <w:p>
      <w:pPr>
        <w:ind w:left="1540" w:hanging="511"/>
        <w:spacing w:after="0" w:line="267" w:lineRule="auto"/>
        <w:tabs>
          <w:tab w:leader="none" w:pos="17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Borrowers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7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Borrowers may, whilst the circumstance giving rise to the requirement for that increase or indemnification continues, give the Agent notice of cancellation of the Commitments of that Lender and their intention to procure the repayment of that Lender’s participation in the Loan or give the Agent notice of their intention to replace that Lender in accordance with clause 7.5(d).</w:t>
      </w:r>
    </w:p>
    <w:p>
      <w:pPr>
        <w:spacing w:after="0" w:line="203" w:lineRule="exact"/>
        <w:rPr>
          <w:sz w:val="20"/>
          <w:szCs w:val="20"/>
          <w:color w:val="auto"/>
        </w:rPr>
      </w:pPr>
    </w:p>
    <w:p>
      <w:pPr>
        <w:jc w:val="both"/>
        <w:ind w:left="1020" w:hanging="502"/>
        <w:spacing w:after="0" w:line="243" w:lineRule="auto"/>
        <w:tabs>
          <w:tab w:leader="none" w:pos="10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receipt of a notice referred to in clause 7.5(a) above, the Commitments of that Lender shall immediately be reduced to zero and (unless the Commitments of the relevant Lender are replaced in accordance with clause 7.5(d)) the Total Commitments shall be reduced accordingly. The Agent shall as soon as practicable after receipt of a notice referred to in clause 7.5(a) above, notify all the Lenders.</w:t>
      </w:r>
    </w:p>
    <w:p>
      <w:pPr>
        <w:spacing w:after="0" w:line="201" w:lineRule="exact"/>
        <w:rPr>
          <w:rFonts w:ascii="Arial" w:cs="Arial" w:eastAsia="Arial" w:hAnsi="Arial"/>
          <w:sz w:val="18"/>
          <w:szCs w:val="18"/>
          <w:color w:val="auto"/>
        </w:rPr>
      </w:pPr>
    </w:p>
    <w:p>
      <w:pPr>
        <w:jc w:val="both"/>
        <w:ind w:left="1020" w:hanging="502"/>
        <w:spacing w:after="0"/>
        <w:tabs>
          <w:tab w:leader="none" w:pos="1066"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Borrowers have given notice under clause 7.5(a) above in relation to a Lender (or, if earlier, the date specified by the Borrowers in that notice), the Borrowers shall repay that Lender’s participation in the Loan.</w:t>
      </w:r>
    </w:p>
    <w:p>
      <w:pPr>
        <w:spacing w:after="0" w:line="202" w:lineRule="exact"/>
        <w:rPr>
          <w:rFonts w:ascii="Arial" w:cs="Arial" w:eastAsia="Arial" w:hAnsi="Arial"/>
          <w:sz w:val="18"/>
          <w:szCs w:val="18"/>
          <w:color w:val="auto"/>
        </w:rPr>
      </w:pPr>
    </w:p>
    <w:p>
      <w:pPr>
        <w:jc w:val="both"/>
        <w:ind w:left="1020" w:hanging="502"/>
        <w:spacing w:after="0" w:line="237" w:lineRule="auto"/>
        <w:tabs>
          <w:tab w:leader="none" w:pos="105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Borrowers may, in the circumstances set out in clause 7.5(a), on fifteen (15) Business Days’ prior notice to the Agent and that Lender, replace that Lender by requiring that Lender to assign (and, to the extent permitted by law, that Lender shall assign) pursuant to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under this Agreement to a Lender or other bank, financial institution, trust, fund or other entity selected by the Borrowers which confirms its willingness to assume and does assume all the obligations of the assigning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assignment equal to the aggregate of:</w:t>
      </w:r>
    </w:p>
    <w:p>
      <w:pPr>
        <w:spacing w:after="0" w:line="204" w:lineRule="exact"/>
        <w:rPr>
          <w:rFonts w:ascii="Arial" w:cs="Arial" w:eastAsia="Arial" w:hAnsi="Arial"/>
          <w:sz w:val="18"/>
          <w:szCs w:val="18"/>
          <w:color w:val="auto"/>
        </w:rPr>
      </w:pPr>
    </w:p>
    <w:p>
      <w:pPr>
        <w:ind w:left="1540" w:hanging="511"/>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w:t>
      </w:r>
    </w:p>
    <w:p>
      <w:pPr>
        <w:spacing w:after="0" w:line="193" w:lineRule="exact"/>
        <w:rPr>
          <w:rFonts w:ascii="Arial" w:cs="Arial" w:eastAsia="Arial" w:hAnsi="Arial"/>
          <w:sz w:val="18"/>
          <w:szCs w:val="18"/>
          <w:color w:val="auto"/>
        </w:rPr>
      </w:pPr>
    </w:p>
    <w:p>
      <w:pPr>
        <w:ind w:left="1540" w:right="20" w:hanging="511"/>
        <w:spacing w:after="0" w:line="267" w:lineRule="auto"/>
        <w:tabs>
          <w:tab w:leader="none" w:pos="1576"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30.8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rata interest settlement</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1540" w:right="20" w:hanging="511"/>
        <w:spacing w:after="0" w:line="267" w:lineRule="auto"/>
        <w:tabs>
          <w:tab w:leader="none" w:pos="1766"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Borrowers prepaid in full that Lender’s participation in the Loan on the date of the assignment; and</w:t>
      </w:r>
    </w:p>
    <w:p>
      <w:pPr>
        <w:spacing w:after="0" w:line="178" w:lineRule="exact"/>
        <w:rPr>
          <w:rFonts w:ascii="Arial" w:cs="Arial" w:eastAsia="Arial" w:hAnsi="Arial"/>
          <w:sz w:val="18"/>
          <w:szCs w:val="18"/>
          <w:color w:val="auto"/>
        </w:rPr>
      </w:pPr>
    </w:p>
    <w:p>
      <w:pPr>
        <w:ind w:left="1540" w:hanging="511"/>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211" w:lineRule="exact"/>
        <w:rPr>
          <w:rFonts w:ascii="Arial" w:cs="Arial" w:eastAsia="Arial" w:hAnsi="Arial"/>
          <w:sz w:val="18"/>
          <w:szCs w:val="18"/>
          <w:color w:val="auto"/>
        </w:rPr>
      </w:pPr>
    </w:p>
    <w:p>
      <w:pPr>
        <w:ind w:left="1040" w:hanging="522"/>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8" w:name="page39"/>
    <w:bookmarkEnd w:id="38"/>
    <w:p>
      <w:pPr>
        <w:ind w:left="1540" w:hanging="511"/>
        <w:spacing w:after="0" w:line="246" w:lineRule="auto"/>
        <w:tabs>
          <w:tab w:leader="none" w:pos="1631"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96" w:lineRule="exact"/>
        <w:rPr>
          <w:rFonts w:ascii="Arial" w:cs="Arial" w:eastAsia="Arial" w:hAnsi="Arial"/>
          <w:sz w:val="18"/>
          <w:szCs w:val="18"/>
          <w:color w:val="auto"/>
        </w:rPr>
      </w:pPr>
    </w:p>
    <w:p>
      <w:pPr>
        <w:jc w:val="both"/>
        <w:ind w:left="1540" w:hanging="511"/>
        <w:spacing w:after="0"/>
        <w:tabs>
          <w:tab w:leader="none" w:pos="15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202" w:lineRule="exact"/>
        <w:rPr>
          <w:rFonts w:ascii="Arial" w:cs="Arial" w:eastAsia="Arial" w:hAnsi="Arial"/>
          <w:sz w:val="18"/>
          <w:szCs w:val="18"/>
          <w:color w:val="auto"/>
        </w:rPr>
      </w:pPr>
    </w:p>
    <w:p>
      <w:pPr>
        <w:jc w:val="both"/>
        <w:ind w:left="1020" w:hanging="502"/>
        <w:spacing w:after="0"/>
        <w:tabs>
          <w:tab w:leader="none" w:pos="9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Lender shall perform the checks described in clause 7.5(e)(iv) above as soon as reasonably practicable following delivery of a notice referred to in clause 7.5(d) above and shall notify the Agent and the Borrowers when it is satisfied that it has complied with those checks.</w:t>
      </w:r>
    </w:p>
    <w:p>
      <w:pPr>
        <w:spacing w:after="0" w:line="202" w:lineRule="exact"/>
        <w:rPr>
          <w:rFonts w:ascii="Arial" w:cs="Arial" w:eastAsia="Arial" w:hAnsi="Arial"/>
          <w:sz w:val="18"/>
          <w:szCs w:val="18"/>
          <w:color w:val="auto"/>
        </w:rPr>
      </w:pPr>
    </w:p>
    <w:p>
      <w:pPr>
        <w:ind w:left="1020" w:right="20" w:hanging="502"/>
        <w:spacing w:after="0" w:line="246" w:lineRule="auto"/>
        <w:tabs>
          <w:tab w:leader="none" w:pos="11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Agent five (5) Business Days’ notice of cancellation of the undrawn Commitments of that Lender.</w:t>
      </w:r>
    </w:p>
    <w:p>
      <w:pPr>
        <w:spacing w:after="0" w:line="196" w:lineRule="exact"/>
        <w:rPr>
          <w:rFonts w:ascii="Arial" w:cs="Arial" w:eastAsia="Arial" w:hAnsi="Arial"/>
          <w:sz w:val="18"/>
          <w:szCs w:val="18"/>
          <w:color w:val="auto"/>
        </w:rPr>
      </w:pPr>
    </w:p>
    <w:p>
      <w:pPr>
        <w:jc w:val="both"/>
        <w:ind w:left="1020" w:hanging="502"/>
        <w:spacing w:after="0" w:line="238" w:lineRule="auto"/>
        <w:tabs>
          <w:tab w:leader="none" w:pos="11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the notice referred to in clause 7.5(g) above becoming effective, the undrawn Commitments of the Defaulting Lender shall immediately be reduced to zero and (unless the Commitments of the relevant Lender are replaced in accordance with 41.5 (</w:t>
      </w:r>
      <w:r>
        <w:rPr>
          <w:rFonts w:ascii="Arial" w:cs="Arial" w:eastAsia="Arial" w:hAnsi="Arial"/>
          <w:sz w:val="18"/>
          <w:szCs w:val="18"/>
          <w:i w:val="1"/>
          <w:iCs w:val="1"/>
          <w:color w:val="auto"/>
        </w:rPr>
        <w:t>Replacement of a Defaulting Lender</w:t>
      </w:r>
      <w:r>
        <w:rPr>
          <w:rFonts w:ascii="Arial" w:cs="Arial" w:eastAsia="Arial" w:hAnsi="Arial"/>
          <w:sz w:val="18"/>
          <w:szCs w:val="18"/>
          <w:color w:val="auto"/>
        </w:rPr>
        <w:t>)) the remaining undrawn Ship Commitments shall each be reduced rateably and the Total Commitments shall be reduced accordingly, and the Agent shall as soon as practicable after receipt of such notice, notify all the Lenders.</w:t>
      </w:r>
    </w:p>
    <w:p>
      <w:pPr>
        <w:spacing w:after="0" w:line="18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Sale, Total Loss, Change of Control in respect of a Borrower or prepayment in full of an Advance</w:t>
      </w:r>
    </w:p>
    <w:p>
      <w:pPr>
        <w:spacing w:after="0" w:line="234" w:lineRule="exact"/>
        <w:rPr>
          <w:sz w:val="20"/>
          <w:szCs w:val="20"/>
          <w:color w:val="auto"/>
        </w:rPr>
      </w:pPr>
    </w:p>
    <w:p>
      <w:pPr>
        <w:jc w:val="both"/>
        <w:ind w:left="1020" w:hanging="502"/>
        <w:spacing w:after="0"/>
        <w:tabs>
          <w:tab w:leader="none" w:pos="10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a Mortgaged Ship’s Disposal Repayment Date or upon the cancellation in full of a Ship Commitment pursuant to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a prepayment in full of an Advance pursuant to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 upon a Change of Control in respect of a Borrower, the Borrowers shall:</w:t>
      </w:r>
    </w:p>
    <w:p>
      <w:pPr>
        <w:spacing w:after="0" w:line="202" w:lineRule="exact"/>
        <w:rPr>
          <w:rFonts w:ascii="Arial" w:cs="Arial" w:eastAsia="Arial" w:hAnsi="Arial"/>
          <w:sz w:val="18"/>
          <w:szCs w:val="18"/>
          <w:color w:val="auto"/>
        </w:rPr>
      </w:pPr>
    </w:p>
    <w:p>
      <w:pPr>
        <w:ind w:left="1540" w:hanging="511"/>
        <w:spacing w:after="0" w:line="246" w:lineRule="auto"/>
        <w:tabs>
          <w:tab w:leader="none" w:pos="15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such disposal, cancellation, prepayment or Change of Control relates to Ship A, prepay in full the Advance in respect of Ship A and the Ship Commitment for Ship A shall be reduced to zero; or</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such disposal, cancellation, prepayment or Change of Control relates to Ship B or, as the case may be, Ship C:</w:t>
      </w:r>
    </w:p>
    <w:p>
      <w:pPr>
        <w:spacing w:after="0" w:line="211" w:lineRule="exact"/>
        <w:rPr>
          <w:rFonts w:ascii="Arial" w:cs="Arial" w:eastAsia="Arial" w:hAnsi="Arial"/>
          <w:sz w:val="18"/>
          <w:szCs w:val="18"/>
          <w:color w:val="auto"/>
        </w:rPr>
      </w:pPr>
    </w:p>
    <w:p>
      <w:pPr>
        <w:ind w:left="2040" w:hanging="501"/>
        <w:spacing w:after="0" w:line="246" w:lineRule="auto"/>
        <w:tabs>
          <w:tab w:leader="none" w:pos="2037" w:val="left"/>
        </w:tabs>
        <w:numPr>
          <w:ilvl w:val="2"/>
          <w:numId w:val="99"/>
        </w:numPr>
        <w:rPr>
          <w:rFonts w:ascii="Arial" w:cs="Arial" w:eastAsia="Arial" w:hAnsi="Arial"/>
          <w:sz w:val="18"/>
          <w:szCs w:val="18"/>
          <w:color w:val="auto"/>
        </w:rPr>
      </w:pPr>
      <w:r>
        <w:rPr>
          <w:rFonts w:ascii="Arial" w:cs="Arial" w:eastAsia="Arial" w:hAnsi="Arial"/>
          <w:sz w:val="18"/>
          <w:szCs w:val="18"/>
          <w:color w:val="auto"/>
        </w:rPr>
        <w:t>prepay in full the Advance in respect of Ship B or, as the case may be, Ship C and the Ship Commitment for Ship B or, as the case may be, Ship C shall be reduced to zero;</w:t>
      </w:r>
    </w:p>
    <w:p>
      <w:pPr>
        <w:spacing w:after="0" w:line="196" w:lineRule="exact"/>
        <w:rPr>
          <w:rFonts w:ascii="Arial" w:cs="Arial" w:eastAsia="Arial" w:hAnsi="Arial"/>
          <w:sz w:val="18"/>
          <w:szCs w:val="18"/>
          <w:color w:val="auto"/>
        </w:rPr>
      </w:pPr>
    </w:p>
    <w:p>
      <w:pPr>
        <w:ind w:left="2040" w:hanging="501"/>
        <w:spacing w:after="0" w:line="246" w:lineRule="auto"/>
        <w:tabs>
          <w:tab w:leader="none" w:pos="2078" w:val="left"/>
        </w:tabs>
        <w:numPr>
          <w:ilvl w:val="2"/>
          <w:numId w:val="99"/>
        </w:numPr>
        <w:rPr>
          <w:rFonts w:ascii="Arial" w:cs="Arial" w:eastAsia="Arial" w:hAnsi="Arial"/>
          <w:sz w:val="18"/>
          <w:szCs w:val="18"/>
          <w:color w:val="auto"/>
        </w:rPr>
      </w:pPr>
      <w:r>
        <w:rPr>
          <w:rFonts w:ascii="Arial" w:cs="Arial" w:eastAsia="Arial" w:hAnsi="Arial"/>
          <w:sz w:val="18"/>
          <w:szCs w:val="18"/>
          <w:color w:val="auto"/>
        </w:rPr>
        <w:t>prepay against the remaining Commitments in respect of Advance A in inverse order of maturity an amount of ten million Dollars ($10,000,000) or the balance of the remaining Commitments in respect of Advance A, if less;</w:t>
      </w:r>
    </w:p>
    <w:p>
      <w:pPr>
        <w:spacing w:after="0" w:line="196" w:lineRule="exact"/>
        <w:rPr>
          <w:rFonts w:ascii="Arial" w:cs="Arial" w:eastAsia="Arial" w:hAnsi="Arial"/>
          <w:sz w:val="18"/>
          <w:szCs w:val="18"/>
          <w:color w:val="auto"/>
        </w:rPr>
      </w:pPr>
    </w:p>
    <w:p>
      <w:pPr>
        <w:ind w:left="2040" w:hanging="501"/>
        <w:spacing w:after="0" w:line="246" w:lineRule="auto"/>
        <w:tabs>
          <w:tab w:leader="none" w:pos="2101" w:val="left"/>
        </w:tabs>
        <w:numPr>
          <w:ilvl w:val="2"/>
          <w:numId w:val="99"/>
        </w:numPr>
        <w:rPr>
          <w:rFonts w:ascii="Arial" w:cs="Arial" w:eastAsia="Arial" w:hAnsi="Arial"/>
          <w:sz w:val="18"/>
          <w:szCs w:val="18"/>
          <w:color w:val="auto"/>
        </w:rPr>
      </w:pPr>
      <w:r>
        <w:rPr>
          <w:rFonts w:ascii="Arial" w:cs="Arial" w:eastAsia="Arial" w:hAnsi="Arial"/>
          <w:sz w:val="18"/>
          <w:szCs w:val="18"/>
          <w:color w:val="auto"/>
        </w:rPr>
        <w:t>prepay against the remaining Commitments in respect of Advance B or, as the case may be, Advance C pro rata the balance (if any) of the ten million Dollars ($10,000,000) referred to in in paragraph (B) above;</w:t>
      </w:r>
    </w:p>
    <w:p>
      <w:pPr>
        <w:spacing w:after="0" w:line="196" w:lineRule="exact"/>
        <w:rPr>
          <w:rFonts w:ascii="Arial" w:cs="Arial" w:eastAsia="Arial" w:hAnsi="Arial"/>
          <w:sz w:val="18"/>
          <w:szCs w:val="18"/>
          <w:color w:val="auto"/>
        </w:rPr>
      </w:pPr>
    </w:p>
    <w:p>
      <w:pPr>
        <w:jc w:val="both"/>
        <w:ind w:left="2040" w:hanging="501"/>
        <w:spacing w:after="0"/>
        <w:tabs>
          <w:tab w:leader="none" w:pos="2087"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required following the prepayments made pursuant to paragraphs (B) and (C) above, such additional amount as is necessary to ensure that the aggregate of the Security Value of all remaining Advances immediately after such prepayment shall be not less than the higher of:</w:t>
      </w:r>
    </w:p>
    <w:p>
      <w:pPr>
        <w:spacing w:after="0" w:line="203" w:lineRule="exact"/>
        <w:rPr>
          <w:sz w:val="20"/>
          <w:szCs w:val="20"/>
          <w:color w:val="auto"/>
        </w:rPr>
      </w:pPr>
    </w:p>
    <w:p>
      <w:pPr>
        <w:ind w:left="2580" w:hanging="531"/>
        <w:spacing w:after="0"/>
        <w:tabs>
          <w:tab w:leader="none" w:pos="2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120% of the Loan;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2560" w:hanging="511"/>
        <w:spacing w:after="0" w:line="246" w:lineRule="auto"/>
        <w:tabs>
          <w:tab w:leader="none" w:pos="26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amount equal to the ratio between the aggregate Security Value for the Advances and the amount of the Loan immediately prior to such prepayment,</w:t>
      </w:r>
    </w:p>
    <w:p>
      <w:pPr>
        <w:spacing w:after="0" w:line="197" w:lineRule="exact"/>
        <w:rPr>
          <w:sz w:val="20"/>
          <w:szCs w:val="20"/>
          <w:color w:val="auto"/>
        </w:rPr>
      </w:pPr>
    </w:p>
    <w:p>
      <w:pPr>
        <w:ind w:left="2040"/>
        <w:spacing w:after="0" w:line="246" w:lineRule="auto"/>
        <w:rPr>
          <w:sz w:val="20"/>
          <w:szCs w:val="20"/>
          <w:color w:val="auto"/>
        </w:rPr>
      </w:pPr>
      <w:r>
        <w:rPr>
          <w:rFonts w:ascii="Arial" w:cs="Arial" w:eastAsia="Arial" w:hAnsi="Arial"/>
          <w:sz w:val="18"/>
          <w:szCs w:val="18"/>
          <w:color w:val="auto"/>
        </w:rPr>
        <w:t>and, in such case, such additional amount shall be applied pro rata against the remaining Commitments in respect of advance A (if any) and Advance B, or, as the case may be, Advance C; or</w:t>
      </w:r>
    </w:p>
    <w:p>
      <w:pPr>
        <w:spacing w:after="0" w:line="197" w:lineRule="exact"/>
        <w:rPr>
          <w:sz w:val="20"/>
          <w:szCs w:val="20"/>
          <w:color w:val="auto"/>
        </w:rPr>
      </w:pPr>
    </w:p>
    <w:p>
      <w:pPr>
        <w:ind w:left="1540" w:right="20" w:hanging="511"/>
        <w:spacing w:after="0" w:line="246" w:lineRule="auto"/>
        <w:tabs>
          <w:tab w:leader="none" w:pos="157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such disposal, cancellation, prepayment or Change of Control relates to Ship B and Ship C, prepay in full the Advance in respect of all Ships and the Ship Commitment for each Ship shall be reduced to zero.</w:t>
      </w:r>
    </w:p>
    <w:p>
      <w:pPr>
        <w:spacing w:after="0" w:line="196" w:lineRule="exact"/>
        <w:rPr>
          <w:rFonts w:ascii="Arial" w:cs="Arial" w:eastAsia="Arial" w:hAnsi="Arial"/>
          <w:sz w:val="18"/>
          <w:szCs w:val="18"/>
          <w:color w:val="auto"/>
        </w:rPr>
      </w:pPr>
    </w:p>
    <w:p>
      <w:pPr>
        <w:jc w:val="both"/>
        <w:ind w:left="1020" w:hanging="502"/>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consent of the Lenders to the release, discharge and reassignment of any Security Interest in connection with the prepayment in full of any Advance pursuant to clause 7.4(b) shall be subject to no Event of Default continuing at the time the prepayment is made.</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7.7</w:t>
        <w:tab/>
        <w:t>Automatic cancellation</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part of a Ship Commitment which has not become available by, or which is undrawn on, the Last Availability Date shall be automatically cancelled at close of business in Paris on the Last Availability Date.</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Restrictions</w:t>
      </w:r>
    </w:p>
    <w:p>
      <w:pPr>
        <w:spacing w:after="0" w:line="234" w:lineRule="exact"/>
        <w:rPr>
          <w:sz w:val="20"/>
          <w:szCs w:val="20"/>
          <w:color w:val="auto"/>
        </w:rPr>
      </w:pPr>
    </w:p>
    <w:p>
      <w:pPr>
        <w:jc w:val="both"/>
        <w:ind w:left="1020" w:hanging="512"/>
        <w:spacing w:after="0" w:line="23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or prepayment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7.4 (</w:t>
      </w:r>
      <w:r>
        <w:rPr>
          <w:rFonts w:ascii="Arial" w:cs="Arial" w:eastAsia="Arial" w:hAnsi="Arial"/>
          <w:sz w:val="18"/>
          <w:szCs w:val="18"/>
          <w:i w:val="1"/>
          <w:iCs w:val="1"/>
          <w:color w:val="auto"/>
        </w:rPr>
        <w:t>Voluntary prepayment</w:t>
      </w:r>
      <w:r>
        <w:rPr>
          <w:rFonts w:ascii="Arial" w:cs="Arial" w:eastAsia="Arial" w:hAnsi="Arial"/>
          <w:sz w:val="18"/>
          <w:szCs w:val="18"/>
          <w:color w:val="auto"/>
        </w:rPr>
        <w:t>), the Ship Commitment to be cancelled or prepaid (as the case may be).</w:t>
      </w:r>
    </w:p>
    <w:p>
      <w:pPr>
        <w:spacing w:after="0" w:line="204" w:lineRule="exact"/>
        <w:rPr>
          <w:rFonts w:ascii="Arial" w:cs="Arial" w:eastAsia="Arial" w:hAnsi="Arial"/>
          <w:sz w:val="18"/>
          <w:szCs w:val="18"/>
          <w:color w:val="auto"/>
        </w:rPr>
      </w:pPr>
    </w:p>
    <w:p>
      <w:pPr>
        <w:ind w:left="1020" w:right="20" w:hanging="512"/>
        <w:spacing w:after="0" w:line="246" w:lineRule="auto"/>
        <w:tabs>
          <w:tab w:leader="none" w:pos="10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Borrowers may not reborrow any part of the Facility which is repaid or prepaid.</w:t>
      </w:r>
    </w:p>
    <w:p>
      <w:pPr>
        <w:spacing w:after="0" w:line="211" w:lineRule="exact"/>
        <w:rPr>
          <w:rFonts w:ascii="Arial" w:cs="Arial" w:eastAsia="Arial" w:hAnsi="Arial"/>
          <w:sz w:val="18"/>
          <w:szCs w:val="18"/>
          <w:color w:val="auto"/>
        </w:rPr>
      </w:pPr>
    </w:p>
    <w:p>
      <w:pPr>
        <w:ind w:left="1020" w:hanging="512"/>
        <w:spacing w:after="0" w:line="246" w:lineRule="auto"/>
        <w:tabs>
          <w:tab w:leader="none" w:pos="10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Advances or cancel all or any part of the Commitments except at the times and in the manner expressly provided for in this Agreement.</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11" w:lineRule="exact"/>
        <w:rPr>
          <w:rFonts w:ascii="Arial" w:cs="Arial" w:eastAsia="Arial" w:hAnsi="Arial"/>
          <w:sz w:val="18"/>
          <w:szCs w:val="18"/>
          <w:color w:val="auto"/>
        </w:rPr>
      </w:pPr>
    </w:p>
    <w:p>
      <w:pPr>
        <w:ind w:left="1020" w:hanging="512"/>
        <w:spacing w:after="0" w:line="246"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affected Lender, as appropriate.</w:t>
      </w:r>
    </w:p>
    <w:p>
      <w:pPr>
        <w:spacing w:after="0" w:line="178" w:lineRule="exact"/>
        <w:rPr>
          <w:rFonts w:ascii="Arial" w:cs="Arial" w:eastAsia="Arial" w:hAnsi="Arial"/>
          <w:sz w:val="18"/>
          <w:szCs w:val="18"/>
          <w:color w:val="auto"/>
        </w:rPr>
      </w:pPr>
    </w:p>
    <w:p>
      <w:pPr>
        <w:jc w:val="both"/>
        <w:ind w:left="1020" w:hanging="512"/>
        <w:spacing w:after="0" w:line="245"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Total Commitments are partially reduced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 of replacement or cancellation and prepayment in relation to a single Lender/Right of cancellation in relation to a</w:t>
      </w:r>
      <w:r>
        <w:rPr>
          <w:rFonts w:ascii="Arial" w:cs="Arial" w:eastAsia="Arial" w:hAnsi="Arial"/>
          <w:sz w:val="18"/>
          <w:szCs w:val="18"/>
          <w:color w:val="auto"/>
        </w:rPr>
        <w:t xml:space="preserve"> </w:t>
      </w:r>
      <w:r>
        <w:rPr>
          <w:rFonts w:ascii="Arial" w:cs="Arial" w:eastAsia="Arial" w:hAnsi="Arial"/>
          <w:sz w:val="18"/>
          <w:szCs w:val="18"/>
          <w:i w:val="1"/>
          <w:iCs w:val="1"/>
          <w:color w:val="auto"/>
        </w:rPr>
        <w:t>Defaulting Lender</w:t>
      </w:r>
      <w:r>
        <w:rPr>
          <w:rFonts w:ascii="Arial" w:cs="Arial" w:eastAsia="Arial" w:hAnsi="Arial"/>
          <w:sz w:val="18"/>
          <w:szCs w:val="18"/>
          <w:color w:val="auto"/>
        </w:rPr>
        <w:t>)), the Commitments of all the Lenders under the Facility shall be reduced pro rata (except where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specified in this Agreement).</w:t>
      </w:r>
    </w:p>
    <w:p>
      <w:pPr>
        <w:spacing w:after="0" w:line="198" w:lineRule="exact"/>
        <w:rPr>
          <w:rFonts w:ascii="Arial" w:cs="Arial" w:eastAsia="Arial" w:hAnsi="Arial"/>
          <w:sz w:val="18"/>
          <w:szCs w:val="18"/>
          <w:color w:val="auto"/>
        </w:rPr>
      </w:pPr>
    </w:p>
    <w:p>
      <w:pPr>
        <w:jc w:val="both"/>
        <w:ind w:left="1020" w:hanging="512"/>
        <w:spacing w:after="0" w:line="238" w:lineRule="auto"/>
        <w:tabs>
          <w:tab w:leader="none" w:pos="10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Ship Commitment for a Ship under clause 7.6 (</w:t>
      </w:r>
      <w:r>
        <w:rPr>
          <w:rFonts w:ascii="Arial" w:cs="Arial" w:eastAsia="Arial" w:hAnsi="Arial"/>
          <w:sz w:val="18"/>
          <w:szCs w:val="18"/>
          <w:i w:val="1"/>
          <w:iCs w:val="1"/>
          <w:color w:val="auto"/>
        </w:rPr>
        <w:t>Sale, Total Loss, Change of Control in respect of a Borrower or</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 in full of an Advance</w:t>
      </w:r>
      <w:r>
        <w:rPr>
          <w:rFonts w:ascii="Arial" w:cs="Arial" w:eastAsia="Arial" w:hAnsi="Arial"/>
          <w:sz w:val="18"/>
          <w:szCs w:val="18"/>
          <w:color w:val="auto"/>
        </w:rPr>
        <w:t>) or where a Borrower has so selected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Voluntary prepayment</w:t>
      </w:r>
      <w:r>
        <w:rPr>
          <w:rFonts w:ascii="Arial" w:cs="Arial" w:eastAsia="Arial" w:hAnsi="Arial"/>
          <w:sz w:val="18"/>
          <w:szCs w:val="18"/>
          <w:color w:val="auto"/>
        </w:rPr>
        <w:t>), or except where otherwise expressly specified in this Agreement), the Ship Commitments for all Ships shall be reduced pro rata.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ind w:left="1020" w:hanging="512"/>
        <w:spacing w:after="0" w:line="245" w:lineRule="auto"/>
        <w:tabs>
          <w:tab w:leader="none" w:pos="13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Loan is partially prepaid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 / right of cancellation in relation to a Defaulting Lender</w:t>
      </w:r>
      <w:r>
        <w:rPr>
          <w:rFonts w:ascii="Arial" w:cs="Arial" w:eastAsia="Arial" w:hAnsi="Arial"/>
          <w:sz w:val="18"/>
          <w:szCs w:val="18"/>
          <w:color w:val="auto"/>
        </w:rPr>
        <w:t>)), the amount prepaid shall reduce the participation of all the Lenders in the Loan rateably (except where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specified in this Agreement).</w:t>
      </w:r>
    </w:p>
    <w:p>
      <w:pPr>
        <w:spacing w:after="0" w:line="198" w:lineRule="exact"/>
        <w:rPr>
          <w:rFonts w:ascii="Arial" w:cs="Arial" w:eastAsia="Arial" w:hAnsi="Arial"/>
          <w:sz w:val="18"/>
          <w:szCs w:val="18"/>
          <w:color w:val="auto"/>
        </w:rPr>
      </w:pPr>
    </w:p>
    <w:p>
      <w:pPr>
        <w:jc w:val="both"/>
        <w:ind w:left="1020" w:hanging="512"/>
        <w:spacing w:after="0" w:line="238" w:lineRule="auto"/>
        <w:tabs>
          <w:tab w:leader="none" w:pos="108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prepayment of the Loan for the account of all the Lenders shall be applied pro rata to each Lender’s participation in Loan (other than a prepayment under clause 7.6 (</w:t>
      </w:r>
      <w:r>
        <w:rPr>
          <w:rFonts w:ascii="Arial" w:cs="Arial" w:eastAsia="Arial" w:hAnsi="Arial"/>
          <w:sz w:val="18"/>
          <w:szCs w:val="18"/>
          <w:i w:val="1"/>
          <w:iCs w:val="1"/>
          <w:color w:val="auto"/>
        </w:rPr>
        <w:t>Sale, Total Loss, Change of Control in respect of a Borrower or prepayment in full of</w:t>
      </w:r>
      <w:r>
        <w:rPr>
          <w:rFonts w:ascii="Arial" w:cs="Arial" w:eastAsia="Arial" w:hAnsi="Arial"/>
          <w:sz w:val="18"/>
          <w:szCs w:val="18"/>
          <w:color w:val="auto"/>
        </w:rPr>
        <w:t xml:space="preserve"> </w:t>
      </w:r>
      <w:r>
        <w:rPr>
          <w:rFonts w:ascii="Arial" w:cs="Arial" w:eastAsia="Arial" w:hAnsi="Arial"/>
          <w:sz w:val="18"/>
          <w:szCs w:val="18"/>
          <w:i w:val="1"/>
          <w:iCs w:val="1"/>
          <w:color w:val="auto"/>
        </w:rPr>
        <w:t>an Advance</w:t>
      </w:r>
      <w:r>
        <w:rPr>
          <w:rFonts w:ascii="Arial" w:cs="Arial" w:eastAsia="Arial" w:hAnsi="Arial"/>
          <w:sz w:val="18"/>
          <w:szCs w:val="18"/>
          <w:color w:val="auto"/>
        </w:rPr>
        <w:t>) or where a Borrower has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 prepayment will first be</w:t>
      </w:r>
      <w:r>
        <w:rPr>
          <w:rFonts w:ascii="Arial" w:cs="Arial" w:eastAsia="Arial" w:hAnsi="Arial"/>
          <w:sz w:val="18"/>
          <w:szCs w:val="18"/>
          <w:i w:val="1"/>
          <w:iCs w:val="1"/>
          <w:color w:val="auto"/>
        </w:rPr>
        <w:t xml:space="preserve"> </w:t>
      </w:r>
      <w:r>
        <w:rPr>
          <w:rFonts w:ascii="Arial" w:cs="Arial" w:eastAsia="Arial" w:hAnsi="Arial"/>
          <w:sz w:val="18"/>
          <w:szCs w:val="18"/>
          <w:color w:val="auto"/>
        </w:rPr>
        <w:t>applied to the Advance in relation to the relevant Ship).</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7.9</w:t>
        <w:tab/>
        <w:t>Mandatory prepayment and cancellation following non-compliance with Sanctions</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If the Borrowers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18.34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 Finance Parties under this Agreement and the other Finance Documents:</w:t>
      </w:r>
    </w:p>
    <w:p>
      <w:pPr>
        <w:spacing w:after="0" w:line="195" w:lineRule="exact"/>
        <w:rPr>
          <w:sz w:val="20"/>
          <w:szCs w:val="20"/>
          <w:color w:val="auto"/>
        </w:rPr>
      </w:pPr>
    </w:p>
    <w:p>
      <w:pPr>
        <w:ind w:left="1040" w:hanging="532"/>
        <w:spacing w:after="0"/>
        <w:tabs>
          <w:tab w:leader="none" w:pos="1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Commitment of each Lender will be immediately cancelled; and</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3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Borrowers shall repay each Lender’s participation in the Advances on the earlier of (i) the date falling five (5) Business Days after the Agent notifies the Borrowers of such non-compliance and (ii) the date falling five (5) Business Days after the Borrowers become aware of such non-compliance and (iii) the last day of the Interest Period falling after the said non-compliance has occurred.</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7"/>
          <w:szCs w:val="17"/>
          <w:b w:val="1"/>
          <w:bCs w:val="1"/>
          <w:color w:val="auto"/>
        </w:rPr>
        <w:t>Mandatory prepayment as a result of unlawfulness and invalidity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w:t>
      </w:r>
    </w:p>
    <w:p>
      <w:pPr>
        <w:spacing w:after="0" w:line="212" w:lineRule="exact"/>
        <w:rPr>
          <w:sz w:val="20"/>
          <w:szCs w:val="20"/>
          <w:color w:val="auto"/>
        </w:rPr>
      </w:pPr>
    </w:p>
    <w:p>
      <w:pPr>
        <w:ind w:left="1020" w:hanging="512"/>
        <w:spacing w:after="0" w:line="246" w:lineRule="auto"/>
        <w:tabs>
          <w:tab w:leader="none" w:pos="106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96" w:lineRule="exact"/>
        <w:rPr>
          <w:rFonts w:ascii="Arial" w:cs="Arial" w:eastAsia="Arial" w:hAnsi="Arial"/>
          <w:sz w:val="18"/>
          <w:szCs w:val="18"/>
          <w:color w:val="auto"/>
        </w:rPr>
      </w:pPr>
    </w:p>
    <w:p>
      <w:pPr>
        <w:jc w:val="both"/>
        <w:ind w:left="1020" w:hanging="512"/>
        <w:spacing w:after="0"/>
        <w:tabs>
          <w:tab w:leader="none" w:pos="10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202" w:lineRule="exact"/>
        <w:rPr>
          <w:rFonts w:ascii="Arial" w:cs="Arial" w:eastAsia="Arial" w:hAnsi="Arial"/>
          <w:sz w:val="18"/>
          <w:szCs w:val="18"/>
          <w:color w:val="auto"/>
        </w:rPr>
      </w:pPr>
    </w:p>
    <w:p>
      <w:pPr>
        <w:jc w:val="both"/>
        <w:ind w:left="1020" w:hanging="512"/>
        <w:spacing w:after="0"/>
        <w:tabs>
          <w:tab w:leader="none" w:pos="11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any party to it (other than a Finance Party) to be ineffective for any reason; or</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2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97" w:lineRule="exact"/>
        <w:rPr>
          <w:sz w:val="20"/>
          <w:szCs w:val="20"/>
          <w:color w:val="auto"/>
        </w:rPr>
      </w:pPr>
    </w:p>
    <w:p>
      <w:pPr>
        <w:jc w:val="both"/>
        <w:ind w:left="500"/>
        <w:spacing w:after="0" w:line="238" w:lineRule="auto"/>
        <w:rPr>
          <w:sz w:val="20"/>
          <w:szCs w:val="20"/>
          <w:color w:val="auto"/>
        </w:rPr>
      </w:pPr>
      <w:r>
        <w:rPr>
          <w:rFonts w:ascii="Arial" w:cs="Arial" w:eastAsia="Arial" w:hAnsi="Arial"/>
          <w:sz w:val="18"/>
          <w:szCs w:val="18"/>
          <w:color w:val="auto"/>
        </w:rPr>
        <w:t>the Commitment of each Lender will be immediately cancelled the Borrowers shall repay each Lender’s participation in the Advances on the earlier of (i) the date falling five (5) Business Days after the Agent notifies the Borrowers of such non-compliance and (ii) the date falling five (5) Business Days after the Borrowers become aware of such non-compliance and (iii) the last day of the Interest Period falling after the said non-compliance has occurred.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ind w:left="480" w:hanging="370"/>
        <w:spacing w:after="0"/>
        <w:tabs>
          <w:tab w:leader="none" w:pos="48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8.1</w:t>
        <w:tab/>
        <w:t>Calculation of interest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rate of interest on each Advance for its Interest Period is the percentage rate per annum which is the aggregate of the applicable:</w:t>
      </w:r>
    </w:p>
    <w:p>
      <w:pPr>
        <w:spacing w:after="0" w:line="212" w:lineRule="exact"/>
        <w:rPr>
          <w:sz w:val="20"/>
          <w:szCs w:val="20"/>
          <w:color w:val="auto"/>
        </w:rPr>
      </w:pPr>
    </w:p>
    <w:p>
      <w:pPr>
        <w:ind w:left="1040" w:hanging="532"/>
        <w:spacing w:after="0"/>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LIBOR.</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8.2</w:t>
        <w:tab/>
        <w:t>Payment of interest</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Borrowers shall pay accrued interest on each Advance on the last day of each Interest Period for that Advance (and, if an Interest Period is longer than six (6) months, on the dates falling at six (6) monthly intervals after the first day of that Interest Period).</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8.3</w:t>
        <w:tab/>
        <w:t>Default interest</w:t>
      </w:r>
    </w:p>
    <w:p>
      <w:pPr>
        <w:spacing w:after="0" w:line="234" w:lineRule="exact"/>
        <w:rPr>
          <w:sz w:val="20"/>
          <w:szCs w:val="20"/>
          <w:color w:val="auto"/>
        </w:rPr>
      </w:pPr>
    </w:p>
    <w:p>
      <w:pPr>
        <w:jc w:val="both"/>
        <w:ind w:left="1020" w:hanging="512"/>
        <w:spacing w:after="0" w:line="237"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an Advance for successive Interest Periods, each of a duration selected by the Agent (acting reasonably). Any interest accruing under this clause 8.3 shall be immediately payable by the Obligors on demand by the Agent.</w:t>
      </w:r>
    </w:p>
    <w:p>
      <w:pPr>
        <w:spacing w:after="0" w:line="204" w:lineRule="exact"/>
        <w:rPr>
          <w:rFonts w:ascii="Arial" w:cs="Arial" w:eastAsia="Arial" w:hAnsi="Arial"/>
          <w:sz w:val="18"/>
          <w:szCs w:val="18"/>
          <w:color w:val="auto"/>
        </w:rPr>
      </w:pPr>
    </w:p>
    <w:p>
      <w:pPr>
        <w:ind w:left="1020" w:hanging="512"/>
        <w:spacing w:after="0" w:line="246" w:lineRule="auto"/>
        <w:tabs>
          <w:tab w:leader="none" w:pos="117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an Advance which became due on a day which was not the last day of an Interest Period relating to such Advance or the relevant part of it:</w:t>
      </w:r>
    </w:p>
    <w:p>
      <w:pPr>
        <w:spacing w:after="0" w:line="196" w:lineRule="exact"/>
        <w:rPr>
          <w:rFonts w:ascii="Arial" w:cs="Arial" w:eastAsia="Arial" w:hAnsi="Arial"/>
          <w:sz w:val="18"/>
          <w:szCs w:val="18"/>
          <w:color w:val="auto"/>
        </w:rPr>
      </w:pPr>
    </w:p>
    <w:p>
      <w:pPr>
        <w:ind w:left="1540" w:hanging="511"/>
        <w:spacing w:after="0" w:line="246" w:lineRule="auto"/>
        <w:tabs>
          <w:tab w:leader="none" w:pos="153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such Advance; and</w:t>
      </w:r>
    </w:p>
    <w:p>
      <w:pPr>
        <w:spacing w:after="0" w:line="196" w:lineRule="exact"/>
        <w:rPr>
          <w:rFonts w:ascii="Arial" w:cs="Arial" w:eastAsia="Arial" w:hAnsi="Arial"/>
          <w:sz w:val="18"/>
          <w:szCs w:val="18"/>
          <w:color w:val="auto"/>
        </w:rPr>
      </w:pPr>
    </w:p>
    <w:p>
      <w:pPr>
        <w:ind w:left="1540" w:hanging="511"/>
        <w:spacing w:after="0" w:line="246" w:lineRule="auto"/>
        <w:tabs>
          <w:tab w:leader="none" w:pos="157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96" w:lineRule="exact"/>
        <w:rPr>
          <w:rFonts w:ascii="Arial" w:cs="Arial" w:eastAsia="Arial" w:hAnsi="Arial"/>
          <w:sz w:val="18"/>
          <w:szCs w:val="18"/>
          <w:color w:val="auto"/>
        </w:rPr>
      </w:pPr>
    </w:p>
    <w:p>
      <w:pPr>
        <w:ind w:left="1020" w:hanging="512"/>
        <w:spacing w:after="0" w:line="246" w:lineRule="auto"/>
        <w:tabs>
          <w:tab w:leader="none" w:pos="11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8.4</w:t>
        <w:tab/>
        <w:t>Notification of rates of interest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notify the Lenders and the Borrowers of the determination of a rate of interest under this Agreement.</w:t>
      </w:r>
    </w:p>
    <w:p>
      <w:pPr>
        <w:spacing w:after="0" w:line="180" w:lineRule="exact"/>
        <w:rPr>
          <w:sz w:val="20"/>
          <w:szCs w:val="20"/>
          <w:color w:val="auto"/>
        </w:rPr>
      </w:pPr>
    </w:p>
    <w:p>
      <w:pPr>
        <w:ind w:left="480" w:hanging="370"/>
        <w:spacing w:after="0"/>
        <w:tabs>
          <w:tab w:leader="none" w:pos="48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Interest Periods</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Interest Periods</w:t>
      </w:r>
    </w:p>
    <w:p>
      <w:pPr>
        <w:spacing w:after="0" w:line="234" w:lineRule="exact"/>
        <w:rPr>
          <w:sz w:val="20"/>
          <w:szCs w:val="20"/>
          <w:color w:val="auto"/>
        </w:rPr>
      </w:pPr>
    </w:p>
    <w:p>
      <w:pPr>
        <w:ind w:left="1020" w:right="20" w:hanging="512"/>
        <w:spacing w:after="0" w:line="246" w:lineRule="auto"/>
        <w:tabs>
          <w:tab w:leader="none" w:pos="10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this clause 9, the Interest Period for an Advance shall be six (6) months, unless otherwise agreed by the Borrowers and all Lenders. No Interest Period for any Advance shall extend beyond the Final Repayment Date.</w:t>
      </w:r>
    </w:p>
    <w:p>
      <w:pPr>
        <w:spacing w:after="0" w:line="196" w:lineRule="exact"/>
        <w:rPr>
          <w:rFonts w:ascii="Arial" w:cs="Arial" w:eastAsia="Arial" w:hAnsi="Arial"/>
          <w:sz w:val="18"/>
          <w:szCs w:val="18"/>
          <w:color w:val="auto"/>
        </w:rPr>
      </w:pPr>
    </w:p>
    <w:p>
      <w:pPr>
        <w:ind w:left="1020" w:hanging="512"/>
        <w:spacing w:after="0" w:line="246"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first Interest Period for each Advance shall start on the relevant Utilisation Date for that Advance and each subsequent Interest Period for such Advance shall start on the last day of its preceding Interest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2" w:name="page43"/>
    <w:bookmarkEnd w:id="42"/>
    <w:p>
      <w:pPr>
        <w:jc w:val="both"/>
        <w:ind w:left="1020" w:hanging="512"/>
        <w:spacing w:after="0"/>
        <w:tabs>
          <w:tab w:leader="none" w:pos="105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first and subsequent Interest Period for each Advance (other than the first Advance to be drawn) will end on the same day as the current Interest Period for any other Advance. On the last day of those Interest Periods, those Advances will be consolidated and treated as one Loan.</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2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Borrowers select and the Lenders agree an Interest Period in respect of an Advance which would overrun any later Repayment Date for that Advance, the relevant Advance shall be divided into parts corresponding to the amounts by which that Advance is scheduled to be repaid under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 on each of the Repayment Dates for that Advance falling during such Interest Period (each of which shall have a separate Interest Period ending on the relevant Repayment Date) and to the balance of that Advance (which shall have the Interest Period selected by the Borrowers).</w:t>
      </w:r>
    </w:p>
    <w:p>
      <w:pPr>
        <w:spacing w:after="0" w:line="180"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Non-Business Days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65" w:lineRule="exact"/>
        <w:rPr>
          <w:sz w:val="20"/>
          <w:szCs w:val="20"/>
          <w:color w:val="auto"/>
        </w:rPr>
      </w:pPr>
    </w:p>
    <w:p>
      <w:pPr>
        <w:ind w:left="480" w:hanging="370"/>
        <w:spacing w:after="0"/>
        <w:tabs>
          <w:tab w:leader="none" w:pos="48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calculation of interest</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Unavailability of Screen Rate</w:t>
      </w:r>
    </w:p>
    <w:p>
      <w:pPr>
        <w:spacing w:after="0" w:line="234" w:lineRule="exact"/>
        <w:rPr>
          <w:sz w:val="20"/>
          <w:szCs w:val="20"/>
          <w:color w:val="auto"/>
        </w:rPr>
      </w:pPr>
    </w:p>
    <w:p>
      <w:pPr>
        <w:ind w:left="1020" w:right="20" w:hanging="512"/>
        <w:spacing w:after="0" w:line="246" w:lineRule="auto"/>
        <w:tabs>
          <w:tab w:leader="none" w:pos="10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LIBOR shall be the Interpolated Screen Rate for a period equal in length to that Interest Period.</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dollars;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relevant Interest Period and it is not possible to calculate the Interpolated Screen Rate,</w:t>
      </w:r>
    </w:p>
    <w:p>
      <w:pPr>
        <w:spacing w:after="0" w:line="193" w:lineRule="exact"/>
        <w:rPr>
          <w:rFonts w:ascii="Arial" w:cs="Arial" w:eastAsia="Arial" w:hAnsi="Arial"/>
          <w:sz w:val="18"/>
          <w:szCs w:val="18"/>
          <w:color w:val="auto"/>
        </w:rPr>
      </w:pPr>
    </w:p>
    <w:p>
      <w:pPr>
        <w:ind w:left="1540" w:hanging="511"/>
        <w:spacing w:after="0"/>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there shall be no LIBOR for that Interest Period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for that Interest Period.</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Market disruption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before close of business in London on the Quotation Day for an Interest Period the Agent receives notifications from a Lender or Lenders (whose aggregate participations in the Total Commitments exceed 50 per cent of the Total Commitments) that the cost to it of funding its participation in the Loan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the Loan for the relevant Interest Period.</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Cost of funds</w:t>
      </w:r>
    </w:p>
    <w:p>
      <w:pPr>
        <w:spacing w:after="0" w:line="234" w:lineRule="exact"/>
        <w:rPr>
          <w:sz w:val="20"/>
          <w:szCs w:val="20"/>
          <w:color w:val="auto"/>
        </w:rPr>
      </w:pPr>
    </w:p>
    <w:p>
      <w:pPr>
        <w:ind w:left="1020" w:hanging="512"/>
        <w:spacing w:after="0" w:line="246" w:lineRule="auto"/>
        <w:tabs>
          <w:tab w:leader="none" w:pos="10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rate of interest on each Lender’s share of the Loan for the Interest Period shall be the percentage rate per annum which is the sum of:</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211" w:lineRule="exact"/>
        <w:rPr>
          <w:rFonts w:ascii="Arial" w:cs="Arial" w:eastAsia="Arial" w:hAnsi="Arial"/>
          <w:sz w:val="18"/>
          <w:szCs w:val="18"/>
          <w:color w:val="auto"/>
        </w:rPr>
      </w:pPr>
    </w:p>
    <w:p>
      <w:pPr>
        <w:jc w:val="both"/>
        <w:ind w:left="1540" w:hanging="511"/>
        <w:spacing w:after="0" w:line="241" w:lineRule="auto"/>
        <w:tabs>
          <w:tab w:leader="none" w:pos="163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by close of business on the date falling ten (10) Business Days after the Quotation Day (or, if earlier, on the date falling ten Business Days before the date on which interest is due to be paid in respect of that Interest Period), to be that which expresses as a percentage rate per annum the cost to the relevant Lender of funding its participation in the Loan from whatever source it may reasonably select.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left="1020" w:hanging="512"/>
        <w:spacing w:after="0"/>
        <w:tabs>
          <w:tab w:leader="none" w:pos="10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this clause 10.3 applies and the Agent or the Parent so requires, the Agent and the Parent shall enter into negotiations (for a period of not more than 30 days) with a view to agreeing a substitute basis for determining the rate of interest. If a substitute basis for determining the rate of interest is not agreed, paragraph (a) shall apply.</w:t>
      </w:r>
    </w:p>
    <w:p>
      <w:pPr>
        <w:spacing w:after="0" w:line="184" w:lineRule="exact"/>
        <w:rPr>
          <w:rFonts w:ascii="Arial" w:cs="Arial" w:eastAsia="Arial" w:hAnsi="Arial"/>
          <w:sz w:val="18"/>
          <w:szCs w:val="18"/>
          <w:color w:val="auto"/>
        </w:rPr>
      </w:pPr>
    </w:p>
    <w:p>
      <w:pPr>
        <w:ind w:left="1020" w:hanging="512"/>
        <w:spacing w:after="0" w:line="267" w:lineRule="auto"/>
        <w:tabs>
          <w:tab w:leader="none" w:pos="10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Subject to clause 41.8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any alternative basis agreed pursuant to paragraph (b) above shall, with the prior consent of all the Lenders and the Parent, be binding on all Parties.</w:t>
      </w:r>
    </w:p>
    <w:p>
      <w:pPr>
        <w:spacing w:after="0" w:line="160" w:lineRule="exact"/>
        <w:rPr>
          <w:rFonts w:ascii="Arial" w:cs="Arial" w:eastAsia="Arial" w:hAnsi="Arial"/>
          <w:sz w:val="18"/>
          <w:szCs w:val="18"/>
          <w:color w:val="auto"/>
        </w:rPr>
      </w:pPr>
    </w:p>
    <w:p>
      <w:pPr>
        <w:ind w:left="1040" w:hanging="532"/>
        <w:spacing w:after="0"/>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540" w:hanging="511"/>
        <w:spacing w:after="0"/>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212"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the cost to that Lender of funding its participation in the Loan for that Interest Period shall be deemed, for the purposes of paragraph (a) above, to be LIBOR.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Notification to Parent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Parent.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Break Costs</w:t>
      </w:r>
    </w:p>
    <w:p>
      <w:pPr>
        <w:spacing w:after="0" w:line="234" w:lineRule="exact"/>
        <w:rPr>
          <w:sz w:val="20"/>
          <w:szCs w:val="20"/>
          <w:color w:val="auto"/>
        </w:rPr>
      </w:pPr>
    </w:p>
    <w:p>
      <w:pPr>
        <w:jc w:val="both"/>
        <w:ind w:left="1020" w:hanging="512"/>
        <w:spacing w:after="0"/>
        <w:tabs>
          <w:tab w:leader="none" w:pos="10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Borrowers shall, within three (3) Business Days of demand by a Finance Party, pay to that Finance Party its Break Costs attributable to all or any part of an Advance or Unpaid Sum being paid by the Borrowers (or, if relevant, any Group Member) on a day other than the last day of an Interest Period for that Advance or Unpaid Sum or relevant part of it.</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0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5" w:lineRule="exact"/>
        <w:rPr>
          <w:sz w:val="20"/>
          <w:szCs w:val="20"/>
          <w:color w:val="auto"/>
        </w:rPr>
      </w:pPr>
    </w:p>
    <w:p>
      <w:pPr>
        <w:ind w:left="460" w:hanging="350"/>
        <w:spacing w:after="0"/>
        <w:tabs>
          <w:tab w:leader="none" w:pos="4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Fees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Commitment fee</w:t>
      </w:r>
    </w:p>
    <w:p>
      <w:pPr>
        <w:spacing w:after="0" w:line="234" w:lineRule="exact"/>
        <w:rPr>
          <w:sz w:val="20"/>
          <w:szCs w:val="20"/>
          <w:color w:val="auto"/>
        </w:rPr>
      </w:pPr>
    </w:p>
    <w:p>
      <w:pPr>
        <w:jc w:val="both"/>
        <w:ind w:left="1020" w:hanging="512"/>
        <w:spacing w:after="0"/>
        <w:tabs>
          <w:tab w:leader="none" w:pos="106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Borrowers shall pay to the Agent (for the account of each Lender) a fee in dollars on the undrawn and uncancelled portion of each Lender’s Commitment under the Facility, computed at the rate per annum of 0.675% per annum (being 25 per cent of the Margin) calculated on a daily basis from the date of this Agreement.</w:t>
      </w:r>
    </w:p>
    <w:p>
      <w:pPr>
        <w:spacing w:after="0" w:line="202" w:lineRule="exact"/>
        <w:rPr>
          <w:rFonts w:ascii="Arial" w:cs="Arial" w:eastAsia="Arial" w:hAnsi="Arial"/>
          <w:sz w:val="18"/>
          <w:szCs w:val="18"/>
          <w:color w:val="auto"/>
        </w:rPr>
      </w:pPr>
    </w:p>
    <w:p>
      <w:pPr>
        <w:jc w:val="both"/>
        <w:ind w:left="1020" w:hanging="512"/>
        <w:spacing w:after="0"/>
        <w:tabs>
          <w:tab w:leader="none" w:pos="103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Borrowers shall pay the accrued commitment fee on the last day of the period of three (3) months commencing on the date of this Agreement, on the last day of each successive period of three months, on the Last Availability Date and, if cancelled in full, on the cancelled amount of the relevant Lender’s Commitment at the time the cancellation is effective.</w:t>
      </w:r>
    </w:p>
    <w:p>
      <w:pPr>
        <w:spacing w:after="0" w:line="202" w:lineRule="exact"/>
        <w:rPr>
          <w:rFonts w:ascii="Arial" w:cs="Arial" w:eastAsia="Arial" w:hAnsi="Arial"/>
          <w:sz w:val="18"/>
          <w:szCs w:val="18"/>
          <w:color w:val="auto"/>
        </w:rPr>
      </w:pPr>
    </w:p>
    <w:p>
      <w:pPr>
        <w:ind w:left="1020" w:hanging="512"/>
        <w:spacing w:after="0" w:line="246" w:lineRule="auto"/>
        <w:tabs>
          <w:tab w:leader="none" w:pos="106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Other fees</w:t>
      </w:r>
    </w:p>
    <w:p>
      <w:pPr>
        <w:spacing w:after="0" w:line="234" w:lineRule="exact"/>
        <w:rPr>
          <w:sz w:val="20"/>
          <w:szCs w:val="20"/>
          <w:color w:val="auto"/>
        </w:rPr>
      </w:pPr>
    </w:p>
    <w:p>
      <w:pPr>
        <w:jc w:val="center"/>
        <w:ind w:left="400" w:right="440"/>
        <w:spacing w:after="0" w:line="481" w:lineRule="auto"/>
        <w:rPr>
          <w:sz w:val="20"/>
          <w:szCs w:val="20"/>
          <w:color w:val="auto"/>
        </w:rPr>
      </w:pPr>
      <w:r>
        <w:rPr>
          <w:rFonts w:ascii="Arial" w:cs="Arial" w:eastAsia="Arial" w:hAnsi="Arial"/>
          <w:sz w:val="18"/>
          <w:szCs w:val="18"/>
          <w:color w:val="auto"/>
        </w:rPr>
        <w:t>The Borrowers shall pay any other fees set out in a Fee Letter in the amount and at the times agreed in the applicable Fee Letter.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120"/>
        <w:spacing w:after="0"/>
        <w:rPr>
          <w:sz w:val="20"/>
          <w:szCs w:val="20"/>
          <w:color w:val="auto"/>
        </w:rPr>
      </w:pPr>
      <w:r>
        <w:rPr>
          <w:rFonts w:ascii="Arial" w:cs="Arial" w:eastAsia="Arial" w:hAnsi="Arial"/>
          <w:sz w:val="22"/>
          <w:szCs w:val="22"/>
          <w:b w:val="1"/>
          <w:bCs w:val="1"/>
          <w:color w:val="auto"/>
        </w:rPr>
        <w:t>12  Tax gross-up and indemnities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Definitions</w:t>
      </w:r>
    </w:p>
    <w:p>
      <w:pPr>
        <w:spacing w:after="0" w:line="212" w:lineRule="exact"/>
        <w:rPr>
          <w:sz w:val="20"/>
          <w:szCs w:val="20"/>
          <w:color w:val="auto"/>
        </w:rPr>
      </w:pPr>
    </w:p>
    <w:p>
      <w:pPr>
        <w:ind w:left="1000" w:hanging="486"/>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In this Agreement</w:t>
      </w:r>
      <w:r>
        <w:rPr>
          <w:rFonts w:ascii="Arial" w:cs="Arial" w:eastAsia="Arial" w:hAnsi="Arial"/>
          <w:sz w:val="18"/>
          <w:szCs w:val="18"/>
          <w:color w:val="auto"/>
        </w:rPr>
        <w:t>:</w:t>
      </w:r>
    </w:p>
    <w:p>
      <w:pPr>
        <w:spacing w:after="0" w:line="212" w:lineRule="exact"/>
        <w:rPr>
          <w:sz w:val="20"/>
          <w:szCs w:val="20"/>
          <w:color w:val="auto"/>
        </w:rPr>
      </w:pPr>
    </w:p>
    <w:p>
      <w:pPr>
        <w:jc w:val="both"/>
        <w:ind w:left="1020"/>
        <w:spacing w:after="0" w:line="244" w:lineRule="auto"/>
        <w:rPr>
          <w:sz w:val="20"/>
          <w:szCs w:val="20"/>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or, in relation to clause 14.4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(Indemnity concerning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clause 14.7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insofar as it relates to interest on any amount demanded by that Indemnified Person under clause 14.4 </w:t>
      </w:r>
      <w:r>
        <w:rPr>
          <w:rFonts w:ascii="Arial" w:cs="Arial" w:eastAsia="Arial" w:hAnsi="Arial"/>
          <w:sz w:val="18"/>
          <w:szCs w:val="18"/>
          <w:i w:val="1"/>
          <w:i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any Indemnified Person, which is or will be subject to any liability, or required to make any payment, for or on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Tax in relation to a sum received or receivable (or any sum deemed for the purposes of Tax to be received or receivable) under a Finance Document.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12" w:lineRule="exact"/>
        <w:rPr>
          <w:sz w:val="20"/>
          <w:szCs w:val="20"/>
          <w:color w:val="auto"/>
        </w:rPr>
      </w:pPr>
    </w:p>
    <w:p>
      <w:pPr>
        <w:jc w:val="both"/>
        <w:ind w:left="1020" w:right="20"/>
        <w:spacing w:after="0" w:line="271"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 FATCA Deduction.</w:t>
      </w:r>
    </w:p>
    <w:p>
      <w:pPr>
        <w:spacing w:after="0" w:line="154" w:lineRule="exact"/>
        <w:rPr>
          <w:sz w:val="20"/>
          <w:szCs w:val="20"/>
          <w:color w:val="auto"/>
        </w:rPr>
      </w:pPr>
    </w:p>
    <w:p>
      <w:pPr>
        <w:jc w:val="both"/>
        <w:ind w:left="1040"/>
        <w:spacing w:after="0" w:line="271"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54" w:lineRule="exact"/>
        <w:rPr>
          <w:sz w:val="20"/>
          <w:szCs w:val="20"/>
          <w:color w:val="auto"/>
        </w:rPr>
      </w:pPr>
    </w:p>
    <w:p>
      <w:pPr>
        <w:ind w:left="1020" w:hanging="506"/>
        <w:spacing w:after="0" w:line="271" w:lineRule="auto"/>
        <w:tabs>
          <w:tab w:leader="none" w:pos="104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w:t>
      </w:r>
    </w:p>
    <w:p>
      <w:pPr>
        <w:spacing w:after="0" w:line="15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Tax gross-up</w:t>
      </w:r>
    </w:p>
    <w:p>
      <w:pPr>
        <w:spacing w:after="0" w:line="234" w:lineRule="exact"/>
        <w:rPr>
          <w:sz w:val="20"/>
          <w:szCs w:val="20"/>
          <w:color w:val="auto"/>
        </w:rPr>
      </w:pPr>
    </w:p>
    <w:p>
      <w:pPr>
        <w:ind w:left="1020" w:hanging="506"/>
        <w:spacing w:after="0" w:line="246" w:lineRule="auto"/>
        <w:tabs>
          <w:tab w:leader="none" w:pos="105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96" w:lineRule="exact"/>
        <w:rPr>
          <w:rFonts w:ascii="Arial" w:cs="Arial" w:eastAsia="Arial" w:hAnsi="Arial"/>
          <w:sz w:val="18"/>
          <w:szCs w:val="18"/>
          <w:color w:val="auto"/>
        </w:rPr>
      </w:pPr>
    </w:p>
    <w:p>
      <w:pPr>
        <w:jc w:val="both"/>
        <w:ind w:left="1020" w:hanging="506"/>
        <w:spacing w:after="0" w:line="238" w:lineRule="auto"/>
        <w:tabs>
          <w:tab w:leader="none" w:pos="10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Borrowers and that Obligor.</w:t>
      </w:r>
    </w:p>
    <w:p>
      <w:pPr>
        <w:spacing w:after="0" w:line="204" w:lineRule="exact"/>
        <w:rPr>
          <w:rFonts w:ascii="Arial" w:cs="Arial" w:eastAsia="Arial" w:hAnsi="Arial"/>
          <w:sz w:val="18"/>
          <w:szCs w:val="18"/>
          <w:color w:val="auto"/>
        </w:rPr>
      </w:pPr>
    </w:p>
    <w:p>
      <w:pPr>
        <w:jc w:val="both"/>
        <w:ind w:left="1020" w:hanging="506"/>
        <w:spacing w:after="0"/>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202" w:lineRule="exact"/>
        <w:rPr>
          <w:rFonts w:ascii="Arial" w:cs="Arial" w:eastAsia="Arial" w:hAnsi="Arial"/>
          <w:sz w:val="18"/>
          <w:szCs w:val="18"/>
          <w:color w:val="auto"/>
        </w:rPr>
      </w:pPr>
    </w:p>
    <w:p>
      <w:pPr>
        <w:ind w:left="1020" w:hanging="506"/>
        <w:spacing w:after="0" w:line="246" w:lineRule="auto"/>
        <w:tabs>
          <w:tab w:leader="none" w:pos="11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96" w:lineRule="exact"/>
        <w:rPr>
          <w:rFonts w:ascii="Arial" w:cs="Arial" w:eastAsia="Arial" w:hAnsi="Arial"/>
          <w:sz w:val="18"/>
          <w:szCs w:val="18"/>
          <w:color w:val="auto"/>
        </w:rPr>
      </w:pPr>
    </w:p>
    <w:p>
      <w:pPr>
        <w:jc w:val="both"/>
        <w:ind w:left="1020" w:hanging="506"/>
        <w:spacing w:after="0" w:line="238" w:lineRule="auto"/>
        <w:tabs>
          <w:tab w:leader="none" w:pos="109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Tax indemnity</w:t>
      </w:r>
    </w:p>
    <w:p>
      <w:pPr>
        <w:spacing w:after="0" w:line="234" w:lineRule="exact"/>
        <w:rPr>
          <w:sz w:val="20"/>
          <w:szCs w:val="20"/>
          <w:color w:val="auto"/>
        </w:rPr>
      </w:pPr>
    </w:p>
    <w:p>
      <w:pPr>
        <w:jc w:val="both"/>
        <w:ind w:left="1020" w:hanging="506"/>
        <w:spacing w:after="0"/>
        <w:tabs>
          <w:tab w:leader="none" w:pos="108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Obligor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5" w:name="page46"/>
    <w:bookmarkEnd w:id="45"/>
    <w:p>
      <w:pPr>
        <w:ind w:left="1000" w:hanging="486"/>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11" w:lineRule="exact"/>
        <w:rPr>
          <w:rFonts w:ascii="Arial" w:cs="Arial" w:eastAsia="Arial" w:hAnsi="Arial"/>
          <w:sz w:val="18"/>
          <w:szCs w:val="18"/>
          <w:color w:val="auto"/>
        </w:rPr>
      </w:pPr>
    </w:p>
    <w:p>
      <w:pPr>
        <w:ind w:left="2040" w:hanging="501"/>
        <w:spacing w:after="0" w:line="246" w:lineRule="auto"/>
        <w:tabs>
          <w:tab w:leader="none" w:pos="2213" w:val="left"/>
        </w:tabs>
        <w:numPr>
          <w:ilvl w:val="2"/>
          <w:numId w:val="125"/>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96" w:lineRule="exact"/>
        <w:rPr>
          <w:rFonts w:ascii="Arial" w:cs="Arial" w:eastAsia="Arial" w:hAnsi="Arial"/>
          <w:sz w:val="18"/>
          <w:szCs w:val="18"/>
          <w:color w:val="auto"/>
        </w:rPr>
      </w:pPr>
    </w:p>
    <w:p>
      <w:pPr>
        <w:ind w:left="2040" w:hanging="501"/>
        <w:spacing w:after="0" w:line="246" w:lineRule="auto"/>
        <w:tabs>
          <w:tab w:leader="none" w:pos="2213" w:val="left"/>
        </w:tabs>
        <w:numPr>
          <w:ilvl w:val="2"/>
          <w:numId w:val="125"/>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97"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79" w:lineRule="exact"/>
        <w:rPr>
          <w:sz w:val="20"/>
          <w:szCs w:val="20"/>
          <w:color w:val="auto"/>
        </w:rPr>
      </w:pPr>
    </w:p>
    <w:p>
      <w:pPr>
        <w:ind w:left="1540" w:hanging="511"/>
        <w:spacing w:after="0" w:line="267" w:lineRule="auto"/>
        <w:tabs>
          <w:tab w:leader="none" w:pos="171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 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1540" w:hanging="511"/>
        <w:spacing w:after="0" w:line="267" w:lineRule="auto"/>
        <w:tabs>
          <w:tab w:leader="none" w:pos="157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 payment under clause 12.4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160" w:lineRule="exact"/>
        <w:rPr>
          <w:rFonts w:ascii="Arial" w:cs="Arial" w:eastAsia="Arial" w:hAnsi="Arial"/>
          <w:sz w:val="18"/>
          <w:szCs w:val="18"/>
          <w:color w:val="auto"/>
        </w:rPr>
      </w:pPr>
    </w:p>
    <w:p>
      <w:pPr>
        <w:ind w:left="1540" w:hanging="511"/>
        <w:spacing w:after="0"/>
        <w:tabs>
          <w:tab w:leader="none" w:pos="15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29" w:lineRule="exact"/>
        <w:rPr>
          <w:rFonts w:ascii="Arial" w:cs="Arial" w:eastAsia="Arial" w:hAnsi="Arial"/>
          <w:sz w:val="18"/>
          <w:szCs w:val="18"/>
          <w:color w:val="auto"/>
        </w:rPr>
      </w:pPr>
    </w:p>
    <w:p>
      <w:pPr>
        <w:ind w:left="1020" w:hanging="506"/>
        <w:spacing w:after="0" w:line="246" w:lineRule="auto"/>
        <w:tabs>
          <w:tab w:leader="none" w:pos="10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 and the Guarantors.</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Indemnities on after Tax basis</w:t>
      </w:r>
    </w:p>
    <w:p>
      <w:pPr>
        <w:spacing w:after="0" w:line="234" w:lineRule="exact"/>
        <w:rPr>
          <w:sz w:val="20"/>
          <w:szCs w:val="20"/>
          <w:color w:val="auto"/>
        </w:rPr>
      </w:pPr>
    </w:p>
    <w:p>
      <w:pPr>
        <w:jc w:val="both"/>
        <w:ind w:left="1020" w:hanging="506"/>
        <w:spacing w:after="0" w:line="238" w:lineRule="auto"/>
        <w:tabs>
          <w:tab w:leader="none" w:pos="112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and to the extent that any sum payable to any Protected Party by the Borrowers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Borrowers shall pay that Protected Party such additional sum as (after taking into account any Tax suffered by that Protected Party on such additional sum) shall be required to make up the relevant deficit.</w:t>
      </w:r>
    </w:p>
    <w:p>
      <w:pPr>
        <w:spacing w:after="0" w:line="180" w:lineRule="exact"/>
        <w:rPr>
          <w:rFonts w:ascii="Arial" w:cs="Arial" w:eastAsia="Arial" w:hAnsi="Arial"/>
          <w:sz w:val="18"/>
          <w:szCs w:val="18"/>
          <w:color w:val="auto"/>
        </w:rPr>
      </w:pPr>
    </w:p>
    <w:p>
      <w:pPr>
        <w:jc w:val="both"/>
        <w:ind w:left="1020" w:hanging="506"/>
        <w:spacing w:after="0" w:line="244" w:lineRule="auto"/>
        <w:tabs>
          <w:tab w:leader="none" w:pos="100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If and to the extent that any sum (the </w:t>
      </w:r>
      <w:r>
        <w:rPr>
          <w:rFonts w:ascii="Arial" w:cs="Arial" w:eastAsia="Arial" w:hAnsi="Arial"/>
          <w:sz w:val="18"/>
          <w:szCs w:val="18"/>
          <w:b w:val="1"/>
          <w:bCs w:val="1"/>
          <w:color w:val="auto"/>
        </w:rPr>
        <w:t>Indemnity Sum</w:t>
      </w:r>
      <w:r>
        <w:rPr>
          <w:rFonts w:ascii="Arial" w:cs="Arial" w:eastAsia="Arial" w:hAnsi="Arial"/>
          <w:sz w:val="18"/>
          <w:szCs w:val="18"/>
          <w:color w:val="auto"/>
        </w:rPr>
        <w:t xml:space="preserve">) constituting (directly or indirectly) an indemnity to any Protected Party but paid by the Borrowers to any person other than that Protected Party, shall be treated as taxable in the hands of the Protected Party, the Borrowers shall pay to that Protected Party such sum (the </w:t>
      </w:r>
      <w:r>
        <w:rPr>
          <w:rFonts w:ascii="Arial" w:cs="Arial" w:eastAsia="Arial" w:hAnsi="Arial"/>
          <w:sz w:val="18"/>
          <w:szCs w:val="18"/>
          <w:b w:val="1"/>
          <w:bCs w:val="1"/>
          <w:color w:val="auto"/>
        </w:rPr>
        <w:t>Compensating Sum</w:t>
      </w:r>
      <w:r>
        <w:rPr>
          <w:rFonts w:ascii="Arial" w:cs="Arial" w:eastAsia="Arial" w:hAnsi="Arial"/>
          <w:sz w:val="18"/>
          <w:szCs w:val="18"/>
          <w:color w:val="auto"/>
        </w:rPr>
        <w:t>) as (after taking into account any Tax suffered by that Protected Party on the Compensating Sum) shall reimburse that Protected Party for any Tax suffered by it in respect of the Indemnity Sum.</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FATCA Information</w:t>
      </w:r>
    </w:p>
    <w:p>
      <w:pPr>
        <w:spacing w:after="0" w:line="234" w:lineRule="exact"/>
        <w:rPr>
          <w:sz w:val="20"/>
          <w:szCs w:val="20"/>
          <w:color w:val="auto"/>
        </w:rPr>
      </w:pPr>
    </w:p>
    <w:p>
      <w:pPr>
        <w:ind w:left="1000" w:hanging="486"/>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211" w:lineRule="exact"/>
        <w:rPr>
          <w:rFonts w:ascii="Arial" w:cs="Arial" w:eastAsia="Arial" w:hAnsi="Arial"/>
          <w:sz w:val="18"/>
          <w:szCs w:val="18"/>
          <w:color w:val="auto"/>
        </w:rPr>
      </w:pPr>
    </w:p>
    <w:p>
      <w:pPr>
        <w:ind w:left="1540" w:hanging="508"/>
        <w:spacing w:after="0"/>
        <w:tabs>
          <w:tab w:leader="none" w:pos="1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ind w:left="1526" w:hanging="501"/>
        <w:spacing w:after="0"/>
        <w:tabs>
          <w:tab w:leader="none" w:pos="152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11" w:lineRule="exact"/>
        <w:rPr>
          <w:rFonts w:ascii="Arial" w:cs="Arial" w:eastAsia="Arial" w:hAnsi="Arial"/>
          <w:sz w:val="18"/>
          <w:szCs w:val="18"/>
          <w:color w:val="auto"/>
        </w:rPr>
      </w:pPr>
    </w:p>
    <w:p>
      <w:pPr>
        <w:ind w:left="1026" w:hanging="511"/>
        <w:spacing w:after="0" w:line="246" w:lineRule="auto"/>
        <w:tabs>
          <w:tab w:leader="none" w:pos="114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96" w:lineRule="exact"/>
        <w:rPr>
          <w:rFonts w:ascii="Arial" w:cs="Arial" w:eastAsia="Arial" w:hAnsi="Arial"/>
          <w:sz w:val="18"/>
          <w:szCs w:val="18"/>
          <w:color w:val="auto"/>
        </w:rPr>
      </w:pPr>
    </w:p>
    <w:p>
      <w:pPr>
        <w:jc w:val="both"/>
        <w:ind w:left="1026" w:hanging="511"/>
        <w:spacing w:after="0"/>
        <w:tabs>
          <w:tab w:leader="none" w:pos="118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02" w:lineRule="exact"/>
        <w:rPr>
          <w:rFonts w:ascii="Arial" w:cs="Arial" w:eastAsia="Arial" w:hAnsi="Arial"/>
          <w:sz w:val="18"/>
          <w:szCs w:val="18"/>
          <w:color w:val="auto"/>
        </w:rPr>
      </w:pPr>
    </w:p>
    <w:p>
      <w:pPr>
        <w:jc w:val="both"/>
        <w:ind w:left="506" w:hanging="506"/>
        <w:spacing w:after="0"/>
        <w:tabs>
          <w:tab w:leader="none" w:pos="5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202" w:lineRule="exact"/>
        <w:rPr>
          <w:rFonts w:ascii="Arial" w:cs="Arial" w:eastAsia="Arial" w:hAnsi="Arial"/>
          <w:sz w:val="18"/>
          <w:szCs w:val="18"/>
          <w:color w:val="auto"/>
        </w:rPr>
      </w:pPr>
    </w:p>
    <w:p>
      <w:pPr>
        <w:ind w:left="506" w:hanging="506"/>
        <w:spacing w:after="0" w:line="246" w:lineRule="auto"/>
        <w:tabs>
          <w:tab w:leader="none" w:pos="5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96" w:lineRule="exact"/>
        <w:rPr>
          <w:rFonts w:ascii="Arial" w:cs="Arial" w:eastAsia="Arial" w:hAnsi="Arial"/>
          <w:sz w:val="18"/>
          <w:szCs w:val="18"/>
          <w:color w:val="auto"/>
        </w:rPr>
      </w:pPr>
    </w:p>
    <w:p>
      <w:pPr>
        <w:ind w:left="1026" w:hanging="511"/>
        <w:spacing w:after="0"/>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11" w:lineRule="exact"/>
        <w:rPr>
          <w:rFonts w:ascii="Arial" w:cs="Arial" w:eastAsia="Arial" w:hAnsi="Arial"/>
          <w:sz w:val="18"/>
          <w:szCs w:val="18"/>
          <w:color w:val="auto"/>
        </w:rPr>
      </w:pPr>
    </w:p>
    <w:p>
      <w:pPr>
        <w:ind w:left="1026" w:hanging="511"/>
        <w:spacing w:after="0"/>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11" w:lineRule="exact"/>
        <w:rPr>
          <w:rFonts w:ascii="Arial" w:cs="Arial" w:eastAsia="Arial" w:hAnsi="Arial"/>
          <w:sz w:val="18"/>
          <w:szCs w:val="18"/>
          <w:color w:val="auto"/>
        </w:rPr>
      </w:pPr>
    </w:p>
    <w:p>
      <w:pPr>
        <w:ind w:left="1026" w:hanging="511"/>
        <w:spacing w:after="0"/>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11" w:lineRule="exact"/>
        <w:rPr>
          <w:rFonts w:ascii="Arial" w:cs="Arial" w:eastAsia="Arial" w:hAnsi="Arial"/>
          <w:sz w:val="18"/>
          <w:szCs w:val="18"/>
          <w:color w:val="auto"/>
        </w:rPr>
      </w:pPr>
    </w:p>
    <w:p>
      <w:pPr>
        <w:jc w:val="both"/>
        <w:ind w:left="506" w:hanging="506"/>
        <w:spacing w:after="0" w:line="238" w:lineRule="auto"/>
        <w:tabs>
          <w:tab w:leader="none" w:pos="6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202" w:lineRule="exact"/>
        <w:rPr>
          <w:rFonts w:ascii="Arial" w:cs="Arial" w:eastAsia="Arial" w:hAnsi="Arial"/>
          <w:sz w:val="18"/>
          <w:szCs w:val="18"/>
          <w:color w:val="auto"/>
        </w:rPr>
      </w:pPr>
    </w:p>
    <w:p>
      <w:pPr>
        <w:ind w:left="506" w:hanging="506"/>
        <w:spacing w:after="0" w:line="246" w:lineRule="auto"/>
        <w:tabs>
          <w:tab w:leader="none" w:pos="5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196" w:lineRule="exact"/>
        <w:rPr>
          <w:rFonts w:ascii="Arial" w:cs="Arial" w:eastAsia="Arial" w:hAnsi="Arial"/>
          <w:sz w:val="18"/>
          <w:szCs w:val="18"/>
          <w:color w:val="auto"/>
        </w:rPr>
      </w:pPr>
    </w:p>
    <w:p>
      <w:pPr>
        <w:ind w:left="1026" w:hanging="511"/>
        <w:spacing w:after="0"/>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where a Borrower is a US Tax Obligor and the relevant Lender is an Original Lender, the date of this Agreement;</w:t>
      </w:r>
    </w:p>
    <w:p>
      <w:pPr>
        <w:spacing w:after="0" w:line="211" w:lineRule="exact"/>
        <w:rPr>
          <w:rFonts w:ascii="Arial" w:cs="Arial" w:eastAsia="Arial" w:hAnsi="Arial"/>
          <w:sz w:val="18"/>
          <w:szCs w:val="18"/>
          <w:color w:val="auto"/>
        </w:rPr>
      </w:pPr>
    </w:p>
    <w:p>
      <w:pPr>
        <w:ind w:left="1026" w:hanging="511"/>
        <w:spacing w:after="0" w:line="246" w:lineRule="auto"/>
        <w:tabs>
          <w:tab w:leader="none" w:pos="104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where a Borrower is a US Tax Obligor on a Transfer Date and the relevant Lender is a New Lender, the relevant Transfer Date; or</w:t>
      </w:r>
    </w:p>
    <w:p>
      <w:pPr>
        <w:spacing w:after="0" w:line="196" w:lineRule="exact"/>
        <w:rPr>
          <w:rFonts w:ascii="Arial" w:cs="Arial" w:eastAsia="Arial" w:hAnsi="Arial"/>
          <w:sz w:val="18"/>
          <w:szCs w:val="18"/>
          <w:color w:val="auto"/>
        </w:rPr>
      </w:pPr>
    </w:p>
    <w:p>
      <w:pPr>
        <w:ind w:left="1026" w:hanging="511"/>
        <w:spacing w:after="0"/>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211" w:lineRule="exact"/>
        <w:rPr>
          <w:rFonts w:ascii="Arial" w:cs="Arial" w:eastAsia="Arial" w:hAnsi="Arial"/>
          <w:sz w:val="18"/>
          <w:szCs w:val="18"/>
          <w:color w:val="auto"/>
        </w:rPr>
      </w:pPr>
    </w:p>
    <w:p>
      <w:pPr>
        <w:ind w:left="1026" w:hanging="511"/>
        <w:spacing w:after="0"/>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212" w:lineRule="exact"/>
        <w:rPr>
          <w:sz w:val="20"/>
          <w:szCs w:val="20"/>
          <w:color w:val="auto"/>
        </w:rPr>
      </w:pPr>
    </w:p>
    <w:p>
      <w:pPr>
        <w:ind w:left="506"/>
        <w:spacing w:after="0"/>
        <w:rPr>
          <w:sz w:val="20"/>
          <w:szCs w:val="20"/>
          <w:color w:val="auto"/>
        </w:rPr>
      </w:pPr>
      <w:r>
        <w:rPr>
          <w:rFonts w:ascii="Arial" w:cs="Arial" w:eastAsia="Arial" w:hAnsi="Arial"/>
          <w:sz w:val="18"/>
          <w:szCs w:val="18"/>
          <w:color w:val="auto"/>
        </w:rPr>
        <w:t>supply to the Agent:</w:t>
      </w:r>
    </w:p>
    <w:p>
      <w:pPr>
        <w:spacing w:after="0" w:line="212" w:lineRule="exact"/>
        <w:rPr>
          <w:sz w:val="20"/>
          <w:szCs w:val="20"/>
          <w:color w:val="auto"/>
        </w:rPr>
      </w:pPr>
    </w:p>
    <w:p>
      <w:pPr>
        <w:ind w:left="1526" w:hanging="501"/>
        <w:spacing w:after="0"/>
        <w:tabs>
          <w:tab w:leader="none" w:pos="152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211" w:lineRule="exact"/>
        <w:rPr>
          <w:rFonts w:ascii="Arial" w:cs="Arial" w:eastAsia="Arial" w:hAnsi="Arial"/>
          <w:sz w:val="18"/>
          <w:szCs w:val="18"/>
          <w:color w:val="auto"/>
        </w:rPr>
      </w:pPr>
    </w:p>
    <w:p>
      <w:pPr>
        <w:ind w:left="1526" w:hanging="501"/>
        <w:spacing w:after="0" w:line="246" w:lineRule="auto"/>
        <w:tabs>
          <w:tab w:leader="none" w:pos="15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96" w:lineRule="exact"/>
        <w:rPr>
          <w:rFonts w:ascii="Arial" w:cs="Arial" w:eastAsia="Arial" w:hAnsi="Arial"/>
          <w:sz w:val="18"/>
          <w:szCs w:val="18"/>
          <w:color w:val="auto"/>
        </w:rPr>
      </w:pPr>
    </w:p>
    <w:p>
      <w:pPr>
        <w:ind w:left="506" w:hanging="506"/>
        <w:spacing w:after="0" w:line="246" w:lineRule="auto"/>
        <w:tabs>
          <w:tab w:leader="none" w:pos="59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Borrowers.</w:t>
      </w:r>
    </w:p>
    <w:p>
      <w:pPr>
        <w:spacing w:after="0" w:line="197"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64135</wp:posOffset>
            </wp:positionV>
            <wp:extent cx="71532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55" w:right="339" w:bottom="1440" w:gutter="0" w:footer="0" w:header="0"/>
        </w:sectPr>
      </w:pPr>
    </w:p>
    <w:bookmarkStart w:id="47" w:name="page48"/>
    <w:bookmarkEnd w:id="47"/>
    <w:p>
      <w:pPr>
        <w:jc w:val="both"/>
        <w:ind w:left="1020" w:hanging="506"/>
        <w:spacing w:after="0" w:line="238" w:lineRule="auto"/>
        <w:tabs>
          <w:tab w:leader="none" w:pos="11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202" w:lineRule="exact"/>
        <w:rPr>
          <w:rFonts w:ascii="Arial" w:cs="Arial" w:eastAsia="Arial" w:hAnsi="Arial"/>
          <w:sz w:val="18"/>
          <w:szCs w:val="18"/>
          <w:color w:val="auto"/>
        </w:rPr>
      </w:pPr>
    </w:p>
    <w:p>
      <w:pPr>
        <w:jc w:val="both"/>
        <w:ind w:left="1020" w:hanging="506"/>
        <w:spacing w:after="0"/>
        <w:tabs>
          <w:tab w:leader="none" w:pos="106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FATCA Deduction</w:t>
      </w:r>
    </w:p>
    <w:p>
      <w:pPr>
        <w:spacing w:after="0" w:line="234" w:lineRule="exact"/>
        <w:rPr>
          <w:sz w:val="20"/>
          <w:szCs w:val="20"/>
          <w:color w:val="auto"/>
        </w:rPr>
      </w:pPr>
    </w:p>
    <w:p>
      <w:pPr>
        <w:jc w:val="both"/>
        <w:ind w:left="1020" w:hanging="506"/>
        <w:spacing w:after="0"/>
        <w:tabs>
          <w:tab w:leader="none" w:pos="10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02" w:lineRule="exact"/>
        <w:rPr>
          <w:rFonts w:ascii="Arial" w:cs="Arial" w:eastAsia="Arial" w:hAnsi="Arial"/>
          <w:sz w:val="18"/>
          <w:szCs w:val="18"/>
          <w:color w:val="auto"/>
        </w:rPr>
      </w:pPr>
    </w:p>
    <w:p>
      <w:pPr>
        <w:jc w:val="both"/>
        <w:ind w:left="1020" w:hanging="506"/>
        <w:spacing w:after="0"/>
        <w:tabs>
          <w:tab w:leader="none" w:pos="10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Borrowers and the Agent and the Agent shall notify the other Finance Parties.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Stamp taxes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pay and, within three (3) Business Days of demand, indemnify each Finance Party against any cost, loss or liability that Finance Party incurs in relation to all stamp duty, registration and other similar Taxes payable in respect of any Finance Document provided that this clause 12.7 shall not apply in respect of any such stamp duty or Tax which is payable in respect of an assignment or transfer by a Finance Party of any of its rights and/or obligations under any Finance Document, except as such assignment or transfer is required by the terms of the Finance Documents, in terms of which this clause 12.7 shall apply in any event.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Value added tax</w:t>
      </w:r>
    </w:p>
    <w:p>
      <w:pPr>
        <w:spacing w:after="0" w:line="234" w:lineRule="exact"/>
        <w:rPr>
          <w:sz w:val="20"/>
          <w:szCs w:val="20"/>
          <w:color w:val="auto"/>
        </w:rPr>
      </w:pPr>
    </w:p>
    <w:p>
      <w:pPr>
        <w:jc w:val="both"/>
        <w:ind w:left="1020" w:hanging="506"/>
        <w:spacing w:after="0" w:line="237" w:lineRule="auto"/>
        <w:tabs>
          <w:tab w:leader="none" w:pos="10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82" w:lineRule="exact"/>
        <w:rPr>
          <w:rFonts w:ascii="Arial" w:cs="Arial" w:eastAsia="Arial" w:hAnsi="Arial"/>
          <w:sz w:val="18"/>
          <w:szCs w:val="18"/>
          <w:color w:val="auto"/>
        </w:rPr>
      </w:pPr>
    </w:p>
    <w:p>
      <w:pPr>
        <w:jc w:val="both"/>
        <w:ind w:left="1020" w:hanging="506"/>
        <w:spacing w:after="0" w:line="247" w:lineRule="auto"/>
        <w:tabs>
          <w:tab w:leader="none" w:pos="11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to a Finance Document other than the Recipient (the</w:t>
      </w:r>
      <w:r>
        <w:rPr>
          <w:rFonts w:ascii="Arial" w:cs="Arial" w:eastAsia="Arial" w:hAnsi="Arial"/>
          <w:sz w:val="18"/>
          <w:szCs w:val="18"/>
          <w:b w:val="1"/>
          <w:bCs w:val="1"/>
          <w:color w:val="auto"/>
        </w:rPr>
        <w:t xml:space="preserve"> Subject Party</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the terms of any Finance Document to pay an amount equal to the consideration for such supply to the Supplier (rather than being required to reimburse or indemnify the Recipient in respect of that consideration):</w:t>
      </w:r>
    </w:p>
    <w:p>
      <w:pPr>
        <w:spacing w:after="0" w:line="196" w:lineRule="exact"/>
        <w:rPr>
          <w:sz w:val="20"/>
          <w:szCs w:val="20"/>
          <w:color w:val="auto"/>
        </w:rPr>
      </w:pPr>
    </w:p>
    <w:p>
      <w:pPr>
        <w:jc w:val="both"/>
        <w:ind w:left="1540" w:hanging="511"/>
        <w:spacing w:after="0" w:line="238" w:lineRule="auto"/>
        <w:tabs>
          <w:tab w:leader="none" w:pos="15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ind w:left="1540"/>
        <w:spacing w:after="0"/>
        <w:rPr>
          <w:sz w:val="20"/>
          <w:szCs w:val="20"/>
          <w:color w:val="auto"/>
        </w:rPr>
      </w:pPr>
      <w:r>
        <w:rPr>
          <w:rFonts w:ascii="Arial" w:cs="Arial" w:eastAsia="Arial" w:hAnsi="Arial"/>
          <w:sz w:val="18"/>
          <w:szCs w:val="18"/>
          <w:color w:val="auto"/>
        </w:rPr>
        <w:t>relevant tax authority which the Recipient reasonably determines relates to the VAT chargeable on that supply; and</w:t>
      </w:r>
    </w:p>
    <w:p>
      <w:pPr>
        <w:spacing w:after="0" w:line="212" w:lineRule="exact"/>
        <w:rPr>
          <w:sz w:val="20"/>
          <w:szCs w:val="20"/>
          <w:color w:val="auto"/>
        </w:rPr>
      </w:pPr>
    </w:p>
    <w:p>
      <w:pPr>
        <w:jc w:val="both"/>
        <w:ind w:left="1540" w:hanging="511"/>
        <w:spacing w:after="0" w:line="238" w:lineRule="auto"/>
        <w:tabs>
          <w:tab w:leader="none" w:pos="161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04" w:lineRule="exact"/>
        <w:rPr>
          <w:rFonts w:ascii="Arial" w:cs="Arial" w:eastAsia="Arial" w:hAnsi="Arial"/>
          <w:sz w:val="18"/>
          <w:szCs w:val="18"/>
          <w:color w:val="auto"/>
        </w:rPr>
      </w:pPr>
    </w:p>
    <w:p>
      <w:pPr>
        <w:jc w:val="both"/>
        <w:ind w:left="1020" w:hanging="506"/>
        <w:spacing w:after="0" w:line="238" w:lineRule="auto"/>
        <w:tabs>
          <w:tab w:leader="none" w:pos="9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204" w:lineRule="exact"/>
        <w:rPr>
          <w:rFonts w:ascii="Arial" w:cs="Arial" w:eastAsia="Arial" w:hAnsi="Arial"/>
          <w:sz w:val="18"/>
          <w:szCs w:val="18"/>
          <w:color w:val="auto"/>
        </w:rPr>
      </w:pPr>
    </w:p>
    <w:p>
      <w:pPr>
        <w:jc w:val="both"/>
        <w:ind w:left="1020" w:hanging="506"/>
        <w:spacing w:after="0"/>
        <w:tabs>
          <w:tab w:leader="none" w:pos="10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202" w:lineRule="exact"/>
        <w:rPr>
          <w:rFonts w:ascii="Arial" w:cs="Arial" w:eastAsia="Arial" w:hAnsi="Arial"/>
          <w:sz w:val="18"/>
          <w:szCs w:val="18"/>
          <w:color w:val="auto"/>
        </w:rPr>
      </w:pPr>
    </w:p>
    <w:p>
      <w:pPr>
        <w:jc w:val="both"/>
        <w:ind w:left="1020" w:hanging="506"/>
        <w:spacing w:after="0" w:line="238" w:lineRule="auto"/>
        <w:tabs>
          <w:tab w:leader="none" w:pos="111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b w:val="1"/>
          <w:bCs w:val="1"/>
          <w:color w:val="auto"/>
        </w:rPr>
        <w:t>Tax Credit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12" w:lineRule="exact"/>
        <w:rPr>
          <w:sz w:val="20"/>
          <w:szCs w:val="20"/>
          <w:color w:val="auto"/>
        </w:rPr>
      </w:pPr>
    </w:p>
    <w:p>
      <w:pPr>
        <w:ind w:left="1020" w:hanging="506"/>
        <w:spacing w:after="0" w:line="246" w:lineRule="auto"/>
        <w:tabs>
          <w:tab w:leader="none" w:pos="112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212" w:lineRule="exact"/>
        <w:rPr>
          <w:sz w:val="20"/>
          <w:szCs w:val="20"/>
          <w:color w:val="auto"/>
        </w:rPr>
      </w:pPr>
    </w:p>
    <w:p>
      <w:pPr>
        <w:ind w:left="500"/>
        <w:spacing w:after="0" w:line="246"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65" w:lineRule="exact"/>
        <w:rPr>
          <w:sz w:val="20"/>
          <w:szCs w:val="20"/>
          <w:color w:val="auto"/>
        </w:rPr>
      </w:pPr>
    </w:p>
    <w:p>
      <w:pPr>
        <w:ind w:left="480" w:hanging="370"/>
        <w:spacing w:after="0"/>
        <w:tabs>
          <w:tab w:leader="none" w:pos="48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Increased Costs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Increased Costs</w:t>
      </w:r>
    </w:p>
    <w:p>
      <w:pPr>
        <w:spacing w:after="0" w:line="216" w:lineRule="exact"/>
        <w:rPr>
          <w:sz w:val="20"/>
          <w:szCs w:val="20"/>
          <w:color w:val="auto"/>
        </w:rPr>
      </w:pPr>
    </w:p>
    <w:p>
      <w:pPr>
        <w:ind w:left="1020" w:right="20" w:hanging="506"/>
        <w:spacing w:after="0" w:line="267" w:lineRule="auto"/>
        <w:tabs>
          <w:tab w:leader="none" w:pos="104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Borrowers shall, within three (3) Business Days of a demand by the Agent, pay for the account of a Finance Party the amount of any Increased Cost incurred by that Finance Party or any of its Affiliates which:</w:t>
      </w:r>
    </w:p>
    <w:p>
      <w:pPr>
        <w:spacing w:after="0" w:line="178" w:lineRule="exact"/>
        <w:rPr>
          <w:rFonts w:ascii="Arial" w:cs="Arial" w:eastAsia="Arial" w:hAnsi="Arial"/>
          <w:sz w:val="18"/>
          <w:szCs w:val="18"/>
          <w:color w:val="auto"/>
        </w:rPr>
      </w:pPr>
    </w:p>
    <w:p>
      <w:pPr>
        <w:ind w:left="1540" w:hanging="508"/>
        <w:spacing w:after="0" w:line="246" w:lineRule="auto"/>
        <w:tabs>
          <w:tab w:leader="none" w:pos="159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w:t>
      </w:r>
    </w:p>
    <w:p>
      <w:pPr>
        <w:spacing w:after="0" w:line="189" w:lineRule="exact"/>
        <w:rPr>
          <w:rFonts w:ascii="Arial" w:cs="Arial" w:eastAsia="Arial" w:hAnsi="Arial"/>
          <w:sz w:val="18"/>
          <w:szCs w:val="18"/>
          <w:color w:val="auto"/>
        </w:rPr>
      </w:pPr>
    </w:p>
    <w:p>
      <w:pPr>
        <w:ind w:left="1000" w:hanging="486"/>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1540" w:hanging="511"/>
        <w:spacing w:after="0"/>
        <w:tabs>
          <w:tab w:leader="none" w:pos="1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12"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Increased Cost claims</w:t>
      </w:r>
    </w:p>
    <w:p>
      <w:pPr>
        <w:spacing w:after="0" w:line="216" w:lineRule="exact"/>
        <w:rPr>
          <w:sz w:val="20"/>
          <w:szCs w:val="20"/>
          <w:color w:val="auto"/>
        </w:rPr>
      </w:pPr>
    </w:p>
    <w:p>
      <w:pPr>
        <w:ind w:left="1020" w:hanging="506"/>
        <w:spacing w:after="0" w:line="267" w:lineRule="auto"/>
        <w:tabs>
          <w:tab w:leader="none" w:pos="105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178" w:lineRule="exact"/>
        <w:rPr>
          <w:rFonts w:ascii="Arial" w:cs="Arial" w:eastAsia="Arial" w:hAnsi="Arial"/>
          <w:sz w:val="18"/>
          <w:szCs w:val="18"/>
          <w:color w:val="auto"/>
        </w:rPr>
      </w:pPr>
    </w:p>
    <w:p>
      <w:pPr>
        <w:ind w:left="1020" w:hanging="506"/>
        <w:spacing w:after="0" w:line="246" w:lineRule="auto"/>
        <w:tabs>
          <w:tab w:leader="none" w:pos="10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Exceptions</w:t>
      </w:r>
    </w:p>
    <w:p>
      <w:pPr>
        <w:spacing w:after="0" w:line="216" w:lineRule="exact"/>
        <w:rPr>
          <w:sz w:val="20"/>
          <w:szCs w:val="20"/>
          <w:color w:val="auto"/>
        </w:rPr>
      </w:pPr>
    </w:p>
    <w:p>
      <w:pPr>
        <w:ind w:left="1000" w:hanging="486"/>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29" w:lineRule="exact"/>
        <w:rPr>
          <w:rFonts w:ascii="Arial" w:cs="Arial" w:eastAsia="Arial" w:hAnsi="Arial"/>
          <w:sz w:val="18"/>
          <w:szCs w:val="18"/>
          <w:color w:val="auto"/>
        </w:rPr>
      </w:pPr>
    </w:p>
    <w:p>
      <w:pPr>
        <w:ind w:left="1540" w:hanging="51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93" w:lineRule="exact"/>
        <w:rPr>
          <w:rFonts w:ascii="Arial" w:cs="Arial" w:eastAsia="Arial" w:hAnsi="Arial"/>
          <w:sz w:val="18"/>
          <w:szCs w:val="18"/>
          <w:color w:val="auto"/>
        </w:rPr>
      </w:pPr>
    </w:p>
    <w:p>
      <w:pPr>
        <w:ind w:left="1540" w:hanging="511"/>
        <w:spacing w:after="0" w:line="267" w:lineRule="auto"/>
        <w:tabs>
          <w:tab w:leader="none" w:pos="154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78" w:lineRule="exact"/>
        <w:rPr>
          <w:rFonts w:ascii="Arial" w:cs="Arial" w:eastAsia="Arial" w:hAnsi="Arial"/>
          <w:sz w:val="18"/>
          <w:szCs w:val="18"/>
          <w:color w:val="auto"/>
        </w:rPr>
      </w:pPr>
    </w:p>
    <w:p>
      <w:pPr>
        <w:ind w:left="1540" w:hanging="51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89" w:lineRule="exact"/>
        <w:rPr>
          <w:rFonts w:ascii="Arial" w:cs="Arial" w:eastAsia="Arial" w:hAnsi="Arial"/>
          <w:sz w:val="18"/>
          <w:szCs w:val="18"/>
          <w:color w:val="auto"/>
        </w:rPr>
      </w:pPr>
    </w:p>
    <w:p>
      <w:pPr>
        <w:ind w:left="1000" w:hanging="486"/>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02" w:lineRule="exact"/>
        <w:rPr>
          <w:sz w:val="20"/>
          <w:szCs w:val="20"/>
          <w:color w:val="auto"/>
        </w:rPr>
      </w:pPr>
    </w:p>
    <w:p>
      <w:pPr>
        <w:ind w:left="480" w:hanging="370"/>
        <w:spacing w:after="0"/>
        <w:tabs>
          <w:tab w:leader="none" w:pos="4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Other indemnities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Currency indemnity</w:t>
      </w:r>
    </w:p>
    <w:p>
      <w:pPr>
        <w:spacing w:after="0" w:line="212" w:lineRule="exact"/>
        <w:rPr>
          <w:sz w:val="20"/>
          <w:szCs w:val="20"/>
          <w:color w:val="auto"/>
        </w:rPr>
      </w:pPr>
    </w:p>
    <w:p>
      <w:pPr>
        <w:jc w:val="both"/>
        <w:ind w:left="1020" w:hanging="506"/>
        <w:spacing w:after="0" w:line="253" w:lineRule="auto"/>
        <w:tabs>
          <w:tab w:leader="none" w:pos="11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90" w:lineRule="exact"/>
        <w:rPr>
          <w:rFonts w:ascii="Arial" w:cs="Arial" w:eastAsia="Arial" w:hAnsi="Arial"/>
          <w:sz w:val="18"/>
          <w:szCs w:val="18"/>
          <w:color w:val="auto"/>
        </w:rPr>
      </w:pPr>
    </w:p>
    <w:p>
      <w:pPr>
        <w:ind w:left="1540" w:hanging="508"/>
        <w:spacing w:after="0"/>
        <w:tabs>
          <w:tab w:leader="none" w:pos="15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211" w:lineRule="exact"/>
        <w:rPr>
          <w:rFonts w:ascii="Arial" w:cs="Arial" w:eastAsia="Arial" w:hAnsi="Arial"/>
          <w:sz w:val="18"/>
          <w:szCs w:val="18"/>
          <w:color w:val="auto"/>
        </w:rPr>
      </w:pPr>
    </w:p>
    <w:p>
      <w:pPr>
        <w:ind w:left="1540" w:hanging="508"/>
        <w:spacing w:after="0"/>
        <w:tabs>
          <w:tab w:leader="none" w:pos="15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both"/>
        <w:ind w:left="1020"/>
        <w:spacing w:after="0" w:line="234" w:lineRule="auto"/>
        <w:rPr>
          <w:sz w:val="20"/>
          <w:szCs w:val="20"/>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w:t>
      </w:r>
    </w:p>
    <w:p>
      <w:pPr>
        <w:spacing w:after="0" w:line="2" w:lineRule="exact"/>
        <w:rPr>
          <w:sz w:val="20"/>
          <w:szCs w:val="20"/>
          <w:color w:val="auto"/>
        </w:rPr>
      </w:pPr>
    </w:p>
    <w:p>
      <w:pPr>
        <w:ind w:left="5520" w:right="2820" w:hanging="4491"/>
        <w:spacing w:after="0" w:line="496" w:lineRule="auto"/>
        <w:tabs>
          <w:tab w:leader="none" w:pos="127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rate or rates of exchange available to that person at the time of its receipt of that Sum.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ind w:left="1020" w:hanging="506"/>
        <w:spacing w:after="0" w:line="246" w:lineRule="auto"/>
        <w:tabs>
          <w:tab w:leader="none" w:pos="104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Other indemnities</w:t>
      </w:r>
    </w:p>
    <w:p>
      <w:pPr>
        <w:spacing w:after="0" w:line="234" w:lineRule="exact"/>
        <w:rPr>
          <w:sz w:val="20"/>
          <w:szCs w:val="20"/>
          <w:color w:val="auto"/>
        </w:rPr>
      </w:pPr>
    </w:p>
    <w:p>
      <w:pPr>
        <w:ind w:left="1020" w:hanging="506"/>
        <w:spacing w:after="0" w:line="246" w:lineRule="auto"/>
        <w:tabs>
          <w:tab w:leader="none" w:pos="10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 Finance Party, indemnify each Finance Party against any and all Losses incurred by that Finance Party (as the case may be) as a result of:</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11" w:lineRule="exact"/>
        <w:rPr>
          <w:rFonts w:ascii="Arial" w:cs="Arial" w:eastAsia="Arial" w:hAnsi="Arial"/>
          <w:sz w:val="18"/>
          <w:szCs w:val="18"/>
          <w:color w:val="auto"/>
        </w:rPr>
      </w:pPr>
    </w:p>
    <w:p>
      <w:pPr>
        <w:ind w:left="1540" w:hanging="511"/>
        <w:spacing w:after="0" w:line="246" w:lineRule="auto"/>
        <w:tabs>
          <w:tab w:leader="none" w:pos="153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34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1540" w:hanging="511"/>
        <w:spacing w:after="0"/>
        <w:tabs>
          <w:tab w:leader="none" w:pos="155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requested by the Borrowers in a Utilisation Request but not made by reason of the operation of any one or more of the provisions of this Agreement (other than by reason of default or negligence by that Finance Party alone);</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Loan (or part of the Loan) not being prepaid in accordance with a notice of prepayment given by the Borrowers.</w:t>
      </w:r>
    </w:p>
    <w:p>
      <w:pPr>
        <w:spacing w:after="0" w:line="211" w:lineRule="exact"/>
        <w:rPr>
          <w:rFonts w:ascii="Arial" w:cs="Arial" w:eastAsia="Arial" w:hAnsi="Arial"/>
          <w:sz w:val="18"/>
          <w:szCs w:val="18"/>
          <w:color w:val="auto"/>
        </w:rPr>
      </w:pPr>
    </w:p>
    <w:p>
      <w:pPr>
        <w:jc w:val="both"/>
        <w:ind w:left="1020" w:hanging="506"/>
        <w:spacing w:after="0" w:line="235" w:lineRule="auto"/>
        <w:tabs>
          <w:tab w:leader="none" w:pos="109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 involved in any of the transactions contemplated by the Finance Documents). This indemnity shall apply whether or not such claims, investigation, litigation or proceedings is brought by any Obligor, any other Group Member or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Indemnity to the Agent and Security Agent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promptly indemnify the Agent and Security Agent against:</w:t>
      </w:r>
    </w:p>
    <w:p>
      <w:pPr>
        <w:spacing w:after="0" w:line="212" w:lineRule="exact"/>
        <w:rPr>
          <w:sz w:val="20"/>
          <w:szCs w:val="20"/>
          <w:color w:val="auto"/>
        </w:rPr>
      </w:pPr>
    </w:p>
    <w:p>
      <w:pPr>
        <w:ind w:left="1000" w:hanging="486"/>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193" w:lineRule="exact"/>
        <w:rPr>
          <w:rFonts w:ascii="Arial" w:cs="Arial" w:eastAsia="Arial" w:hAnsi="Arial"/>
          <w:sz w:val="18"/>
          <w:szCs w:val="18"/>
          <w:color w:val="auto"/>
        </w:rPr>
      </w:pPr>
    </w:p>
    <w:p>
      <w:pPr>
        <w:ind w:left="1540" w:right="20" w:hanging="511"/>
        <w:spacing w:after="0" w:line="267" w:lineRule="auto"/>
        <w:tabs>
          <w:tab w:leader="none" w:pos="15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without prejudice to clause 32.7(b)(i) as extended to the Security Agent by clause 32.21 (</w:t>
      </w:r>
      <w:r>
        <w:rPr>
          <w:rFonts w:ascii="Arial" w:cs="Arial" w:eastAsia="Arial" w:hAnsi="Arial"/>
          <w:sz w:val="18"/>
          <w:szCs w:val="18"/>
          <w:i w:val="1"/>
          <w:iCs w:val="1"/>
          <w:color w:val="auto"/>
        </w:rPr>
        <w:t>Application of certain clauses to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investigating any event which it reasonably believes is a Default;</w:t>
      </w:r>
    </w:p>
    <w:p>
      <w:pPr>
        <w:spacing w:after="0" w:line="178" w:lineRule="exact"/>
        <w:rPr>
          <w:rFonts w:ascii="Arial" w:cs="Arial" w:eastAsia="Arial" w:hAnsi="Arial"/>
          <w:sz w:val="18"/>
          <w:szCs w:val="18"/>
          <w:color w:val="auto"/>
        </w:rPr>
      </w:pPr>
    </w:p>
    <w:p>
      <w:pPr>
        <w:ind w:left="1540" w:hanging="511"/>
        <w:spacing w:after="0" w:line="246" w:lineRule="auto"/>
        <w:tabs>
          <w:tab w:leader="none" w:pos="153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ind w:left="1540" w:hanging="511"/>
        <w:spacing w:after="0" w:line="246" w:lineRule="auto"/>
        <w:tabs>
          <w:tab w:leader="none" w:pos="155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or</w:t>
      </w:r>
    </w:p>
    <w:p>
      <w:pPr>
        <w:spacing w:after="0" w:line="196" w:lineRule="exact"/>
        <w:rPr>
          <w:rFonts w:ascii="Arial" w:cs="Arial" w:eastAsia="Arial" w:hAnsi="Arial"/>
          <w:sz w:val="18"/>
          <w:szCs w:val="18"/>
          <w:color w:val="auto"/>
        </w:rPr>
      </w:pPr>
    </w:p>
    <w:p>
      <w:pPr>
        <w:jc w:val="both"/>
        <w:ind w:left="1540" w:hanging="511"/>
        <w:spacing w:after="0"/>
        <w:tabs>
          <w:tab w:leader="none" w:pos="173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2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 any other category of liability whatsoever but not including any claim based on the fraud of the Agent in acting as Agent or the Security Agent under the Finance Documents).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b w:val="1"/>
          <w:bCs w:val="1"/>
          <w:color w:val="auto"/>
        </w:rPr>
        <w:t>Indemnity concerning security</w:t>
      </w:r>
    </w:p>
    <w:p>
      <w:pPr>
        <w:spacing w:after="0" w:line="234" w:lineRule="exact"/>
        <w:rPr>
          <w:sz w:val="20"/>
          <w:szCs w:val="20"/>
          <w:color w:val="auto"/>
        </w:rPr>
      </w:pPr>
    </w:p>
    <w:p>
      <w:pPr>
        <w:ind w:left="1020" w:hanging="506"/>
        <w:spacing w:after="0" w:line="246" w:lineRule="auto"/>
        <w:tabs>
          <w:tab w:leader="none" w:pos="102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promptly indemnify each Indemnified Person against any and all Losses incurred by it in connection with:</w:t>
      </w:r>
    </w:p>
    <w:p>
      <w:pPr>
        <w:spacing w:after="0" w:line="178" w:lineRule="exact"/>
        <w:rPr>
          <w:rFonts w:ascii="Arial" w:cs="Arial" w:eastAsia="Arial" w:hAnsi="Arial"/>
          <w:sz w:val="18"/>
          <w:szCs w:val="18"/>
          <w:color w:val="auto"/>
        </w:rPr>
      </w:pPr>
    </w:p>
    <w:p>
      <w:pPr>
        <w:ind w:left="1540" w:hanging="511"/>
        <w:spacing w:after="0"/>
        <w:tabs>
          <w:tab w:leader="none" w:pos="15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failure by the Borrowers to comply with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40" w:hanging="511"/>
        <w:spacing w:after="0" w:line="246" w:lineRule="auto"/>
        <w:tabs>
          <w:tab w:leader="none" w:pos="153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211" w:lineRule="exact"/>
        <w:rPr>
          <w:rFonts w:ascii="Arial" w:cs="Arial" w:eastAsia="Arial" w:hAnsi="Arial"/>
          <w:sz w:val="18"/>
          <w:szCs w:val="18"/>
          <w:color w:val="auto"/>
        </w:rPr>
      </w:pPr>
    </w:p>
    <w:p>
      <w:pPr>
        <w:jc w:val="both"/>
        <w:ind w:left="1540" w:hanging="511"/>
        <w:spacing w:after="0"/>
        <w:tabs>
          <w:tab w:leader="none" w:pos="17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202" w:lineRule="exact"/>
        <w:rPr>
          <w:rFonts w:ascii="Arial" w:cs="Arial" w:eastAsia="Arial" w:hAnsi="Arial"/>
          <w:sz w:val="18"/>
          <w:szCs w:val="18"/>
          <w:color w:val="auto"/>
        </w:rPr>
      </w:pPr>
    </w:p>
    <w:p>
      <w:pPr>
        <w:jc w:val="both"/>
        <w:ind w:left="1540" w:hanging="511"/>
        <w:spacing w:after="0"/>
        <w:tabs>
          <w:tab w:leader="none" w:pos="16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 or</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w:t>
      </w:r>
    </w:p>
    <w:p>
      <w:pPr>
        <w:spacing w:after="0" w:line="211" w:lineRule="exact"/>
        <w:rPr>
          <w:rFonts w:ascii="Arial" w:cs="Arial" w:eastAsia="Arial" w:hAnsi="Arial"/>
          <w:sz w:val="18"/>
          <w:szCs w:val="18"/>
          <w:color w:val="auto"/>
        </w:rPr>
      </w:pPr>
    </w:p>
    <w:p>
      <w:pPr>
        <w:jc w:val="both"/>
        <w:ind w:left="1020" w:right="20" w:hanging="506"/>
        <w:spacing w:after="0"/>
        <w:tabs>
          <w:tab w:leader="none" w:pos="112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Continuation of indemnities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indemnities by the Borrowers in favour of the Indemnified Persons contained in this Agreement shall continue in full force and effect notwithstanding any breach by any Finance Party or any of the Borrowers of the terms of this Agreement, the repayment or prepayment of the Loan, the cancellation of the Total Commitments or the repudiation by the Agent or any of the Borrowers of this Agreement.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b w:val="1"/>
          <w:bCs w:val="1"/>
          <w:color w:val="auto"/>
        </w:rPr>
        <w:t>Third Parties Act</w:t>
      </w:r>
    </w:p>
    <w:p>
      <w:pPr>
        <w:spacing w:after="0" w:line="216" w:lineRule="exact"/>
        <w:rPr>
          <w:sz w:val="20"/>
          <w:szCs w:val="20"/>
          <w:color w:val="auto"/>
        </w:rPr>
      </w:pPr>
    </w:p>
    <w:p>
      <w:pPr>
        <w:jc w:val="both"/>
        <w:ind w:left="520" w:right="20"/>
        <w:spacing w:after="0" w:line="267"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indemnities) </w:t>
      </w:r>
      <w:r>
        <w:rPr>
          <w:rFonts w:ascii="Arial" w:cs="Arial" w:eastAsia="Arial" w:hAnsi="Arial"/>
          <w:sz w:val="18"/>
          <w:szCs w:val="18"/>
          <w:color w:val="auto"/>
        </w:rPr>
        <w:t>and 14.7</w:t>
      </w:r>
      <w:r>
        <w:rPr>
          <w:rFonts w:ascii="Arial" w:cs="Arial" w:eastAsia="Arial" w:hAnsi="Arial"/>
          <w:sz w:val="18"/>
          <w:szCs w:val="18"/>
          <w:i w:val="1"/>
          <w:iCs w:val="1"/>
          <w:color w:val="auto"/>
        </w:rPr>
        <w:t xml:space="preserve"> (Interest) </w:t>
      </w:r>
      <w:r>
        <w:rPr>
          <w:rFonts w:ascii="Arial" w:cs="Arial" w:eastAsia="Arial" w:hAnsi="Arial"/>
          <w:sz w:val="18"/>
          <w:szCs w:val="18"/>
          <w:color w:val="auto"/>
        </w:rPr>
        <w:t>insofar as it relates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ind w:left="520"/>
        <w:spacing w:after="0" w:line="267" w:lineRule="auto"/>
        <w:rPr>
          <w:sz w:val="20"/>
          <w:szCs w:val="20"/>
          <w:color w:val="auto"/>
        </w:rPr>
      </w:pPr>
      <w:r>
        <w:rPr>
          <w:rFonts w:ascii="Arial" w:cs="Arial" w:eastAsia="Arial" w:hAnsi="Arial"/>
          <w:sz w:val="18"/>
          <w:szCs w:val="18"/>
          <w:color w:val="auto"/>
        </w:rPr>
        <w:t xml:space="preserve">interest on any amount demanded by that Indemnified Person under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b w:val="1"/>
          <w:bCs w:val="1"/>
          <w:color w:val="auto"/>
        </w:rPr>
        <w:t>Interest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 xml:space="preserve">Moneys becoming due by the Borrowers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Borrowers to such Indemnified Person (both before and after judgment) at the rate referred to in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7"/>
          <w:szCs w:val="17"/>
          <w:b w:val="1"/>
          <w:bCs w:val="1"/>
          <w:color w:val="auto"/>
        </w:rPr>
        <w:t>Exclusion of liability</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7"/>
          <w:szCs w:val="17"/>
          <w:b w:val="1"/>
          <w:bCs w:val="1"/>
          <w:color w:val="auto"/>
        </w:rPr>
        <w:t>Email indemnity</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indemnify each Finance Party against any and all Losses together with any VAT thereon which any of the Finance Parties may sustain or incur as a consequence of any email communication purporting to originate from the Borrowers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14.10 Waiver</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15  Mitigation by the Lenders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Mitigation</w:t>
      </w:r>
    </w:p>
    <w:p>
      <w:pPr>
        <w:spacing w:after="0" w:line="234" w:lineRule="exact"/>
        <w:rPr>
          <w:sz w:val="20"/>
          <w:szCs w:val="20"/>
          <w:color w:val="auto"/>
        </w:rPr>
      </w:pPr>
    </w:p>
    <w:p>
      <w:pPr>
        <w:jc w:val="both"/>
        <w:ind w:left="1020" w:hanging="506"/>
        <w:spacing w:after="0" w:line="238" w:lineRule="auto"/>
        <w:tabs>
          <w:tab w:leader="none" w:pos="11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204" w:lineRule="exact"/>
        <w:rPr>
          <w:rFonts w:ascii="Arial" w:cs="Arial" w:eastAsia="Arial" w:hAnsi="Arial"/>
          <w:sz w:val="18"/>
          <w:szCs w:val="18"/>
          <w:color w:val="auto"/>
        </w:rPr>
      </w:pPr>
    </w:p>
    <w:p>
      <w:pPr>
        <w:ind w:left="1000" w:hanging="486"/>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Limitation of liability</w:t>
      </w:r>
    </w:p>
    <w:p>
      <w:pPr>
        <w:spacing w:after="0" w:line="234" w:lineRule="exact"/>
        <w:rPr>
          <w:sz w:val="20"/>
          <w:szCs w:val="20"/>
          <w:color w:val="auto"/>
        </w:rPr>
      </w:pPr>
    </w:p>
    <w:p>
      <w:pPr>
        <w:ind w:left="1020" w:hanging="506"/>
        <w:spacing w:after="0" w:line="246" w:lineRule="auto"/>
        <w:tabs>
          <w:tab w:leader="none" w:pos="100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Borrowers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3" w:name="page54"/>
    <w:bookmarkEnd w:id="53"/>
    <w:p>
      <w:pPr>
        <w:ind w:left="1020" w:hanging="506"/>
        <w:spacing w:after="0" w:line="267" w:lineRule="auto"/>
        <w:tabs>
          <w:tab w:leader="none" w:pos="109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16  Costs and expenses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Transaction expenses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promptly within five (5) Business Days of demand pay the Agent, the Arrangers and the Security Agent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205" w:lineRule="exact"/>
        <w:rPr>
          <w:sz w:val="20"/>
          <w:szCs w:val="20"/>
          <w:color w:val="auto"/>
        </w:rPr>
      </w:pPr>
    </w:p>
    <w:p>
      <w:pPr>
        <w:ind w:left="1000" w:hanging="486"/>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Agreement, any other documents referred to in this Agreement and the Original Security Documents;</w:t>
      </w:r>
    </w:p>
    <w:p>
      <w:pPr>
        <w:spacing w:after="0" w:line="211" w:lineRule="exact"/>
        <w:rPr>
          <w:rFonts w:ascii="Arial" w:cs="Arial" w:eastAsia="Arial" w:hAnsi="Arial"/>
          <w:sz w:val="18"/>
          <w:szCs w:val="18"/>
          <w:color w:val="auto"/>
        </w:rPr>
      </w:pPr>
    </w:p>
    <w:p>
      <w:pPr>
        <w:ind w:left="1020" w:hanging="506"/>
        <w:spacing w:after="0" w:line="246" w:lineRule="auto"/>
        <w:tabs>
          <w:tab w:leader="none" w:pos="108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Amendment costs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 Obligor requests an amendment, waiver or consent, the Borrowers shall, within five (5) Business Days of demand by the Agent, reimburse the Agent for the amount of all costs and expenses (including fees, costs and expenses of legal advisers and (subject to clause 24.17 (</w:t>
      </w:r>
      <w:r>
        <w:rPr>
          <w:rFonts w:ascii="Arial" w:cs="Arial" w:eastAsia="Arial" w:hAnsi="Arial"/>
          <w:sz w:val="18"/>
          <w:szCs w:val="18"/>
          <w:i w:val="1"/>
          <w:iCs w:val="1"/>
          <w:color w:val="auto"/>
        </w:rPr>
        <w:t>Independent report</w:t>
      </w:r>
      <w:r>
        <w:rPr>
          <w:rFonts w:ascii="Arial" w:cs="Arial" w:eastAsia="Arial" w:hAnsi="Arial"/>
          <w:sz w:val="18"/>
          <w:szCs w:val="18"/>
          <w:color w:val="auto"/>
        </w:rPr>
        <w:t>) insurance and other consultants and advisers) reasonably incurred by the Agent or the Security Agent (and by any Receiver or Delegate) in responding to, evaluating, negotiating or complying with that request or requirement.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Valuations and inspection costs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87" w:lineRule="exact"/>
        <w:rPr>
          <w:sz w:val="20"/>
          <w:szCs w:val="20"/>
          <w:color w:val="auto"/>
        </w:rPr>
      </w:pPr>
    </w:p>
    <w:p>
      <w:pPr>
        <w:ind w:left="1020" w:hanging="506"/>
        <w:spacing w:after="0" w:line="267" w:lineRule="auto"/>
        <w:tabs>
          <w:tab w:leader="none" w:pos="10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Borrowers; or</w:t>
      </w:r>
    </w:p>
    <w:p>
      <w:pPr>
        <w:spacing w:after="0" w:line="160" w:lineRule="exact"/>
        <w:rPr>
          <w:rFonts w:ascii="Arial" w:cs="Arial" w:eastAsia="Arial" w:hAnsi="Arial"/>
          <w:sz w:val="18"/>
          <w:szCs w:val="18"/>
          <w:color w:val="auto"/>
        </w:rPr>
      </w:pPr>
    </w:p>
    <w:p>
      <w:pPr>
        <w:ind w:left="1020" w:hanging="506"/>
        <w:spacing w:after="0" w:line="267" w:lineRule="auto"/>
        <w:tabs>
          <w:tab w:leader="none" w:pos="10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inspection carried out under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23.16 (</w:t>
      </w:r>
      <w:r>
        <w:rPr>
          <w:rFonts w:ascii="Arial" w:cs="Arial" w:eastAsia="Arial" w:hAnsi="Arial"/>
          <w:sz w:val="18"/>
          <w:szCs w:val="18"/>
          <w:i w:val="1"/>
          <w:iCs w:val="1"/>
          <w:color w:val="auto"/>
        </w:rPr>
        <w:t>Survey report</w:t>
      </w:r>
      <w:r>
        <w:rPr>
          <w:rFonts w:ascii="Arial" w:cs="Arial" w:eastAsia="Arial" w:hAnsi="Arial"/>
          <w:sz w:val="18"/>
          <w:szCs w:val="18"/>
          <w:color w:val="auto"/>
        </w:rPr>
        <w:t>).</w:t>
      </w:r>
    </w:p>
    <w:p>
      <w:pPr>
        <w:spacing w:after="0" w:line="1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7"/>
          <w:szCs w:val="17"/>
          <w:b w:val="1"/>
          <w:bCs w:val="1"/>
          <w:color w:val="auto"/>
        </w:rPr>
        <w:t>Enforcement and preservation costs</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incurred by that Finance Party in connection with 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left="480" w:hanging="370"/>
        <w:spacing w:after="0"/>
        <w:tabs>
          <w:tab w:leader="none" w:pos="48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Guarantee and indemnity</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b w:val="1"/>
          <w:bCs w:val="1"/>
          <w:color w:val="auto"/>
        </w:rPr>
        <w:t>Guarantee and indemnity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Guarantor hereby irrevocably and unconditionally and jointly and severally with the other Guarantors:</w:t>
      </w:r>
    </w:p>
    <w:p>
      <w:pPr>
        <w:spacing w:after="0" w:line="212" w:lineRule="exact"/>
        <w:rPr>
          <w:sz w:val="20"/>
          <w:szCs w:val="20"/>
          <w:color w:val="auto"/>
        </w:rPr>
      </w:pPr>
    </w:p>
    <w:p>
      <w:pPr>
        <w:ind w:left="1020" w:hanging="506"/>
        <w:spacing w:after="0" w:line="246" w:lineRule="auto"/>
        <w:tabs>
          <w:tab w:leader="none" w:pos="10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96" w:lineRule="exact"/>
        <w:rPr>
          <w:rFonts w:ascii="Arial" w:cs="Arial" w:eastAsia="Arial" w:hAnsi="Arial"/>
          <w:sz w:val="18"/>
          <w:szCs w:val="18"/>
          <w:color w:val="auto"/>
        </w:rPr>
      </w:pPr>
    </w:p>
    <w:p>
      <w:pPr>
        <w:jc w:val="both"/>
        <w:ind w:left="1020" w:hanging="506"/>
        <w:spacing w:after="0"/>
        <w:tabs>
          <w:tab w:leader="none" w:pos="11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202" w:lineRule="exact"/>
        <w:rPr>
          <w:rFonts w:ascii="Arial" w:cs="Arial" w:eastAsia="Arial" w:hAnsi="Arial"/>
          <w:sz w:val="18"/>
          <w:szCs w:val="18"/>
          <w:color w:val="auto"/>
        </w:rPr>
      </w:pPr>
    </w:p>
    <w:p>
      <w:pPr>
        <w:ind w:left="1020" w:hanging="506"/>
        <w:spacing w:after="0" w:line="246" w:lineRule="auto"/>
        <w:tabs>
          <w:tab w:leader="none" w:pos="10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19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if any obligation guaranteed by it is or becomes unenforceable, invalid or illegal; or</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12" w:lineRule="exact"/>
        <w:rPr>
          <w:sz w:val="20"/>
          <w:szCs w:val="20"/>
          <w:color w:val="auto"/>
        </w:rPr>
      </w:pPr>
    </w:p>
    <w:p>
      <w:pPr>
        <w:jc w:val="both"/>
        <w:ind w:left="1540"/>
        <w:spacing w:after="0"/>
        <w:rPr>
          <w:sz w:val="20"/>
          <w:szCs w:val="20"/>
          <w:color w:val="auto"/>
        </w:rPr>
      </w:pPr>
      <w:r>
        <w:rPr>
          <w:rFonts w:ascii="Arial" w:cs="Arial" w:eastAsia="Arial" w:hAnsi="Arial"/>
          <w:sz w:val="18"/>
          <w:szCs w:val="18"/>
          <w:color w:val="auto"/>
        </w:rPr>
        <w:t>and as a result of the same the Borrowers have not paid any amount which would, but for such unenforceability, invalidity, illegality or operation of law, have been payable by the Borrowers under any Finance Document on the date when it would have been due; or</w:t>
      </w:r>
    </w:p>
    <w:p>
      <w:pPr>
        <w:spacing w:after="0" w:line="203" w:lineRule="exact"/>
        <w:rPr>
          <w:sz w:val="20"/>
          <w:szCs w:val="20"/>
          <w:color w:val="auto"/>
        </w:rPr>
      </w:pPr>
    </w:p>
    <w:p>
      <w:pPr>
        <w:jc w:val="both"/>
        <w:ind w:left="1540" w:hanging="511"/>
        <w:spacing w:after="0" w:line="238" w:lineRule="auto"/>
        <w:tabs>
          <w:tab w:leader="none" w:pos="17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Arial" w:cs="Arial" w:eastAsia="Arial" w:hAnsi="Arial"/>
          <w:sz w:val="18"/>
          <w:szCs w:val="18"/>
          <w:b w:val="1"/>
          <w:bCs w:val="1"/>
          <w:color w:val="auto"/>
        </w:rPr>
        <w:t>Change in Law</w:t>
      </w:r>
      <w:r>
        <w:rPr>
          <w:rFonts w:ascii="Arial" w:cs="Arial" w:eastAsia="Arial" w:hAnsi="Arial"/>
          <w:sz w:val="18"/>
          <w:szCs w:val="18"/>
          <w:color w:val="auto"/>
        </w:rPr>
        <w:t>), there is a change in the currency, the value of the currency or the timing, place or manner in which any obligation guaranteed by a Guarantor is payable.</w:t>
      </w:r>
    </w:p>
    <w:p>
      <w:pPr>
        <w:spacing w:after="0" w:line="20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amount payable by a Guarantor under this indemnity:</w:t>
      </w:r>
    </w:p>
    <w:p>
      <w:pPr>
        <w:spacing w:after="0" w:line="212" w:lineRule="exact"/>
        <w:rPr>
          <w:sz w:val="20"/>
          <w:szCs w:val="20"/>
          <w:color w:val="auto"/>
        </w:rPr>
      </w:pPr>
    </w:p>
    <w:p>
      <w:pPr>
        <w:jc w:val="both"/>
        <w:ind w:left="2560" w:hanging="504"/>
        <w:spacing w:after="0"/>
        <w:tabs>
          <w:tab w:leader="none" w:pos="25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202" w:lineRule="exact"/>
        <w:rPr>
          <w:rFonts w:ascii="Arial" w:cs="Arial" w:eastAsia="Arial" w:hAnsi="Arial"/>
          <w:sz w:val="18"/>
          <w:szCs w:val="18"/>
          <w:color w:val="auto"/>
        </w:rPr>
      </w:pPr>
    </w:p>
    <w:p>
      <w:pPr>
        <w:jc w:val="both"/>
        <w:ind w:left="2560" w:hanging="504"/>
        <w:spacing w:after="0" w:line="237" w:lineRule="auto"/>
        <w:tabs>
          <w:tab w:leader="none" w:pos="259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in respect of paragraph (ii) above, shall include (aa) the difference between (x) the amount (if any) received by the Security Agent and the other Finance Parties from the Borrowers and (y) the amount that the Borrowers were obliged to pay under the original express terms of the Finance Documents in the currency specified in the Finance Documents, disregarding any Change in Law (the </w:t>
      </w:r>
      <w:r>
        <w:rPr>
          <w:rFonts w:ascii="Arial" w:cs="Arial" w:eastAsia="Arial" w:hAnsi="Arial"/>
          <w:sz w:val="18"/>
          <w:szCs w:val="18"/>
          <w:b w:val="1"/>
          <w:bCs w:val="1"/>
          <w:color w:val="auto"/>
        </w:rPr>
        <w:t>Original Currency</w:t>
      </w:r>
      <w:r>
        <w:rPr>
          <w:rFonts w:ascii="Arial" w:cs="Arial" w:eastAsia="Arial" w:hAnsi="Arial"/>
          <w:sz w:val="18"/>
          <w:szCs w:val="18"/>
          <w:color w:val="auto"/>
        </w:rPr>
        <w:t>), and (bb) all further costs, losses and liabilities suffered or incurred by the Security Agent and the other Finance Parties as a result of a Change in Law.</w:t>
      </w:r>
    </w:p>
    <w:p>
      <w:pPr>
        <w:spacing w:after="0" w:line="205" w:lineRule="exact"/>
        <w:rPr>
          <w:sz w:val="20"/>
          <w:szCs w:val="20"/>
          <w:color w:val="auto"/>
        </w:rPr>
      </w:pPr>
    </w:p>
    <w:p>
      <w:pPr>
        <w:jc w:val="both"/>
        <w:ind w:left="1160"/>
        <w:spacing w:after="0"/>
        <w:rPr>
          <w:sz w:val="20"/>
          <w:szCs w:val="20"/>
          <w:color w:val="auto"/>
        </w:rPr>
      </w:pPr>
      <w:r>
        <w:rPr>
          <w:rFonts w:ascii="Arial" w:cs="Arial" w:eastAsia="Arial" w:hAnsi="Arial"/>
          <w:sz w:val="18"/>
          <w:szCs w:val="18"/>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5" w:name="page56"/>
    <w:bookmarkEnd w:id="55"/>
    <w:p>
      <w:pPr>
        <w:jc w:val="both"/>
        <w:ind w:left="1160"/>
        <w:spacing w:after="0" w:line="238" w:lineRule="auto"/>
        <w:rPr>
          <w:sz w:val="20"/>
          <w:szCs w:val="20"/>
          <w:color w:val="auto"/>
        </w:rPr>
      </w:pPr>
      <w:r>
        <w:rPr>
          <w:rFonts w:ascii="Arial" w:cs="Arial" w:eastAsia="Arial" w:hAnsi="Arial"/>
          <w:sz w:val="18"/>
          <w:szCs w:val="18"/>
          <w:color w:val="auto"/>
        </w:rPr>
        <w:t>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205" w:lineRule="exact"/>
        <w:rPr>
          <w:sz w:val="20"/>
          <w:szCs w:val="20"/>
          <w:color w:val="auto"/>
        </w:rPr>
      </w:pPr>
    </w:p>
    <w:p>
      <w:pPr>
        <w:jc w:val="both"/>
        <w:ind w:left="1160"/>
        <w:spacing w:after="0" w:line="238" w:lineRule="auto"/>
        <w:rPr>
          <w:sz w:val="20"/>
          <w:szCs w:val="20"/>
          <w:color w:val="auto"/>
        </w:rPr>
      </w:pPr>
      <w:r>
        <w:rPr>
          <w:rFonts w:ascii="Arial" w:cs="Arial" w:eastAsia="Arial" w:hAnsi="Arial"/>
          <w:sz w:val="18"/>
          <w:szCs w:val="18"/>
          <w:color w:val="auto"/>
        </w:rPr>
        <w:t>If the Original Currency no longer exists, the Guarantor shall make such payment in such currency as is, in the reasonable opinion of the Security Agent, required, after taking into account any payments by the Borrowers, to place the Security Agent and the other Finance Parties in a position reasonably comparable to that it would have been in had the Original Currency continued to exist.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Continuing guarantee</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Reinstatement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205" w:lineRule="exact"/>
        <w:rPr>
          <w:sz w:val="20"/>
          <w:szCs w:val="20"/>
          <w:color w:val="auto"/>
        </w:rPr>
      </w:pPr>
    </w:p>
    <w:p>
      <w:pPr>
        <w:ind w:left="1020" w:hanging="506"/>
        <w:spacing w:after="0" w:line="246" w:lineRule="auto"/>
        <w:tabs>
          <w:tab w:leader="none" w:pos="119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196" w:lineRule="exact"/>
        <w:rPr>
          <w:rFonts w:ascii="Arial" w:cs="Arial" w:eastAsia="Arial" w:hAnsi="Arial"/>
          <w:sz w:val="18"/>
          <w:szCs w:val="18"/>
          <w:color w:val="auto"/>
        </w:rPr>
      </w:pPr>
    </w:p>
    <w:p>
      <w:pPr>
        <w:ind w:left="1020" w:hanging="506"/>
        <w:spacing w:after="0" w:line="246" w:lineRule="auto"/>
        <w:tabs>
          <w:tab w:leader="none" w:pos="112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Waiver of defences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203" w:lineRule="exact"/>
        <w:rPr>
          <w:sz w:val="20"/>
          <w:szCs w:val="20"/>
          <w:color w:val="auto"/>
        </w:rPr>
      </w:pPr>
    </w:p>
    <w:p>
      <w:pPr>
        <w:ind w:left="1000" w:hanging="486"/>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11" w:lineRule="exact"/>
        <w:rPr>
          <w:rFonts w:ascii="Arial" w:cs="Arial" w:eastAsia="Arial" w:hAnsi="Arial"/>
          <w:sz w:val="18"/>
          <w:szCs w:val="18"/>
          <w:color w:val="auto"/>
        </w:rPr>
      </w:pPr>
    </w:p>
    <w:p>
      <w:pPr>
        <w:ind w:left="1020" w:hanging="506"/>
        <w:spacing w:after="0" w:line="246" w:lineRule="auto"/>
        <w:tabs>
          <w:tab w:leader="none" w:pos="101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96" w:lineRule="exact"/>
        <w:rPr>
          <w:rFonts w:ascii="Arial" w:cs="Arial" w:eastAsia="Arial" w:hAnsi="Arial"/>
          <w:sz w:val="18"/>
          <w:szCs w:val="18"/>
          <w:color w:val="auto"/>
        </w:rPr>
      </w:pPr>
    </w:p>
    <w:p>
      <w:pPr>
        <w:jc w:val="both"/>
        <w:ind w:left="1020" w:hanging="506"/>
        <w:spacing w:after="0"/>
        <w:tabs>
          <w:tab w:leader="none" w:pos="9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202" w:lineRule="exact"/>
        <w:rPr>
          <w:rFonts w:ascii="Arial" w:cs="Arial" w:eastAsia="Arial" w:hAnsi="Arial"/>
          <w:sz w:val="18"/>
          <w:szCs w:val="18"/>
          <w:color w:val="auto"/>
        </w:rPr>
      </w:pPr>
    </w:p>
    <w:p>
      <w:pPr>
        <w:ind w:left="1020" w:hanging="506"/>
        <w:spacing w:after="0" w:line="246" w:lineRule="auto"/>
        <w:tabs>
          <w:tab w:leader="none" w:pos="102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96" w:lineRule="exact"/>
        <w:rPr>
          <w:rFonts w:ascii="Arial" w:cs="Arial" w:eastAsia="Arial" w:hAnsi="Arial"/>
          <w:sz w:val="18"/>
          <w:szCs w:val="18"/>
          <w:color w:val="auto"/>
        </w:rPr>
      </w:pPr>
    </w:p>
    <w:p>
      <w:pPr>
        <w:jc w:val="both"/>
        <w:ind w:left="1020" w:hanging="506"/>
        <w:spacing w:after="0" w:line="238" w:lineRule="auto"/>
        <w:tabs>
          <w:tab w:leader="none" w:pos="113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left="1020" w:hanging="506"/>
        <w:spacing w:after="0" w:line="246" w:lineRule="auto"/>
        <w:tabs>
          <w:tab w:leader="none" w:pos="99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law of regulation of any jurisdiction or any other event affecting any term of the guaranteed obligations;</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defence of the Guarantor; or</w:t>
      </w:r>
    </w:p>
    <w:p>
      <w:pPr>
        <w:spacing w:after="0" w:line="211" w:lineRule="exact"/>
        <w:rPr>
          <w:rFonts w:ascii="Arial" w:cs="Arial" w:eastAsia="Arial" w:hAnsi="Arial"/>
          <w:sz w:val="18"/>
          <w:szCs w:val="18"/>
          <w:color w:val="auto"/>
        </w:rPr>
      </w:pPr>
    </w:p>
    <w:p>
      <w:pPr>
        <w:ind w:left="1020" w:hanging="506"/>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b w:val="1"/>
          <w:bCs w:val="1"/>
          <w:color w:val="auto"/>
        </w:rPr>
        <w:t>Guarantor intent</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Without prejudice to the generality of clause 17.4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7"/>
          <w:szCs w:val="17"/>
          <w:b w:val="1"/>
          <w:bCs w:val="1"/>
          <w:color w:val="auto"/>
        </w:rPr>
        <w:t>Immediate recourse</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color w:val="auto"/>
        </w:rPr>
        <w:t>Appropriations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97" w:lineRule="exact"/>
        <w:rPr>
          <w:sz w:val="20"/>
          <w:szCs w:val="20"/>
          <w:color w:val="auto"/>
        </w:rPr>
      </w:pPr>
    </w:p>
    <w:p>
      <w:pPr>
        <w:jc w:val="both"/>
        <w:ind w:left="1020" w:hanging="506"/>
        <w:spacing w:after="0"/>
        <w:tabs>
          <w:tab w:leader="none" w:pos="104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202" w:lineRule="exact"/>
        <w:rPr>
          <w:rFonts w:ascii="Arial" w:cs="Arial" w:eastAsia="Arial" w:hAnsi="Arial"/>
          <w:sz w:val="18"/>
          <w:szCs w:val="18"/>
          <w:color w:val="auto"/>
        </w:rPr>
      </w:pPr>
    </w:p>
    <w:p>
      <w:pPr>
        <w:ind w:left="1020" w:hanging="506"/>
        <w:spacing w:after="0" w:line="246" w:lineRule="auto"/>
        <w:tabs>
          <w:tab w:leader="none" w:pos="105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 Guarantor’s liability under this clause 17.</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b w:val="1"/>
          <w:bCs w:val="1"/>
          <w:color w:val="auto"/>
        </w:rPr>
        <w:t>Deferral of Guarantors’ rights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205" w:lineRule="exact"/>
        <w:rPr>
          <w:sz w:val="20"/>
          <w:szCs w:val="20"/>
          <w:color w:val="auto"/>
        </w:rPr>
      </w:pPr>
    </w:p>
    <w:p>
      <w:pPr>
        <w:ind w:left="1000" w:hanging="486"/>
        <w:spacing w:after="0"/>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11" w:lineRule="exact"/>
        <w:rPr>
          <w:rFonts w:ascii="Arial" w:cs="Arial" w:eastAsia="Arial" w:hAnsi="Arial"/>
          <w:sz w:val="18"/>
          <w:szCs w:val="18"/>
          <w:color w:val="auto"/>
        </w:rPr>
      </w:pPr>
    </w:p>
    <w:p>
      <w:pPr>
        <w:jc w:val="both"/>
        <w:ind w:left="1020" w:hanging="506"/>
        <w:spacing w:after="0"/>
        <w:tabs>
          <w:tab w:leader="none" w:pos="99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202" w:lineRule="exact"/>
        <w:rPr>
          <w:rFonts w:ascii="Arial" w:cs="Arial" w:eastAsia="Arial" w:hAnsi="Arial"/>
          <w:sz w:val="18"/>
          <w:szCs w:val="18"/>
          <w:color w:val="auto"/>
        </w:rPr>
      </w:pPr>
    </w:p>
    <w:p>
      <w:pPr>
        <w:ind w:left="1020" w:hanging="506"/>
        <w:spacing w:after="0" w:line="246" w:lineRule="auto"/>
        <w:tabs>
          <w:tab w:leader="none" w:pos="10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ind w:left="1000" w:hanging="486"/>
        <w:spacing w:after="0"/>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11" w:lineRule="exact"/>
        <w:rPr>
          <w:rFonts w:ascii="Arial" w:cs="Arial" w:eastAsia="Arial" w:hAnsi="Arial"/>
          <w:sz w:val="18"/>
          <w:szCs w:val="18"/>
          <w:color w:val="auto"/>
        </w:rPr>
      </w:pPr>
    </w:p>
    <w:p>
      <w:pPr>
        <w:ind w:left="980" w:hanging="466"/>
        <w:spacing w:after="0"/>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12"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7"/>
          <w:szCs w:val="17"/>
          <w:b w:val="1"/>
          <w:bCs w:val="1"/>
          <w:color w:val="auto"/>
        </w:rPr>
        <w:t>Additional security</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Guarantors’ rights and obligations</w:t>
      </w:r>
    </w:p>
    <w:p>
      <w:pPr>
        <w:spacing w:after="0" w:line="234" w:lineRule="exact"/>
        <w:rPr>
          <w:sz w:val="20"/>
          <w:szCs w:val="20"/>
          <w:color w:val="auto"/>
        </w:rPr>
      </w:pPr>
    </w:p>
    <w:p>
      <w:pPr>
        <w:ind w:left="1020" w:hanging="506"/>
        <w:spacing w:after="0" w:line="246" w:lineRule="auto"/>
        <w:tabs>
          <w:tab w:leader="none" w:pos="102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Guarantors:</w:t>
      </w:r>
    </w:p>
    <w:p>
      <w:pPr>
        <w:spacing w:after="0" w:line="211" w:lineRule="exact"/>
        <w:rPr>
          <w:rFonts w:ascii="Arial" w:cs="Arial" w:eastAsia="Arial" w:hAnsi="Arial"/>
          <w:sz w:val="18"/>
          <w:szCs w:val="18"/>
          <w:color w:val="auto"/>
        </w:rPr>
      </w:pPr>
    </w:p>
    <w:p>
      <w:pPr>
        <w:ind w:left="1540" w:right="20" w:hanging="511"/>
        <w:spacing w:after="0" w:line="246" w:lineRule="auto"/>
        <w:tabs>
          <w:tab w:leader="none" w:pos="158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the other Guarantors under the Guarantee and this Agreement;</w:t>
      </w:r>
    </w:p>
    <w:p>
      <w:pPr>
        <w:spacing w:after="0" w:line="196" w:lineRule="exact"/>
        <w:rPr>
          <w:rFonts w:ascii="Arial" w:cs="Arial" w:eastAsia="Arial" w:hAnsi="Arial"/>
          <w:sz w:val="18"/>
          <w:szCs w:val="18"/>
          <w:color w:val="auto"/>
        </w:rPr>
      </w:pPr>
    </w:p>
    <w:p>
      <w:pPr>
        <w:ind w:left="1540" w:hanging="511"/>
        <w:spacing w:after="0" w:line="246" w:lineRule="auto"/>
        <w:tabs>
          <w:tab w:leader="none" w:pos="153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96" w:lineRule="exact"/>
        <w:rPr>
          <w:rFonts w:ascii="Arial" w:cs="Arial" w:eastAsia="Arial" w:hAnsi="Arial"/>
          <w:sz w:val="18"/>
          <w:szCs w:val="18"/>
          <w:color w:val="auto"/>
        </w:rPr>
      </w:pPr>
    </w:p>
    <w:p>
      <w:pPr>
        <w:jc w:val="both"/>
        <w:ind w:left="1540" w:hanging="511"/>
        <w:spacing w:after="0" w:line="237" w:lineRule="auto"/>
        <w:tabs>
          <w:tab w:leader="none" w:pos="155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another Guarantor under the Guarantee and this Agreement is or becomes unenforceable, invalid or illegal for any reason it will, as an independent and primary obligation, indemnify that Finance Party immediately on demand against any and all Losses it incurs as a result of such other Guarantor not paying any amount which would, but for such unenforceability, invalidity or illegality, have been payable by such other Guarantor under the Guarantee and/or this Agreement. The amount payable under this indemnity shall be equal to the amount which that Finance Party would otherwise have been entitled to recover.</w:t>
      </w:r>
    </w:p>
    <w:p>
      <w:pPr>
        <w:spacing w:after="0" w:line="204" w:lineRule="exact"/>
        <w:rPr>
          <w:rFonts w:ascii="Arial" w:cs="Arial" w:eastAsia="Arial" w:hAnsi="Arial"/>
          <w:sz w:val="18"/>
          <w:szCs w:val="18"/>
          <w:color w:val="auto"/>
        </w:rPr>
      </w:pPr>
    </w:p>
    <w:p>
      <w:pPr>
        <w:jc w:val="both"/>
        <w:ind w:left="1020" w:hanging="506"/>
        <w:spacing w:after="0"/>
        <w:tabs>
          <w:tab w:leader="none" w:pos="112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18  Representations</w:t>
      </w:r>
    </w:p>
    <w:p>
      <w:pPr>
        <w:spacing w:after="0" w:line="238" w:lineRule="exact"/>
        <w:rPr>
          <w:sz w:val="20"/>
          <w:szCs w:val="20"/>
          <w:color w:val="auto"/>
        </w:rPr>
      </w:pPr>
    </w:p>
    <w:p>
      <w:pPr>
        <w:jc w:val="both"/>
        <w:ind w:left="520" w:right="20" w:hanging="505"/>
        <w:spacing w:after="0" w:line="246" w:lineRule="auto"/>
        <w:tabs>
          <w:tab w:leader="none" w:pos="500" w:val="left"/>
        </w:tabs>
        <w:rPr>
          <w:sz w:val="20"/>
          <w:szCs w:val="20"/>
          <w:color w:val="auto"/>
        </w:rPr>
      </w:pPr>
      <w:r>
        <w:rPr>
          <w:rFonts w:ascii="Arial" w:cs="Arial" w:eastAsia="Arial" w:hAnsi="Arial"/>
          <w:sz w:val="18"/>
          <w:szCs w:val="18"/>
          <w:color w:val="auto"/>
        </w:rPr>
        <w:t>18.1</w:t>
        <w:tab/>
        <w:t>Each Obligor makes and repeats the representations and warranties set out in this clause 18 to each Finance Party at the times specified in clause 18.35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w:t>
      </w:r>
    </w:p>
    <w:p>
      <w:pPr>
        <w:spacing w:after="0" w:line="197" w:lineRule="exact"/>
        <w:rPr>
          <w:sz w:val="20"/>
          <w:szCs w:val="20"/>
          <w:color w:val="auto"/>
        </w:rPr>
      </w:pPr>
    </w:p>
    <w:p>
      <w:pPr>
        <w:jc w:val="both"/>
        <w:ind w:left="520" w:hanging="505"/>
        <w:spacing w:after="0"/>
        <w:tabs>
          <w:tab w:leader="none" w:pos="500" w:val="left"/>
        </w:tabs>
        <w:rPr>
          <w:sz w:val="20"/>
          <w:szCs w:val="20"/>
          <w:color w:val="auto"/>
        </w:rPr>
      </w:pPr>
      <w:r>
        <w:rPr>
          <w:rFonts w:ascii="Arial" w:cs="Arial" w:eastAsia="Arial" w:hAnsi="Arial"/>
          <w:sz w:val="18"/>
          <w:szCs w:val="18"/>
          <w:color w:val="auto"/>
        </w:rPr>
        <w:t>18.2</w:t>
        <w:tab/>
        <w:t>Where a representation or warranty is made in relation to a Manager, such representation or warranty shall not be so made in respect of the Shell Technical Manager and where the term “Manager” is used in this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it shall be interpreted so as to exclude the Shell Technical Manager.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spacing w:after="0"/>
        <w:tabs>
          <w:tab w:leader="none" w:pos="5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7"/>
          <w:szCs w:val="17"/>
          <w:b w:val="1"/>
          <w:bCs w:val="1"/>
          <w:color w:val="auto"/>
        </w:rPr>
        <w:t>Status</w:t>
      </w:r>
    </w:p>
    <w:p>
      <w:pPr>
        <w:spacing w:after="0" w:line="234" w:lineRule="exact"/>
        <w:rPr>
          <w:sz w:val="20"/>
          <w:szCs w:val="20"/>
          <w:color w:val="auto"/>
        </w:rPr>
      </w:pPr>
    </w:p>
    <w:p>
      <w:pPr>
        <w:jc w:val="both"/>
        <w:ind w:left="1020" w:hanging="506"/>
        <w:spacing w:after="0" w:line="238" w:lineRule="auto"/>
        <w:tabs>
          <w:tab w:leader="none" w:pos="105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(other than an Obligor formed in the Marshall Islands) has no centre of main interests, permanent establishment or place of business outside the jurisdiction in which it is incorporated (save as notified to the Agent) and is in compliance with its Constitutional Documents.</w:t>
      </w:r>
    </w:p>
    <w:p>
      <w:pPr>
        <w:spacing w:after="0" w:line="202" w:lineRule="exact"/>
        <w:rPr>
          <w:rFonts w:ascii="Arial" w:cs="Arial" w:eastAsia="Arial" w:hAnsi="Arial"/>
          <w:sz w:val="18"/>
          <w:szCs w:val="18"/>
          <w:color w:val="auto"/>
        </w:rPr>
      </w:pPr>
    </w:p>
    <w:p>
      <w:pPr>
        <w:ind w:left="1020" w:hanging="506"/>
        <w:spacing w:after="0" w:line="246" w:lineRule="auto"/>
        <w:tabs>
          <w:tab w:leader="none" w:pos="106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7"/>
          <w:szCs w:val="17"/>
          <w:b w:val="1"/>
          <w:bCs w:val="1"/>
          <w:color w:val="auto"/>
        </w:rPr>
        <w:t>Binding obligations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b w:val="1"/>
          <w:bCs w:val="1"/>
          <w:color w:val="auto"/>
        </w:rPr>
        <w:t>Power and authority</w:t>
      </w:r>
    </w:p>
    <w:p>
      <w:pPr>
        <w:spacing w:after="0" w:line="234" w:lineRule="exact"/>
        <w:rPr>
          <w:sz w:val="20"/>
          <w:szCs w:val="20"/>
          <w:color w:val="auto"/>
        </w:rPr>
      </w:pPr>
    </w:p>
    <w:p>
      <w:pPr>
        <w:jc w:val="both"/>
        <w:ind w:left="1020" w:hanging="506"/>
        <w:spacing w:after="0" w:line="238" w:lineRule="auto"/>
        <w:tabs>
          <w:tab w:leader="none" w:pos="10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Obligor has, or will have when entered into by it, power to enter into, perform and deliver and comply with its obligations under, and has taken, or will take when entered into by it, all necessary action to authorise its entry into, each Finance Document and any Charter Document to which it is, or is to be a party and each of the transactions contemplated by those documents.</w:t>
      </w:r>
    </w:p>
    <w:p>
      <w:pPr>
        <w:spacing w:after="0" w:line="204" w:lineRule="exact"/>
        <w:rPr>
          <w:rFonts w:ascii="Arial" w:cs="Arial" w:eastAsia="Arial" w:hAnsi="Arial"/>
          <w:sz w:val="18"/>
          <w:szCs w:val="18"/>
          <w:color w:val="auto"/>
        </w:rPr>
      </w:pPr>
    </w:p>
    <w:p>
      <w:pPr>
        <w:jc w:val="both"/>
        <w:ind w:left="1020" w:hanging="506"/>
        <w:spacing w:after="0"/>
        <w:tabs>
          <w:tab w:leader="none" w:pos="12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limitation on any Obligor’s powers to borrow, create security or give guarantees will be exceeded as a result of any transaction under, or the entry into of, any Finance Document or any Charter Document to which such Obligor is, or is to be, a party.</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Non-conflict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203" w:lineRule="exact"/>
        <w:rPr>
          <w:sz w:val="20"/>
          <w:szCs w:val="20"/>
          <w:color w:val="auto"/>
        </w:rPr>
      </w:pPr>
    </w:p>
    <w:p>
      <w:pPr>
        <w:ind w:left="1000" w:hanging="486"/>
        <w:spacing w:after="0"/>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any Manager or its assets,</w:t>
      </w:r>
    </w:p>
    <w:p>
      <w:pPr>
        <w:spacing w:after="0" w:line="212"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Validity and admissibility in evidence</w:t>
      </w:r>
    </w:p>
    <w:p>
      <w:pPr>
        <w:spacing w:after="0" w:line="234" w:lineRule="exact"/>
        <w:rPr>
          <w:sz w:val="20"/>
          <w:szCs w:val="20"/>
          <w:color w:val="auto"/>
        </w:rPr>
      </w:pPr>
    </w:p>
    <w:p>
      <w:pPr>
        <w:ind w:left="1000" w:hanging="486"/>
        <w:spacing w:after="0"/>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ind w:left="1540" w:right="20" w:hanging="511"/>
        <w:spacing w:after="0" w:line="246" w:lineRule="auto"/>
        <w:tabs>
          <w:tab w:leader="none" w:pos="17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96" w:lineRule="exact"/>
        <w:rPr>
          <w:rFonts w:ascii="Arial" w:cs="Arial" w:eastAsia="Arial" w:hAnsi="Arial"/>
          <w:sz w:val="18"/>
          <w:szCs w:val="18"/>
          <w:color w:val="auto"/>
        </w:rPr>
      </w:pPr>
    </w:p>
    <w:p>
      <w:pPr>
        <w:ind w:left="1540" w:hanging="511"/>
        <w:spacing w:after="0" w:line="246" w:lineRule="auto"/>
        <w:tabs>
          <w:tab w:leader="none" w:pos="157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96" w:lineRule="exact"/>
        <w:rPr>
          <w:rFonts w:ascii="Arial" w:cs="Arial" w:eastAsia="Arial" w:hAnsi="Arial"/>
          <w:sz w:val="18"/>
          <w:szCs w:val="18"/>
          <w:color w:val="auto"/>
        </w:rPr>
      </w:pPr>
    </w:p>
    <w:p>
      <w:pPr>
        <w:ind w:left="1540" w:hanging="511"/>
        <w:spacing w:after="0" w:line="246" w:lineRule="auto"/>
        <w:tabs>
          <w:tab w:leader="none" w:pos="179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ensure that each of the Security Interests created under the Security Documents has the priority and ranking contemplated by them,</w:t>
      </w:r>
    </w:p>
    <w:p>
      <w:pPr>
        <w:spacing w:after="0" w:line="183"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18.14 (</w:t>
      </w:r>
      <w:r>
        <w:rPr>
          <w:rFonts w:ascii="Arial" w:cs="Arial" w:eastAsia="Arial" w:hAnsi="Arial"/>
          <w:sz w:val="18"/>
          <w:szCs w:val="18"/>
          <w:i w:val="1"/>
          <w:iCs w:val="1"/>
          <w:color w:val="auto"/>
        </w:rPr>
        <w:t>No filing</w:t>
      </w:r>
      <w:r>
        <w:rPr>
          <w:rFonts w:ascii="Arial" w:cs="Arial" w:eastAsia="Arial" w:hAnsi="Arial"/>
          <w:sz w:val="18"/>
          <w:szCs w:val="18"/>
          <w:color w:val="auto"/>
        </w:rPr>
        <w:t xml:space="preserve"> </w:t>
      </w:r>
      <w:r>
        <w:rPr>
          <w:rFonts w:ascii="Arial" w:cs="Arial" w:eastAsia="Arial" w:hAnsi="Arial"/>
          <w:sz w:val="18"/>
          <w:szCs w:val="18"/>
          <w:i w:val="1"/>
          <w:iCs w:val="1"/>
          <w:color w:val="auto"/>
        </w:rPr>
        <w:t>or stamp taxes</w:t>
      </w:r>
      <w:r>
        <w:rPr>
          <w:rFonts w:ascii="Arial" w:cs="Arial" w:eastAsia="Arial" w:hAnsi="Arial"/>
          <w:sz w:val="18"/>
          <w:szCs w:val="18"/>
          <w:color w:val="auto"/>
        </w:rPr>
        <w:t>), which authorisation or filing will be promptly obtained or effected within any applicable period.</w:t>
      </w:r>
    </w:p>
    <w:p>
      <w:pPr>
        <w:spacing w:after="0" w:line="203" w:lineRule="exact"/>
        <w:rPr>
          <w:sz w:val="20"/>
          <w:szCs w:val="20"/>
          <w:color w:val="auto"/>
        </w:rPr>
      </w:pPr>
    </w:p>
    <w:p>
      <w:pPr>
        <w:jc w:val="both"/>
        <w:ind w:left="1020" w:hanging="506"/>
        <w:spacing w:after="0"/>
        <w:tabs>
          <w:tab w:leader="none" w:pos="109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7"/>
          <w:szCs w:val="17"/>
          <w:b w:val="1"/>
          <w:bCs w:val="1"/>
          <w:color w:val="auto"/>
        </w:rPr>
        <w:t>Governing law and enforcement</w:t>
      </w:r>
    </w:p>
    <w:p>
      <w:pPr>
        <w:spacing w:after="0" w:line="234" w:lineRule="exact"/>
        <w:rPr>
          <w:sz w:val="20"/>
          <w:szCs w:val="20"/>
          <w:color w:val="auto"/>
        </w:rPr>
      </w:pPr>
    </w:p>
    <w:p>
      <w:pPr>
        <w:ind w:left="1020" w:hanging="506"/>
        <w:spacing w:after="0" w:line="246" w:lineRule="auto"/>
        <w:tabs>
          <w:tab w:leader="none" w:pos="10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any relevant Legal Reservations, the choice of English law or any other applicable law as the governing law of any Finance Document and any Charter Document will be recognised and enforced in each Obligor’s Relevant Jurisdictions.</w:t>
      </w:r>
    </w:p>
    <w:p>
      <w:pPr>
        <w:spacing w:after="0" w:line="196" w:lineRule="exact"/>
        <w:rPr>
          <w:rFonts w:ascii="Arial" w:cs="Arial" w:eastAsia="Arial" w:hAnsi="Arial"/>
          <w:sz w:val="18"/>
          <w:szCs w:val="18"/>
          <w:color w:val="auto"/>
        </w:rPr>
      </w:pPr>
    </w:p>
    <w:p>
      <w:pPr>
        <w:jc w:val="both"/>
        <w:ind w:left="1020" w:hanging="506"/>
        <w:spacing w:after="0"/>
        <w:tabs>
          <w:tab w:leader="none" w:pos="105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or any other applicable jurisdiction in relation to an Obligor in respect of any Finance Document and any Charter Document will be recognised and enforced in each Obligor’s Relevant Jurisdictions.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7"/>
          <w:szCs w:val="17"/>
          <w:b w:val="1"/>
          <w:bCs w:val="1"/>
          <w:color w:val="auto"/>
        </w:rPr>
        <w:t>Information</w:t>
      </w:r>
    </w:p>
    <w:p>
      <w:pPr>
        <w:spacing w:after="0" w:line="234" w:lineRule="exact"/>
        <w:rPr>
          <w:sz w:val="20"/>
          <w:szCs w:val="20"/>
          <w:color w:val="auto"/>
        </w:rPr>
      </w:pPr>
    </w:p>
    <w:p>
      <w:pPr>
        <w:ind w:left="1000" w:hanging="486"/>
        <w:spacing w:after="0"/>
        <w:tabs>
          <w:tab w:leader="none" w:pos="1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211" w:lineRule="exact"/>
        <w:rPr>
          <w:rFonts w:ascii="Arial" w:cs="Arial" w:eastAsia="Arial" w:hAnsi="Arial"/>
          <w:sz w:val="18"/>
          <w:szCs w:val="18"/>
          <w:color w:val="auto"/>
        </w:rPr>
      </w:pPr>
    </w:p>
    <w:p>
      <w:pPr>
        <w:ind w:left="1020" w:hanging="506"/>
        <w:spacing w:after="0" w:line="246" w:lineRule="auto"/>
        <w:tabs>
          <w:tab w:leader="none" w:pos="10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96" w:lineRule="exact"/>
        <w:rPr>
          <w:rFonts w:ascii="Arial" w:cs="Arial" w:eastAsia="Arial" w:hAnsi="Arial"/>
          <w:sz w:val="18"/>
          <w:szCs w:val="18"/>
          <w:color w:val="auto"/>
        </w:rPr>
      </w:pPr>
    </w:p>
    <w:p>
      <w:pPr>
        <w:ind w:left="1020" w:hanging="506"/>
        <w:spacing w:after="0" w:line="246" w:lineRule="auto"/>
        <w:tabs>
          <w:tab w:leader="none" w:pos="107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96" w:lineRule="exact"/>
        <w:rPr>
          <w:rFonts w:ascii="Arial" w:cs="Arial" w:eastAsia="Arial" w:hAnsi="Arial"/>
          <w:sz w:val="18"/>
          <w:szCs w:val="18"/>
          <w:color w:val="auto"/>
        </w:rPr>
      </w:pPr>
    </w:p>
    <w:p>
      <w:pPr>
        <w:ind w:left="1020" w:hanging="506"/>
        <w:spacing w:after="0" w:line="246" w:lineRule="auto"/>
        <w:tabs>
          <w:tab w:leader="none" w:pos="106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74" w:lineRule="exact"/>
        <w:rPr>
          <w:rFonts w:ascii="Arial" w:cs="Arial" w:eastAsia="Arial" w:hAnsi="Arial"/>
          <w:sz w:val="18"/>
          <w:szCs w:val="18"/>
          <w:color w:val="auto"/>
        </w:rPr>
      </w:pPr>
    </w:p>
    <w:p>
      <w:pPr>
        <w:jc w:val="both"/>
        <w:ind w:left="1020" w:hanging="506"/>
        <w:spacing w:after="0" w:line="253" w:lineRule="auto"/>
        <w:tabs>
          <w:tab w:leader="none" w:pos="11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18.9,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or the Charter Documents or the transactions referred to in them (including that contained in any information memorandum).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Original Financial Statements</w:t>
      </w:r>
    </w:p>
    <w:p>
      <w:pPr>
        <w:spacing w:after="0" w:line="234" w:lineRule="exact"/>
        <w:rPr>
          <w:sz w:val="20"/>
          <w:szCs w:val="20"/>
          <w:color w:val="auto"/>
        </w:rPr>
      </w:pPr>
    </w:p>
    <w:p>
      <w:pPr>
        <w:ind w:left="5520" w:right="2560" w:hanging="5006"/>
        <w:spacing w:after="0" w:line="496" w:lineRule="auto"/>
        <w:tabs>
          <w:tab w:leader="none" w:pos="99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ind w:left="1020" w:hanging="506"/>
        <w:spacing w:after="0" w:line="246" w:lineRule="auto"/>
        <w:tabs>
          <w:tab w:leader="none" w:pos="10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and the Group (consolidated in the case of the Group) during the relevant financial year.</w:t>
      </w:r>
    </w:p>
    <w:p>
      <w:pPr>
        <w:spacing w:after="0" w:line="196" w:lineRule="exact"/>
        <w:rPr>
          <w:rFonts w:ascii="Arial" w:cs="Arial" w:eastAsia="Arial" w:hAnsi="Arial"/>
          <w:sz w:val="18"/>
          <w:szCs w:val="18"/>
          <w:color w:val="auto"/>
        </w:rPr>
      </w:pPr>
    </w:p>
    <w:p>
      <w:pPr>
        <w:jc w:val="both"/>
        <w:ind w:left="1020" w:hanging="506"/>
        <w:spacing w:after="0"/>
        <w:tabs>
          <w:tab w:leader="none" w:pos="101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since the date of the latest Financial Statements delivered under this Agreement to the Finance Parties which has had or might reasonably be expected to have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Pari passu ranking</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18.12 Ranking and effectiveness of security</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4.1 (</w:t>
      </w:r>
      <w:r>
        <w:rPr>
          <w:rFonts w:ascii="Arial" w:cs="Arial" w:eastAsia="Arial" w:hAnsi="Arial"/>
          <w:sz w:val="18"/>
          <w:szCs w:val="18"/>
          <w:i w:val="1"/>
          <w:iCs w:val="1"/>
          <w:color w:val="auto"/>
        </w:rPr>
        <w:t>Conditions precedent to the delivery of a Utilisation Request</w:t>
      </w:r>
      <w:r>
        <w:rPr>
          <w:rFonts w:ascii="Arial" w:cs="Arial" w:eastAsia="Arial" w:hAnsi="Arial"/>
          <w:sz w:val="18"/>
          <w:szCs w:val="18"/>
          <w:color w:val="auto"/>
        </w:rPr>
        <w:t>) and clause 4.2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18.13 No insolvency</w:t>
      </w:r>
    </w:p>
    <w:p>
      <w:pPr>
        <w:spacing w:after="0" w:line="216"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No corporate action, legal proceeding or other procedure or step described in clause 29.9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29.10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29.8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18.14 No filing or stamp taxes</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18.15 Tax</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18.16 No Default</w:t>
      </w:r>
    </w:p>
    <w:p>
      <w:pPr>
        <w:spacing w:after="0" w:line="234" w:lineRule="exact"/>
        <w:rPr>
          <w:sz w:val="20"/>
          <w:szCs w:val="20"/>
          <w:color w:val="auto"/>
        </w:rPr>
      </w:pPr>
    </w:p>
    <w:p>
      <w:pPr>
        <w:ind w:left="1020" w:hanging="506"/>
        <w:spacing w:after="0" w:line="246" w:lineRule="auto"/>
        <w:tabs>
          <w:tab w:leader="none" w:pos="117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any Utilisation or the entry into, the performance of, or any transaction contemplated by, any Finance Document or any Charter Document.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both"/>
        <w:ind w:left="1020" w:hanging="506"/>
        <w:spacing w:after="0" w:line="238" w:lineRule="auto"/>
        <w:tabs>
          <w:tab w:leader="none" w:pos="106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202" w:lineRule="exact"/>
        <w:rPr>
          <w:rFonts w:ascii="Arial" w:cs="Arial" w:eastAsia="Arial" w:hAnsi="Arial"/>
          <w:sz w:val="18"/>
          <w:szCs w:val="18"/>
          <w:color w:val="auto"/>
        </w:rPr>
      </w:pPr>
    </w:p>
    <w:p>
      <w:pPr>
        <w:ind w:left="1020" w:hanging="506"/>
        <w:spacing w:after="0" w:line="246" w:lineRule="auto"/>
        <w:tabs>
          <w:tab w:leader="none" w:pos="10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2019, which have had or might reasonably be expected to have a Material Adverse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18.17 No proceedings pending or threatened</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18.18 No breach of laws</w:t>
      </w:r>
    </w:p>
    <w:p>
      <w:pPr>
        <w:spacing w:after="0" w:line="234" w:lineRule="exact"/>
        <w:rPr>
          <w:sz w:val="20"/>
          <w:szCs w:val="20"/>
          <w:color w:val="auto"/>
        </w:rPr>
      </w:pPr>
    </w:p>
    <w:p>
      <w:pPr>
        <w:ind w:left="1020" w:hanging="506"/>
        <w:spacing w:after="0" w:line="246" w:lineRule="auto"/>
        <w:tabs>
          <w:tab w:leader="none" w:pos="115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96" w:lineRule="exact"/>
        <w:rPr>
          <w:rFonts w:ascii="Arial" w:cs="Arial" w:eastAsia="Arial" w:hAnsi="Arial"/>
          <w:sz w:val="18"/>
          <w:szCs w:val="18"/>
          <w:color w:val="auto"/>
        </w:rPr>
      </w:pPr>
    </w:p>
    <w:p>
      <w:pPr>
        <w:jc w:val="both"/>
        <w:ind w:left="1020" w:hanging="506"/>
        <w:spacing w:after="0"/>
        <w:tabs>
          <w:tab w:leader="none" w:pos="113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18.19 Environmental matters</w:t>
      </w:r>
    </w:p>
    <w:p>
      <w:pPr>
        <w:spacing w:after="0" w:line="234" w:lineRule="exact"/>
        <w:rPr>
          <w:sz w:val="20"/>
          <w:szCs w:val="20"/>
          <w:color w:val="auto"/>
        </w:rPr>
      </w:pPr>
    </w:p>
    <w:p>
      <w:pPr>
        <w:ind w:left="1020" w:hanging="506"/>
        <w:spacing w:after="0" w:line="246" w:lineRule="auto"/>
        <w:tabs>
          <w:tab w:leader="none" w:pos="10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211" w:lineRule="exact"/>
        <w:rPr>
          <w:rFonts w:ascii="Arial" w:cs="Arial" w:eastAsia="Arial" w:hAnsi="Arial"/>
          <w:sz w:val="18"/>
          <w:szCs w:val="18"/>
          <w:color w:val="auto"/>
        </w:rPr>
      </w:pPr>
    </w:p>
    <w:p>
      <w:pPr>
        <w:jc w:val="both"/>
        <w:ind w:left="1020" w:hanging="506"/>
        <w:spacing w:after="0"/>
        <w:tabs>
          <w:tab w:leader="none" w:pos="10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18.20 Tax compliance</w:t>
      </w:r>
    </w:p>
    <w:p>
      <w:pPr>
        <w:spacing w:after="0" w:line="234" w:lineRule="exact"/>
        <w:rPr>
          <w:sz w:val="20"/>
          <w:szCs w:val="20"/>
          <w:color w:val="auto"/>
        </w:rPr>
      </w:pPr>
    </w:p>
    <w:p>
      <w:pPr>
        <w:jc w:val="both"/>
        <w:ind w:left="1020" w:hanging="506"/>
        <w:spacing w:after="0" w:line="238" w:lineRule="auto"/>
        <w:tabs>
          <w:tab w:leader="none" w:pos="108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 unless and to the extent that such payment is being contested in good faith, adequate reserves are being maintained for those Taxes and the costs required to contest them and such payment is being lawfully withheld.</w:t>
      </w:r>
    </w:p>
    <w:p>
      <w:pPr>
        <w:spacing w:after="0" w:line="204" w:lineRule="exact"/>
        <w:rPr>
          <w:rFonts w:ascii="Arial" w:cs="Arial" w:eastAsia="Arial" w:hAnsi="Arial"/>
          <w:sz w:val="18"/>
          <w:szCs w:val="18"/>
          <w:color w:val="auto"/>
        </w:rPr>
      </w:pPr>
    </w:p>
    <w:p>
      <w:pPr>
        <w:jc w:val="both"/>
        <w:ind w:left="1020" w:hanging="506"/>
        <w:spacing w:after="0" w:line="238" w:lineRule="auto"/>
        <w:tabs>
          <w:tab w:leader="none" w:pos="106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ind w:left="1020" w:right="20" w:hanging="506"/>
        <w:spacing w:after="0" w:line="246" w:lineRule="auto"/>
        <w:tabs>
          <w:tab w:leader="none" w:pos="100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18.21 Anti-corruption law</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18.22 Security and Financial Indebtedness</w:t>
      </w:r>
    </w:p>
    <w:p>
      <w:pPr>
        <w:spacing w:after="0" w:line="234" w:lineRule="exact"/>
        <w:rPr>
          <w:sz w:val="20"/>
          <w:szCs w:val="20"/>
          <w:color w:val="auto"/>
        </w:rPr>
      </w:pPr>
    </w:p>
    <w:p>
      <w:pPr>
        <w:ind w:left="1020" w:hanging="506"/>
        <w:spacing w:after="0" w:line="246" w:lineRule="auto"/>
        <w:tabs>
          <w:tab w:leader="none" w:pos="100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18.23 Ownership of assets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18.24 Shares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shares of each Owner are fully paid and not subject to any option to purchase or similar rights. The Constitutional Documents of each Owner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18.25 Accounting Reference Date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18.26 No adverse consequences</w:t>
      </w:r>
    </w:p>
    <w:p>
      <w:pPr>
        <w:spacing w:after="0" w:line="234" w:lineRule="exact"/>
        <w:rPr>
          <w:sz w:val="20"/>
          <w:szCs w:val="20"/>
          <w:color w:val="auto"/>
        </w:rPr>
      </w:pPr>
    </w:p>
    <w:p>
      <w:pPr>
        <w:ind w:left="1000" w:hanging="486"/>
        <w:spacing w:after="0"/>
        <w:tabs>
          <w:tab w:leader="none" w:pos="10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211" w:lineRule="exact"/>
        <w:rPr>
          <w:rFonts w:ascii="Arial" w:cs="Arial" w:eastAsia="Arial" w:hAnsi="Arial"/>
          <w:sz w:val="18"/>
          <w:szCs w:val="18"/>
          <w:color w:val="auto"/>
        </w:rPr>
      </w:pPr>
    </w:p>
    <w:p>
      <w:pPr>
        <w:ind w:left="1540" w:hanging="511"/>
        <w:spacing w:after="0" w:line="261" w:lineRule="auto"/>
        <w:tabs>
          <w:tab w:leader="none" w:pos="167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84"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that any Finance Party should be licensed, qualified or otherwise entitled to carry on business in any of such Relevant Jurisdictions.</w:t>
      </w:r>
    </w:p>
    <w:p>
      <w:pPr>
        <w:spacing w:after="0" w:line="197" w:lineRule="exact"/>
        <w:rPr>
          <w:sz w:val="20"/>
          <w:szCs w:val="20"/>
          <w:color w:val="auto"/>
        </w:rPr>
      </w:pPr>
    </w:p>
    <w:p>
      <w:pPr>
        <w:ind w:left="1020" w:hanging="506"/>
        <w:spacing w:after="0" w:line="246" w:lineRule="auto"/>
        <w:tabs>
          <w:tab w:leader="none" w:pos="105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18.27 Copies of documents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copies of the Charter Documents and the Constitutional Documents of the Obligors delivered to the Agent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will, as at their delivery dates, be true, complete and accurate copies of such documents and include all amendments and supplements to them as at the time of such delivery and no other agreements or arrangements exist between any of the parties to any Charter Document which would materially affect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3" w:name="page64"/>
    <w:bookmarkEnd w:id="63"/>
    <w:p>
      <w:pPr>
        <w:jc w:val="both"/>
        <w:ind w:left="520"/>
        <w:spacing w:after="0" w:line="246" w:lineRule="auto"/>
        <w:rPr>
          <w:sz w:val="20"/>
          <w:szCs w:val="20"/>
          <w:color w:val="auto"/>
        </w:rPr>
      </w:pPr>
      <w:r>
        <w:rPr>
          <w:rFonts w:ascii="Arial" w:cs="Arial" w:eastAsia="Arial" w:hAnsi="Arial"/>
          <w:sz w:val="18"/>
          <w:szCs w:val="18"/>
          <w:color w:val="auto"/>
        </w:rPr>
        <w:t>transactions or arrangements contemplated by any Charter Document or modify or release the obligations of any party under that Charter Document.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18.28 No breach of any Charter Document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Obligor nor (so far as the Obligors are aware) any other person is in breach of any Charter Document to which it is a party nor has anything occurred which entitles or may entitle any party to any Charter Document to rescind or terminate it or decline to perform their obligations under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18.29 No immunity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18.30 Ship status</w:t>
      </w:r>
    </w:p>
    <w:p>
      <w:pPr>
        <w:spacing w:after="0" w:line="234" w:lineRule="exact"/>
        <w:rPr>
          <w:sz w:val="20"/>
          <w:szCs w:val="20"/>
          <w:color w:val="auto"/>
        </w:rPr>
      </w:pPr>
    </w:p>
    <w:p>
      <w:pPr>
        <w:ind w:left="1000" w:hanging="486"/>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Ship will on the first day of the relevant Mortgage Period be:</w:t>
      </w:r>
    </w:p>
    <w:p>
      <w:pPr>
        <w:spacing w:after="0" w:line="211" w:lineRule="exact"/>
        <w:rPr>
          <w:rFonts w:ascii="Arial" w:cs="Arial" w:eastAsia="Arial" w:hAnsi="Arial"/>
          <w:sz w:val="18"/>
          <w:szCs w:val="18"/>
          <w:color w:val="auto"/>
        </w:rPr>
      </w:pPr>
    </w:p>
    <w:p>
      <w:pPr>
        <w:ind w:left="1020" w:hanging="506"/>
        <w:spacing w:after="0" w:line="246" w:lineRule="auto"/>
        <w:tabs>
          <w:tab w:leader="none" w:pos="106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registered in the name of the relevant Owner through the relevant Registry as a registered ship under the laws and flag of the relevant Flag State;</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211" w:lineRule="exact"/>
        <w:rPr>
          <w:rFonts w:ascii="Arial" w:cs="Arial" w:eastAsia="Arial" w:hAnsi="Arial"/>
          <w:sz w:val="18"/>
          <w:szCs w:val="18"/>
          <w:color w:val="auto"/>
        </w:rPr>
      </w:pPr>
    </w:p>
    <w:p>
      <w:pPr>
        <w:ind w:left="1020" w:hanging="506"/>
        <w:spacing w:after="0" w:line="246" w:lineRule="auto"/>
        <w:tabs>
          <w:tab w:leader="none" w:pos="113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18.31 Ship’s employment</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the first day of its Mortgage Period each Ship:</w:t>
      </w:r>
    </w:p>
    <w:p>
      <w:pPr>
        <w:spacing w:after="0" w:line="212" w:lineRule="exact"/>
        <w:rPr>
          <w:sz w:val="20"/>
          <w:szCs w:val="20"/>
          <w:color w:val="auto"/>
        </w:rPr>
      </w:pPr>
    </w:p>
    <w:p>
      <w:pPr>
        <w:ind w:left="1000" w:hanging="486"/>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its Charter; and</w:t>
      </w:r>
    </w:p>
    <w:p>
      <w:pPr>
        <w:spacing w:after="0" w:line="211" w:lineRule="exact"/>
        <w:rPr>
          <w:rFonts w:ascii="Arial" w:cs="Arial" w:eastAsia="Arial" w:hAnsi="Arial"/>
          <w:sz w:val="18"/>
          <w:szCs w:val="18"/>
          <w:color w:val="auto"/>
        </w:rPr>
      </w:pPr>
    </w:p>
    <w:p>
      <w:pPr>
        <w:ind w:left="1020" w:hanging="506"/>
        <w:spacing w:after="0" w:line="246" w:lineRule="auto"/>
        <w:tabs>
          <w:tab w:leader="none" w:pos="12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free of any other charter commitment which, if entered into after that date, would require approval under the Finance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18.32 Address commission</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Save for any brokerage fees paid to Poten &amp; Partners Inc. and Abacus Energy Enterprises Ltd., there are no rebates, commissions or other payments in connection with any Charter other than those referred to in 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18.33 Money Laundering</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In relation to the borrowing by each Borrower of the Loan, the performance and discharge of its obligations and liabilities under the Finance Documents, and the transactions and other arrangements effected or contemplated by the Finance Documents to which each Borrower is a party, each Borrower confirms (a) that it is acting for its own account; (b) that it will use the proceeds of the Loan for its own benefit, under its full responsibility and exclusively for the purposes specified in this Agreement and (c) that the foregoing will not involve or lead to a contravention of any law, official requirement or other regulatory measure or procedure which has been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18.34 Sanctions</w:t>
      </w:r>
    </w:p>
    <w:p>
      <w:pPr>
        <w:spacing w:after="0" w:line="234" w:lineRule="exact"/>
        <w:rPr>
          <w:sz w:val="20"/>
          <w:szCs w:val="20"/>
          <w:color w:val="auto"/>
        </w:rPr>
      </w:pPr>
    </w:p>
    <w:p>
      <w:pPr>
        <w:ind w:left="1020" w:right="20" w:hanging="506"/>
        <w:spacing w:after="0" w:line="246" w:lineRule="auto"/>
        <w:tabs>
          <w:tab w:leader="none" w:pos="105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Ship is a vessel with which any individual, entity or any other person is prohibited or restricted from dealing with under any Sanctions;</w:t>
      </w:r>
    </w:p>
    <w:p>
      <w:pPr>
        <w:spacing w:after="0" w:line="196" w:lineRule="exact"/>
        <w:rPr>
          <w:rFonts w:ascii="Arial" w:cs="Arial" w:eastAsia="Arial" w:hAnsi="Arial"/>
          <w:sz w:val="18"/>
          <w:szCs w:val="18"/>
          <w:color w:val="auto"/>
        </w:rPr>
      </w:pPr>
    </w:p>
    <w:p>
      <w:pPr>
        <w:ind w:left="1000" w:hanging="486"/>
        <w:spacing w:after="0"/>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Obligor nor any other Group Member, nor any of their respective directors or officers: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left="1540" w:hanging="508"/>
        <w:spacing w:after="0"/>
        <w:tabs>
          <w:tab w:leader="none" w:pos="1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211" w:lineRule="exact"/>
        <w:rPr>
          <w:rFonts w:ascii="Arial" w:cs="Arial" w:eastAsia="Arial" w:hAnsi="Arial"/>
          <w:sz w:val="18"/>
          <w:szCs w:val="18"/>
          <w:color w:val="auto"/>
        </w:rPr>
      </w:pPr>
    </w:p>
    <w:p>
      <w:pPr>
        <w:ind w:left="1540" w:hanging="511"/>
        <w:spacing w:after="0" w:line="246" w:lineRule="auto"/>
        <w:tabs>
          <w:tab w:leader="none" w:pos="17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96" w:lineRule="exact"/>
        <w:rPr>
          <w:rFonts w:ascii="Arial" w:cs="Arial" w:eastAsia="Arial" w:hAnsi="Arial"/>
          <w:sz w:val="18"/>
          <w:szCs w:val="18"/>
          <w:color w:val="auto"/>
        </w:rPr>
      </w:pPr>
    </w:p>
    <w:p>
      <w:pPr>
        <w:jc w:val="both"/>
        <w:ind w:left="1540" w:hanging="511"/>
        <w:spacing w:after="0" w:line="238" w:lineRule="auto"/>
        <w:tabs>
          <w:tab w:leader="none" w:pos="163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204" w:lineRule="exact"/>
        <w:rPr>
          <w:rFonts w:ascii="Arial" w:cs="Arial" w:eastAsia="Arial" w:hAnsi="Arial"/>
          <w:sz w:val="18"/>
          <w:szCs w:val="18"/>
          <w:color w:val="auto"/>
        </w:rPr>
      </w:pPr>
    </w:p>
    <w:p>
      <w:pPr>
        <w:ind w:left="1540" w:hanging="511"/>
        <w:spacing w:after="0"/>
        <w:tabs>
          <w:tab w:leader="none" w:pos="1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211" w:lineRule="exact"/>
        <w:rPr>
          <w:rFonts w:ascii="Arial" w:cs="Arial" w:eastAsia="Arial" w:hAnsi="Arial"/>
          <w:sz w:val="18"/>
          <w:szCs w:val="18"/>
          <w:color w:val="auto"/>
        </w:rPr>
      </w:pPr>
    </w:p>
    <w:p>
      <w:pPr>
        <w:ind w:left="1540" w:hanging="511"/>
        <w:spacing w:after="0" w:line="246" w:lineRule="auto"/>
        <w:tabs>
          <w:tab w:leader="none" w:pos="16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211" w:lineRule="exact"/>
        <w:rPr>
          <w:rFonts w:ascii="Arial" w:cs="Arial" w:eastAsia="Arial" w:hAnsi="Arial"/>
          <w:sz w:val="18"/>
          <w:szCs w:val="18"/>
          <w:color w:val="auto"/>
        </w:rPr>
      </w:pPr>
    </w:p>
    <w:p>
      <w:pPr>
        <w:ind w:left="1540" w:hanging="511"/>
        <w:spacing w:after="0" w:line="246" w:lineRule="auto"/>
        <w:tabs>
          <w:tab w:leader="none" w:pos="173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97" w:lineRule="exact"/>
        <w:rPr>
          <w:sz w:val="20"/>
          <w:szCs w:val="20"/>
          <w:color w:val="auto"/>
        </w:rPr>
      </w:pPr>
    </w:p>
    <w:p>
      <w:pPr>
        <w:ind w:left="1020" w:hanging="506"/>
        <w:spacing w:after="0" w:line="246" w:lineRule="auto"/>
        <w:tabs>
          <w:tab w:leader="none" w:pos="116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capitalised terms referred to in paragraphs (a) and (b) above shall have the meanings given to them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18.35 Times when representations are made</w:t>
      </w:r>
    </w:p>
    <w:p>
      <w:pPr>
        <w:spacing w:after="0" w:line="234" w:lineRule="exact"/>
        <w:rPr>
          <w:sz w:val="20"/>
          <w:szCs w:val="20"/>
          <w:color w:val="auto"/>
        </w:rPr>
      </w:pPr>
    </w:p>
    <w:p>
      <w:pPr>
        <w:ind w:left="1020" w:hanging="506"/>
        <w:spacing w:after="0" w:line="246" w:lineRule="auto"/>
        <w:tabs>
          <w:tab w:leader="none" w:pos="102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96" w:lineRule="exact"/>
        <w:rPr>
          <w:rFonts w:ascii="Arial" w:cs="Arial" w:eastAsia="Arial" w:hAnsi="Arial"/>
          <w:sz w:val="18"/>
          <w:szCs w:val="18"/>
          <w:color w:val="auto"/>
        </w:rPr>
      </w:pPr>
    </w:p>
    <w:p>
      <w:pPr>
        <w:jc w:val="both"/>
        <w:ind w:left="1020" w:hanging="506"/>
        <w:spacing w:after="0"/>
        <w:tabs>
          <w:tab w:leader="none" w:pos="11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18.9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Facility.</w:t>
      </w:r>
    </w:p>
    <w:p>
      <w:pPr>
        <w:spacing w:after="0" w:line="202" w:lineRule="exact"/>
        <w:rPr>
          <w:rFonts w:ascii="Arial" w:cs="Arial" w:eastAsia="Arial" w:hAnsi="Arial"/>
          <w:sz w:val="18"/>
          <w:szCs w:val="18"/>
          <w:color w:val="auto"/>
        </w:rPr>
      </w:pPr>
    </w:p>
    <w:p>
      <w:pPr>
        <w:ind w:left="1020" w:hanging="506"/>
        <w:spacing w:after="0" w:line="246" w:lineRule="auto"/>
        <w:tabs>
          <w:tab w:leader="none" w:pos="107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of the Ship Representations are deemed to be made and repeated on the first day of the Mortgage Period for the relevant Ship.</w:t>
      </w:r>
    </w:p>
    <w:p>
      <w:pPr>
        <w:spacing w:after="0" w:line="196" w:lineRule="exact"/>
        <w:rPr>
          <w:rFonts w:ascii="Arial" w:cs="Arial" w:eastAsia="Arial" w:hAnsi="Arial"/>
          <w:sz w:val="18"/>
          <w:szCs w:val="18"/>
          <w:color w:val="auto"/>
        </w:rPr>
      </w:pPr>
    </w:p>
    <w:p>
      <w:pPr>
        <w:ind w:left="1020" w:right="20" w:hanging="506"/>
        <w:spacing w:after="0" w:line="246" w:lineRule="auto"/>
        <w:tabs>
          <w:tab w:leader="none" w:pos="100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19  Information undertakings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19 will be complied with throughout the Facility Period.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19:</w:t>
      </w:r>
    </w:p>
    <w:p>
      <w:pPr>
        <w:spacing w:after="0" w:line="190"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Borrowers and GasLog</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after the end of the relevant financial year and for the first time, for the financial year ending on 31 December 2019.</w:t>
      </w:r>
    </w:p>
    <w:p>
      <w:pPr>
        <w:spacing w:after="0" w:line="169"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and GasLog Holdings,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after the end of the relevant financial half-year and for the first time, for the financial half year ending on 30 June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spacing w:after="0"/>
        <w:tabs>
          <w:tab w:leader="none" w:pos="50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Financial statements</w:t>
      </w:r>
    </w:p>
    <w:p>
      <w:pPr>
        <w:spacing w:after="0" w:line="234" w:lineRule="exact"/>
        <w:rPr>
          <w:sz w:val="20"/>
          <w:szCs w:val="20"/>
          <w:color w:val="auto"/>
        </w:rPr>
      </w:pPr>
    </w:p>
    <w:p>
      <w:pPr>
        <w:jc w:val="both"/>
        <w:ind w:left="1020" w:hanging="506"/>
        <w:spacing w:after="0"/>
        <w:tabs>
          <w:tab w:leader="none" w:pos="10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(and the Agent shall supply to each Lender), as soon as the same become available, but in any event within 150 days after the end of the relevant financial years:</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that financial year; and</w:t>
      </w:r>
    </w:p>
    <w:p>
      <w:pPr>
        <w:spacing w:after="0" w:line="211" w:lineRule="exact"/>
        <w:rPr>
          <w:rFonts w:ascii="Arial" w:cs="Arial" w:eastAsia="Arial" w:hAnsi="Arial"/>
          <w:sz w:val="18"/>
          <w:szCs w:val="18"/>
          <w:color w:val="auto"/>
        </w:rPr>
      </w:pPr>
    </w:p>
    <w:p>
      <w:pPr>
        <w:ind w:left="1540" w:right="20" w:hanging="511"/>
        <w:spacing w:after="0" w:line="246" w:lineRule="auto"/>
        <w:tabs>
          <w:tab w:leader="none" w:pos="163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unaudited financial statements (consolidated if appropriate) of each of the Borrowers and GasLog Holdings for that financial year.</w:t>
      </w:r>
    </w:p>
    <w:p>
      <w:pPr>
        <w:spacing w:after="0" w:line="196" w:lineRule="exact"/>
        <w:rPr>
          <w:rFonts w:ascii="Arial" w:cs="Arial" w:eastAsia="Arial" w:hAnsi="Arial"/>
          <w:sz w:val="18"/>
          <w:szCs w:val="18"/>
          <w:color w:val="auto"/>
        </w:rPr>
      </w:pPr>
    </w:p>
    <w:p>
      <w:pPr>
        <w:jc w:val="both"/>
        <w:ind w:left="1020" w:hanging="506"/>
        <w:spacing w:after="0"/>
        <w:tabs>
          <w:tab w:leader="none" w:pos="100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as soon as the same become available, but in any event within 120 days after the end of each half year to 30 June of the relevant financial year, the unaudited consolidated financial statements for each of the Group and GasLog Holdings for that financial half year.</w:t>
      </w:r>
    </w:p>
    <w:p>
      <w:pPr>
        <w:spacing w:after="0" w:line="202" w:lineRule="exact"/>
        <w:rPr>
          <w:rFonts w:ascii="Arial" w:cs="Arial" w:eastAsia="Arial" w:hAnsi="Arial"/>
          <w:sz w:val="18"/>
          <w:szCs w:val="18"/>
          <w:color w:val="auto"/>
        </w:rPr>
      </w:pPr>
    </w:p>
    <w:p>
      <w:pPr>
        <w:ind w:left="1020" w:hanging="506"/>
        <w:spacing w:after="0" w:line="246" w:lineRule="auto"/>
        <w:tabs>
          <w:tab w:leader="none" w:pos="101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Borrowers shall also supply to the Agent prior to each financial year budget and cashflow projections for the Borrowers and the Guarantors for such financial year.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Provision and contents of Compliance Certificate and valuations</w:t>
      </w:r>
    </w:p>
    <w:p>
      <w:pPr>
        <w:spacing w:after="0" w:line="234" w:lineRule="exact"/>
        <w:rPr>
          <w:sz w:val="20"/>
          <w:szCs w:val="20"/>
          <w:color w:val="auto"/>
        </w:rPr>
      </w:pPr>
    </w:p>
    <w:p>
      <w:pPr>
        <w:ind w:left="1000" w:hanging="486"/>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Obligors shall supply to the Agent (and the Agent shall supply to each Lender):</w:t>
      </w:r>
    </w:p>
    <w:p>
      <w:pPr>
        <w:spacing w:after="0" w:line="211" w:lineRule="exact"/>
        <w:rPr>
          <w:rFonts w:ascii="Arial" w:cs="Arial" w:eastAsia="Arial" w:hAnsi="Arial"/>
          <w:sz w:val="18"/>
          <w:szCs w:val="18"/>
          <w:color w:val="auto"/>
        </w:rPr>
      </w:pPr>
    </w:p>
    <w:p>
      <w:pPr>
        <w:ind w:left="1540" w:hanging="511"/>
        <w:spacing w:after="0" w:line="246" w:lineRule="auto"/>
        <w:tabs>
          <w:tab w:leader="none" w:pos="179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with each set of unaudited Semi-Annual Financial Statements for the Group and GasLog Holdings, a Compliance Certificate;</w:t>
      </w:r>
    </w:p>
    <w:p>
      <w:pPr>
        <w:spacing w:after="0" w:line="196" w:lineRule="exact"/>
        <w:rPr>
          <w:rFonts w:ascii="Arial" w:cs="Arial" w:eastAsia="Arial" w:hAnsi="Arial"/>
          <w:sz w:val="18"/>
          <w:szCs w:val="18"/>
          <w:color w:val="auto"/>
        </w:rPr>
      </w:pPr>
    </w:p>
    <w:p>
      <w:pPr>
        <w:jc w:val="both"/>
        <w:ind w:left="1540" w:hanging="511"/>
        <w:spacing w:after="0" w:line="237" w:lineRule="auto"/>
        <w:tabs>
          <w:tab w:leader="none" w:pos="1549"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the Group and GasLog Holdings, valuations of each Fleet Vessel, each made in accordance with clause 25 (</w:t>
      </w:r>
      <w:r>
        <w:rPr>
          <w:rFonts w:ascii="Arial" w:cs="Arial" w:eastAsia="Arial" w:hAnsi="Arial"/>
          <w:sz w:val="18"/>
          <w:szCs w:val="18"/>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value</w:t>
      </w:r>
      <w:r>
        <w:rPr>
          <w:rFonts w:ascii="Arial" w:cs="Arial" w:eastAsia="Arial" w:hAnsi="Arial"/>
          <w:sz w:val="18"/>
          <w:szCs w:val="18"/>
          <w:color w:val="auto"/>
        </w:rPr>
        <w:t>) at the cost and expense of the Obligors and showing the value of each such Fleet Vessel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financial statements to which they relate (and for such purposes, the provisions of such clause 25 (</w:t>
      </w:r>
      <w:r>
        <w:rPr>
          <w:rFonts w:ascii="Arial" w:cs="Arial" w:eastAsia="Arial" w:hAnsi="Arial"/>
          <w:sz w:val="18"/>
          <w:szCs w:val="18"/>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value</w:t>
      </w:r>
      <w:r>
        <w:rPr>
          <w:rFonts w:ascii="Arial" w:cs="Arial" w:eastAsia="Arial" w:hAnsi="Arial"/>
          <w:sz w:val="18"/>
          <w:szCs w:val="18"/>
          <w:color w:val="auto"/>
        </w:rPr>
        <w:t>) shall apply to each such Fleet Vessel and this paragraph 19.2(a)(ii) mutatis mutandis as if each such Fleet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was a Ship).</w:t>
      </w:r>
    </w:p>
    <w:p>
      <w:pPr>
        <w:spacing w:after="0" w:line="204" w:lineRule="exact"/>
        <w:rPr>
          <w:rFonts w:ascii="Arial" w:cs="Arial" w:eastAsia="Arial" w:hAnsi="Arial"/>
          <w:sz w:val="18"/>
          <w:szCs w:val="18"/>
          <w:color w:val="auto"/>
        </w:rPr>
      </w:pPr>
    </w:p>
    <w:p>
      <w:pPr>
        <w:ind w:left="1020" w:hanging="506"/>
        <w:spacing w:after="0" w:line="246" w:lineRule="auto"/>
        <w:tabs>
          <w:tab w:leader="none" w:pos="115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Financial condition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020" w:right="20" w:hanging="506"/>
        <w:spacing w:after="0" w:line="246" w:lineRule="auto"/>
        <w:tabs>
          <w:tab w:leader="none" w:pos="108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executive officer of the Parent or by the chief financial officer of the Parent, or, in his or her absence, by any other duly authorised director of the Parent.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7"/>
          <w:szCs w:val="17"/>
          <w:b w:val="1"/>
          <w:bCs w:val="1"/>
          <w:color w:val="auto"/>
        </w:rPr>
        <w:t>Requirements as to financial statements</w:t>
      </w:r>
    </w:p>
    <w:p>
      <w:pPr>
        <w:spacing w:after="0" w:line="216" w:lineRule="exact"/>
        <w:rPr>
          <w:sz w:val="20"/>
          <w:szCs w:val="20"/>
          <w:color w:val="auto"/>
        </w:rPr>
      </w:pPr>
    </w:p>
    <w:p>
      <w:pPr>
        <w:jc w:val="both"/>
        <w:ind w:left="1020" w:hanging="506"/>
        <w:spacing w:after="0" w:line="250" w:lineRule="auto"/>
        <w:tabs>
          <w:tab w:leader="none" w:pos="11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shall be audited by the Auditors.</w:t>
      </w:r>
    </w:p>
    <w:p>
      <w:pPr>
        <w:spacing w:after="0" w:line="176" w:lineRule="exact"/>
        <w:rPr>
          <w:rFonts w:ascii="Arial" w:cs="Arial" w:eastAsia="Arial" w:hAnsi="Arial"/>
          <w:sz w:val="18"/>
          <w:szCs w:val="18"/>
          <w:color w:val="auto"/>
        </w:rPr>
      </w:pPr>
    </w:p>
    <w:p>
      <w:pPr>
        <w:ind w:left="1000" w:hanging="486"/>
        <w:spacing w:after="0"/>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29" w:lineRule="exact"/>
        <w:rPr>
          <w:rFonts w:ascii="Arial" w:cs="Arial" w:eastAsia="Arial" w:hAnsi="Arial"/>
          <w:sz w:val="18"/>
          <w:szCs w:val="18"/>
          <w:color w:val="auto"/>
        </w:rPr>
      </w:pPr>
    </w:p>
    <w:p>
      <w:pPr>
        <w:ind w:left="1540" w:hanging="511"/>
        <w:spacing w:after="0"/>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 the case only of the Parent, be prepared in accordance with GAAP;</w:t>
      </w:r>
    </w:p>
    <w:p>
      <w:pPr>
        <w:spacing w:after="0" w:line="211" w:lineRule="exact"/>
        <w:rPr>
          <w:rFonts w:ascii="Arial" w:cs="Arial" w:eastAsia="Arial" w:hAnsi="Arial"/>
          <w:sz w:val="18"/>
          <w:szCs w:val="18"/>
          <w:color w:val="auto"/>
        </w:rPr>
      </w:pPr>
    </w:p>
    <w:p>
      <w:pPr>
        <w:ind w:left="1540" w:hanging="511"/>
        <w:spacing w:after="0" w:line="246" w:lineRule="auto"/>
        <w:tabs>
          <w:tab w:leader="none" w:pos="153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represent (in other cases), the financial condition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ind w:left="1540"/>
        <w:spacing w:after="0" w:line="246" w:lineRule="auto"/>
        <w:rPr>
          <w:sz w:val="20"/>
          <w:szCs w:val="20"/>
          <w:color w:val="auto"/>
        </w:rPr>
      </w:pPr>
      <w:r>
        <w:rPr>
          <w:rFonts w:ascii="Arial" w:cs="Arial" w:eastAsia="Arial" w:hAnsi="Arial"/>
          <w:sz w:val="18"/>
          <w:szCs w:val="18"/>
          <w:color w:val="auto"/>
        </w:rPr>
        <w:t>operations of the Group or (as the case may be) the relevant Obligor, as at the date as at which those financial statements were drawn up; and</w:t>
      </w:r>
    </w:p>
    <w:p>
      <w:pPr>
        <w:spacing w:after="0" w:line="197" w:lineRule="exact"/>
        <w:rPr>
          <w:sz w:val="20"/>
          <w:szCs w:val="20"/>
          <w:color w:val="auto"/>
        </w:rPr>
      </w:pPr>
    </w:p>
    <w:p>
      <w:pPr>
        <w:ind w:left="1540" w:hanging="508"/>
        <w:spacing w:after="0"/>
        <w:tabs>
          <w:tab w:leader="none" w:pos="15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193" w:lineRule="exact"/>
        <w:rPr>
          <w:rFonts w:ascii="Arial" w:cs="Arial" w:eastAsia="Arial" w:hAnsi="Arial"/>
          <w:sz w:val="18"/>
          <w:szCs w:val="18"/>
          <w:color w:val="auto"/>
        </w:rPr>
      </w:pPr>
    </w:p>
    <w:p>
      <w:pPr>
        <w:jc w:val="both"/>
        <w:ind w:left="1020" w:hanging="506"/>
        <w:spacing w:after="0" w:line="245" w:lineRule="auto"/>
        <w:tabs>
          <w:tab w:leader="none" w:pos="101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Borrowers notify the Agent that there has been a change in GAAP or the accounting practices and the Auditors deliver to the Agent:</w:t>
      </w:r>
    </w:p>
    <w:p>
      <w:pPr>
        <w:spacing w:after="0" w:line="198" w:lineRule="exact"/>
        <w:rPr>
          <w:rFonts w:ascii="Arial" w:cs="Arial" w:eastAsia="Arial" w:hAnsi="Arial"/>
          <w:sz w:val="18"/>
          <w:szCs w:val="18"/>
          <w:color w:val="auto"/>
        </w:rPr>
      </w:pPr>
    </w:p>
    <w:p>
      <w:pPr>
        <w:ind w:left="1540" w:hanging="511"/>
        <w:spacing w:after="0" w:line="246" w:lineRule="auto"/>
        <w:tabs>
          <w:tab w:leader="none" w:pos="166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97" w:lineRule="exact"/>
        <w:rPr>
          <w:sz w:val="20"/>
          <w:szCs w:val="20"/>
          <w:color w:val="auto"/>
        </w:rPr>
      </w:pPr>
    </w:p>
    <w:p>
      <w:pPr>
        <w:jc w:val="both"/>
        <w:ind w:left="1540" w:hanging="511"/>
        <w:spacing w:after="0"/>
        <w:tabs>
          <w:tab w:leader="none" w:pos="169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to make an accurate comparison between the financial position indicated in those financial statements and the Original Financial Statements.</w:t>
      </w:r>
    </w:p>
    <w:p>
      <w:pPr>
        <w:spacing w:after="0" w:line="203"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Year-end</w:t>
      </w:r>
    </w:p>
    <w:p>
      <w:pPr>
        <w:spacing w:after="0" w:line="234" w:lineRule="exact"/>
        <w:rPr>
          <w:sz w:val="20"/>
          <w:szCs w:val="20"/>
          <w:color w:val="auto"/>
        </w:rPr>
      </w:pPr>
    </w:p>
    <w:p>
      <w:pPr>
        <w:ind w:left="1000" w:hanging="486"/>
        <w:spacing w:after="0"/>
        <w:tabs>
          <w:tab w:leader="none" w:pos="10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Borrowers shall procure that each financial year-end of each Obligor falls on the Accounting Reference Date.</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Borrowers shall procure that each accounting period ends on an accounting date.</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Information: miscellaneous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supply to the Agent (and the Agent shall supply to each Lender):</w:t>
      </w:r>
    </w:p>
    <w:p>
      <w:pPr>
        <w:spacing w:after="0" w:line="212" w:lineRule="exact"/>
        <w:rPr>
          <w:sz w:val="20"/>
          <w:szCs w:val="20"/>
          <w:color w:val="auto"/>
        </w:rPr>
      </w:pPr>
    </w:p>
    <w:p>
      <w:pPr>
        <w:ind w:left="1020" w:right="20" w:hanging="506"/>
        <w:spacing w:after="0" w:line="246" w:lineRule="auto"/>
        <w:tabs>
          <w:tab w:leader="none" w:pos="11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96" w:lineRule="exact"/>
        <w:rPr>
          <w:rFonts w:ascii="Arial" w:cs="Arial" w:eastAsia="Arial" w:hAnsi="Arial"/>
          <w:sz w:val="18"/>
          <w:szCs w:val="18"/>
          <w:color w:val="auto"/>
        </w:rPr>
      </w:pPr>
    </w:p>
    <w:p>
      <w:pPr>
        <w:jc w:val="both"/>
        <w:ind w:left="1020" w:hanging="506"/>
        <w:spacing w:after="0"/>
        <w:tabs>
          <w:tab w:leader="none" w:pos="124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202" w:lineRule="exact"/>
        <w:rPr>
          <w:rFonts w:ascii="Arial" w:cs="Arial" w:eastAsia="Arial" w:hAnsi="Arial"/>
          <w:sz w:val="18"/>
          <w:szCs w:val="18"/>
          <w:color w:val="auto"/>
        </w:rPr>
      </w:pPr>
    </w:p>
    <w:p>
      <w:pPr>
        <w:ind w:left="1020" w:right="20" w:hanging="506"/>
        <w:spacing w:after="0" w:line="246" w:lineRule="auto"/>
        <w:tabs>
          <w:tab w:leader="none" w:pos="116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w:t>
      </w:r>
    </w:p>
    <w:p>
      <w:pPr>
        <w:spacing w:after="0" w:line="196" w:lineRule="exact"/>
        <w:rPr>
          <w:rFonts w:ascii="Arial" w:cs="Arial" w:eastAsia="Arial" w:hAnsi="Arial"/>
          <w:sz w:val="18"/>
          <w:szCs w:val="18"/>
          <w:color w:val="auto"/>
        </w:rPr>
      </w:pPr>
    </w:p>
    <w:p>
      <w:pPr>
        <w:ind w:left="1020" w:right="20" w:hanging="506"/>
        <w:spacing w:after="0" w:line="246" w:lineRule="auto"/>
        <w:tabs>
          <w:tab w:leader="none" w:pos="109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 and</w:t>
      </w:r>
    </w:p>
    <w:p>
      <w:pPr>
        <w:spacing w:after="0" w:line="196" w:lineRule="exact"/>
        <w:rPr>
          <w:rFonts w:ascii="Arial" w:cs="Arial" w:eastAsia="Arial" w:hAnsi="Arial"/>
          <w:sz w:val="18"/>
          <w:szCs w:val="18"/>
          <w:color w:val="auto"/>
        </w:rPr>
      </w:pPr>
    </w:p>
    <w:p>
      <w:pPr>
        <w:ind w:left="1020" w:hanging="506"/>
        <w:spacing w:after="0" w:line="246" w:lineRule="auto"/>
        <w:tabs>
          <w:tab w:leader="none" w:pos="111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 from time to time,</w:t>
      </w:r>
    </w:p>
    <w:p>
      <w:pPr>
        <w:spacing w:after="0" w:line="197"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spacing w:after="0"/>
        <w:tabs>
          <w:tab w:leader="none" w:pos="50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b w:val="1"/>
          <w:bCs w:val="1"/>
          <w:color w:val="auto"/>
        </w:rPr>
        <w:t>Notification of Default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7"/>
          <w:szCs w:val="17"/>
          <w:b w:val="1"/>
          <w:bCs w:val="1"/>
          <w:color w:val="auto"/>
        </w:rPr>
        <w:t>Sufficient copies</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Borrowers, if so requested by the Agent, shall deliver sufficient copies of each document to be supplied under the Finance Documents to the Agent to distribute to each of the Lenders.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7"/>
          <w:szCs w:val="17"/>
          <w:b w:val="1"/>
          <w:bCs w:val="1"/>
          <w:color w:val="auto"/>
        </w:rPr>
        <w:t>Use of websites</w:t>
      </w:r>
    </w:p>
    <w:p>
      <w:pPr>
        <w:spacing w:after="0" w:line="234" w:lineRule="exact"/>
        <w:rPr>
          <w:sz w:val="20"/>
          <w:szCs w:val="20"/>
          <w:color w:val="auto"/>
        </w:rPr>
      </w:pPr>
    </w:p>
    <w:p>
      <w:pPr>
        <w:ind w:left="1020" w:hanging="506"/>
        <w:spacing w:after="0" w:line="246" w:lineRule="auto"/>
        <w:tabs>
          <w:tab w:leader="none" w:pos="108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Borrowers acknowledge and agree that any information under this Agreement may be delivered to a Lender (through the Agent) on to an electronic website (a </w:t>
      </w:r>
      <w:r>
        <w:rPr>
          <w:rFonts w:ascii="Arial" w:cs="Arial" w:eastAsia="Arial" w:hAnsi="Arial"/>
          <w:sz w:val="18"/>
          <w:szCs w:val="18"/>
          <w:b w:val="1"/>
          <w:bCs w:val="1"/>
          <w:color w:val="auto"/>
        </w:rPr>
        <w:t>Website Lender</w:t>
      </w:r>
      <w:r>
        <w:rPr>
          <w:rFonts w:ascii="Arial" w:cs="Arial" w:eastAsia="Arial" w:hAnsi="Arial"/>
          <w:sz w:val="18"/>
          <w:szCs w:val="18"/>
          <w:color w:val="auto"/>
        </w:rPr>
        <w:t>) if:</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Agent and the Lender agree;</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the Agent appoints a website provider and designates an electronic website for this purpose (the </w:t>
      </w:r>
      <w:r>
        <w:rPr>
          <w:rFonts w:ascii="Arial" w:cs="Arial" w:eastAsia="Arial" w:hAnsi="Arial"/>
          <w:sz w:val="18"/>
          <w:szCs w:val="18"/>
          <w:b w:val="1"/>
          <w:bCs w:val="1"/>
          <w:color w:val="auto"/>
        </w:rPr>
        <w:t>Designated Website</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1540" w:hanging="511"/>
        <w:spacing w:after="0"/>
        <w:tabs>
          <w:tab w:leader="none" w:pos="15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designated website is used for communication between the Agent and the Lenders;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Agent notifies the Lenders of the address for the website;</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information can only be posted on the website by the Agent; and</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information posted is in a format agreed between the Borrowers and the Agent.</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cost of the website shall be borne by the Borrowers, subject to such cost being agreed by the Borrowers beforehand.</w:t>
      </w:r>
    </w:p>
    <w:p>
      <w:pPr>
        <w:spacing w:after="0" w:line="211" w:lineRule="exact"/>
        <w:rPr>
          <w:rFonts w:ascii="Arial" w:cs="Arial" w:eastAsia="Arial" w:hAnsi="Arial"/>
          <w:sz w:val="18"/>
          <w:szCs w:val="18"/>
          <w:color w:val="auto"/>
        </w:rPr>
      </w:pPr>
    </w:p>
    <w:p>
      <w:pPr>
        <w:jc w:val="both"/>
        <w:ind w:left="1020" w:hanging="506"/>
        <w:spacing w:after="0"/>
        <w:tabs>
          <w:tab w:leader="none" w:pos="111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Website Lender may request from the Borrowers, through the Agent, one paper copy of any information required to be provided under this Agreement which is posted onto the Designated Website and the Borrowers shall at their own cost comply with any such request within ten Business Days.</w:t>
      </w:r>
    </w:p>
    <w:p>
      <w:pPr>
        <w:spacing w:after="0" w:line="202" w:lineRule="exact"/>
        <w:rPr>
          <w:rFonts w:ascii="Arial" w:cs="Arial" w:eastAsia="Arial" w:hAnsi="Arial"/>
          <w:sz w:val="18"/>
          <w:szCs w:val="18"/>
          <w:color w:val="auto"/>
        </w:rPr>
      </w:pPr>
    </w:p>
    <w:p>
      <w:pPr>
        <w:jc w:val="both"/>
        <w:ind w:left="1020" w:hanging="506"/>
        <w:spacing w:after="0"/>
        <w:tabs>
          <w:tab w:leader="none" w:pos="102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 (the Parties agree that a Designated Website can be used for the purposes of the provision of information required under clause 22.12 (</w:t>
      </w:r>
      <w:r>
        <w:rPr>
          <w:rFonts w:ascii="Arial" w:cs="Arial" w:eastAsia="Arial" w:hAnsi="Arial"/>
          <w:sz w:val="18"/>
          <w:szCs w:val="18"/>
          <w:i w:val="1"/>
          <w:iCs w:val="1"/>
          <w:color w:val="auto"/>
        </w:rPr>
        <w:t>Poseidon Principles</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b w:val="1"/>
          <w:bCs w:val="1"/>
          <w:color w:val="auto"/>
        </w:rPr>
        <w:t>“Know your customer” checks</w:t>
      </w:r>
    </w:p>
    <w:p>
      <w:pPr>
        <w:spacing w:after="0" w:line="234" w:lineRule="exact"/>
        <w:rPr>
          <w:sz w:val="20"/>
          <w:szCs w:val="20"/>
          <w:color w:val="auto"/>
        </w:rPr>
      </w:pPr>
    </w:p>
    <w:p>
      <w:pPr>
        <w:ind w:left="1000" w:hanging="486"/>
        <w:spacing w:after="0"/>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w:t>
      </w:r>
    </w:p>
    <w:p>
      <w:pPr>
        <w:spacing w:after="0" w:line="211" w:lineRule="exact"/>
        <w:rPr>
          <w:rFonts w:ascii="Arial" w:cs="Arial" w:eastAsia="Arial" w:hAnsi="Arial"/>
          <w:sz w:val="18"/>
          <w:szCs w:val="18"/>
          <w:color w:val="auto"/>
        </w:rPr>
      </w:pPr>
    </w:p>
    <w:p>
      <w:pPr>
        <w:ind w:left="1540" w:hanging="511"/>
        <w:spacing w:after="0" w:line="246" w:lineRule="auto"/>
        <w:tabs>
          <w:tab w:leader="none" w:pos="160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96" w:lineRule="exact"/>
        <w:rPr>
          <w:rFonts w:ascii="Arial" w:cs="Arial" w:eastAsia="Arial" w:hAnsi="Arial"/>
          <w:sz w:val="18"/>
          <w:szCs w:val="18"/>
          <w:color w:val="auto"/>
        </w:rPr>
      </w:pPr>
    </w:p>
    <w:p>
      <w:pPr>
        <w:ind w:left="1540" w:hanging="511"/>
        <w:spacing w:after="0" w:line="246" w:lineRule="auto"/>
        <w:tabs>
          <w:tab w:leader="none" w:pos="176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of an Obligor after the date of this Agreement; or</w:t>
      </w:r>
    </w:p>
    <w:p>
      <w:pPr>
        <w:spacing w:after="0" w:line="196" w:lineRule="exact"/>
        <w:rPr>
          <w:rFonts w:ascii="Arial" w:cs="Arial" w:eastAsia="Arial" w:hAnsi="Arial"/>
          <w:sz w:val="18"/>
          <w:szCs w:val="18"/>
          <w:color w:val="auto"/>
        </w:rPr>
      </w:pPr>
    </w:p>
    <w:p>
      <w:pPr>
        <w:ind w:left="1540" w:hanging="511"/>
        <w:spacing w:after="0" w:line="246" w:lineRule="auto"/>
        <w:tabs>
          <w:tab w:leader="none" w:pos="156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proposed assignment by a Lender of any of its rights under this Agreement to a party that is not already a Lender prior to such assignment,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ind w:left="1020"/>
        <w:spacing w:after="0" w:line="234" w:lineRule="auto"/>
        <w:rPr>
          <w:sz w:val="20"/>
          <w:szCs w:val="20"/>
          <w:color w:val="auto"/>
        </w:rPr>
      </w:pPr>
      <w:r>
        <w:rPr>
          <w:rFonts w:ascii="Arial" w:cs="Arial" w:eastAsia="Arial" w:hAnsi="Arial"/>
          <w:sz w:val="18"/>
          <w:szCs w:val="18"/>
          <w:color w:val="auto"/>
        </w:rPr>
        <w:t>obliges the Agent, the Security Agent or any Lender (or, in the case of paragraph 19.9(a)(iii) 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Lender supply, or procure the supply of, such documentation and other evidence as is reasonably requested by the Agent (for itself or on behalf of any Lender or the Security Agent) or any Lender or the Security Agent (for itself or, in the case of the event described in paragraph 19.9(a)</w:t>
      </w:r>
    </w:p>
    <w:p>
      <w:pPr>
        <w:spacing w:after="0" w:line="4"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(iii) above, on behalf of any prospective new Lender or the Security Agent) in order for the Agent, the Security Agent or such Lender or, in the case of the event described in paragraph 19.9(a)(iii)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204" w:lineRule="exact"/>
        <w:rPr>
          <w:sz w:val="20"/>
          <w:szCs w:val="20"/>
          <w:color w:val="auto"/>
        </w:rPr>
      </w:pPr>
    </w:p>
    <w:p>
      <w:pPr>
        <w:jc w:val="both"/>
        <w:ind w:left="1020" w:hanging="506"/>
        <w:spacing w:after="0" w:line="238" w:lineRule="auto"/>
        <w:tabs>
          <w:tab w:leader="none" w:pos="108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Money Laundering</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Borrowers will:</w:t>
      </w:r>
    </w:p>
    <w:p>
      <w:pPr>
        <w:spacing w:after="0" w:line="212" w:lineRule="exact"/>
        <w:rPr>
          <w:sz w:val="20"/>
          <w:szCs w:val="20"/>
          <w:color w:val="auto"/>
        </w:rPr>
      </w:pPr>
    </w:p>
    <w:p>
      <w:pPr>
        <w:jc w:val="both"/>
        <w:ind w:left="1020" w:hanging="506"/>
        <w:spacing w:after="0" w:line="238" w:lineRule="auto"/>
        <w:tabs>
          <w:tab w:leader="none" w:pos="10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throughout the Facility Period; and</w:t>
      </w:r>
    </w:p>
    <w:p>
      <w:pPr>
        <w:spacing w:after="0" w:line="204" w:lineRule="exact"/>
        <w:rPr>
          <w:rFonts w:ascii="Arial" w:cs="Arial" w:eastAsia="Arial" w:hAnsi="Arial"/>
          <w:sz w:val="18"/>
          <w:szCs w:val="18"/>
          <w:color w:val="auto"/>
        </w:rPr>
      </w:pPr>
    </w:p>
    <w:p>
      <w:pPr>
        <w:jc w:val="both"/>
        <w:ind w:left="1020" w:hanging="506"/>
        <w:spacing w:after="0" w:line="238" w:lineRule="auto"/>
        <w:tabs>
          <w:tab w:leader="none" w:pos="102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may or is about to occur or that the person(s) who have or will receive the commercial benefit of this Agreement have changed from the date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19.11 Liquidity</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Obligors shall procure that there are maintained, at all times throughout the Mortgage Period for the relevant Ship, the following minimum cash balances in the Earnings Account of the Owner of that Ship:</w:t>
      </w:r>
    </w:p>
    <w:p>
      <w:pPr>
        <w:spacing w:after="0" w:line="197"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Ship A:</w:t>
        <w:tab/>
        <w:t>a minimum cash balance of no less than $5,500,000;</w:t>
      </w:r>
    </w:p>
    <w:p>
      <w:pPr>
        <w:spacing w:after="0" w:line="212"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Ship B:</w:t>
      </w:r>
      <w:r>
        <w:rPr>
          <w:sz w:val="20"/>
          <w:szCs w:val="20"/>
          <w:color w:val="auto"/>
        </w:rPr>
        <w:tab/>
      </w:r>
      <w:r>
        <w:rPr>
          <w:rFonts w:ascii="Arial" w:cs="Arial" w:eastAsia="Arial" w:hAnsi="Arial"/>
          <w:sz w:val="17"/>
          <w:szCs w:val="17"/>
          <w:color w:val="auto"/>
        </w:rPr>
        <w:t>a minimum cash balance of no less than $1,500,000; and</w:t>
      </w:r>
    </w:p>
    <w:p>
      <w:pPr>
        <w:spacing w:after="0" w:line="21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Ship C:</w:t>
      </w:r>
      <w:r>
        <w:rPr>
          <w:sz w:val="20"/>
          <w:szCs w:val="20"/>
          <w:color w:val="auto"/>
        </w:rPr>
        <w:tab/>
      </w:r>
      <w:r>
        <w:rPr>
          <w:rFonts w:ascii="Arial" w:cs="Arial" w:eastAsia="Arial" w:hAnsi="Arial"/>
          <w:sz w:val="17"/>
          <w:szCs w:val="17"/>
          <w:color w:val="auto"/>
        </w:rPr>
        <w:t>a minimum cash balance of no less than $1,500,000.</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20  Financial covenants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20 will be complied with throughout the Facility Period.</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Financial definitions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clauses 20.1 (</w:t>
      </w:r>
      <w:r>
        <w:rPr>
          <w:rFonts w:ascii="Arial" w:cs="Arial" w:eastAsia="Arial" w:hAnsi="Arial"/>
          <w:sz w:val="18"/>
          <w:szCs w:val="18"/>
          <w:i w:val="1"/>
          <w:iCs w:val="1"/>
          <w:color w:val="auto"/>
        </w:rPr>
        <w:t>Financial definitions</w:t>
      </w:r>
      <w:r>
        <w:rPr>
          <w:rFonts w:ascii="Arial" w:cs="Arial" w:eastAsia="Arial" w:hAnsi="Arial"/>
          <w:sz w:val="18"/>
          <w:szCs w:val="18"/>
          <w:color w:val="auto"/>
        </w:rPr>
        <w:t>), 20.2 (</w:t>
      </w:r>
      <w:r>
        <w:rPr>
          <w:rFonts w:ascii="Arial" w:cs="Arial" w:eastAsia="Arial" w:hAnsi="Arial"/>
          <w:sz w:val="18"/>
          <w:szCs w:val="18"/>
          <w:i w:val="1"/>
          <w:iCs w:val="1"/>
          <w:color w:val="auto"/>
        </w:rPr>
        <w:t>Financial condition</w:t>
      </w:r>
      <w:r>
        <w:rPr>
          <w:rFonts w:ascii="Arial" w:cs="Arial" w:eastAsia="Arial" w:hAnsi="Arial"/>
          <w:sz w:val="18"/>
          <w:szCs w:val="18"/>
          <w:color w:val="auto"/>
        </w:rPr>
        <w:t>) and 20.3 (</w:t>
      </w:r>
      <w:r>
        <w:rPr>
          <w:rFonts w:ascii="Arial" w:cs="Arial" w:eastAsia="Arial" w:hAnsi="Arial"/>
          <w:sz w:val="18"/>
          <w:szCs w:val="18"/>
          <w:i w:val="1"/>
          <w:iCs w:val="1"/>
          <w:color w:val="auto"/>
        </w:rPr>
        <w:t>Financial testing</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9" w:name="page70"/>
    <w:bookmarkEnd w:id="69"/>
    <w:p>
      <w:pPr>
        <w:jc w:val="both"/>
        <w:ind w:left="520"/>
        <w:spacing w:after="0" w:line="24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means (a) cash and cash equivalents and (b) short term investments as set forth in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the Group, which are readily convertible into known amounts of cash and with original maturities of six (6) months or less, but excluding, for the avoidance of doubt, in each case cash and other amounts set forth as “restricted cash” in the Financial Statements of the Group.</w:t>
      </w:r>
    </w:p>
    <w:p>
      <w:pPr>
        <w:spacing w:after="0" w:line="174"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means any of the Annual Financial Statements and the Semi-Annual Financial Statements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Free Liquidity </w:t>
      </w:r>
      <w:r>
        <w:rPr>
          <w:rFonts w:ascii="Arial" w:cs="Arial" w:eastAsia="Arial" w:hAnsi="Arial"/>
          <w:sz w:val="18"/>
          <w:szCs w:val="18"/>
          <w:color w:val="auto"/>
        </w:rPr>
        <w:t>means the aggregate of:</w:t>
      </w:r>
    </w:p>
    <w:p>
      <w:pPr>
        <w:spacing w:after="0" w:line="234" w:lineRule="exact"/>
        <w:rPr>
          <w:sz w:val="20"/>
          <w:szCs w:val="20"/>
          <w:color w:val="auto"/>
        </w:rPr>
      </w:pPr>
    </w:p>
    <w:p>
      <w:pPr>
        <w:ind w:left="1000" w:hanging="486"/>
        <w:spacing w:after="0"/>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Cash and Cash Equivalents; and</w:t>
      </w:r>
    </w:p>
    <w:p>
      <w:pPr>
        <w:spacing w:after="0" w:line="211" w:lineRule="exact"/>
        <w:rPr>
          <w:rFonts w:ascii="Arial" w:cs="Arial" w:eastAsia="Arial" w:hAnsi="Arial"/>
          <w:sz w:val="18"/>
          <w:szCs w:val="18"/>
          <w:color w:val="auto"/>
        </w:rPr>
      </w:pPr>
    </w:p>
    <w:p>
      <w:pPr>
        <w:jc w:val="both"/>
        <w:ind w:left="1020" w:hanging="506"/>
        <w:spacing w:after="0" w:line="237" w:lineRule="auto"/>
        <w:tabs>
          <w:tab w:leader="none" w:pos="10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amounts immediately available to the Group for drawing under committed revolving credit facilities, or other credit facilities for working capital purposes of the Group, in each case with remaining maturities of no less than (6) six months and made available by financial institutions (which, for avoidance of doubt, shall not include lines of credit provided by Affiliates of the Obligors) (provided that the relevant borrowing entity would meet the conditions precedent to which any such drawing is subject under the relevant credit facility and such drawing would not result in an event of default (as such term is defined therein) occurring under any other credit facility of the Group); and</w:t>
      </w:r>
    </w:p>
    <w:p>
      <w:pPr>
        <w:spacing w:after="0" w:line="204" w:lineRule="exact"/>
        <w:rPr>
          <w:rFonts w:ascii="Arial" w:cs="Arial" w:eastAsia="Arial" w:hAnsi="Arial"/>
          <w:sz w:val="18"/>
          <w:szCs w:val="18"/>
          <w:color w:val="auto"/>
        </w:rPr>
      </w:pPr>
    </w:p>
    <w:p>
      <w:pPr>
        <w:ind w:left="1020" w:right="20" w:hanging="506"/>
        <w:spacing w:after="0" w:line="246" w:lineRule="auto"/>
        <w:tabs>
          <w:tab w:leader="none" w:pos="10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provided there is no Event of Default that is continuing, minimum cash balances standing to the credit of the Earnings Account as provided in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Maximum Leverage </w:t>
      </w:r>
      <w:r>
        <w:rPr>
          <w:rFonts w:ascii="Arial" w:cs="Arial" w:eastAsia="Arial" w:hAnsi="Arial"/>
          <w:sz w:val="18"/>
          <w:szCs w:val="18"/>
          <w:color w:val="auto"/>
        </w:rPr>
        <w:t>means, at any time, the figure calculated using the following formula:</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Total Indebtedness</w:t>
      </w:r>
    </w:p>
    <w:p>
      <w:pPr>
        <w:ind w:left="2020"/>
        <w:spacing w:after="0" w:line="186" w:lineRule="auto"/>
        <w:rPr>
          <w:sz w:val="20"/>
          <w:szCs w:val="20"/>
          <w:color w:val="auto"/>
        </w:rPr>
      </w:pPr>
      <w:r>
        <w:rPr>
          <w:rFonts w:ascii="Arial" w:cs="Arial" w:eastAsia="Arial" w:hAnsi="Arial"/>
          <w:sz w:val="12"/>
          <w:szCs w:val="12"/>
          <w:b w:val="1"/>
          <w:bCs w:val="1"/>
          <w:color w:val="auto"/>
        </w:rPr>
        <w:t>Maximum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-24130</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b w:val="1"/>
          <w:bCs w:val="1"/>
          <w:color w:val="auto"/>
        </w:rPr>
        <w:t>Total Assets</w:t>
      </w:r>
    </w:p>
    <w:p>
      <w:pPr>
        <w:spacing w:after="0" w:line="217"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means, at any time, the amount of total assets of the Group on a consolidated basis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GAAP and shown in the then most recent Financial Statements and calculated in the same manner as shown in the Original Financial Statements of the Group.</w:t>
      </w:r>
    </w:p>
    <w:p>
      <w:pPr>
        <w:spacing w:after="0" w:line="169"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Total Indebtedness </w:t>
      </w:r>
      <w:r>
        <w:rPr>
          <w:rFonts w:ascii="Arial" w:cs="Arial" w:eastAsia="Arial" w:hAnsi="Arial"/>
          <w:sz w:val="18"/>
          <w:szCs w:val="18"/>
          <w:color w:val="auto"/>
        </w:rPr>
        <w:t>means, at any time, the aggregate Financial Indebtedness (on a consolidated basis) of the Group as shown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then most recent Financial Statements.</w:t>
      </w:r>
    </w:p>
    <w:p>
      <w:pPr>
        <w:spacing w:after="0" w:line="15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Financial condition</w:t>
      </w:r>
    </w:p>
    <w:p>
      <w:pPr>
        <w:spacing w:after="0" w:line="212" w:lineRule="exact"/>
        <w:rPr>
          <w:sz w:val="20"/>
          <w:szCs w:val="20"/>
          <w:color w:val="auto"/>
        </w:rPr>
      </w:pPr>
    </w:p>
    <w:p>
      <w:pPr>
        <w:ind w:left="1000" w:hanging="486"/>
        <w:spacing w:after="0"/>
        <w:tabs>
          <w:tab w:leader="none" w:pos="10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Leverage</w:t>
      </w:r>
      <w:r>
        <w:rPr>
          <w:rFonts w:ascii="Arial" w:cs="Arial" w:eastAsia="Arial" w:hAnsi="Arial"/>
          <w:sz w:val="18"/>
          <w:szCs w:val="18"/>
          <w:color w:val="auto"/>
        </w:rPr>
        <w:t>: Maximum Leverage shall be less than 65%; and</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Free Liquidity</w:t>
      </w:r>
      <w:r>
        <w:rPr>
          <w:rFonts w:ascii="Arial" w:cs="Arial" w:eastAsia="Arial" w:hAnsi="Arial"/>
          <w:sz w:val="18"/>
          <w:szCs w:val="18"/>
          <w:color w:val="auto"/>
        </w:rPr>
        <w:t>: Free Liquidity shall be at least $45,000,000.</w:t>
      </w: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Financial testing</w:t>
      </w:r>
    </w:p>
    <w:p>
      <w:pPr>
        <w:spacing w:after="0" w:line="216"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Group, by reference to the same and to each Compliance Certificate delivered pursuant to clause 19.2 (</w:t>
      </w:r>
      <w:r>
        <w:rPr>
          <w:rFonts w:ascii="Arial" w:cs="Arial" w:eastAsia="Arial" w:hAnsi="Arial"/>
          <w:sz w:val="18"/>
          <w:szCs w:val="18"/>
          <w:i w:val="1"/>
          <w:iCs w:val="1"/>
          <w:color w:val="auto"/>
        </w:rPr>
        <w:t>Provision and contents of Compliance Certificate and</w:t>
      </w:r>
      <w:r>
        <w:rPr>
          <w:rFonts w:ascii="Arial" w:cs="Arial" w:eastAsia="Arial" w:hAnsi="Arial"/>
          <w:sz w:val="18"/>
          <w:szCs w:val="18"/>
          <w:color w:val="auto"/>
        </w:rPr>
        <w:t xml:space="preserve"> </w:t>
      </w:r>
      <w:r>
        <w:rPr>
          <w:rFonts w:ascii="Arial" w:cs="Arial" w:eastAsia="Arial" w:hAnsi="Arial"/>
          <w:sz w:val="18"/>
          <w:szCs w:val="18"/>
          <w:i w:val="1"/>
          <w:iCs w:val="1"/>
          <w:color w:val="auto"/>
        </w:rPr>
        <w:t>valuations</w:t>
      </w:r>
      <w:r>
        <w:rPr>
          <w:rFonts w:ascii="Arial" w:cs="Arial" w:eastAsia="Arial" w:hAnsi="Arial"/>
          <w:sz w:val="18"/>
          <w:szCs w:val="18"/>
          <w:color w:val="auto"/>
        </w:rPr>
        <w:t>) together with such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ind w:left="100"/>
        <w:spacing w:after="0"/>
        <w:rPr>
          <w:sz w:val="20"/>
          <w:szCs w:val="20"/>
          <w:color w:val="auto"/>
        </w:rPr>
      </w:pPr>
      <w:r>
        <w:rPr>
          <w:rFonts w:ascii="Arial" w:cs="Arial" w:eastAsia="Arial" w:hAnsi="Arial"/>
          <w:sz w:val="22"/>
          <w:szCs w:val="22"/>
          <w:b w:val="1"/>
          <w:bCs w:val="1"/>
          <w:color w:val="auto"/>
        </w:rPr>
        <w:t>21  General undertakings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Obligor undertakes with each Finance Party that this clause 21 will be complied with throughout the Facility Period.</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Use of proceeds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Authorisations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212" w:lineRule="exact"/>
        <w:rPr>
          <w:sz w:val="20"/>
          <w:szCs w:val="20"/>
          <w:color w:val="auto"/>
        </w:rPr>
      </w:pPr>
    </w:p>
    <w:p>
      <w:pPr>
        <w:ind w:left="1000" w:hanging="486"/>
        <w:spacing w:after="0"/>
        <w:tabs>
          <w:tab w:leader="none" w:pos="10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212" w:lineRule="exact"/>
        <w:rPr>
          <w:sz w:val="20"/>
          <w:szCs w:val="20"/>
          <w:color w:val="auto"/>
        </w:rPr>
      </w:pPr>
    </w:p>
    <w:p>
      <w:pPr>
        <w:ind w:left="1540" w:hanging="511"/>
        <w:spacing w:after="0"/>
        <w:tabs>
          <w:tab w:leader="none" w:pos="1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and</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Compliance with laws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 and each Manager (other than the Shell Technical Manager) will comply in all respects with all laws and regulations (including Environmental Laws) to which it may be subject where failure to do so has, or might reasonably be expected to have, a Material Adverse Effect.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Tax Compliance</w:t>
      </w:r>
    </w:p>
    <w:p>
      <w:pPr>
        <w:spacing w:after="0" w:line="234" w:lineRule="exact"/>
        <w:rPr>
          <w:sz w:val="20"/>
          <w:szCs w:val="20"/>
          <w:color w:val="auto"/>
        </w:rPr>
      </w:pPr>
    </w:p>
    <w:p>
      <w:pPr>
        <w:ind w:left="1020" w:hanging="506"/>
        <w:spacing w:after="0" w:line="246" w:lineRule="auto"/>
        <w:tabs>
          <w:tab w:leader="none" w:pos="102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Obligor and each Manager (other than the Shell Technical Manager) shall pay and discharge all Taxes imposed upon it or its assets within such time period as may be allowed by law without incurring penalties unless and only to the extent that:</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11" w:lineRule="exact"/>
        <w:rPr>
          <w:rFonts w:ascii="Arial" w:cs="Arial" w:eastAsia="Arial" w:hAnsi="Arial"/>
          <w:sz w:val="18"/>
          <w:szCs w:val="18"/>
          <w:color w:val="auto"/>
        </w:rPr>
      </w:pPr>
    </w:p>
    <w:p>
      <w:pPr>
        <w:ind w:left="1540" w:hanging="511"/>
        <w:spacing w:after="0" w:line="246" w:lineRule="auto"/>
        <w:tabs>
          <w:tab w:leader="none" w:pos="175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11" w:lineRule="exact"/>
        <w:rPr>
          <w:rFonts w:ascii="Arial" w:cs="Arial" w:eastAsia="Arial" w:hAnsi="Arial"/>
          <w:sz w:val="18"/>
          <w:szCs w:val="18"/>
          <w:color w:val="auto"/>
        </w:rPr>
      </w:pPr>
    </w:p>
    <w:p>
      <w:pPr>
        <w:ind w:left="1020" w:hanging="506"/>
        <w:spacing w:after="0" w:line="246" w:lineRule="auto"/>
        <w:tabs>
          <w:tab w:leader="none" w:pos="111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Change of business</w:t>
      </w:r>
    </w:p>
    <w:p>
      <w:pPr>
        <w:spacing w:after="0" w:line="234" w:lineRule="exact"/>
        <w:rPr>
          <w:sz w:val="20"/>
          <w:szCs w:val="20"/>
          <w:color w:val="auto"/>
        </w:rPr>
      </w:pPr>
    </w:p>
    <w:p>
      <w:pPr>
        <w:jc w:val="both"/>
        <w:ind w:left="500"/>
        <w:spacing w:after="0"/>
        <w:rPr>
          <w:sz w:val="20"/>
          <w:szCs w:val="20"/>
          <w:color w:val="auto"/>
        </w:rPr>
      </w:pPr>
      <w:r>
        <w:rPr>
          <w:rFonts w:ascii="Arial" w:cs="Arial" w:eastAsia="Arial" w:hAnsi="Arial"/>
          <w:sz w:val="18"/>
          <w:szCs w:val="18"/>
          <w:color w:val="auto"/>
        </w:rPr>
        <w:t>Except as approved by the Majority Lenders, or otherwise permitted by the terms of this Agreement, no material change will be made to the general nature of the business of any of the Obligors or the Group taken as a whole from that carried on at the date of this Agreement, save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1" w:name="page72"/>
    <w:bookmarkEnd w:id="71"/>
    <w:p>
      <w:pPr>
        <w:jc w:val="both"/>
        <w:ind w:left="500"/>
        <w:spacing w:after="0" w:line="246" w:lineRule="auto"/>
        <w:rPr>
          <w:sz w:val="20"/>
          <w:szCs w:val="20"/>
          <w:color w:val="auto"/>
        </w:rPr>
      </w:pPr>
      <w:r>
        <w:rPr>
          <w:rFonts w:ascii="Arial" w:cs="Arial" w:eastAsia="Arial" w:hAnsi="Arial"/>
          <w:sz w:val="18"/>
          <w:szCs w:val="18"/>
          <w:color w:val="auto"/>
        </w:rPr>
        <w:t>that any activities involving or undertaken whatsoever within the maritime sector by any Group Member will not be considered a change in the general nature of the business of any of the Obligors or the Group taken as a whole.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Merger and corporate reconstruction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as approved by the Majority Lenders, no Obligor, will enter into any amalgamation, demerger, merger, consolidation, redomiciliation, legal migration or corporate reconstruction (other than an amalgamation, merger or consolidation of a Guarantor where such Guarantor is the surviving entity of the same).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b w:val="1"/>
          <w:bCs w:val="1"/>
          <w:color w:val="auto"/>
        </w:rPr>
        <w:t>Further assurance</w:t>
      </w:r>
    </w:p>
    <w:p>
      <w:pPr>
        <w:spacing w:after="0" w:line="234" w:lineRule="exact"/>
        <w:rPr>
          <w:sz w:val="20"/>
          <w:szCs w:val="20"/>
          <w:color w:val="auto"/>
        </w:rPr>
      </w:pPr>
    </w:p>
    <w:p>
      <w:pPr>
        <w:jc w:val="both"/>
        <w:ind w:left="1020" w:hanging="506"/>
        <w:spacing w:after="0" w:line="238" w:lineRule="auto"/>
        <w:tabs>
          <w:tab w:leader="none" w:pos="117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Obligor shall promptly do all such acts or execute all such documents (including assignments, transfers, mortgages, charges, notices and instructions) as the Agent may reasonably specify (and in such form as the Agent may reasonably require acting on the instructions of the Majority Lenders) in favour of the Security Agent or its nominee(s) as provided under each Finance Document, as applicable:</w:t>
      </w:r>
    </w:p>
    <w:p>
      <w:pPr>
        <w:spacing w:after="0" w:line="204" w:lineRule="exact"/>
        <w:rPr>
          <w:rFonts w:ascii="Arial" w:cs="Arial" w:eastAsia="Arial" w:hAnsi="Arial"/>
          <w:sz w:val="18"/>
          <w:szCs w:val="18"/>
          <w:color w:val="auto"/>
        </w:rPr>
      </w:pPr>
    </w:p>
    <w:p>
      <w:pPr>
        <w:jc w:val="both"/>
        <w:ind w:left="1540" w:hanging="511"/>
        <w:spacing w:after="0" w:line="238" w:lineRule="auto"/>
        <w:tabs>
          <w:tab w:leader="none" w:pos="168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202" w:lineRule="exact"/>
        <w:rPr>
          <w:rFonts w:ascii="Arial" w:cs="Arial" w:eastAsia="Arial" w:hAnsi="Arial"/>
          <w:sz w:val="18"/>
          <w:szCs w:val="18"/>
          <w:color w:val="auto"/>
        </w:rPr>
      </w:pPr>
    </w:p>
    <w:p>
      <w:pPr>
        <w:jc w:val="both"/>
        <w:ind w:left="1540" w:hanging="511"/>
        <w:spacing w:after="0"/>
        <w:tabs>
          <w:tab w:leader="none" w:pos="163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211" w:lineRule="exact"/>
        <w:rPr>
          <w:rFonts w:ascii="Arial" w:cs="Arial" w:eastAsia="Arial" w:hAnsi="Arial"/>
          <w:sz w:val="18"/>
          <w:szCs w:val="18"/>
          <w:color w:val="auto"/>
        </w:rPr>
      </w:pPr>
    </w:p>
    <w:p>
      <w:pPr>
        <w:ind w:left="1540" w:hanging="511"/>
        <w:spacing w:after="0" w:line="246" w:lineRule="auto"/>
        <w:tabs>
          <w:tab w:leader="none" w:pos="165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30.1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1020" w:hanging="506"/>
        <w:spacing w:after="0" w:line="238" w:lineRule="auto"/>
        <w:tabs>
          <w:tab w:leader="none" w:pos="100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Negative pledge in respect of Charged Property or Borrower’s shares</w:t>
      </w:r>
    </w:p>
    <w:p>
      <w:pPr>
        <w:spacing w:after="0" w:line="234" w:lineRule="exact"/>
        <w:rPr>
          <w:sz w:val="20"/>
          <w:szCs w:val="20"/>
          <w:color w:val="auto"/>
        </w:rPr>
      </w:pPr>
    </w:p>
    <w:p>
      <w:pPr>
        <w:ind w:left="1000" w:hanging="486"/>
        <w:spacing w:after="0"/>
        <w:tabs>
          <w:tab w:leader="none" w:pos="10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211" w:lineRule="exact"/>
        <w:rPr>
          <w:rFonts w:ascii="Arial" w:cs="Arial" w:eastAsia="Arial" w:hAnsi="Arial"/>
          <w:sz w:val="18"/>
          <w:szCs w:val="18"/>
          <w:color w:val="auto"/>
        </w:rPr>
      </w:pPr>
    </w:p>
    <w:p>
      <w:pPr>
        <w:jc w:val="both"/>
        <w:ind w:left="1020" w:hanging="506"/>
        <w:spacing w:after="0" w:line="238" w:lineRule="auto"/>
        <w:tabs>
          <w:tab w:leader="none" w:pos="108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Except under the Share Security in respect of each Borrower, no Obligor will grant or allow to exist any Security Interest over any of the shares in any of the Borrowers or over any of the rights deriving from or related to such shares (other than to the extent such Security Interest already exists and shall continue to exist in connection with the Existing Indebtedness up to the Utilisation Date when it shall be released and replaced with the relevant new Share Security).</w:t>
      </w:r>
    </w:p>
    <w:p>
      <w:pPr>
        <w:spacing w:after="0" w:line="204" w:lineRule="exact"/>
        <w:rPr>
          <w:rFonts w:ascii="Arial" w:cs="Arial" w:eastAsia="Arial" w:hAnsi="Arial"/>
          <w:sz w:val="18"/>
          <w:szCs w:val="18"/>
          <w:color w:val="auto"/>
        </w:rPr>
      </w:pPr>
    </w:p>
    <w:p>
      <w:pPr>
        <w:ind w:left="1020" w:hanging="506"/>
        <w:spacing w:after="0" w:line="246" w:lineRule="auto"/>
        <w:tabs>
          <w:tab w:leader="none" w:pos="108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tabs>
          <w:tab w:leader="none" w:pos="5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Environmental matters</w:t>
      </w:r>
    </w:p>
    <w:p>
      <w:pPr>
        <w:spacing w:after="0" w:line="234" w:lineRule="exact"/>
        <w:rPr>
          <w:sz w:val="20"/>
          <w:szCs w:val="20"/>
          <w:color w:val="auto"/>
        </w:rPr>
      </w:pPr>
    </w:p>
    <w:p>
      <w:pPr>
        <w:jc w:val="both"/>
        <w:ind w:left="1020" w:hanging="506"/>
        <w:spacing w:after="0" w:line="238" w:lineRule="auto"/>
        <w:tabs>
          <w:tab w:leader="none" w:pos="101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Obligors will notify the Agent as soon as reasonably practicable of any Environmental Claim being made against any Group Member or any Fleet Vessel or the owner of any Fleet Vessel or any Manager (other than the Shell Technical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202" w:lineRule="exact"/>
        <w:rPr>
          <w:rFonts w:ascii="Arial" w:cs="Arial" w:eastAsia="Arial" w:hAnsi="Arial"/>
          <w:sz w:val="18"/>
          <w:szCs w:val="18"/>
          <w:color w:val="auto"/>
        </w:rPr>
      </w:pPr>
    </w:p>
    <w:p>
      <w:pPr>
        <w:ind w:left="1020" w:hanging="506"/>
        <w:spacing w:after="0" w:line="246" w:lineRule="auto"/>
        <w:tabs>
          <w:tab w:leader="none" w:pos="101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96" w:lineRule="exact"/>
        <w:rPr>
          <w:rFonts w:ascii="Arial" w:cs="Arial" w:eastAsia="Arial" w:hAnsi="Arial"/>
          <w:sz w:val="18"/>
          <w:szCs w:val="18"/>
          <w:color w:val="auto"/>
        </w:rPr>
      </w:pPr>
    </w:p>
    <w:p>
      <w:pPr>
        <w:jc w:val="both"/>
        <w:ind w:left="1020" w:hanging="506"/>
        <w:spacing w:after="0" w:line="238" w:lineRule="auto"/>
        <w:tabs>
          <w:tab w:leader="none" w:pos="100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Obligors shall ensure that each Ship or any other vessel owned or controlled by a Group Member or sold to an intermediary with an intention that such vessel will be scrapped, is recycled at a recycling yard in a socially and environmentally responsible manner in accordance with the Hong Kong International Convention for the Safe and Environmentally Sound Recycling of Ships, 2009 (whether or not it is in force) and/or EU Ship Recycling Regulation, 2013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Pari Passu</w:t>
      </w:r>
    </w:p>
    <w:p>
      <w:pPr>
        <w:spacing w:after="0" w:line="234" w:lineRule="exact"/>
        <w:rPr>
          <w:sz w:val="20"/>
          <w:szCs w:val="20"/>
          <w:color w:val="auto"/>
        </w:rPr>
      </w:pPr>
    </w:p>
    <w:p>
      <w:pPr>
        <w:jc w:val="both"/>
        <w:ind w:left="500"/>
        <w:spacing w:after="0" w:line="234" w:lineRule="auto"/>
        <w:rPr>
          <w:sz w:val="20"/>
          <w:szCs w:val="20"/>
          <w:color w:val="auto"/>
        </w:rPr>
      </w:pPr>
      <w:r>
        <w:rPr>
          <w:rFonts w:ascii="Arial" w:cs="Arial" w:eastAsia="Arial" w:hAnsi="Arial"/>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w:t>
      </w:r>
    </w:p>
    <w:p>
      <w:pPr>
        <w:spacing w:after="0" w:line="2" w:lineRule="exact"/>
        <w:rPr>
          <w:sz w:val="20"/>
          <w:szCs w:val="20"/>
          <w:color w:val="auto"/>
        </w:rPr>
      </w:pPr>
    </w:p>
    <w:p>
      <w:pPr>
        <w:ind w:left="500" w:firstLine="8"/>
        <w:spacing w:after="0" w:line="246" w:lineRule="auto"/>
        <w:tabs>
          <w:tab w:leader="none" w:pos="78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Sanctions</w:t>
      </w:r>
    </w:p>
    <w:p>
      <w:pPr>
        <w:spacing w:after="0" w:line="234" w:lineRule="exact"/>
        <w:rPr>
          <w:sz w:val="20"/>
          <w:szCs w:val="20"/>
          <w:color w:val="auto"/>
        </w:rPr>
      </w:pPr>
    </w:p>
    <w:p>
      <w:pPr>
        <w:jc w:val="both"/>
        <w:ind w:left="1020" w:hanging="506"/>
        <w:spacing w:after="0"/>
        <w:tabs>
          <w:tab w:leader="none" w:pos="101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 available to, or for the benefit of, a Prohibited Person or permit or authorise any such proceeds to be applied in a manner or for a purpose prohibited by Sanctions or which would put any Finance Party in breach of any Sanctions.</w:t>
      </w:r>
    </w:p>
    <w:p>
      <w:pPr>
        <w:spacing w:after="0" w:line="202" w:lineRule="exact"/>
        <w:rPr>
          <w:rFonts w:ascii="Arial" w:cs="Arial" w:eastAsia="Arial" w:hAnsi="Arial"/>
          <w:sz w:val="18"/>
          <w:szCs w:val="18"/>
          <w:color w:val="auto"/>
        </w:rPr>
      </w:pPr>
    </w:p>
    <w:p>
      <w:pPr>
        <w:ind w:left="1000" w:hanging="486"/>
        <w:spacing w:after="0"/>
        <w:tabs>
          <w:tab w:leader="none" w:pos="10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nor any of the Group Members will:</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211" w:lineRule="exact"/>
        <w:rPr>
          <w:rFonts w:ascii="Arial" w:cs="Arial" w:eastAsia="Arial" w:hAnsi="Arial"/>
          <w:sz w:val="18"/>
          <w:szCs w:val="18"/>
          <w:color w:val="auto"/>
        </w:rPr>
      </w:pPr>
    </w:p>
    <w:p>
      <w:pPr>
        <w:ind w:left="1540" w:hanging="511"/>
        <w:spacing w:after="0" w:line="246" w:lineRule="auto"/>
        <w:tabs>
          <w:tab w:leader="none" w:pos="173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96" w:lineRule="exact"/>
        <w:rPr>
          <w:rFonts w:ascii="Arial" w:cs="Arial" w:eastAsia="Arial" w:hAnsi="Arial"/>
          <w:sz w:val="18"/>
          <w:szCs w:val="18"/>
          <w:color w:val="auto"/>
        </w:rPr>
      </w:pPr>
    </w:p>
    <w:p>
      <w:pPr>
        <w:jc w:val="both"/>
        <w:ind w:left="1540" w:hanging="511"/>
        <w:spacing w:after="0" w:line="238" w:lineRule="auto"/>
        <w:tabs>
          <w:tab w:leader="none" w:pos="160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204" w:lineRule="exact"/>
        <w:rPr>
          <w:rFonts w:ascii="Arial" w:cs="Arial" w:eastAsia="Arial" w:hAnsi="Arial"/>
          <w:sz w:val="18"/>
          <w:szCs w:val="18"/>
          <w:color w:val="auto"/>
        </w:rPr>
      </w:pPr>
    </w:p>
    <w:p>
      <w:pPr>
        <w:ind w:left="1540" w:hanging="511"/>
        <w:spacing w:after="0"/>
        <w:tabs>
          <w:tab w:leader="none" w:pos="15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211" w:lineRule="exact"/>
        <w:rPr>
          <w:rFonts w:ascii="Arial" w:cs="Arial" w:eastAsia="Arial" w:hAnsi="Arial"/>
          <w:sz w:val="18"/>
          <w:szCs w:val="18"/>
          <w:color w:val="auto"/>
        </w:rPr>
      </w:pPr>
    </w:p>
    <w:p>
      <w:pPr>
        <w:ind w:left="1000" w:hanging="486"/>
        <w:spacing w:after="0"/>
        <w:tabs>
          <w:tab w:leader="none" w:pos="10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Borrowers will prevent any Mortgaged Ship from being used, directly or indirectly:</w:t>
      </w:r>
    </w:p>
    <w:p>
      <w:pPr>
        <w:spacing w:after="0" w:line="211" w:lineRule="exact"/>
        <w:rPr>
          <w:rFonts w:ascii="Arial" w:cs="Arial" w:eastAsia="Arial" w:hAnsi="Arial"/>
          <w:sz w:val="18"/>
          <w:szCs w:val="18"/>
          <w:color w:val="auto"/>
        </w:rPr>
      </w:pPr>
    </w:p>
    <w:p>
      <w:pPr>
        <w:ind w:left="1540" w:hanging="511"/>
        <w:spacing w:after="0" w:line="246" w:lineRule="auto"/>
        <w:tabs>
          <w:tab w:leader="none" w:pos="165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ind w:right="-65"/>
        <w:spacing w:after="0"/>
        <w:rPr>
          <w:sz w:val="20"/>
          <w:szCs w:val="20"/>
          <w:color w:val="auto"/>
        </w:rPr>
      </w:pPr>
      <w:r>
        <w:rPr>
          <w:rFonts w:ascii="Arial" w:cs="Arial" w:eastAsia="Arial" w:hAnsi="Arial"/>
          <w:sz w:val="18"/>
          <w:szCs w:val="18"/>
          <w:color w:val="auto"/>
        </w:rPr>
        <w:t>otherwise provided directly or indirectly to any Prohibited Person) if such use would be in breach of Sanctions;</w:t>
      </w:r>
    </w:p>
    <w:p>
      <w:pPr>
        <w:spacing w:after="0" w:line="212" w:lineRule="exact"/>
        <w:rPr>
          <w:sz w:val="20"/>
          <w:szCs w:val="20"/>
          <w:color w:val="auto"/>
        </w:rPr>
      </w:pPr>
    </w:p>
    <w:p>
      <w:pPr>
        <w:ind w:left="1026" w:right="20" w:hanging="511"/>
        <w:spacing w:after="0" w:line="246" w:lineRule="auto"/>
        <w:tabs>
          <w:tab w:leader="none" w:pos="102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96" w:lineRule="exact"/>
        <w:rPr>
          <w:rFonts w:ascii="Arial" w:cs="Arial" w:eastAsia="Arial" w:hAnsi="Arial"/>
          <w:sz w:val="18"/>
          <w:szCs w:val="18"/>
          <w:color w:val="auto"/>
        </w:rPr>
      </w:pPr>
    </w:p>
    <w:p>
      <w:pPr>
        <w:ind w:left="1026" w:hanging="511"/>
        <w:spacing w:after="0" w:line="246" w:lineRule="auto"/>
        <w:tabs>
          <w:tab w:leader="none" w:pos="105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in any transport of any goods that are prohibited to be sold, supplied, transferred, purchased, exported or imported under any Sanctions.</w:t>
      </w:r>
    </w:p>
    <w:p>
      <w:pPr>
        <w:spacing w:after="0" w:line="196" w:lineRule="exact"/>
        <w:rPr>
          <w:rFonts w:ascii="Arial" w:cs="Arial" w:eastAsia="Arial" w:hAnsi="Arial"/>
          <w:sz w:val="18"/>
          <w:szCs w:val="18"/>
          <w:color w:val="auto"/>
        </w:rPr>
      </w:pPr>
    </w:p>
    <w:p>
      <w:pPr>
        <w:jc w:val="both"/>
        <w:ind w:left="506" w:hanging="506"/>
        <w:spacing w:after="0" w:line="237" w:lineRule="auto"/>
        <w:tabs>
          <w:tab w:leader="none" w:pos="65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Without prejudice to the rights of the Finance Parties under any other provisions of this Agreement and the other Finance Documents, if an Owner finds out that its Ship, without its knowledge, has been sold, chartered, conferred, leased or otherwise provided directly or indirectly to any Prohibited Person in breach of Sanctions, it shall terminate as soon as possible and in any case within 30 days after the day it finds out that any of the events described in this clause has occurred the relationship with the Prohibited Person under the premise that the Finance Parties may commit a breach of law by this behaviour. In this case the Borrowers will also inform the Finance Parties immediately upon becoming so aware.</w:t>
      </w:r>
    </w:p>
    <w:p>
      <w:pPr>
        <w:spacing w:after="0" w:line="204" w:lineRule="exact"/>
        <w:rPr>
          <w:rFonts w:ascii="Arial" w:cs="Arial" w:eastAsia="Arial" w:hAnsi="Arial"/>
          <w:sz w:val="18"/>
          <w:szCs w:val="18"/>
          <w:color w:val="auto"/>
        </w:rPr>
      </w:pPr>
    </w:p>
    <w:p>
      <w:pPr>
        <w:jc w:val="both"/>
        <w:ind w:left="506" w:hanging="506"/>
        <w:spacing w:after="0"/>
        <w:tabs>
          <w:tab w:leader="none" w:pos="52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202" w:lineRule="exact"/>
        <w:rPr>
          <w:rFonts w:ascii="Arial" w:cs="Arial" w:eastAsia="Arial" w:hAnsi="Arial"/>
          <w:sz w:val="18"/>
          <w:szCs w:val="18"/>
          <w:color w:val="auto"/>
        </w:rPr>
      </w:pPr>
    </w:p>
    <w:p>
      <w:pPr>
        <w:jc w:val="both"/>
        <w:ind w:left="506" w:hanging="506"/>
        <w:spacing w:after="0"/>
        <w:tabs>
          <w:tab w:leader="none" w:pos="58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p>
      <w:pPr>
        <w:spacing w:after="0" w:line="202" w:lineRule="exact"/>
        <w:rPr>
          <w:rFonts w:ascii="Arial" w:cs="Arial" w:eastAsia="Arial" w:hAnsi="Arial"/>
          <w:sz w:val="18"/>
          <w:szCs w:val="18"/>
          <w:color w:val="auto"/>
        </w:rPr>
      </w:pPr>
    </w:p>
    <w:p>
      <w:pPr>
        <w:ind w:left="486" w:hanging="486"/>
        <w:spacing w:after="0"/>
        <w:tabs>
          <w:tab w:leader="none" w:pos="48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the purposes of this clause 21.11 the following words shall have the following meanings:</w:t>
      </w:r>
    </w:p>
    <w:p>
      <w:pPr>
        <w:spacing w:after="0" w:line="190" w:lineRule="exact"/>
        <w:rPr>
          <w:sz w:val="20"/>
          <w:szCs w:val="20"/>
          <w:color w:val="auto"/>
        </w:rPr>
      </w:pPr>
    </w:p>
    <w:p>
      <w:pPr>
        <w:ind w:left="506"/>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means any person with whom transactions are prohibited or restricted under:</w:t>
      </w:r>
    </w:p>
    <w:p>
      <w:pPr>
        <w:spacing w:after="0" w:line="234" w:lineRule="exact"/>
        <w:rPr>
          <w:sz w:val="20"/>
          <w:szCs w:val="20"/>
          <w:color w:val="auto"/>
        </w:rPr>
      </w:pPr>
    </w:p>
    <w:p>
      <w:pPr>
        <w:ind w:left="1046" w:hanging="531"/>
        <w:spacing w:after="0"/>
        <w:tabs>
          <w:tab w:leader="none" w:pos="10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OFAC; or</w:t>
      </w:r>
    </w:p>
    <w:p>
      <w:pPr>
        <w:spacing w:after="0" w:line="211" w:lineRule="exact"/>
        <w:rPr>
          <w:rFonts w:ascii="Arial" w:cs="Arial" w:eastAsia="Arial" w:hAnsi="Arial"/>
          <w:sz w:val="18"/>
          <w:szCs w:val="18"/>
          <w:color w:val="auto"/>
        </w:rPr>
      </w:pPr>
    </w:p>
    <w:p>
      <w:pPr>
        <w:jc w:val="both"/>
        <w:ind w:left="1026" w:hanging="511"/>
        <w:spacing w:after="0" w:line="238" w:lineRule="auto"/>
        <w:tabs>
          <w:tab w:leader="none" w:pos="10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other United States of America government sanction,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200" w:lineRule="exact"/>
        <w:rPr>
          <w:rFonts w:ascii="Arial" w:cs="Arial" w:eastAsia="Arial" w:hAnsi="Arial"/>
          <w:sz w:val="18"/>
          <w:szCs w:val="18"/>
          <w:color w:val="auto"/>
        </w:rPr>
      </w:pPr>
    </w:p>
    <w:p>
      <w:pPr>
        <w:ind w:left="1106" w:hanging="591"/>
        <w:spacing w:after="0"/>
        <w:tabs>
          <w:tab w:leader="none" w:pos="110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European Union sanctions laws, including without limitation persons or organisations on the European Union Restricted</w:t>
      </w:r>
    </w:p>
    <w:p>
      <w:pPr>
        <w:jc w:val="both"/>
        <w:ind w:left="1026"/>
        <w:spacing w:after="0"/>
        <w:rPr>
          <w:sz w:val="20"/>
          <w:szCs w:val="20"/>
          <w:color w:val="auto"/>
        </w:rPr>
      </w:pPr>
      <w:r>
        <w:rPr>
          <w:rFonts w:ascii="Arial" w:cs="Arial" w:eastAsia="Arial" w:hAnsi="Arial"/>
          <w:sz w:val="18"/>
          <w:szCs w:val="18"/>
          <w:color w:val="auto"/>
        </w:rPr>
        <w:t>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203" w:lineRule="exact"/>
        <w:rPr>
          <w:sz w:val="20"/>
          <w:szCs w:val="20"/>
          <w:color w:val="auto"/>
        </w:rPr>
      </w:pPr>
    </w:p>
    <w:p>
      <w:pPr>
        <w:ind w:left="1026" w:hanging="511"/>
        <w:spacing w:after="0" w:line="246" w:lineRule="auto"/>
        <w:tabs>
          <w:tab w:leader="none" w:pos="121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w:t>
      </w:r>
    </w:p>
    <w:p>
      <w:pPr>
        <w:spacing w:after="0" w:line="196" w:lineRule="exact"/>
        <w:rPr>
          <w:rFonts w:ascii="Arial" w:cs="Arial" w:eastAsia="Arial" w:hAnsi="Arial"/>
          <w:sz w:val="18"/>
          <w:szCs w:val="18"/>
          <w:color w:val="auto"/>
        </w:rPr>
      </w:pPr>
    </w:p>
    <w:p>
      <w:pPr>
        <w:ind w:left="1026" w:hanging="511"/>
        <w:spacing w:after="0" w:line="246" w:lineRule="auto"/>
        <w:tabs>
          <w:tab w:leader="none" w:pos="110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w:t>
      </w:r>
    </w:p>
    <w:p>
      <w:pPr>
        <w:spacing w:after="0" w:line="197"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64135</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41" w:right="339" w:bottom="1440" w:gutter="0" w:footer="0" w:header="0"/>
        </w:sectPr>
      </w:pPr>
    </w:p>
    <w:bookmarkStart w:id="74" w:name="page75"/>
    <w:bookmarkEnd w:id="74"/>
    <w:p>
      <w:pPr>
        <w:ind w:left="1540" w:hanging="511"/>
        <w:spacing w:after="0" w:line="246" w:lineRule="auto"/>
        <w:tabs>
          <w:tab w:leader="none" w:pos="157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Swiss sanctions laws, including without limitation persons or organisations on the sanctions lists issued and administered by the State Secretariat for Economic Affairs of Switzerland; and</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Japanese sanctions laws,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190"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Sanctions Authority.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34" w:lineRule="exact"/>
        <w:rPr>
          <w:sz w:val="20"/>
          <w:szCs w:val="20"/>
          <w:color w:val="auto"/>
        </w:rPr>
      </w:pPr>
    </w:p>
    <w:p>
      <w:pPr>
        <w:ind w:left="1560" w:hanging="531"/>
        <w:spacing w:after="0"/>
        <w:tabs>
          <w:tab w:leader="none" w:pos="15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European Union (and/or any member state thereof);</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Japan;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212"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The Office of Financial Sanctions Implementation (</w:t>
      </w:r>
      <w:r>
        <w:rPr>
          <w:rFonts w:ascii="Arial" w:cs="Arial" w:eastAsia="Arial" w:hAnsi="Arial"/>
          <w:sz w:val="18"/>
          <w:szCs w:val="18"/>
          <w:b w:val="1"/>
          <w:bCs w:val="1"/>
          <w:color w:val="auto"/>
        </w:rPr>
        <w:t>OFSI</w:t>
      </w:r>
      <w:r>
        <w:rPr>
          <w:rFonts w:ascii="Arial" w:cs="Arial" w:eastAsia="Arial" w:hAnsi="Arial"/>
          <w:sz w:val="18"/>
          <w:szCs w:val="18"/>
          <w:color w:val="auto"/>
        </w:rPr>
        <w:t>) and the State Secretariat for Economic Affairs of Switzerland (</w:t>
      </w:r>
      <w:r>
        <w:rPr>
          <w:rFonts w:ascii="Arial" w:cs="Arial" w:eastAsia="Arial" w:hAnsi="Arial"/>
          <w:sz w:val="18"/>
          <w:szCs w:val="18"/>
          <w:b w:val="1"/>
          <w:bCs w:val="1"/>
          <w:color w:val="auto"/>
        </w:rPr>
        <w:t>SECO</w:t>
      </w:r>
      <w:r>
        <w:rPr>
          <w:rFonts w:ascii="Arial" w:cs="Arial" w:eastAsia="Arial" w:hAnsi="Arial"/>
          <w:sz w:val="18"/>
          <w:szCs w:val="18"/>
          <w:color w:val="auto"/>
        </w:rPr>
        <w:t>) and the Swiss Directorate of International Law (</w:t>
      </w:r>
      <w:r>
        <w:rPr>
          <w:rFonts w:ascii="Arial" w:cs="Arial" w:eastAsia="Arial" w:hAnsi="Arial"/>
          <w:sz w:val="18"/>
          <w:szCs w:val="18"/>
          <w:b w:val="1"/>
          <w:bCs w:val="1"/>
          <w:color w:val="auto"/>
        </w:rPr>
        <w:t>DIL</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7"/>
          <w:szCs w:val="17"/>
          <w:b w:val="1"/>
          <w:bCs w:val="1"/>
          <w:color w:val="auto"/>
        </w:rPr>
        <w:t>Borrowers’ own account</w:t>
      </w:r>
    </w:p>
    <w:p>
      <w:pPr>
        <w:spacing w:after="0" w:line="234"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 including Article 305bis of the Swiss Penal Code.</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7"/>
          <w:szCs w:val="17"/>
          <w:b w:val="1"/>
          <w:bCs w:val="1"/>
          <w:color w:val="auto"/>
        </w:rPr>
        <w:t>Inspection</w:t>
      </w:r>
    </w:p>
    <w:p>
      <w:pPr>
        <w:spacing w:after="0" w:line="234"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7"/>
          <w:szCs w:val="17"/>
          <w:b w:val="1"/>
          <w:bCs w:val="1"/>
          <w:color w:val="auto"/>
        </w:rPr>
        <w:t>Bribery and corruption</w:t>
      </w:r>
    </w:p>
    <w:p>
      <w:pPr>
        <w:spacing w:after="0" w:line="234" w:lineRule="exact"/>
        <w:rPr>
          <w:sz w:val="20"/>
          <w:szCs w:val="20"/>
          <w:color w:val="auto"/>
        </w:rPr>
      </w:pPr>
    </w:p>
    <w:p>
      <w:pPr>
        <w:ind w:left="1000" w:hanging="344"/>
        <w:spacing w:after="0"/>
        <w:tabs>
          <w:tab w:leader="none" w:pos="1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211" w:lineRule="exact"/>
        <w:rPr>
          <w:rFonts w:ascii="Arial" w:cs="Arial" w:eastAsia="Arial" w:hAnsi="Arial"/>
          <w:sz w:val="18"/>
          <w:szCs w:val="18"/>
          <w:color w:val="auto"/>
        </w:rPr>
      </w:pPr>
    </w:p>
    <w:p>
      <w:pPr>
        <w:ind w:left="1300" w:hanging="320"/>
        <w:spacing w:after="0" w:line="246" w:lineRule="auto"/>
        <w:tabs>
          <w:tab w:leader="none" w:pos="166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96" w:lineRule="exact"/>
        <w:rPr>
          <w:rFonts w:ascii="Arial" w:cs="Arial" w:eastAsia="Arial" w:hAnsi="Arial"/>
          <w:sz w:val="18"/>
          <w:szCs w:val="18"/>
          <w:color w:val="auto"/>
        </w:rPr>
      </w:pPr>
    </w:p>
    <w:p>
      <w:pPr>
        <w:ind w:left="1320" w:hanging="340"/>
        <w:spacing w:after="0"/>
        <w:tabs>
          <w:tab w:leader="none" w:pos="13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ind w:left="1320" w:hanging="340"/>
        <w:spacing w:after="0"/>
        <w:tabs>
          <w:tab w:leader="none" w:pos="13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211" w:lineRule="exact"/>
        <w:rPr>
          <w:rFonts w:ascii="Arial" w:cs="Arial" w:eastAsia="Arial" w:hAnsi="Arial"/>
          <w:sz w:val="18"/>
          <w:szCs w:val="18"/>
          <w:color w:val="auto"/>
        </w:rPr>
      </w:pPr>
    </w:p>
    <w:p>
      <w:pPr>
        <w:jc w:val="both"/>
        <w:ind w:left="980" w:hanging="324"/>
        <w:spacing w:after="0"/>
        <w:tabs>
          <w:tab w:leader="none" w:pos="101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(Money Laundering), the following definitions shall apply:</w:t>
      </w:r>
    </w:p>
    <w:p>
      <w:pPr>
        <w:spacing w:after="0" w:line="189"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53"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53"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to improperly influence the actions of that party.</w:t>
      </w:r>
    </w:p>
    <w:p>
      <w:pPr>
        <w:spacing w:after="0" w:line="153"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are to be used, in order to carry out terrorist acts.</w:t>
      </w:r>
    </w:p>
    <w:p>
      <w:pPr>
        <w:spacing w:after="0" w:line="153"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deception.</w:t>
      </w:r>
    </w:p>
    <w:p>
      <w:pPr>
        <w:spacing w:after="0" w:line="15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33" w:lineRule="exact"/>
        <w:rPr>
          <w:rFonts w:ascii="Arial" w:cs="Arial" w:eastAsia="Arial" w:hAnsi="Arial"/>
          <w:sz w:val="18"/>
          <w:szCs w:val="18"/>
          <w:color w:val="auto"/>
        </w:rPr>
      </w:pPr>
    </w:p>
    <w:p>
      <w:pPr>
        <w:jc w:val="both"/>
        <w:ind w:left="1540" w:hanging="511"/>
        <w:spacing w:after="0"/>
        <w:tabs>
          <w:tab w:leader="none" w:pos="1844" w:val="left"/>
        </w:tabs>
        <w:numPr>
          <w:ilvl w:val="2"/>
          <w:numId w:val="227"/>
        </w:numPr>
        <w:rPr>
          <w:rFonts w:ascii="Arial" w:cs="Arial" w:eastAsia="Arial" w:hAnsi="Arial"/>
          <w:sz w:val="18"/>
          <w:szCs w:val="18"/>
          <w:color w:val="auto"/>
        </w:rPr>
      </w:pPr>
      <w:r>
        <w:rPr>
          <w:rFonts w:ascii="Arial" w:cs="Arial" w:eastAsia="Arial" w:hAnsi="Arial"/>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202" w:lineRule="exact"/>
        <w:rPr>
          <w:rFonts w:ascii="Arial" w:cs="Arial" w:eastAsia="Arial" w:hAnsi="Arial"/>
          <w:sz w:val="18"/>
          <w:szCs w:val="18"/>
          <w:color w:val="auto"/>
        </w:rPr>
      </w:pPr>
    </w:p>
    <w:p>
      <w:pPr>
        <w:ind w:left="1540" w:hanging="511"/>
        <w:spacing w:after="0" w:line="246" w:lineRule="auto"/>
        <w:tabs>
          <w:tab w:leader="none" w:pos="1992" w:val="left"/>
        </w:tabs>
        <w:numPr>
          <w:ilvl w:val="2"/>
          <w:numId w:val="227"/>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22  Dealings with Ship</w:t>
      </w:r>
    </w:p>
    <w:p>
      <w:pPr>
        <w:spacing w:after="0" w:line="238"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Each Borrower undertakes that this clause 22 will be complied with in relation to each Mortgaged Ship throughout the relevant Ship’s Mortgage Period.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b w:val="1"/>
          <w:bCs w:val="1"/>
          <w:color w:val="auto"/>
        </w:rPr>
        <w:t>Ship’s name and registration</w:t>
      </w:r>
    </w:p>
    <w:p>
      <w:pPr>
        <w:spacing w:after="0" w:line="234" w:lineRule="exact"/>
        <w:rPr>
          <w:sz w:val="20"/>
          <w:szCs w:val="20"/>
          <w:color w:val="auto"/>
        </w:rPr>
      </w:pPr>
    </w:p>
    <w:p>
      <w:pPr>
        <w:ind w:left="1020" w:hanging="512"/>
        <w:spacing w:after="0" w:line="246" w:lineRule="auto"/>
        <w:tabs>
          <w:tab w:leader="none" w:pos="107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96" w:lineRule="exact"/>
        <w:rPr>
          <w:rFonts w:ascii="Arial" w:cs="Arial" w:eastAsia="Arial" w:hAnsi="Arial"/>
          <w:sz w:val="18"/>
          <w:szCs w:val="18"/>
          <w:color w:val="auto"/>
        </w:rPr>
      </w:pPr>
    </w:p>
    <w:p>
      <w:pPr>
        <w:jc w:val="both"/>
        <w:ind w:left="1020" w:hanging="512"/>
        <w:spacing w:after="0" w:line="237" w:lineRule="auto"/>
        <w:tabs>
          <w:tab w:leader="none" w:pos="104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Ship shall be permanently registered in the name of the relevant Owner with the relevant Registry under the laws of its Flag State.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ind w:left="1040" w:right="20"/>
        <w:spacing w:after="0" w:line="246" w:lineRule="auto"/>
        <w:rPr>
          <w:sz w:val="20"/>
          <w:szCs w:val="20"/>
          <w:color w:val="auto"/>
        </w:rPr>
      </w:pPr>
      <w:r>
        <w:rPr>
          <w:rFonts w:ascii="Arial" w:cs="Arial" w:eastAsia="Arial" w:hAnsi="Arial"/>
          <w:sz w:val="18"/>
          <w:szCs w:val="18"/>
          <w:color w:val="auto"/>
        </w:rPr>
        <w:t>registration is for a limited period, it shall be renewed at least 45 days before the date it is due to expire and the Agent shall be notified of that renewal at least 30 days before that date.</w:t>
      </w:r>
    </w:p>
    <w:p>
      <w:pPr>
        <w:spacing w:after="0" w:line="197" w:lineRule="exact"/>
        <w:rPr>
          <w:sz w:val="20"/>
          <w:szCs w:val="20"/>
          <w:color w:val="auto"/>
        </w:rPr>
      </w:pPr>
    </w:p>
    <w:p>
      <w:pPr>
        <w:ind w:left="1020" w:hanging="512"/>
        <w:spacing w:after="0" w:line="246" w:lineRule="auto"/>
        <w:tabs>
          <w:tab w:leader="none" w:pos="107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Sale or other disposal of Ship; refinancing</w:t>
      </w:r>
    </w:p>
    <w:p>
      <w:pPr>
        <w:spacing w:after="0" w:line="234" w:lineRule="exact"/>
        <w:rPr>
          <w:sz w:val="20"/>
          <w:szCs w:val="20"/>
          <w:color w:val="auto"/>
        </w:rPr>
      </w:pPr>
    </w:p>
    <w:p>
      <w:pPr>
        <w:jc w:val="both"/>
        <w:ind w:left="1020" w:hanging="512"/>
        <w:spacing w:after="0" w:line="236" w:lineRule="auto"/>
        <w:tabs>
          <w:tab w:leader="none" w:pos="11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Owners may sell or transfer a Ship, provided that the relevant Owner and the other Borrowers are in compliance with this clause 22.2 and clause 7.6 (</w:t>
      </w:r>
      <w:r>
        <w:rPr>
          <w:rFonts w:ascii="Arial" w:cs="Arial" w:eastAsia="Arial" w:hAnsi="Arial"/>
          <w:sz w:val="18"/>
          <w:szCs w:val="18"/>
          <w:i w:val="1"/>
          <w:iCs w:val="1"/>
          <w:color w:val="auto"/>
        </w:rPr>
        <w:t>Sale, Total Loss, Change of Control in respect of a Borrower or prepayment in full of an Advance</w:t>
      </w:r>
      <w:r>
        <w:rPr>
          <w:rFonts w:ascii="Arial" w:cs="Arial" w:eastAsia="Arial" w:hAnsi="Arial"/>
          <w:sz w:val="18"/>
          <w:szCs w:val="18"/>
          <w:color w:val="auto"/>
        </w:rPr>
        <w:t>) in respect of such sale or transfer and no Default has occurred and is continuing at the time of such sale or transfer. Upon such sale or transfer the Lenders will procure that upon the relevant cancellation and prepayment and the discharge of the other obligations of the Borrowers under this clause 22.2 and clause 7.6 (</w:t>
      </w:r>
      <w:r>
        <w:rPr>
          <w:rFonts w:ascii="Arial" w:cs="Arial" w:eastAsia="Arial" w:hAnsi="Arial"/>
          <w:sz w:val="18"/>
          <w:szCs w:val="18"/>
          <w:i w:val="1"/>
          <w:iCs w:val="1"/>
          <w:color w:val="auto"/>
        </w:rPr>
        <w:t>Sale, Total Loss, Change of Control in respect of a</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 or prepayment in full of an Advance</w:t>
      </w:r>
      <w:r>
        <w:rPr>
          <w:rFonts w:ascii="Arial" w:cs="Arial" w:eastAsia="Arial" w:hAnsi="Arial"/>
          <w:sz w:val="18"/>
          <w:szCs w:val="18"/>
          <w:color w:val="auto"/>
        </w:rPr>
        <w:t>), the Mortgage over that Ship will be discharged and the Deed of Covenant,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Assignment, any Charter Assignment, the Share Security, the Account Security, the Security Power of Attorney and the Manager’s Undertaking relating to that Ship will be released, and the relevant Owner will be released as Borrower under this Agreement, in each case pursuant to deeds of release in agreed form executed at the cost and expense of the Borrowers.</w:t>
      </w:r>
    </w:p>
    <w:p>
      <w:pPr>
        <w:spacing w:after="0" w:line="206" w:lineRule="exact"/>
        <w:rPr>
          <w:rFonts w:ascii="Arial" w:cs="Arial" w:eastAsia="Arial" w:hAnsi="Arial"/>
          <w:sz w:val="18"/>
          <w:szCs w:val="18"/>
          <w:color w:val="auto"/>
        </w:rPr>
      </w:pPr>
    </w:p>
    <w:p>
      <w:pPr>
        <w:jc w:val="both"/>
        <w:ind w:left="1020" w:hanging="512"/>
        <w:spacing w:after="0"/>
        <w:tabs>
          <w:tab w:leader="none" w:pos="144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any event, if at any time the Borrowers (i) prepay the Advance relevant to a Ship in full, (ii) reduce the relevant Ship Commitment to zero in accordance with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7.6 (</w:t>
      </w:r>
      <w:r>
        <w:rPr>
          <w:rFonts w:ascii="Arial" w:cs="Arial" w:eastAsia="Arial" w:hAnsi="Arial"/>
          <w:sz w:val="18"/>
          <w:szCs w:val="18"/>
          <w:i w:val="1"/>
          <w:iCs w:val="1"/>
          <w:color w:val="auto"/>
        </w:rPr>
        <w:t>Sale, Total Loss, 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 respect of a Borrower or prepayment in full of an Advance</w:t>
      </w:r>
      <w:r>
        <w:rPr>
          <w:rFonts w:ascii="Arial" w:cs="Arial" w:eastAsia="Arial" w:hAnsi="Arial"/>
          <w:sz w:val="18"/>
          <w:szCs w:val="18"/>
          <w:color w:val="auto"/>
        </w:rPr>
        <w:t>), (iii) pay all other amounts owing and payable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other Finance Documents at the time of such prepayment and cancellation and (iv) no Default has occurred and is continuing at the time, upon such prepayment and cancellation the Lenders shall consent to the discharge of the Mortgage, the Deed of Covenant, the General Assignment, the Manager’s Undertaking, the Share Security, the Account Security, the Security Power of Attorney and any Charter Assignment relating to the Ship, and the release of the Owner of that Ship under the Finance Documents, pursuant to deeds of release in agreed form executed at the cost and expense of the Borrowers.</w:t>
      </w:r>
    </w:p>
    <w:p>
      <w:pPr>
        <w:spacing w:after="0" w:line="3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Manager</w:t>
      </w:r>
    </w:p>
    <w:p>
      <w:pPr>
        <w:spacing w:after="0" w:line="234" w:lineRule="exact"/>
        <w:rPr>
          <w:sz w:val="20"/>
          <w:szCs w:val="20"/>
          <w:color w:val="auto"/>
        </w:rPr>
      </w:pPr>
    </w:p>
    <w:p>
      <w:pPr>
        <w:jc w:val="both"/>
        <w:ind w:left="1020" w:hanging="512"/>
        <w:spacing w:after="0" w:line="238" w:lineRule="auto"/>
        <w:tabs>
          <w:tab w:leader="none" w:pos="112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manager of the Ship (other than the Managers at the date of this Agreement and GasLog LNG Services whose appointment as Commercial Manager of the Ship shall be effective on and from the Utilisation Date) shall not be appointed unless the terms of its appointment are approved by the Majority Lenders (such approval not to be unreasonably withheld or delayed) and it has delivered a duly executed Manager’s Undertaking to the Security Agent.</w:t>
      </w:r>
    </w:p>
    <w:p>
      <w:pPr>
        <w:spacing w:after="0" w:line="204" w:lineRule="exact"/>
        <w:rPr>
          <w:rFonts w:ascii="Arial" w:cs="Arial" w:eastAsia="Arial" w:hAnsi="Arial"/>
          <w:sz w:val="18"/>
          <w:szCs w:val="18"/>
          <w:color w:val="auto"/>
        </w:rPr>
      </w:pPr>
    </w:p>
    <w:p>
      <w:pPr>
        <w:jc w:val="both"/>
        <w:ind w:left="1020" w:hanging="512"/>
        <w:spacing w:after="0"/>
        <w:tabs>
          <w:tab w:leader="none" w:pos="113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b w:val="1"/>
          <w:bCs w:val="1"/>
          <w:color w:val="auto"/>
        </w:rPr>
        <w:t>Copy of Mortgage on board</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 properly certified copy of the relevant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tabs>
          <w:tab w:leader="none" w:pos="50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Notice of Mortgage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w:t>
      </w:r>
    </w:p>
    <w:p>
      <w:pPr>
        <w:ind w:left="520"/>
        <w:spacing w:after="0"/>
        <w:rPr>
          <w:sz w:val="20"/>
          <w:szCs w:val="20"/>
          <w:color w:val="auto"/>
        </w:rPr>
      </w:pPr>
      <w:r>
        <w:rPr>
          <w:rFonts w:ascii="Arial" w:cs="Arial" w:eastAsia="Arial" w:hAnsi="Arial"/>
          <w:sz w:val="18"/>
          <w:szCs w:val="18"/>
          <w:color w:val="auto"/>
        </w:rPr>
        <w:t>Ship. The notice must be in plain type and read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MORTGAGE</w:t>
      </w:r>
    </w:p>
    <w:p>
      <w:pPr>
        <w:spacing w:after="0" w:line="212"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color w:val="auto"/>
        </w:rPr>
        <w:t>This Ship is subject to a first mortgage in favour of [</w:t>
      </w:r>
      <w:r>
        <w:rPr>
          <w:rFonts w:ascii="Arial" w:cs="Arial" w:eastAsia="Arial" w:hAnsi="Arial"/>
          <w:sz w:val="18"/>
          <w:szCs w:val="18"/>
          <w:b w:val="1"/>
          <w:bCs w:val="1"/>
          <w:color w:val="auto"/>
        </w:rPr>
        <w:t>here insert name of mortgagee</w:t>
      </w:r>
      <w:r>
        <w:rPr>
          <w:rFonts w:ascii="Arial" w:cs="Arial" w:eastAsia="Arial" w:hAnsi="Arial"/>
          <w:sz w:val="18"/>
          <w:szCs w:val="18"/>
          <w:color w:val="auto"/>
        </w:rPr>
        <w:t>] of [</w:t>
      </w:r>
      <w:r>
        <w:rPr>
          <w:rFonts w:ascii="Arial" w:cs="Arial" w:eastAsia="Arial" w:hAnsi="Arial"/>
          <w:sz w:val="18"/>
          <w:szCs w:val="18"/>
          <w:b w:val="1"/>
          <w:bCs w:val="1"/>
          <w:color w:val="auto"/>
        </w:rPr>
        <w:t>here insert address of mortgagee</w:t>
      </w:r>
      <w:r>
        <w:rPr>
          <w:rFonts w:ascii="Arial" w:cs="Arial" w:eastAsia="Arial" w:hAnsi="Arial"/>
          <w:sz w:val="18"/>
          <w:szCs w:val="18"/>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96"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Conveyance on default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22.7</w:t>
        <w:tab/>
        <w:t>Chartering</w:t>
      </w:r>
    </w:p>
    <w:p>
      <w:pPr>
        <w:spacing w:after="0" w:line="216" w:lineRule="exact"/>
        <w:rPr>
          <w:sz w:val="20"/>
          <w:szCs w:val="20"/>
          <w:color w:val="auto"/>
        </w:rPr>
      </w:pPr>
    </w:p>
    <w:p>
      <w:pPr>
        <w:jc w:val="both"/>
        <w:ind w:left="1020" w:hanging="512"/>
        <w:spacing w:after="0" w:line="250" w:lineRule="auto"/>
        <w:tabs>
          <w:tab w:leader="none" w:pos="12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with approval of the Majority Lenders and without prejudice to clause 29.20 (</w:t>
      </w:r>
      <w:r>
        <w:rPr>
          <w:rFonts w:ascii="Arial" w:cs="Arial" w:eastAsia="Arial" w:hAnsi="Arial"/>
          <w:sz w:val="18"/>
          <w:szCs w:val="18"/>
          <w:i w:val="1"/>
          <w:iCs w:val="1"/>
          <w:color w:val="auto"/>
        </w:rPr>
        <w:t>Charters</w:t>
      </w:r>
      <w:r>
        <w:rPr>
          <w:rFonts w:ascii="Arial" w:cs="Arial" w:eastAsia="Arial" w:hAnsi="Arial"/>
          <w:sz w:val="18"/>
          <w:szCs w:val="18"/>
          <w:color w:val="auto"/>
        </w:rPr>
        <w:t>), the relevant Owner shall not enter into any charter commitment for a Ship (except for the Charter for each Ship where applicable or a replacement charter entered into under clause 29.20 (</w:t>
      </w:r>
      <w:r>
        <w:rPr>
          <w:rFonts w:ascii="Arial" w:cs="Arial" w:eastAsia="Arial" w:hAnsi="Arial"/>
          <w:sz w:val="18"/>
          <w:szCs w:val="18"/>
          <w:i w:val="1"/>
          <w:iCs w:val="1"/>
          <w:color w:val="auto"/>
        </w:rPr>
        <w:t>Charters</w:t>
      </w:r>
      <w:r>
        <w:rPr>
          <w:rFonts w:ascii="Arial" w:cs="Arial" w:eastAsia="Arial" w:hAnsi="Arial"/>
          <w:sz w:val="18"/>
          <w:szCs w:val="18"/>
          <w:color w:val="auto"/>
        </w:rPr>
        <w:t>)), which is:</w:t>
      </w:r>
    </w:p>
    <w:p>
      <w:pPr>
        <w:spacing w:after="0" w:line="194"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 (except where operational control is passed to the Ship’s Technical Manager);</w:t>
      </w:r>
    </w:p>
    <w:p>
      <w:pPr>
        <w:spacing w:after="0" w:line="196" w:lineRule="exact"/>
        <w:rPr>
          <w:rFonts w:ascii="Arial" w:cs="Arial" w:eastAsia="Arial" w:hAnsi="Arial"/>
          <w:sz w:val="18"/>
          <w:szCs w:val="18"/>
          <w:color w:val="auto"/>
        </w:rPr>
      </w:pPr>
    </w:p>
    <w:p>
      <w:pPr>
        <w:jc w:val="both"/>
        <w:ind w:left="1540" w:hanging="511"/>
        <w:spacing w:after="0"/>
        <w:tabs>
          <w:tab w:leader="none" w:pos="160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p>
      <w:pPr>
        <w:spacing w:after="0" w:line="202" w:lineRule="exact"/>
        <w:rPr>
          <w:rFonts w:ascii="Arial" w:cs="Arial" w:eastAsia="Arial" w:hAnsi="Arial"/>
          <w:sz w:val="18"/>
          <w:szCs w:val="18"/>
          <w:color w:val="auto"/>
        </w:rPr>
      </w:pPr>
    </w:p>
    <w:p>
      <w:pPr>
        <w:ind w:left="1540" w:hanging="511"/>
        <w:spacing w:after="0" w:line="246" w:lineRule="auto"/>
        <w:tabs>
          <w:tab w:leader="none" w:pos="155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with an Affiliate (other than charters entered into at arm’s length between the relevant Owner and the Parent or an Affiliate thereof; or</w:t>
      </w:r>
    </w:p>
    <w:p>
      <w:pPr>
        <w:spacing w:after="0" w:line="196" w:lineRule="exact"/>
        <w:rPr>
          <w:rFonts w:ascii="Arial" w:cs="Arial" w:eastAsia="Arial" w:hAnsi="Arial"/>
          <w:sz w:val="18"/>
          <w:szCs w:val="18"/>
          <w:color w:val="auto"/>
        </w:rPr>
      </w:pPr>
    </w:p>
    <w:p>
      <w:pPr>
        <w:jc w:val="both"/>
        <w:ind w:left="1540" w:hanging="511"/>
        <w:spacing w:after="0" w:line="238" w:lineRule="auto"/>
        <w:tabs>
          <w:tab w:leader="none" w:pos="165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capable of lasting more than sixty (60) calendar months and with a fixed charter rate which is, for each calendar month, below breakeven for that Ship (taking into account for that purpose the monthly operational costs of such Ship and the monthly debt service obligations of the Advance relating to such Ship for the entire tenor of such charter commitment). However, a charter commitment for a Ship with charter rate which is linked to an index related to LNG commodity pricing or LNG shipping shall not be deemed restricted by this paragraph (iv) above regardless of its tenor.</w:t>
      </w:r>
    </w:p>
    <w:p>
      <w:pPr>
        <w:spacing w:after="0" w:line="202" w:lineRule="exact"/>
        <w:rPr>
          <w:rFonts w:ascii="Arial" w:cs="Arial" w:eastAsia="Arial" w:hAnsi="Arial"/>
          <w:sz w:val="18"/>
          <w:szCs w:val="18"/>
          <w:color w:val="auto"/>
        </w:rPr>
      </w:pPr>
    </w:p>
    <w:p>
      <w:pPr>
        <w:ind w:left="1020" w:hanging="512"/>
        <w:spacing w:after="0" w:line="246" w:lineRule="auto"/>
        <w:tabs>
          <w:tab w:leader="none" w:pos="13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and any other provisions of the Finance Documents, the relevant Owner shall:</w:t>
      </w:r>
    </w:p>
    <w:p>
      <w:pPr>
        <w:spacing w:after="0" w:line="196" w:lineRule="exact"/>
        <w:rPr>
          <w:rFonts w:ascii="Arial" w:cs="Arial" w:eastAsia="Arial" w:hAnsi="Arial"/>
          <w:sz w:val="18"/>
          <w:szCs w:val="18"/>
          <w:color w:val="auto"/>
        </w:rPr>
      </w:pPr>
    </w:p>
    <w:p>
      <w:pPr>
        <w:jc w:val="both"/>
        <w:ind w:left="1540" w:hanging="511"/>
        <w:spacing w:after="0"/>
        <w:tabs>
          <w:tab w:leader="none" w:pos="185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be permitted to pursue and contract for any charter business with any person other than one with a Non-Acceptable Charterer, provided that it advises the Agent promptly of any charter commitment in respect of its Ship (other than the relevant Charter for each Ship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 replacement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ind w:left="1540" w:right="20"/>
        <w:spacing w:after="0" w:line="267" w:lineRule="auto"/>
        <w:rPr>
          <w:sz w:val="20"/>
          <w:szCs w:val="20"/>
          <w:color w:val="auto"/>
        </w:rPr>
      </w:pPr>
      <w:r>
        <w:rPr>
          <w:rFonts w:ascii="Arial" w:cs="Arial" w:eastAsia="Arial" w:hAnsi="Arial"/>
          <w:sz w:val="18"/>
          <w:szCs w:val="18"/>
          <w:color w:val="auto"/>
        </w:rPr>
        <w:t>charter entered into under clause 29.20 (</w:t>
      </w:r>
      <w:r>
        <w:rPr>
          <w:rFonts w:ascii="Arial" w:cs="Arial" w:eastAsia="Arial" w:hAnsi="Arial"/>
          <w:sz w:val="18"/>
          <w:szCs w:val="18"/>
          <w:i w:val="1"/>
          <w:iCs w:val="1"/>
          <w:color w:val="auto"/>
        </w:rPr>
        <w:t>Charters</w:t>
      </w:r>
      <w:r>
        <w:rPr>
          <w:rFonts w:ascii="Arial" w:cs="Arial" w:eastAsia="Arial" w:hAnsi="Arial"/>
          <w:sz w:val="18"/>
          <w:szCs w:val="18"/>
          <w:color w:val="auto"/>
        </w:rPr>
        <w:t>)) which has an original term in excess of 36 calendar months (after taking into account any option to extend or renew contained therein), and the relevant Owner shall:</w:t>
      </w:r>
    </w:p>
    <w:p>
      <w:pPr>
        <w:spacing w:after="0" w:line="178" w:lineRule="exact"/>
        <w:rPr>
          <w:sz w:val="20"/>
          <w:szCs w:val="20"/>
          <w:color w:val="auto"/>
        </w:rPr>
      </w:pPr>
    </w:p>
    <w:p>
      <w:pPr>
        <w:ind w:left="2040" w:hanging="501"/>
        <w:spacing w:after="0"/>
        <w:tabs>
          <w:tab w:leader="none" w:pos="20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forthwith;</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211" w:lineRule="exact"/>
        <w:rPr>
          <w:rFonts w:ascii="Arial" w:cs="Arial" w:eastAsia="Arial" w:hAnsi="Arial"/>
          <w:sz w:val="18"/>
          <w:szCs w:val="18"/>
          <w:color w:val="auto"/>
        </w:rPr>
      </w:pPr>
    </w:p>
    <w:p>
      <w:pPr>
        <w:jc w:val="both"/>
        <w:ind w:left="2560" w:hanging="511"/>
        <w:spacing w:after="0"/>
        <w:tabs>
          <w:tab w:leader="none" w:pos="2618" w:val="left"/>
        </w:tabs>
        <w:numPr>
          <w:ilvl w:val="2"/>
          <w:numId w:val="233"/>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(and the guarantee of such charter commitment if applicable) in favour of the Security Agent (in the same form as a Charter Assignment) and any notice of assignment required in connection therewith; and</w:t>
      </w:r>
    </w:p>
    <w:p>
      <w:pPr>
        <w:spacing w:after="0" w:line="202" w:lineRule="exact"/>
        <w:rPr>
          <w:rFonts w:ascii="Arial" w:cs="Arial" w:eastAsia="Arial" w:hAnsi="Arial"/>
          <w:sz w:val="18"/>
          <w:szCs w:val="18"/>
          <w:color w:val="auto"/>
        </w:rPr>
      </w:pPr>
    </w:p>
    <w:p>
      <w:pPr>
        <w:jc w:val="both"/>
        <w:ind w:left="2560" w:hanging="511"/>
        <w:spacing w:after="0"/>
        <w:tabs>
          <w:tab w:leader="none" w:pos="2648" w:val="left"/>
        </w:tabs>
        <w:numPr>
          <w:ilvl w:val="2"/>
          <w:numId w:val="233"/>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counterparty of the Owner under such charter commitment (and guarantee if applicable), and provide the Agent with a copy of the acknowledgement (if received) of such notice by such counterparty;</w:t>
      </w:r>
    </w:p>
    <w:p>
      <w:pPr>
        <w:spacing w:after="0" w:line="184" w:lineRule="exact"/>
        <w:rPr>
          <w:rFonts w:ascii="Arial" w:cs="Arial" w:eastAsia="Arial" w:hAnsi="Arial"/>
          <w:sz w:val="18"/>
          <w:szCs w:val="18"/>
          <w:color w:val="auto"/>
        </w:rPr>
      </w:pPr>
    </w:p>
    <w:p>
      <w:pPr>
        <w:jc w:val="both"/>
        <w:ind w:left="2040" w:hanging="501"/>
        <w:spacing w:after="0" w:line="250" w:lineRule="auto"/>
        <w:tabs>
          <w:tab w:leader="none" w:pos="207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deliver to the Agent such documents and evidence of the type referred to in Schedule 3 (Conditions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any such charter assignment or any other related matter referred to in this clause 22.7(b), as the Agent (acting on the instructions of the Majority Lenders in their sole discretion) shall require; and</w:t>
      </w:r>
    </w:p>
    <w:p>
      <w:pPr>
        <w:spacing w:after="0" w:line="194" w:lineRule="exact"/>
        <w:rPr>
          <w:rFonts w:ascii="Arial" w:cs="Arial" w:eastAsia="Arial" w:hAnsi="Arial"/>
          <w:sz w:val="18"/>
          <w:szCs w:val="18"/>
          <w:color w:val="auto"/>
        </w:rPr>
      </w:pPr>
    </w:p>
    <w:p>
      <w:pPr>
        <w:jc w:val="both"/>
        <w:ind w:left="2040" w:hanging="501"/>
        <w:spacing w:after="0"/>
        <w:tabs>
          <w:tab w:leader="none" w:pos="221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22.7(b); and</w:t>
      </w:r>
    </w:p>
    <w:p>
      <w:pPr>
        <w:spacing w:after="0" w:line="202" w:lineRule="exact"/>
        <w:rPr>
          <w:rFonts w:ascii="Arial" w:cs="Arial" w:eastAsia="Arial" w:hAnsi="Arial"/>
          <w:sz w:val="18"/>
          <w:szCs w:val="18"/>
          <w:color w:val="auto"/>
        </w:rPr>
      </w:pPr>
    </w:p>
    <w:p>
      <w:pPr>
        <w:ind w:left="1560" w:hanging="531"/>
        <w:spacing w:after="0"/>
        <w:tabs>
          <w:tab w:leader="none" w:pos="15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be permitted to place any Ship under any Pool Arrangement provided that:</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it provides evidence of such Ship’s acceptance under the relevant Pool Arrangement; and</w:t>
      </w:r>
    </w:p>
    <w:p>
      <w:pPr>
        <w:spacing w:after="0" w:line="211" w:lineRule="exact"/>
        <w:rPr>
          <w:rFonts w:ascii="Arial" w:cs="Arial" w:eastAsia="Arial" w:hAnsi="Arial"/>
          <w:sz w:val="18"/>
          <w:szCs w:val="18"/>
          <w:color w:val="auto"/>
        </w:rPr>
      </w:pPr>
    </w:p>
    <w:p>
      <w:pPr>
        <w:jc w:val="both"/>
        <w:ind w:left="2040" w:hanging="501"/>
        <w:spacing w:after="0"/>
        <w:tabs>
          <w:tab w:leader="none" w:pos="214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it serves on the relevant counterparties of the relevant Owner under the relevant Pool Arrangement, a notice of assignment of the Earnings of such Ship pursuant to the relevant Deed of Covenant or General Assignment and delivers to the Agent the relevant acknowledgement of such notice, each in an approved form.</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7"/>
          <w:szCs w:val="17"/>
          <w:b w:val="1"/>
          <w:bCs w:val="1"/>
          <w:color w:val="auto"/>
        </w:rPr>
        <w:t>Merchant use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relevant Owner shall use the Ship only as a civil merchant trading ship.</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Sharing of Earnings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 xml:space="preserve">Except with the approval of the Majority Lenders, the relevant Owner shall not enter into any arrangement under which its Earnings from the Ship may be shared with anyone else except under the operations of any commercial pool of LNG carriers (any such pool arrangement, a </w:t>
      </w:r>
      <w:r>
        <w:rPr>
          <w:rFonts w:ascii="Arial" w:cs="Arial" w:eastAsia="Arial" w:hAnsi="Arial"/>
          <w:sz w:val="18"/>
          <w:szCs w:val="18"/>
          <w:b w:val="1"/>
          <w:bCs w:val="1"/>
          <w:color w:val="auto"/>
        </w:rPr>
        <w:t>Pool Arrangement</w:t>
      </w:r>
      <w:r>
        <w:rPr>
          <w:rFonts w:ascii="Arial" w:cs="Arial" w:eastAsia="Arial" w:hAnsi="Arial"/>
          <w:sz w:val="18"/>
          <w:szCs w:val="18"/>
          <w:color w:val="auto"/>
        </w:rPr>
        <w:t>) which is similar on terms, in structure and operations as those of Cool Pool Ltd. (the latter, as had previously been described in more detail by the Obligors to the Lenders in the negotiation of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22.10 Payment of Earnings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relevant Owner’s Earnings from the Ship shall be paid in the way required by the Ship’s General Assignment, Deed of Covenant or any Charter Assignment. If any Earnings are held by brokers or other agents, they shall be paid to the Security Agent or the Agent (as the case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9" w:name="page80"/>
    <w:bookmarkEnd w:id="79"/>
    <w:p>
      <w:pPr>
        <w:ind w:left="520"/>
        <w:spacing w:after="0" w:line="246" w:lineRule="auto"/>
        <w:rPr>
          <w:sz w:val="20"/>
          <w:szCs w:val="20"/>
          <w:color w:val="auto"/>
        </w:rPr>
      </w:pPr>
      <w:r>
        <w:rPr>
          <w:rFonts w:ascii="Arial" w:cs="Arial" w:eastAsia="Arial" w:hAnsi="Arial"/>
          <w:sz w:val="18"/>
          <w:szCs w:val="18"/>
          <w:color w:val="auto"/>
        </w:rPr>
        <w:t>may be), if it requires this after the Earnings have become payable to it under the Ship’s General Assignment, Deed of Covenant or any Charter Assignment.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22.11 Lay up</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22.12 Poseidon Principles</w:t>
      </w:r>
    </w:p>
    <w:p>
      <w:pPr>
        <w:spacing w:after="0" w:line="234" w:lineRule="exact"/>
        <w:rPr>
          <w:sz w:val="20"/>
          <w:szCs w:val="20"/>
          <w:color w:val="auto"/>
        </w:rPr>
      </w:pPr>
    </w:p>
    <w:p>
      <w:pPr>
        <w:jc w:val="both"/>
        <w:ind w:left="1020" w:hanging="512"/>
        <w:spacing w:after="0" w:line="236" w:lineRule="auto"/>
        <w:tabs>
          <w:tab w:leader="none" w:pos="112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Borrowers shall, on or before 31 July in each calendar year, supply or procure the supply to the Agent for the benefit of all Lenders with obligations under the Poseidon Principles all such information provided by the Borrowers to the IMO in the format supplied by the Owners to the IMO, as is necessary in order for any Lenders to comply with their obligations under the Poseidon Principles in respect of the preceding year, including, without limitation, all ship fuel oil consumption data required to be collected and reported in accordance with Regulation 22A of Annex VI and any Statement of Compliance, in each case relating to the Borrowers’ Ships for the preceding calendar year. No Lender shall publicly disclose such information with the identity of any Ship without the prior written consent of the Borrowers. For the avoidance of doubt, such information shall be “Confidential Information” for the purposes of clause 43.1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but the Borrowers acknowledge that, in accordance with the Poseidon Principles, such information will form part of the information published regarding the relevant Lender’s portfolio climate alignment.</w:t>
      </w:r>
    </w:p>
    <w:p>
      <w:pPr>
        <w:spacing w:after="0" w:line="205" w:lineRule="exact"/>
        <w:rPr>
          <w:rFonts w:ascii="Arial" w:cs="Arial" w:eastAsia="Arial" w:hAnsi="Arial"/>
          <w:sz w:val="18"/>
          <w:szCs w:val="18"/>
          <w:color w:val="auto"/>
        </w:rPr>
      </w:pPr>
    </w:p>
    <w:p>
      <w:pPr>
        <w:ind w:left="1040" w:hanging="532"/>
        <w:spacing w:after="0"/>
        <w:tabs>
          <w:tab w:leader="none" w:pos="10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the purposes of this clause:</w:t>
      </w:r>
    </w:p>
    <w:p>
      <w:pPr>
        <w:spacing w:after="0" w:line="189"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Annex VI </w:t>
      </w:r>
      <w:r>
        <w:rPr>
          <w:rFonts w:ascii="Arial" w:cs="Arial" w:eastAsia="Arial" w:hAnsi="Arial"/>
          <w:sz w:val="18"/>
          <w:szCs w:val="18"/>
          <w:color w:val="auto"/>
        </w:rPr>
        <w:t>means Annex VI of the Protocol of 1997 (as subsequently amended from time to time) to amend the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Convention for the Prevention of Pollution from Ships 1973 (Marpol), as modified by the Protocol of 1978 relating thereto.</w:t>
      </w:r>
    </w:p>
    <w:p>
      <w:pPr>
        <w:spacing w:after="0" w:line="153" w:lineRule="exact"/>
        <w:rPr>
          <w:rFonts w:ascii="Arial" w:cs="Arial" w:eastAsia="Arial" w:hAnsi="Arial"/>
          <w:sz w:val="18"/>
          <w:szCs w:val="18"/>
          <w:color w:val="auto"/>
        </w:rPr>
      </w:pPr>
    </w:p>
    <w:p>
      <w:pPr>
        <w:jc w:val="both"/>
        <w:ind w:left="1020"/>
        <w:spacing w:after="0" w:line="247" w:lineRule="auto"/>
        <w:rPr>
          <w:rFonts w:ascii="Arial" w:cs="Arial" w:eastAsia="Arial" w:hAnsi="Arial"/>
          <w:sz w:val="18"/>
          <w:szCs w:val="18"/>
          <w:color w:val="auto"/>
        </w:rPr>
      </w:pPr>
      <w:r>
        <w:rPr>
          <w:rFonts w:ascii="Arial" w:cs="Arial" w:eastAsia="Arial" w:hAnsi="Arial"/>
          <w:sz w:val="18"/>
          <w:szCs w:val="18"/>
          <w:b w:val="1"/>
          <w:bCs w:val="1"/>
          <w:color w:val="auto"/>
        </w:rPr>
        <w:t xml:space="preserve">Poseidon Principles </w:t>
      </w:r>
      <w:r>
        <w:rPr>
          <w:rFonts w:ascii="Arial" w:cs="Arial" w:eastAsia="Arial" w:hAnsi="Arial"/>
          <w:sz w:val="18"/>
          <w:szCs w:val="18"/>
          <w:color w:val="auto"/>
        </w:rPr>
        <w:t>means the financial industry framework for assessing and disclosing the climate alignment of ship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portfolios published on 18 June 2019 as the same may be amended or replaced to reflect changes in applicable law or regulation or the introduction of or changes to mandatory requirements of the International Maritime Organisation from time to time.</w:t>
      </w:r>
    </w:p>
    <w:p>
      <w:pPr>
        <w:spacing w:after="0" w:line="173"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Statement of Compliance </w:t>
      </w:r>
      <w:r>
        <w:rPr>
          <w:rFonts w:ascii="Arial" w:cs="Arial" w:eastAsia="Arial" w:hAnsi="Arial"/>
          <w:sz w:val="18"/>
          <w:szCs w:val="18"/>
          <w:color w:val="auto"/>
        </w:rPr>
        <w:t>means a Statement of Compliance related to fuel oil consumption pursuant to regulations 6.6 and</w:t>
      </w:r>
      <w:r>
        <w:rPr>
          <w:rFonts w:ascii="Arial" w:cs="Arial" w:eastAsia="Arial" w:hAnsi="Arial"/>
          <w:sz w:val="18"/>
          <w:szCs w:val="18"/>
          <w:b w:val="1"/>
          <w:bCs w:val="1"/>
          <w:color w:val="auto"/>
        </w:rPr>
        <w:t xml:space="preserve"> </w:t>
      </w:r>
      <w:r>
        <w:rPr>
          <w:rFonts w:ascii="Arial" w:cs="Arial" w:eastAsia="Arial" w:hAnsi="Arial"/>
          <w:sz w:val="18"/>
          <w:szCs w:val="18"/>
          <w:color w:val="auto"/>
        </w:rPr>
        <w:t>6.7 of Annex VI.</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23  Condition and operation of Ship</w:t>
      </w:r>
    </w:p>
    <w:p>
      <w:pPr>
        <w:spacing w:after="0" w:line="238"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Each Borrower undertakes that this clause 23 will be complied with in relation to each Mortgaged Ship throughout the relevant Ship’s Mortgage Period.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Defined terms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23.1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208" w:lineRule="exact"/>
        <w:rPr>
          <w:sz w:val="20"/>
          <w:szCs w:val="20"/>
          <w:color w:val="auto"/>
        </w:rPr>
      </w:pPr>
    </w:p>
    <w:p>
      <w:pPr>
        <w:ind w:left="520" w:right="20"/>
        <w:spacing w:after="0" w:line="271"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under any applicable law (including but not limited to those currently known as the ISM Code and the ISPS Code).</w:t>
      </w:r>
    </w:p>
    <w:p>
      <w:pPr>
        <w:spacing w:after="0" w:line="154"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 Ship or to its condition or operation at any relevant time.</w:t>
      </w:r>
    </w:p>
    <w:p>
      <w:pPr>
        <w:spacing w:after="0" w:line="154"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in force under any applicable law or any applicable code.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0" w:name="page81"/>
    <w:bookmarkEnd w:id="80"/>
    <w:p>
      <w:pPr>
        <w:spacing w:after="0"/>
        <w:tabs>
          <w:tab w:leader="none" w:pos="5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Repair</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Modification</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Removal of parts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Third party owned equipment</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Maintenance of class; compliance with laws and codes</w:t>
      </w:r>
    </w:p>
    <w:p>
      <w:pPr>
        <w:spacing w:after="0" w:line="234"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The Ship’s class shall be the relevant Classification free of any overdue qualifications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one of DNV GL, American Bureau of Shipping or Lloyd’s Register of Shipping).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 (including but not limited to the Inventory of Hazardous Materials or any other applicable equivalent document required by applicable law provided that if such certificate is not available at the start of the relevant Mortgage Period for a Ship, an Inventory of Hazardous Material will be obtained at the next dry docking for such Ship).</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Surveys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b w:val="1"/>
          <w:bCs w:val="1"/>
          <w:color w:val="auto"/>
        </w:rPr>
        <w:t>Inspection and notice of drydockings</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Agent (acting on the instructions of the Majority Lenders) and/or surveyors appointed by it for such purpose (in consultation with the Borrowers) shall be allowed to board the Ship at all times, subject to reasonable prior notice to the relevant Owner and without hindering the Ship’s continuous, safe and efficient operations, to inspect it and given all proper facilities needed for that purpose. The Agent shall be given reasonable advance notice of any intended drydocking of the Ship (whatever the purpose of that drydocking). The Borrowers shall bear the cost of only one such inspection of the Ship per calendar year unless there is an Event of Default which is continuing or the inspection of the relevant Ship reveals issues in respect of the condition of the Ship that indicate a breach of clause 23.2 (</w:t>
      </w:r>
      <w:r>
        <w:rPr>
          <w:rFonts w:ascii="Arial" w:cs="Arial" w:eastAsia="Arial" w:hAnsi="Arial"/>
          <w:sz w:val="18"/>
          <w:szCs w:val="18"/>
          <w:i w:val="1"/>
          <w:iCs w:val="1"/>
          <w:color w:val="auto"/>
        </w:rPr>
        <w:t>Repair</w:t>
      </w:r>
      <w:r>
        <w:rPr>
          <w:rFonts w:ascii="Arial" w:cs="Arial" w:eastAsia="Arial" w:hAnsi="Arial"/>
          <w:sz w:val="18"/>
          <w:szCs w:val="18"/>
          <w:color w:val="auto"/>
        </w:rPr>
        <w:t>) or 23.6 (</w:t>
      </w:r>
      <w:r>
        <w:rPr>
          <w:rFonts w:ascii="Arial" w:cs="Arial" w:eastAsia="Arial" w:hAnsi="Arial"/>
          <w:sz w:val="18"/>
          <w:szCs w:val="18"/>
          <w:i w:val="1"/>
          <w:iCs w:val="1"/>
          <w:color w:val="auto"/>
        </w:rPr>
        <w:t>Maintenance of class; compliance with laws and codes</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tabs>
          <w:tab w:leader="none" w:pos="50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Prevention of arrest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Release from arrest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its Earnings and Insurances shall be released within fifteen (15) days (or such longer period as may be approved) from any arrest, detention, attachment or levy, and any legal process against the Ship shall be discharged within fifteen (15) days (or such longer period as may be approved), by whatever action is required to achieve that release or discharge.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Information about the Ship</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shall promptly be given any information which it may reasonably require about the Ship or its employment, position, use or operation, including details of towages and salvages, and copies of all its charter commitments entered into by or on behalf of any Obligor or any Manager (other than the Shell Technical Manager) and copies of any applicable operating certificates.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23.12 Notification of certain events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be notified of:</w:t>
      </w:r>
    </w:p>
    <w:p>
      <w:pPr>
        <w:spacing w:after="0" w:line="212" w:lineRule="exact"/>
        <w:rPr>
          <w:sz w:val="20"/>
          <w:szCs w:val="20"/>
          <w:color w:val="auto"/>
        </w:rPr>
      </w:pPr>
    </w:p>
    <w:p>
      <w:pPr>
        <w:ind w:left="1060" w:hanging="552"/>
        <w:spacing w:after="0"/>
        <w:tabs>
          <w:tab w:leader="none" w:pos="10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 for such Ship;</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211" w:lineRule="exact"/>
        <w:rPr>
          <w:rFonts w:ascii="Arial" w:cs="Arial" w:eastAsia="Arial" w:hAnsi="Arial"/>
          <w:sz w:val="18"/>
          <w:szCs w:val="18"/>
          <w:color w:val="auto"/>
        </w:rPr>
      </w:pPr>
    </w:p>
    <w:p>
      <w:pPr>
        <w:ind w:left="1060" w:hanging="552"/>
        <w:spacing w:after="0"/>
        <w:tabs>
          <w:tab w:leader="none" w:pos="10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211" w:lineRule="exact"/>
        <w:rPr>
          <w:rFonts w:ascii="Arial" w:cs="Arial" w:eastAsia="Arial" w:hAnsi="Arial"/>
          <w:sz w:val="18"/>
          <w:szCs w:val="18"/>
          <w:color w:val="auto"/>
        </w:rPr>
      </w:pPr>
    </w:p>
    <w:p>
      <w:pPr>
        <w:ind w:left="1020" w:hanging="512"/>
        <w:spacing w:after="0" w:line="246" w:lineRule="auto"/>
        <w:tabs>
          <w:tab w:leader="none" w:pos="117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96" w:lineRule="exact"/>
        <w:rPr>
          <w:rFonts w:ascii="Arial" w:cs="Arial" w:eastAsia="Arial" w:hAnsi="Arial"/>
          <w:sz w:val="18"/>
          <w:szCs w:val="18"/>
          <w:color w:val="auto"/>
        </w:rPr>
      </w:pPr>
    </w:p>
    <w:p>
      <w:pPr>
        <w:ind w:left="1020" w:hanging="512"/>
        <w:spacing w:after="0" w:line="246" w:lineRule="auto"/>
        <w:tabs>
          <w:tab w:leader="none" w:pos="12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23.13 Payment of outgoings</w:t>
      </w:r>
    </w:p>
    <w:p>
      <w:pPr>
        <w:spacing w:after="0" w:line="234"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23.14 Evidence of payments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relevant Owner are not in any way hindered, to those accounting records when it reasonably requests it and, when it reasonably requires it, shall be given satisfactory evidence that: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ind w:left="1060" w:hanging="552"/>
        <w:spacing w:after="0"/>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211" w:lineRule="exact"/>
        <w:rPr>
          <w:rFonts w:ascii="Arial" w:cs="Arial" w:eastAsia="Arial" w:hAnsi="Arial"/>
          <w:sz w:val="18"/>
          <w:szCs w:val="18"/>
          <w:color w:val="auto"/>
        </w:rPr>
      </w:pPr>
    </w:p>
    <w:p>
      <w:pPr>
        <w:ind w:left="1020" w:right="20" w:hanging="512"/>
        <w:spacing w:after="0" w:line="246" w:lineRule="auto"/>
        <w:tabs>
          <w:tab w:leader="none" w:pos="130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23.15 Repairers’ liens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Except with approval by the Majority Lenders,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23.16 Survey report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the Agent shall be given a report on the seaworthiness and/or safe operation of the Ship, from surveyors or inspectors approved by the Majority Lenders. If any recommendations are made in such a report they shall be complied with in the way and by the time recommended in the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23.17 Lawful use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Ship shall not be employed:</w:t>
      </w:r>
    </w:p>
    <w:p>
      <w:pPr>
        <w:spacing w:after="0" w:line="212" w:lineRule="exact"/>
        <w:rPr>
          <w:sz w:val="20"/>
          <w:szCs w:val="20"/>
          <w:color w:val="auto"/>
        </w:rPr>
      </w:pPr>
    </w:p>
    <w:p>
      <w:pPr>
        <w:ind w:left="1060" w:hanging="552"/>
        <w:spacing w:after="0"/>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212"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23.18 War zones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Ship shall enter or remain in any zone which has been declared a war zone by any government entity or that Ship’s war risk insurers except with prior written notification to the Agent and provided that the Borrowers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24  Insurance</w:t>
      </w:r>
    </w:p>
    <w:p>
      <w:pPr>
        <w:spacing w:after="0" w:line="238"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Borrower undertakes that this clause 24 shall be complied with in relation to each Mortgaged Ship and its Insurances throughout the relevant Ship’s Mortgage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spacing w:after="0"/>
        <w:tabs>
          <w:tab w:leader="none" w:pos="500" w:val="left"/>
        </w:tabs>
        <w:rPr>
          <w:sz w:val="20"/>
          <w:szCs w:val="20"/>
          <w:color w:val="auto"/>
        </w:rPr>
      </w:pPr>
      <w:r>
        <w:rPr>
          <w:rFonts w:ascii="Arial" w:cs="Arial" w:eastAsia="Arial" w:hAnsi="Arial"/>
          <w:sz w:val="18"/>
          <w:szCs w:val="18"/>
          <w:b w:val="1"/>
          <w:bCs w:val="1"/>
          <w:color w:val="auto"/>
        </w:rPr>
        <w:t>24.1</w:t>
        <w:tab/>
        <w:t>Insurance terms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24:</w:t>
      </w:r>
    </w:p>
    <w:p>
      <w:pPr>
        <w:spacing w:after="0" w:line="190"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excess risks </w:t>
      </w:r>
      <w:r>
        <w:rPr>
          <w:rFonts w:ascii="Arial" w:cs="Arial" w:eastAsia="Arial" w:hAnsi="Arial"/>
          <w:sz w:val="18"/>
          <w:szCs w:val="18"/>
          <w:color w:val="auto"/>
        </w:rPr>
        <w:t>means the proportion (if any) of claims for general average, collision liability, salvage and salvage charges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recoverable under the hull and machinery insurances of a vessel in consequence of the value at which the vessel is assessed for the purpose of such claims exceeding its insured value.</w:t>
      </w:r>
    </w:p>
    <w:p>
      <w:pPr>
        <w:spacing w:after="0" w:line="169"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in excess of amounts recoverable under the usual war risk cover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hull and machinery, crew and protection and indemnity risks.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24.2(a) (</w:t>
      </w:r>
      <w:r>
        <w:rPr>
          <w:rFonts w:ascii="Arial" w:cs="Arial" w:eastAsia="Arial" w:hAnsi="Arial"/>
          <w:sz w:val="18"/>
          <w:szCs w:val="18"/>
          <w:i w:val="1"/>
          <w:iCs w:val="1"/>
          <w:color w:val="auto"/>
        </w:rPr>
        <w:t>Coverage required</w:t>
      </w:r>
      <w:r>
        <w:rPr>
          <w:rFonts w:ascii="Arial" w:cs="Arial" w:eastAsia="Arial" w:hAnsi="Arial"/>
          <w:sz w:val="18"/>
          <w:szCs w:val="18"/>
          <w:color w:val="auto"/>
        </w:rPr>
        <w:t>).</w:t>
      </w:r>
    </w:p>
    <w:p>
      <w:pPr>
        <w:spacing w:after="0" w:line="212"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in relation to a Mortgaged Ship, an amount equal at the relevant time to 120% of such proportion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at such time as is equal to the proportion which the market value of such Mortgaged Ship bears to the aggregate of the market values of all of the Mortgaged Ships at the relevant time.</w:t>
      </w:r>
    </w:p>
    <w:p>
      <w:pPr>
        <w:spacing w:after="0" w:line="169"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24.2 Coverage required</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Ship (including its hull and machinery, hull interest, freight interest, disbursements and/or increased value) shall at all times be insured at the Ship’s Owner’s cost:</w:t>
      </w:r>
    </w:p>
    <w:p>
      <w:pPr>
        <w:spacing w:after="0" w:line="197" w:lineRule="exact"/>
        <w:rPr>
          <w:sz w:val="20"/>
          <w:szCs w:val="20"/>
          <w:color w:val="auto"/>
        </w:rPr>
      </w:pPr>
    </w:p>
    <w:p>
      <w:pPr>
        <w:jc w:val="both"/>
        <w:ind w:left="1020" w:hanging="512"/>
        <w:spacing w:after="0" w:line="238" w:lineRule="auto"/>
        <w:tabs>
          <w:tab w:leader="none" w:pos="105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policy shall be for no less than 80% of the agreed value referred to above and (ii) the balance of such agreed value may be covered by increased value insurance of which up to 33.33% may be represented by hull interest and freight interest);</w:t>
      </w:r>
    </w:p>
    <w:p>
      <w:pPr>
        <w:spacing w:after="0" w:line="202" w:lineRule="exact"/>
        <w:rPr>
          <w:rFonts w:ascii="Arial" w:cs="Arial" w:eastAsia="Arial" w:hAnsi="Arial"/>
          <w:sz w:val="18"/>
          <w:szCs w:val="18"/>
          <w:color w:val="auto"/>
        </w:rPr>
      </w:pPr>
    </w:p>
    <w:p>
      <w:pPr>
        <w:jc w:val="both"/>
        <w:ind w:left="1020" w:hanging="512"/>
        <w:spacing w:after="0"/>
        <w:tabs>
          <w:tab w:leader="none" w:pos="112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204" w:lineRule="exact"/>
        <w:rPr>
          <w:rFonts w:ascii="Arial" w:cs="Arial" w:eastAsia="Arial" w:hAnsi="Arial"/>
          <w:sz w:val="18"/>
          <w:szCs w:val="18"/>
          <w:color w:val="auto"/>
        </w:rPr>
      </w:pPr>
    </w:p>
    <w:p>
      <w:pPr>
        <w:ind w:left="1040" w:hanging="532"/>
        <w:spacing w:after="0"/>
        <w:tabs>
          <w:tab w:leader="none" w:pos="10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24.3 Placing of cover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insurance coverage required by clause 24.2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both"/>
        <w:ind w:left="1020" w:hanging="512"/>
        <w:spacing w:after="0" w:line="237" w:lineRule="auto"/>
        <w:tabs>
          <w:tab w:leader="none" w:pos="117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the name of the Ship’s Owner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211" w:lineRule="exact"/>
        <w:rPr>
          <w:rFonts w:ascii="Arial" w:cs="Arial" w:eastAsia="Arial" w:hAnsi="Arial"/>
          <w:sz w:val="18"/>
          <w:szCs w:val="18"/>
          <w:color w:val="auto"/>
        </w:rPr>
      </w:pPr>
    </w:p>
    <w:p>
      <w:pPr>
        <w:jc w:val="both"/>
        <w:ind w:left="1020" w:hanging="512"/>
        <w:spacing w:after="0"/>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202" w:lineRule="exact"/>
        <w:rPr>
          <w:rFonts w:ascii="Arial" w:cs="Arial" w:eastAsia="Arial" w:hAnsi="Arial"/>
          <w:sz w:val="18"/>
          <w:szCs w:val="18"/>
          <w:color w:val="auto"/>
        </w:rPr>
      </w:pPr>
    </w:p>
    <w:p>
      <w:pPr>
        <w:jc w:val="both"/>
        <w:ind w:left="1020" w:hanging="512"/>
        <w:spacing w:after="0" w:line="248" w:lineRule="auto"/>
        <w:tabs>
          <w:tab w:leader="none" w:pos="105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on terms approved by the Agent (acting on the instructions of the Majority Lenders, acting reasonably) (and always applying the terms of the Institute Time Clauses 1/10/1983 or equivalent International Hull Clauses if available in the insurance market) and with insurers or associations approved by the Agent (acting on the instructions of the Majority Lenders).</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Deductibles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aggregate amount of any excess or deductible under the Ship’s hull cover shall not exceed $1,000,000 or any other approved amount.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b w:val="1"/>
          <w:bCs w:val="1"/>
          <w:color w:val="auto"/>
        </w:rPr>
        <w:t>Mortgagee’s insurance</w:t>
      </w:r>
    </w:p>
    <w:p>
      <w:pPr>
        <w:spacing w:after="0" w:line="234" w:lineRule="exact"/>
        <w:rPr>
          <w:sz w:val="20"/>
          <w:szCs w:val="20"/>
          <w:color w:val="auto"/>
        </w:rPr>
      </w:pPr>
    </w:p>
    <w:p>
      <w:pPr>
        <w:jc w:val="both"/>
        <w:ind w:left="1020" w:hanging="512"/>
        <w:spacing w:after="0" w:line="238" w:lineRule="auto"/>
        <w:tabs>
          <w:tab w:leader="none" w:pos="109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Borrowers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up to 120% per cent of the Advances at such time.</w:t>
      </w:r>
    </w:p>
    <w:p>
      <w:pPr>
        <w:spacing w:after="0" w:line="204" w:lineRule="exact"/>
        <w:rPr>
          <w:rFonts w:ascii="Arial" w:cs="Arial" w:eastAsia="Arial" w:hAnsi="Arial"/>
          <w:sz w:val="18"/>
          <w:szCs w:val="18"/>
          <w:color w:val="auto"/>
        </w:rPr>
      </w:pPr>
    </w:p>
    <w:p>
      <w:pPr>
        <w:jc w:val="both"/>
        <w:ind w:left="1020" w:hanging="512"/>
        <w:spacing w:after="0"/>
        <w:tabs>
          <w:tab w:leader="none" w:pos="105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Agent shall take out mortgagee’s interest insurance (on the terms provided under clause 24.5(a)) prior to the first Utilisation for the Ship and keep such mortgagee’s interest insurance in force in respect of the Ship throughout the Mortgage Period of that Ship.</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7"/>
          <w:szCs w:val="17"/>
          <w:b w:val="1"/>
          <w:bCs w:val="1"/>
          <w:color w:val="auto"/>
        </w:rPr>
        <w:t>Fleet liens, set off and cancellations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203" w:lineRule="exact"/>
        <w:rPr>
          <w:sz w:val="20"/>
          <w:szCs w:val="20"/>
          <w:color w:val="auto"/>
        </w:rPr>
      </w:pPr>
    </w:p>
    <w:p>
      <w:pPr>
        <w:ind w:left="1020" w:hanging="512"/>
        <w:spacing w:after="0" w:line="246" w:lineRule="auto"/>
        <w:tabs>
          <w:tab w:leader="none" w:pos="11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(other than other Mortgaged Ships); or</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212"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or the Borrowers shall ensure that hull cover for the Ship and any other Mortgaged Ships is provided under a separate policy from any other vessels.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5" w:name="page86"/>
    <w:bookmarkEnd w:id="85"/>
    <w:p>
      <w:pPr>
        <w:spacing w:after="0"/>
        <w:tabs>
          <w:tab w:leader="none" w:pos="50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7"/>
          <w:szCs w:val="17"/>
          <w:b w:val="1"/>
          <w:bCs w:val="1"/>
          <w:color w:val="auto"/>
        </w:rPr>
        <w:t>Payment of premiums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b w:val="1"/>
          <w:bCs w:val="1"/>
          <w:color w:val="auto"/>
        </w:rPr>
        <w:t>Details of proposed renewal of Insurances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7"/>
          <w:szCs w:val="17"/>
          <w:b w:val="1"/>
          <w:bCs w:val="1"/>
          <w:color w:val="auto"/>
        </w:rPr>
        <w:t>Instructions for renewal</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At least seven (7) days before any of the Ship’s Insurances are due to expire, instructions shall be given to brokers, insurers and associations for them to be renewed or replaced on or before their expiry.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Confirmation of renewal</w:t>
      </w:r>
    </w:p>
    <w:p>
      <w:pPr>
        <w:spacing w:after="0" w:line="234"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color w:val="auto"/>
        </w:rPr>
        <w:t>The Ship’s Insurances shall be renewed upon their expiry in a manner and on terms which comply with this clause 24 and confirmation of such renewal given by approved brokers or insurers which shall be provided to the Agent at least five (5) days (or such shorter period as may be approved) before such expiry.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P&amp;I guarantees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Insurance documents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24.13 Letters of undertaking</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24.14 Insurance Notices and Loss Payable Clauses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its Owner and, unless otherwise approved, each other person assured under the relevant cover (other than the Security Agent or any other Finance Party if it is itself an assured).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24.15 Insurance correspondence</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24.16 Qualifications and exclusions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24.17 Independent report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by the Borrowers with such a report at no cost to the Agent or (if the Agent obtains such a report itself, which it shall be entitled to do) the Borrowers shall reimburse the Agent for the cost of obtaining that report. The Borrowers shall not bear the cost of more than one such report per Ship per calendar year, unless there is an Event of Default.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24.18 Collection of claims</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24.19 Employment of Ship</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24.20 Declarations and returns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24.21 Application of recoveries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24.22 Settlement of claims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claim under the Ship’s Insurances for a Total Loss and any claim for Major Casualty shall only be settled, compromised or abandoned with prior approval of the Majority Lenders.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25 Minimum security value</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undertakes that this clause 25 will be complied with throughout the Facility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tabs>
          <w:tab w:leader="none" w:pos="50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7"/>
          <w:szCs w:val="17"/>
          <w:b w:val="1"/>
          <w:bCs w:val="1"/>
          <w:color w:val="auto"/>
        </w:rPr>
        <w:t>Valuation of assets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For the purpose of the Finance Documents, the value at any time of any Mortgaged Ship or a Ship before any Utilisation obtained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 over which additional security is provided under clause 25.13 (</w:t>
      </w:r>
      <w:r>
        <w:rPr>
          <w:rFonts w:ascii="Arial" w:cs="Arial" w:eastAsia="Arial" w:hAnsi="Arial"/>
          <w:sz w:val="18"/>
          <w:szCs w:val="18"/>
          <w:i w:val="1"/>
          <w:iCs w:val="1"/>
          <w:color w:val="auto"/>
        </w:rPr>
        <w:t>Creation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security</w:t>
      </w:r>
      <w:r>
        <w:rPr>
          <w:rFonts w:ascii="Arial" w:cs="Arial" w:eastAsia="Arial" w:hAnsi="Arial"/>
          <w:sz w:val="18"/>
          <w:szCs w:val="18"/>
          <w:color w:val="auto"/>
        </w:rPr>
        <w:t>), will be its value as most recently determined in accordance with this clause 25 or, if no such value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its value determined under any valuation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Valuation frequency</w:t>
      </w:r>
    </w:p>
    <w:p>
      <w:pPr>
        <w:spacing w:after="0" w:line="234" w:lineRule="exact"/>
        <w:rPr>
          <w:sz w:val="20"/>
          <w:szCs w:val="20"/>
          <w:color w:val="auto"/>
        </w:rPr>
      </w:pPr>
    </w:p>
    <w:p>
      <w:pPr>
        <w:ind w:left="1060" w:hanging="552"/>
        <w:spacing w:after="0"/>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Borrowers shall provide valuations to the Agent at the following times:</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respect of the Utilisation of each Advance, dated not earlier than six (6) weeks prior to that Utilisation; and</w:t>
      </w:r>
    </w:p>
    <w:p>
      <w:pPr>
        <w:spacing w:after="0" w:line="211" w:lineRule="exact"/>
        <w:rPr>
          <w:rFonts w:ascii="Arial" w:cs="Arial" w:eastAsia="Arial" w:hAnsi="Arial"/>
          <w:sz w:val="18"/>
          <w:szCs w:val="18"/>
          <w:color w:val="auto"/>
        </w:rPr>
      </w:pPr>
    </w:p>
    <w:p>
      <w:pPr>
        <w:ind w:left="1020" w:right="140" w:firstLine="9"/>
        <w:spacing w:after="0" w:line="474" w:lineRule="auto"/>
        <w:tabs>
          <w:tab w:leader="none" w:pos="154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semi-annually, dated not earlier than six (6) weeks before 30 June and 31 December of each calendar year respectively, and in each case otherwise in accordance with this clause 25.</w:t>
      </w:r>
    </w:p>
    <w:p>
      <w:pPr>
        <w:spacing w:after="0" w:line="1" w:lineRule="exact"/>
        <w:rPr>
          <w:rFonts w:ascii="Arial" w:cs="Arial" w:eastAsia="Arial" w:hAnsi="Arial"/>
          <w:sz w:val="18"/>
          <w:szCs w:val="18"/>
          <w:color w:val="auto"/>
        </w:rPr>
      </w:pPr>
    </w:p>
    <w:p>
      <w:pPr>
        <w:jc w:val="both"/>
        <w:ind w:left="1020" w:hanging="512"/>
        <w:spacing w:after="0" w:line="245" w:lineRule="auto"/>
        <w:tabs>
          <w:tab w:leader="none" w:pos="159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addition to the valuations required pursuant to paragraph (a) above and clause 19.2(a) (</w:t>
      </w:r>
      <w:r>
        <w:rPr>
          <w:rFonts w:ascii="Arial" w:cs="Arial" w:eastAsia="Arial" w:hAnsi="Arial"/>
          <w:sz w:val="18"/>
          <w:szCs w:val="18"/>
          <w:i w:val="1"/>
          <w:iCs w:val="1"/>
          <w:color w:val="auto"/>
        </w:rPr>
        <w:t>Provision and contents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Compliance Certificates and valuations</w:t>
      </w:r>
      <w:r>
        <w:rPr>
          <w:rFonts w:ascii="Arial" w:cs="Arial" w:eastAsia="Arial" w:hAnsi="Arial"/>
          <w:sz w:val="18"/>
          <w:szCs w:val="18"/>
          <w:color w:val="auto"/>
        </w:rPr>
        <w:t>), a valuation of each Mortgaged Ship or (before any Utilisation) each Ship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such other asset in accordance with this clause 25 may be required by the Majority Lenders at any time (but in any event not less frequently than twice per calendar year).</w:t>
      </w:r>
    </w:p>
    <w:p>
      <w:pPr>
        <w:spacing w:after="0" w:line="17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b w:val="1"/>
          <w:bCs w:val="1"/>
          <w:color w:val="auto"/>
        </w:rPr>
        <w:t>Expenses of valuation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shall bear, and reimburse to the Agent where incurred by the Agent, all costs and expenses of providing such a valuation under this clause 25 and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provided however that if no Event of Default has occurred and is continuing the Borrowers shall bear the cost of the valuations of each</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Mortgaged Ship only twice per calendar year (save for any valuations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b w:val="1"/>
          <w:bCs w:val="1"/>
          <w:color w:val="auto"/>
        </w:rPr>
        <w:t>Valuations procedure</w:t>
      </w:r>
    </w:p>
    <w:p>
      <w:pPr>
        <w:spacing w:after="0" w:line="234" w:lineRule="exact"/>
        <w:rPr>
          <w:sz w:val="20"/>
          <w:szCs w:val="20"/>
          <w:color w:val="auto"/>
        </w:rPr>
      </w:pPr>
    </w:p>
    <w:p>
      <w:pPr>
        <w:jc w:val="both"/>
        <w:ind w:left="1020" w:hanging="512"/>
        <w:spacing w:after="0"/>
        <w:tabs>
          <w:tab w:leader="none" w:pos="116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value of (i) any Mortgaged Ship (namely, after the first Utilisation under this Agreement) and (ii) each Ship before the first Utilisation under this Agreement, shall be determined in accordance with, and by valuers approved and appointed in accordance with, this clause 25.</w:t>
      </w:r>
    </w:p>
    <w:p>
      <w:pPr>
        <w:spacing w:after="0" w:line="184" w:lineRule="exact"/>
        <w:rPr>
          <w:rFonts w:ascii="Arial" w:cs="Arial" w:eastAsia="Arial" w:hAnsi="Arial"/>
          <w:sz w:val="18"/>
          <w:szCs w:val="18"/>
          <w:color w:val="auto"/>
        </w:rPr>
      </w:pPr>
    </w:p>
    <w:p>
      <w:pPr>
        <w:jc w:val="both"/>
        <w:ind w:left="1020" w:hanging="512"/>
        <w:spacing w:after="0" w:line="250" w:lineRule="auto"/>
        <w:tabs>
          <w:tab w:leader="none" w:pos="112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Additional security provided under clause 25.12(a)(i) (</w:t>
      </w:r>
      <w:r>
        <w:rPr>
          <w:rFonts w:ascii="Arial" w:cs="Arial" w:eastAsia="Arial" w:hAnsi="Arial"/>
          <w:sz w:val="18"/>
          <w:szCs w:val="18"/>
          <w:i w:val="1"/>
          <w:iCs w:val="1"/>
          <w:color w:val="auto"/>
        </w:rPr>
        <w:t>Security Shortfall</w:t>
      </w:r>
      <w:r>
        <w:rPr>
          <w:rFonts w:ascii="Arial" w:cs="Arial" w:eastAsia="Arial" w:hAnsi="Arial"/>
          <w:sz w:val="18"/>
          <w:szCs w:val="18"/>
          <w:color w:val="auto"/>
        </w:rPr>
        <w:t>) shall be valued in such a way, on such a basis and by such persons (including the Agent itself) as determined in accordance with clause 25.13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or as may otherwise be agreed in writing by the Borrowers and the Agent (on the instructions of all Lenders).</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7"/>
          <w:szCs w:val="17"/>
          <w:b w:val="1"/>
          <w:bCs w:val="1"/>
          <w:color w:val="auto"/>
        </w:rPr>
        <w:t>Currency of valuation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spacing w:after="0"/>
        <w:tabs>
          <w:tab w:leader="none" w:pos="50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7"/>
          <w:szCs w:val="17"/>
          <w:b w:val="1"/>
          <w:bCs w:val="1"/>
          <w:color w:val="auto"/>
        </w:rPr>
        <w:t>Basis of valuation</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Unless otherwise approved in accordance with clause 25.4(b)(</w:t>
      </w:r>
      <w:r>
        <w:rPr>
          <w:rFonts w:ascii="Arial" w:cs="Arial" w:eastAsia="Arial" w:hAnsi="Arial"/>
          <w:sz w:val="18"/>
          <w:szCs w:val="18"/>
          <w:i w:val="1"/>
          <w:iCs w:val="1"/>
          <w:color w:val="auto"/>
        </w:rPr>
        <w:t>Valuations procedure</w:t>
      </w:r>
      <w:r>
        <w:rPr>
          <w:rFonts w:ascii="Arial" w:cs="Arial" w:eastAsia="Arial" w:hAnsi="Arial"/>
          <w:sz w:val="18"/>
          <w:szCs w:val="18"/>
          <w:color w:val="auto"/>
        </w:rPr>
        <w:t>) or clause 25.13(a) (</w:t>
      </w:r>
      <w:r>
        <w:rPr>
          <w:rFonts w:ascii="Arial" w:cs="Arial" w:eastAsia="Arial" w:hAnsi="Arial"/>
          <w:sz w:val="18"/>
          <w:szCs w:val="18"/>
          <w:i w:val="1"/>
          <w:iCs w:val="1"/>
          <w:color w:val="auto"/>
        </w:rPr>
        <w:t>Creation of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each valuation will be addressed to the Agent in its capacity as such, it will be, not more than six (6) weeks old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to the Agent or from the date on which it is to be delivered and made:</w:t>
      </w:r>
    </w:p>
    <w:p>
      <w:pPr>
        <w:spacing w:after="0" w:line="195" w:lineRule="exact"/>
        <w:rPr>
          <w:sz w:val="20"/>
          <w:szCs w:val="20"/>
          <w:color w:val="auto"/>
        </w:rPr>
      </w:pPr>
    </w:p>
    <w:p>
      <w:pPr>
        <w:ind w:left="1060" w:hanging="552"/>
        <w:spacing w:after="0"/>
        <w:tabs>
          <w:tab w:leader="none" w:pos="10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211" w:lineRule="exact"/>
        <w:rPr>
          <w:rFonts w:ascii="Arial" w:cs="Arial" w:eastAsia="Arial" w:hAnsi="Arial"/>
          <w:sz w:val="18"/>
          <w:szCs w:val="18"/>
          <w:color w:val="auto"/>
        </w:rPr>
      </w:pPr>
    </w:p>
    <w:p>
      <w:pPr>
        <w:ind w:left="1020" w:hanging="512"/>
        <w:spacing w:after="0" w:line="246" w:lineRule="auto"/>
        <w:tabs>
          <w:tab w:leader="none" w:pos="120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7"/>
          <w:szCs w:val="17"/>
          <w:b w:val="1"/>
          <w:bCs w:val="1"/>
          <w:color w:val="auto"/>
        </w:rPr>
        <w:t>Information required for valuation</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Borrowers shall promptly provide to the Agent and any such valuer any information which they reasonably require for the purposes of providing such a valuation.</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25.8</w:t>
        <w:tab/>
        <w:t>Approved Brokers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All valuers must be Approved Brokers. The Agent may from time to time notify the Borrowers and the Lenders of any additional independent ship brokers which have been approved by the Borrowers and the Agent (acting on the instructions of the Majority Lenders) as Approved Brokers for the purposes of this clause 25 and this Agreement, and the Majority Lenders may from time to time request the replacement of an Approved Broker.</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7"/>
          <w:szCs w:val="17"/>
          <w:b w:val="1"/>
          <w:bCs w:val="1"/>
          <w:color w:val="auto"/>
        </w:rPr>
        <w:t>Appointment of Approved Brokers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When a valuation is required for the purposes of this clause 25, the Borrowers shall promptly appoint the relevant Approved Brokers to provide such a valuation. If the Borrowers fail to do so promptly, the Agent may appoint the relevant Approved Brokers to provide that valuation.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Number of valuers</w:t>
      </w:r>
    </w:p>
    <w:p>
      <w:pPr>
        <w:spacing w:after="0" w:line="234" w:lineRule="exact"/>
        <w:rPr>
          <w:sz w:val="20"/>
          <w:szCs w:val="20"/>
          <w:color w:val="auto"/>
        </w:rPr>
      </w:pPr>
    </w:p>
    <w:p>
      <w:pPr>
        <w:ind w:left="1020" w:right="20" w:hanging="512"/>
        <w:spacing w:after="0" w:line="246"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Borrowers. If the Borrowers fail promptly to nominate an Approved Broker then the Agent may nominate that valuer.</w:t>
      </w:r>
    </w:p>
    <w:p>
      <w:pPr>
        <w:spacing w:after="0" w:line="196" w:lineRule="exact"/>
        <w:rPr>
          <w:rFonts w:ascii="Arial" w:cs="Arial" w:eastAsia="Arial" w:hAnsi="Arial"/>
          <w:sz w:val="18"/>
          <w:szCs w:val="18"/>
          <w:color w:val="auto"/>
        </w:rPr>
      </w:pPr>
    </w:p>
    <w:p>
      <w:pPr>
        <w:jc w:val="both"/>
        <w:ind w:left="1020" w:hanging="512"/>
        <w:spacing w:after="0" w:line="243" w:lineRule="auto"/>
        <w:tabs>
          <w:tab w:leader="none" w:pos="103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two (2) valuations of a Ship made by two (2) Approved Brokers vary by more than 15%, then a third Approved Broker must be nominated by the Borrowers to provide a valuation of such Ship. If the Borrowers fail to promptly nominate such third Approved Broker within four (4) Business Days’ of the Agent’s request to do so, then the Agent (acting on the instructions of the Majority Lenders) may nominate that third Approved Broker.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25.11 Differences in valuations</w:t>
      </w:r>
    </w:p>
    <w:p>
      <w:pPr>
        <w:spacing w:after="0" w:line="234" w:lineRule="exact"/>
        <w:rPr>
          <w:sz w:val="20"/>
          <w:szCs w:val="20"/>
          <w:color w:val="auto"/>
        </w:rPr>
      </w:pPr>
    </w:p>
    <w:p>
      <w:pPr>
        <w:ind w:left="1020" w:hanging="512"/>
        <w:spacing w:after="0" w:line="246" w:lineRule="auto"/>
        <w:tabs>
          <w:tab w:leader="none" w:pos="139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valuations provided by different Approved Brokers differ, the value of the relevant Ship for the purposes of the Finance Documents will be the mean average of those valuations.</w:t>
      </w:r>
    </w:p>
    <w:p>
      <w:pPr>
        <w:spacing w:after="0" w:line="196" w:lineRule="exact"/>
        <w:rPr>
          <w:rFonts w:ascii="Arial" w:cs="Arial" w:eastAsia="Arial" w:hAnsi="Arial"/>
          <w:sz w:val="18"/>
          <w:szCs w:val="18"/>
          <w:color w:val="auto"/>
        </w:rPr>
      </w:pPr>
    </w:p>
    <w:p>
      <w:pPr>
        <w:ind w:left="1020" w:hanging="512"/>
        <w:spacing w:after="0" w:line="246" w:lineRule="auto"/>
        <w:tabs>
          <w:tab w:leader="none" w:pos="10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a Ship, the value of such Ship for the purposes of the Finance Documents will be the mean average of the values comprising such range.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Security shortfall</w:t>
      </w:r>
    </w:p>
    <w:p>
      <w:pPr>
        <w:spacing w:after="0" w:line="234" w:lineRule="exact"/>
        <w:rPr>
          <w:sz w:val="20"/>
          <w:szCs w:val="20"/>
          <w:color w:val="auto"/>
        </w:rPr>
      </w:pPr>
    </w:p>
    <w:p>
      <w:pPr>
        <w:ind w:left="1020" w:hanging="512"/>
        <w:spacing w:after="0" w:line="246" w:lineRule="auto"/>
        <w:tabs>
          <w:tab w:leader="none" w:pos="108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at any time the Security Value in respect of an Advance is less than the Minimum Value for that Advance, the Agent may, and shall, if so directed by the Majority Lenders, 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both"/>
        <w:ind w:left="1040"/>
        <w:spacing w:after="0"/>
        <w:rPr>
          <w:sz w:val="20"/>
          <w:szCs w:val="20"/>
          <w:color w:val="auto"/>
        </w:rPr>
      </w:pPr>
      <w:r>
        <w:rPr>
          <w:rFonts w:ascii="Arial" w:cs="Arial" w:eastAsia="Arial" w:hAnsi="Arial"/>
          <w:sz w:val="18"/>
          <w:szCs w:val="18"/>
          <w:color w:val="auto"/>
        </w:rPr>
        <w:t>notice to the Borrowers require that such deficiency be remedied. The Borrowers shall then within thirty (30) days of receipt of such notice ensure that the Security Value for each Advance equals or exceeds the applicable Minimum Value for the relevant Advance. For this purpose, the Borrowers may:</w:t>
      </w:r>
    </w:p>
    <w:p>
      <w:pPr>
        <w:spacing w:after="0" w:line="203" w:lineRule="exact"/>
        <w:rPr>
          <w:sz w:val="20"/>
          <w:szCs w:val="20"/>
          <w:color w:val="auto"/>
        </w:rPr>
      </w:pPr>
    </w:p>
    <w:p>
      <w:pPr>
        <w:ind w:left="1540" w:right="20" w:hanging="511"/>
        <w:spacing w:after="0" w:line="246" w:lineRule="auto"/>
        <w:tabs>
          <w:tab w:leader="none" w:pos="189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provide additional security in respect of that Advance over cash, and/or, following the approval of all Lenders, other assets, in accordance with this clause 25; or</w:t>
      </w:r>
    </w:p>
    <w:p>
      <w:pPr>
        <w:spacing w:after="0" w:line="178" w:lineRule="exact"/>
        <w:rPr>
          <w:rFonts w:ascii="Arial" w:cs="Arial" w:eastAsia="Arial" w:hAnsi="Arial"/>
          <w:sz w:val="18"/>
          <w:szCs w:val="18"/>
          <w:color w:val="auto"/>
        </w:rPr>
      </w:pPr>
    </w:p>
    <w:p>
      <w:pPr>
        <w:ind w:left="1560" w:hanging="531"/>
        <w:spacing w:after="0"/>
        <w:tabs>
          <w:tab w:leader="none" w:pos="15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prepay a sufficient part of that Advance under clause 7.4(c)(</w:t>
      </w:r>
      <w:r>
        <w:rPr>
          <w:rFonts w:ascii="Arial" w:cs="Arial" w:eastAsia="Arial" w:hAnsi="Arial"/>
          <w:sz w:val="18"/>
          <w:szCs w:val="18"/>
          <w:i w:val="1"/>
          <w:iCs w:val="1"/>
          <w:color w:val="auto"/>
        </w:rPr>
        <w:t>Voluntary prepayment</w:t>
      </w:r>
      <w:r>
        <w:rPr>
          <w:rFonts w:ascii="Arial" w:cs="Arial" w:eastAsia="Arial" w:hAnsi="Arial"/>
          <w:sz w:val="18"/>
          <w:szCs w:val="18"/>
          <w:color w:val="auto"/>
        </w:rPr>
        <w:t>).</w:t>
      </w:r>
    </w:p>
    <w:p>
      <w:pPr>
        <w:spacing w:after="0" w:line="230" w:lineRule="exact"/>
        <w:rPr>
          <w:sz w:val="20"/>
          <w:szCs w:val="20"/>
          <w:color w:val="auto"/>
        </w:rPr>
      </w:pPr>
    </w:p>
    <w:p>
      <w:pPr>
        <w:ind w:left="1020" w:hanging="512"/>
        <w:spacing w:after="0" w:line="246" w:lineRule="auto"/>
        <w:tabs>
          <w:tab w:leader="none" w:pos="108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prepayment pursuant to clause 25.12(a)(ii), shall be made without any requirement as to any minimum amount required by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Creation of additional security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value of any additional security which the Borrowers offer to provide to remedy all or part of a shortfall in the amount of the Security Value in respect of an Advance will only be taken into account for the purposes of determining the Security Value for that Advance if and when:</w:t>
      </w:r>
    </w:p>
    <w:p>
      <w:pPr>
        <w:spacing w:after="0" w:line="203" w:lineRule="exact"/>
        <w:rPr>
          <w:sz w:val="20"/>
          <w:szCs w:val="20"/>
          <w:color w:val="auto"/>
        </w:rPr>
      </w:pPr>
    </w:p>
    <w:p>
      <w:pPr>
        <w:ind w:left="1020" w:hanging="512"/>
        <w:spacing w:after="0" w:line="246" w:lineRule="auto"/>
        <w:tabs>
          <w:tab w:leader="none" w:pos="113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additional security and the asset over which it is created, its value and the method of its valuation have been approved by all Lenders (except in the case of otherwise approved first ranking security over cash in Dollars which shall be valued at par);</w:t>
      </w:r>
    </w:p>
    <w:p>
      <w:pPr>
        <w:spacing w:after="0" w:line="196"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37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this Agreement has been unconditionally amended with such consequential amendments as required by the Agent acting reasonably; and</w:t>
      </w:r>
    </w:p>
    <w:p>
      <w:pPr>
        <w:spacing w:after="0" w:line="196" w:lineRule="exact"/>
        <w:rPr>
          <w:rFonts w:ascii="Arial" w:cs="Arial" w:eastAsia="Arial" w:hAnsi="Arial"/>
          <w:sz w:val="18"/>
          <w:szCs w:val="18"/>
          <w:color w:val="auto"/>
        </w:rPr>
      </w:pPr>
    </w:p>
    <w:p>
      <w:pPr>
        <w:jc w:val="both"/>
        <w:ind w:left="1020" w:hanging="512"/>
        <w:spacing w:after="0"/>
        <w:tabs>
          <w:tab w:leader="none" w:pos="121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that amendment and additional security and its execution and (if applicable) registration.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25.14 Security release</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Security Value in respect of an Advance shall at any time exceed the Minimum Value for such Advance, and the Borrowers shall previously have provided further security to the Security Agent and/or the other Finance Parties pursuant to clause 25.12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shortfall</w:t>
      </w:r>
      <w:r>
        <w:rPr>
          <w:rFonts w:ascii="Arial" w:cs="Arial" w:eastAsia="Arial" w:hAnsi="Arial"/>
          <w:sz w:val="18"/>
          <w:szCs w:val="18"/>
          <w:color w:val="auto"/>
        </w:rPr>
        <w:t>), the Security Agent (on the instructions of the Agent) and the other Finance Parties shall, as soon as reasonably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after notice from the Borrowers to do so and subject to being indemnified to their satisfaction against the cost of doing so, procure the release of any such further security specified by the Borrowers provided that the Agent (acting on the instructions of the Majority Lenders) is satisfied that, immediately following such release, the Security Value for that Advance will equal or exceed the Minimum Value for that Advance and no other Event of Default shall have occurred and be continuing.</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26 Chartering undertakings</w:t>
      </w:r>
    </w:p>
    <w:p>
      <w:pPr>
        <w:spacing w:after="0" w:line="238"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Each Borrower undertakes that this clause 26 will be complied with in relation to each Mortgaged Ship throughout the relevant Ship’s Mortgage Period.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7"/>
          <w:szCs w:val="17"/>
          <w:b w:val="1"/>
          <w:bCs w:val="1"/>
          <w:color w:val="auto"/>
        </w:rPr>
        <w:t>Variations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for variations which (a) reduce the tenor of a Charter, (b) reduce the applicable charter rate in respect of the firm tenor of a Charter, (c) result in a charter rate during an extension of the tenor of a Charter which is materially less beneficial to the relevant Owner than the terms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both"/>
        <w:ind w:left="520"/>
        <w:spacing w:after="0" w:line="236" w:lineRule="auto"/>
        <w:rPr>
          <w:sz w:val="20"/>
          <w:szCs w:val="20"/>
          <w:color w:val="auto"/>
        </w:rPr>
      </w:pPr>
      <w:r>
        <w:rPr>
          <w:rFonts w:ascii="Arial" w:cs="Arial" w:eastAsia="Arial" w:hAnsi="Arial"/>
          <w:sz w:val="18"/>
          <w:szCs w:val="18"/>
          <w:color w:val="auto"/>
        </w:rPr>
        <w:t>which at the time could be reasonably expected to be obtained on the open market for vessels of the same age and type as the relevant Ship and for charter commitments of a similar type and period, (d) in connection with the extension of a Charter would result in the Charterer being a Non-Acceptable Charterer, (e) change the scheduled dates for payment of charter hire under a Charter by more than 30 days or change the payment terms to payments in arrear, (f) result in any assignment, transfer or novation of a Charter Document whether from the relevant Owner or the relevant Charterer (an Owner shall be entitled to novate a Charter Document to the Owner of another Ship (which is no longer subject to a Charter due to expiry of its tenor) subject to such novatee assigning the benefit of such novated Charter Document to the Security Agent and satisfying the provisions of clauses 22.7(b) (</w:t>
      </w:r>
      <w:r>
        <w:rPr>
          <w:rFonts w:ascii="Arial" w:cs="Arial" w:eastAsia="Arial" w:hAnsi="Arial"/>
          <w:sz w:val="18"/>
          <w:szCs w:val="18"/>
          <w:i w:val="1"/>
          <w:iCs w:val="1"/>
          <w:color w:val="auto"/>
        </w:rPr>
        <w:t>Chartering</w:t>
      </w:r>
      <w:r>
        <w:rPr>
          <w:rFonts w:ascii="Arial" w:cs="Arial" w:eastAsia="Arial" w:hAnsi="Arial"/>
          <w:sz w:val="18"/>
          <w:szCs w:val="18"/>
          <w:color w:val="auto"/>
        </w:rPr>
        <w:t>) which shall apply to this clause mutatis mutandis as set out in full herein), (g) would result in the conversion of a Charter to a bareboat charter or an arrangement under which operational control over the Ship is passed to another person (unless operational control is passed to the Ship’s Technical Manager), (h) affect termination rights under a Charter or (i) would change the governing law, jurisdiction, assignability or mortgagee quiet enjoyment provisions of a Charter, where, in each case, Majority Lender approval shall be required, each Owner shall be entitled to amend or vary a Charter without approval. The relevant Owner shall notify the Agent of any variation of a Charter promptly upon such variation having been effected.</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b w:val="1"/>
          <w:bCs w:val="1"/>
          <w:color w:val="auto"/>
        </w:rPr>
        <w:t>Releases and waivers</w:t>
      </w:r>
    </w:p>
    <w:p>
      <w:pPr>
        <w:spacing w:after="0" w:line="216" w:lineRule="exact"/>
        <w:rPr>
          <w:sz w:val="20"/>
          <w:szCs w:val="20"/>
          <w:color w:val="auto"/>
        </w:rPr>
      </w:pPr>
    </w:p>
    <w:p>
      <w:pPr>
        <w:jc w:val="both"/>
        <w:ind w:left="520"/>
        <w:spacing w:after="0" w:line="267" w:lineRule="auto"/>
        <w:rPr>
          <w:sz w:val="20"/>
          <w:szCs w:val="20"/>
          <w:color w:val="auto"/>
        </w:rPr>
      </w:pPr>
      <w:r>
        <w:rPr>
          <w:rFonts w:ascii="Arial" w:cs="Arial" w:eastAsia="Arial" w:hAnsi="Arial"/>
          <w:sz w:val="18"/>
          <w:szCs w:val="18"/>
          <w:color w:val="auto"/>
        </w:rPr>
        <w:t>Subject to clause 26.1(</w:t>
      </w:r>
      <w:r>
        <w:rPr>
          <w:rFonts w:ascii="Arial" w:cs="Arial" w:eastAsia="Arial" w:hAnsi="Arial"/>
          <w:sz w:val="18"/>
          <w:szCs w:val="18"/>
          <w:i w:val="1"/>
          <w:iCs w:val="1"/>
          <w:color w:val="auto"/>
        </w:rPr>
        <w:t>Variations</w:t>
      </w:r>
      <w:r>
        <w:rPr>
          <w:rFonts w:ascii="Arial" w:cs="Arial" w:eastAsia="Arial" w:hAnsi="Arial"/>
          <w:sz w:val="18"/>
          <w:szCs w:val="18"/>
          <w:color w:val="auto"/>
        </w:rPr>
        <w:t>), an Owner may release any obligation of any other person under the Charter Documents, waive any breach of any such obligation or consent to anything which would otherwise be such a breach.</w:t>
      </w:r>
    </w:p>
    <w:p>
      <w:pPr>
        <w:spacing w:after="0" w:line="1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b w:val="1"/>
          <w:bCs w:val="1"/>
          <w:color w:val="auto"/>
        </w:rPr>
        <w:t>Termination by Owner</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Subject to clause 29.20 (</w:t>
      </w:r>
      <w:r>
        <w:rPr>
          <w:rFonts w:ascii="Arial" w:cs="Arial" w:eastAsia="Arial" w:hAnsi="Arial"/>
          <w:sz w:val="18"/>
          <w:szCs w:val="18"/>
          <w:i w:val="1"/>
          <w:iCs w:val="1"/>
          <w:color w:val="auto"/>
        </w:rPr>
        <w:t>Charters</w:t>
      </w:r>
      <w:r>
        <w:rPr>
          <w:rFonts w:ascii="Arial" w:cs="Arial" w:eastAsia="Arial" w:hAnsi="Arial"/>
          <w:sz w:val="18"/>
          <w:szCs w:val="18"/>
          <w:color w:val="auto"/>
        </w:rPr>
        <w:t>) and unless an Event of Default has occurred and is continuing, each Owner shall be entitled, with prior notice to the Agent, to terminate or rescind any Charter Document or withdraw the Ship from service under the Charter or take any similar action.</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7"/>
          <w:szCs w:val="17"/>
          <w:b w:val="1"/>
          <w:bCs w:val="1"/>
          <w:color w:val="auto"/>
        </w:rPr>
        <w:t>Charter performance</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relevant Owner shall perform its obligations under the Charter Documents and use its reasonable endeavours to ensure that each other party to them performs their obligations under the Charter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7"/>
          <w:szCs w:val="17"/>
          <w:b w:val="1"/>
          <w:bCs w:val="1"/>
          <w:color w:val="auto"/>
        </w:rPr>
        <w:t>Notice of assignment</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relevant Owner shall give notice of assignment of the Charter Documents to the other parties to such documents promptly upon execution of the relevant Charter Assignment in the form specified by the relevant Charter Assignment for that Ship and shall ensure that the Agent receives a copy of that notice acknowledged by each addressee in the form specified therein and any relevant Quiet Enjoyment Agreement as soon as practically possible after the relevant Charter Assignment has been executed by the Security Agent and any relevant counterparty to such documents, and in any event at the times required under clause 4.1 (</w:t>
      </w:r>
      <w:r>
        <w:rPr>
          <w:rFonts w:ascii="Arial" w:cs="Arial" w:eastAsia="Arial" w:hAnsi="Arial"/>
          <w:sz w:val="18"/>
          <w:szCs w:val="18"/>
          <w:i w:val="1"/>
          <w:iCs w:val="1"/>
          <w:color w:val="auto"/>
        </w:rPr>
        <w:t>Conditions precedent to</w:t>
      </w:r>
      <w:r>
        <w:rPr>
          <w:rFonts w:ascii="Arial" w:cs="Arial" w:eastAsia="Arial" w:hAnsi="Arial"/>
          <w:sz w:val="18"/>
          <w:szCs w:val="18"/>
          <w:color w:val="auto"/>
        </w:rPr>
        <w:t xml:space="preserve"> </w:t>
      </w:r>
      <w:r>
        <w:rPr>
          <w:rFonts w:ascii="Arial" w:cs="Arial" w:eastAsia="Arial" w:hAnsi="Arial"/>
          <w:sz w:val="18"/>
          <w:szCs w:val="18"/>
          <w:i w:val="1"/>
          <w:iCs w:val="1"/>
          <w:color w:val="auto"/>
        </w:rPr>
        <w:t>first Utilisation and to each further Utilisations</w:t>
      </w:r>
      <w:r>
        <w:rPr>
          <w:rFonts w:ascii="Arial" w:cs="Arial" w:eastAsia="Arial" w:hAnsi="Arial"/>
          <w:sz w:val="18"/>
          <w:szCs w:val="18"/>
          <w:color w:val="auto"/>
        </w:rPr>
        <w:t>) and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applicable.</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7"/>
          <w:szCs w:val="17"/>
          <w:b w:val="1"/>
          <w:bCs w:val="1"/>
          <w:color w:val="auto"/>
        </w:rPr>
        <w:t>Payment of Charter Earnings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Earnings which the relevant Owner is entitled to receive under the Charter Documents shall be paid into the relevant Owner’s Earnings Account or, following an Event of Default, in the manner required by the Security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7"/>
          <w:szCs w:val="17"/>
          <w:b w:val="1"/>
          <w:bCs w:val="1"/>
          <w:color w:val="auto"/>
        </w:rPr>
        <w:t>Quiet Enjoyment</w:t>
      </w:r>
    </w:p>
    <w:p>
      <w:pPr>
        <w:spacing w:after="0" w:line="216" w:lineRule="exact"/>
        <w:rPr>
          <w:sz w:val="20"/>
          <w:szCs w:val="20"/>
          <w:color w:val="auto"/>
        </w:rPr>
      </w:pPr>
    </w:p>
    <w:p>
      <w:pPr>
        <w:jc w:val="both"/>
        <w:ind w:left="520"/>
        <w:spacing w:after="0" w:line="267" w:lineRule="auto"/>
        <w:rPr>
          <w:sz w:val="20"/>
          <w:szCs w:val="20"/>
          <w:color w:val="auto"/>
        </w:rPr>
      </w:pPr>
      <w:r>
        <w:rPr>
          <w:rFonts w:ascii="Arial" w:cs="Arial" w:eastAsia="Arial" w:hAnsi="Arial"/>
          <w:sz w:val="18"/>
          <w:szCs w:val="18"/>
          <w:color w:val="auto"/>
        </w:rPr>
        <w:t xml:space="preserve">If required by the charterer of a replacement charter commitment referred to in clause 29.20(b) </w:t>
      </w:r>
      <w:r>
        <w:rPr>
          <w:rFonts w:ascii="Arial" w:cs="Arial" w:eastAsia="Arial" w:hAnsi="Arial"/>
          <w:sz w:val="18"/>
          <w:szCs w:val="18"/>
          <w:i w:val="1"/>
          <w:iCs w:val="1"/>
          <w:color w:val="auto"/>
        </w:rPr>
        <w:t>(Charters)</w:t>
      </w:r>
      <w:r>
        <w:rPr>
          <w:rFonts w:ascii="Arial" w:cs="Arial" w:eastAsia="Arial" w:hAnsi="Arial"/>
          <w:sz w:val="18"/>
          <w:szCs w:val="18"/>
          <w:color w:val="auto"/>
        </w:rPr>
        <w:t xml:space="preserve"> as a condition to entering into the same, the Lenders agree to instruct the Security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left="520"/>
        <w:spacing w:after="0" w:line="246" w:lineRule="auto"/>
        <w:rPr>
          <w:sz w:val="20"/>
          <w:szCs w:val="20"/>
          <w:color w:val="auto"/>
        </w:rPr>
      </w:pPr>
      <w:r>
        <w:rPr>
          <w:rFonts w:ascii="Arial" w:cs="Arial" w:eastAsia="Arial" w:hAnsi="Arial"/>
          <w:sz w:val="18"/>
          <w:szCs w:val="18"/>
          <w:color w:val="auto"/>
        </w:rPr>
        <w:t>Agent to enter into a quiet enjoyment agreement with such charterer on substantially the same terms as the Quiet Enjoyment Agreements in respect of any such replacement charter commitment.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27 Bank accounts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undertakes that this clause 27 will be complied with throughout the Facility Period.</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7"/>
          <w:szCs w:val="17"/>
          <w:b w:val="1"/>
          <w:bCs w:val="1"/>
          <w:color w:val="auto"/>
        </w:rPr>
        <w:t>Earnings Accounts</w:t>
      </w:r>
    </w:p>
    <w:p>
      <w:pPr>
        <w:spacing w:after="0" w:line="212" w:lineRule="exact"/>
        <w:rPr>
          <w:sz w:val="20"/>
          <w:szCs w:val="20"/>
          <w:color w:val="auto"/>
        </w:rPr>
      </w:pPr>
    </w:p>
    <w:p>
      <w:pPr>
        <w:ind w:left="1020" w:right="20" w:hanging="512"/>
        <w:spacing w:after="0" w:line="271" w:lineRule="auto"/>
        <w:tabs>
          <w:tab w:leader="none" w:pos="113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Each Owner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75" w:lineRule="exact"/>
        <w:rPr>
          <w:rFonts w:ascii="Arial" w:cs="Arial" w:eastAsia="Arial" w:hAnsi="Arial"/>
          <w:sz w:val="18"/>
          <w:szCs w:val="18"/>
          <w:color w:val="auto"/>
        </w:rPr>
      </w:pPr>
    </w:p>
    <w:p>
      <w:pPr>
        <w:jc w:val="both"/>
        <w:ind w:left="1020" w:hanging="512"/>
        <w:spacing w:after="0"/>
        <w:tabs>
          <w:tab w:leader="none" w:pos="111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Earnings of the Mortgaged Ships and all moneys payable to the relevant Owner under the Ship’s Insurances shall be paid by the persons from whom they are due to an Earnings Account unless required to be paid to the Security Agent under the relevant Finance Documents.</w:t>
      </w:r>
    </w:p>
    <w:p>
      <w:pPr>
        <w:spacing w:after="0" w:line="202" w:lineRule="exact"/>
        <w:rPr>
          <w:rFonts w:ascii="Arial" w:cs="Arial" w:eastAsia="Arial" w:hAnsi="Arial"/>
          <w:sz w:val="18"/>
          <w:szCs w:val="18"/>
          <w:color w:val="auto"/>
        </w:rPr>
      </w:pPr>
    </w:p>
    <w:p>
      <w:pPr>
        <w:ind w:left="1020" w:hanging="512"/>
        <w:spacing w:after="0" w:line="246" w:lineRule="auto"/>
        <w:tabs>
          <w:tab w:leader="none" w:pos="116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clause 27.1(d).</w:t>
      </w:r>
    </w:p>
    <w:p>
      <w:pPr>
        <w:spacing w:after="0" w:line="196" w:lineRule="exact"/>
        <w:rPr>
          <w:rFonts w:ascii="Arial" w:cs="Arial" w:eastAsia="Arial" w:hAnsi="Arial"/>
          <w:sz w:val="18"/>
          <w:szCs w:val="18"/>
          <w:color w:val="auto"/>
        </w:rPr>
      </w:pPr>
    </w:p>
    <w:p>
      <w:pPr>
        <w:jc w:val="both"/>
        <w:ind w:left="1020" w:hanging="512"/>
        <w:spacing w:after="0" w:line="238" w:lineRule="auto"/>
        <w:tabs>
          <w:tab w:leader="none" w:pos="113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 and the Finance Documents and for as long as any such withdrawal will not result in the Borrowers being in breach of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ind w:left="1360" w:hanging="852"/>
        <w:spacing w:after="0"/>
        <w:tabs>
          <w:tab w:leader="none" w:pos="13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Owners may place sums standing to the credit of their Earnings Accounts on deposit for a fixed period of up to three</w:t>
      </w:r>
    </w:p>
    <w:p>
      <w:pPr>
        <w:ind w:left="1300" w:hanging="271"/>
        <w:spacing w:after="0"/>
        <w:tabs>
          <w:tab w:leader="none" w:pos="13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months.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Cash Collateral Account</w:t>
      </w:r>
    </w:p>
    <w:p>
      <w:pPr>
        <w:spacing w:after="0" w:line="216" w:lineRule="exact"/>
        <w:rPr>
          <w:sz w:val="20"/>
          <w:szCs w:val="20"/>
          <w:color w:val="auto"/>
        </w:rPr>
      </w:pPr>
    </w:p>
    <w:p>
      <w:pPr>
        <w:jc w:val="both"/>
        <w:ind w:left="1020" w:hanging="512"/>
        <w:spacing w:after="0" w:line="250" w:lineRule="auto"/>
        <w:tabs>
          <w:tab w:leader="none" w:pos="116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the extent the Borrowers elect to provide additional cash collateral pursuant to clause 29.20(a)(ii) (</w:t>
      </w:r>
      <w:r>
        <w:rPr>
          <w:rFonts w:ascii="Arial" w:cs="Arial" w:eastAsia="Arial" w:hAnsi="Arial"/>
          <w:sz w:val="18"/>
          <w:szCs w:val="18"/>
          <w:i w:val="1"/>
          <w:iCs w:val="1"/>
          <w:color w:val="auto"/>
        </w:rPr>
        <w:t>Charters</w:t>
      </w:r>
      <w:r>
        <w:rPr>
          <w:rFonts w:ascii="Arial" w:cs="Arial" w:eastAsia="Arial" w:hAnsi="Arial"/>
          <w:sz w:val="18"/>
          <w:szCs w:val="18"/>
          <w:color w:val="auto"/>
        </w:rPr>
        <w:t xml:space="preserve">), each relevant Owner shall be the holder of one or more Accounts with an Account Bank which is designated as a </w:t>
      </w:r>
      <w:r>
        <w:rPr>
          <w:rFonts w:ascii="Arial" w:cs="Arial" w:eastAsia="Arial" w:hAnsi="Arial"/>
          <w:sz w:val="18"/>
          <w:szCs w:val="18"/>
          <w:b w:val="1"/>
          <w:bCs w:val="1"/>
          <w:color w:val="auto"/>
        </w:rPr>
        <w:t>Cash Collateral Account</w:t>
      </w:r>
      <w:r>
        <w:rPr>
          <w:rFonts w:ascii="Arial" w:cs="Arial" w:eastAsia="Arial" w:hAnsi="Arial"/>
          <w:sz w:val="18"/>
          <w:szCs w:val="18"/>
          <w:color w:val="auto"/>
        </w:rPr>
        <w:t xml:space="preserve"> for the purposes of this Agreement.</w:t>
      </w:r>
    </w:p>
    <w:p>
      <w:pPr>
        <w:spacing w:after="0" w:line="176" w:lineRule="exact"/>
        <w:rPr>
          <w:rFonts w:ascii="Arial" w:cs="Arial" w:eastAsia="Arial" w:hAnsi="Arial"/>
          <w:sz w:val="18"/>
          <w:szCs w:val="18"/>
          <w:color w:val="auto"/>
        </w:rPr>
      </w:pPr>
    </w:p>
    <w:p>
      <w:pPr>
        <w:ind w:left="1040" w:hanging="532"/>
        <w:spacing w:after="0"/>
        <w:tabs>
          <w:tab w:leader="none" w:pos="10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amounts due under clause 29.20(a)(ii) (</w:t>
      </w:r>
      <w:r>
        <w:rPr>
          <w:rFonts w:ascii="Arial" w:cs="Arial" w:eastAsia="Arial" w:hAnsi="Arial"/>
          <w:sz w:val="18"/>
          <w:szCs w:val="18"/>
          <w:i w:val="1"/>
          <w:iCs w:val="1"/>
          <w:color w:val="auto"/>
        </w:rPr>
        <w:t>Charters</w:t>
      </w:r>
      <w:r>
        <w:rPr>
          <w:rFonts w:ascii="Arial" w:cs="Arial" w:eastAsia="Arial" w:hAnsi="Arial"/>
          <w:sz w:val="18"/>
          <w:szCs w:val="18"/>
          <w:color w:val="auto"/>
        </w:rPr>
        <w:t>) will be paid into the relevant Cash Collateral Account.</w:t>
      </w:r>
    </w:p>
    <w:p>
      <w:pPr>
        <w:spacing w:after="0" w:line="229" w:lineRule="exact"/>
        <w:rPr>
          <w:rFonts w:ascii="Arial" w:cs="Arial" w:eastAsia="Arial" w:hAnsi="Arial"/>
          <w:sz w:val="18"/>
          <w:szCs w:val="18"/>
          <w:color w:val="auto"/>
        </w:rPr>
      </w:pPr>
    </w:p>
    <w:p>
      <w:pPr>
        <w:ind w:left="1020" w:hanging="512"/>
        <w:spacing w:after="0" w:line="246" w:lineRule="auto"/>
        <w:tabs>
          <w:tab w:leader="none" w:pos="142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relevant Account Holder(s) shall not, without approval, withdraw amounts standing to the credit of a Cash Collateral Account.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7"/>
          <w:szCs w:val="17"/>
          <w:b w:val="1"/>
          <w:bCs w:val="1"/>
          <w:color w:val="auto"/>
        </w:rPr>
        <w:t>Other provisions</w:t>
      </w:r>
    </w:p>
    <w:p>
      <w:pPr>
        <w:spacing w:after="0" w:line="234" w:lineRule="exact"/>
        <w:rPr>
          <w:sz w:val="20"/>
          <w:szCs w:val="20"/>
          <w:color w:val="auto"/>
        </w:rPr>
      </w:pPr>
    </w:p>
    <w:p>
      <w:pPr>
        <w:ind w:left="1060" w:hanging="552"/>
        <w:spacing w:after="0"/>
        <w:tabs>
          <w:tab w:leader="none" w:pos="10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it is situated in Geneva, Switzerland or in any other jurisdiction acceptable to the Lenders;</w:t>
      </w:r>
    </w:p>
    <w:p>
      <w:pPr>
        <w:spacing w:after="0" w:line="211" w:lineRule="exact"/>
        <w:rPr>
          <w:rFonts w:ascii="Arial" w:cs="Arial" w:eastAsia="Arial" w:hAnsi="Arial"/>
          <w:sz w:val="18"/>
          <w:szCs w:val="18"/>
          <w:color w:val="auto"/>
        </w:rPr>
      </w:pPr>
    </w:p>
    <w:p>
      <w:pPr>
        <w:jc w:val="both"/>
        <w:ind w:left="1540" w:hanging="511"/>
        <w:spacing w:after="0"/>
        <w:tabs>
          <w:tab w:leader="none" w:pos="185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such designation is made in writing by the Agent and acknowledged by the Borrowers and specifies the names and addresses of the relevant Account Bank and the Account Holder(s) and the number and any designation or other reference attributed to the Account;</w:t>
      </w:r>
    </w:p>
    <w:p>
      <w:pPr>
        <w:spacing w:after="0" w:line="202" w:lineRule="exact"/>
        <w:rPr>
          <w:rFonts w:ascii="Arial" w:cs="Arial" w:eastAsia="Arial" w:hAnsi="Arial"/>
          <w:sz w:val="18"/>
          <w:szCs w:val="18"/>
          <w:color w:val="auto"/>
        </w:rPr>
      </w:pPr>
    </w:p>
    <w:p>
      <w:pPr>
        <w:ind w:left="1540" w:hanging="511"/>
        <w:spacing w:after="0" w:line="246" w:lineRule="auto"/>
        <w:tabs>
          <w:tab w:leader="none" w:pos="172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ind w:left="1540" w:hanging="511"/>
        <w:spacing w:after="0" w:line="246" w:lineRule="auto"/>
        <w:tabs>
          <w:tab w:leader="none" w:pos="156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96" w:lineRule="exact"/>
        <w:rPr>
          <w:rFonts w:ascii="Arial" w:cs="Arial" w:eastAsia="Arial" w:hAnsi="Arial"/>
          <w:sz w:val="18"/>
          <w:szCs w:val="18"/>
          <w:color w:val="auto"/>
        </w:rPr>
      </w:pPr>
    </w:p>
    <w:p>
      <w:pPr>
        <w:jc w:val="both"/>
        <w:ind w:left="1540" w:hanging="511"/>
        <w:spacing w:after="0"/>
        <w:tabs>
          <w:tab w:leader="none" w:pos="165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precedent) </w:t>
      </w:r>
      <w:r>
        <w:rPr>
          <w:rFonts w:ascii="Arial" w:cs="Arial" w:eastAsia="Arial" w:hAnsi="Arial"/>
          <w:sz w:val="18"/>
          <w:szCs w:val="18"/>
          <w:color w:val="auto"/>
        </w:rPr>
        <w:t>in relation to the Account and the relevant Account Security.</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9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(subject to clause 27.1(e) (</w:t>
      </w:r>
      <w:r>
        <w:rPr>
          <w:rFonts w:ascii="Arial" w:cs="Arial" w:eastAsia="Arial" w:hAnsi="Arial"/>
          <w:sz w:val="18"/>
          <w:szCs w:val="18"/>
          <w:i w:val="1"/>
          <w:iCs w:val="1"/>
          <w:color w:val="auto"/>
        </w:rPr>
        <w:t>Earnings Accounts</w:t>
      </w:r>
      <w:r>
        <w:rPr>
          <w:rFonts w:ascii="Arial" w:cs="Arial" w:eastAsia="Arial" w:hAnsi="Arial"/>
          <w:sz w:val="18"/>
          <w:szCs w:val="18"/>
          <w:color w:val="auto"/>
        </w:rPr>
        <w:t>)) until the relevant Account Security has become enforceable and the Security Agent directs otherwise.</w:t>
      </w:r>
    </w:p>
    <w:p>
      <w:pPr>
        <w:spacing w:after="0" w:line="204" w:lineRule="exact"/>
        <w:rPr>
          <w:rFonts w:ascii="Arial" w:cs="Arial" w:eastAsia="Arial" w:hAnsi="Arial"/>
          <w:sz w:val="18"/>
          <w:szCs w:val="18"/>
          <w:color w:val="auto"/>
        </w:rPr>
      </w:pPr>
    </w:p>
    <w:p>
      <w:pPr>
        <w:ind w:left="1020" w:hanging="512"/>
        <w:spacing w:after="0" w:line="246" w:lineRule="auto"/>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96" w:lineRule="exact"/>
        <w:rPr>
          <w:rFonts w:ascii="Arial" w:cs="Arial" w:eastAsia="Arial" w:hAnsi="Arial"/>
          <w:sz w:val="18"/>
          <w:szCs w:val="18"/>
          <w:color w:val="auto"/>
        </w:rPr>
      </w:pPr>
    </w:p>
    <w:p>
      <w:pPr>
        <w:jc w:val="both"/>
        <w:ind w:left="1020" w:hanging="512"/>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28 Business restrictions</w:t>
      </w:r>
    </w:p>
    <w:p>
      <w:pPr>
        <w:spacing w:after="0" w:line="238"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Except as otherwise approved by the Majority Lenders, each Obligor undertakes that throughout the Facility Period this clause 28 will be complied with by and in respect of each Group Member to which each of the provisions below is expressed to apply.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7"/>
          <w:szCs w:val="17"/>
          <w:b w:val="1"/>
          <w:bCs w:val="1"/>
          <w:color w:val="auto"/>
        </w:rPr>
        <w:t>General negative pledge</w:t>
      </w:r>
    </w:p>
    <w:p>
      <w:pPr>
        <w:spacing w:after="0" w:line="212" w:lineRule="exact"/>
        <w:rPr>
          <w:sz w:val="20"/>
          <w:szCs w:val="20"/>
          <w:color w:val="auto"/>
        </w:rPr>
      </w:pPr>
    </w:p>
    <w:p>
      <w:pPr>
        <w:ind w:left="1060" w:hanging="552"/>
        <w:spacing w:after="0"/>
        <w:tabs>
          <w:tab w:leader="none" w:pos="10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In this clause 28.1,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28.1(d).</w:t>
      </w:r>
    </w:p>
    <w:p>
      <w:pPr>
        <w:spacing w:after="0" w:line="233"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Borrower shall permit any Security Interest to exist, arise or be created or extended over all or any part of its assets except for Permitted Security Interests.</w:t>
      </w:r>
    </w:p>
    <w:p>
      <w:pPr>
        <w:spacing w:after="0" w:line="178" w:lineRule="exact"/>
        <w:rPr>
          <w:rFonts w:ascii="Arial" w:cs="Arial" w:eastAsia="Arial" w:hAnsi="Arial"/>
          <w:sz w:val="18"/>
          <w:szCs w:val="18"/>
          <w:color w:val="auto"/>
        </w:rPr>
      </w:pPr>
    </w:p>
    <w:p>
      <w:pPr>
        <w:ind w:left="1040" w:hanging="532"/>
        <w:spacing w:after="0"/>
        <w:tabs>
          <w:tab w:leader="none" w:pos="10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(Without prejudice to clauses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28.6 (</w:t>
      </w:r>
      <w:r>
        <w:rPr>
          <w:rFonts w:ascii="Arial" w:cs="Arial" w:eastAsia="Arial" w:hAnsi="Arial"/>
          <w:sz w:val="18"/>
          <w:szCs w:val="18"/>
          <w:i w:val="1"/>
          <w:iCs w:val="1"/>
          <w:color w:val="auto"/>
        </w:rPr>
        <w:t>Disposals</w:t>
      </w:r>
      <w:r>
        <w:rPr>
          <w:rFonts w:ascii="Arial" w:cs="Arial" w:eastAsia="Arial" w:hAnsi="Arial"/>
          <w:sz w:val="18"/>
          <w:szCs w:val="18"/>
          <w:color w:val="auto"/>
        </w:rPr>
        <w:t>)), no Borrower shall:</w:t>
      </w:r>
    </w:p>
    <w:p>
      <w:pPr>
        <w:spacing w:after="0" w:line="229" w:lineRule="exact"/>
        <w:rPr>
          <w:rFonts w:ascii="Arial" w:cs="Arial" w:eastAsia="Arial" w:hAnsi="Arial"/>
          <w:sz w:val="18"/>
          <w:szCs w:val="18"/>
          <w:color w:val="auto"/>
        </w:rPr>
      </w:pPr>
    </w:p>
    <w:p>
      <w:pPr>
        <w:ind w:left="1540" w:hanging="511"/>
        <w:spacing w:after="0" w:line="246" w:lineRule="auto"/>
        <w:tabs>
          <w:tab w:leader="none" w:pos="162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28.6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540" w:right="20" w:hanging="511"/>
        <w:spacing w:after="0" w:line="246" w:lineRule="auto"/>
        <w:tabs>
          <w:tab w:leader="none" w:pos="160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96" w:lineRule="exact"/>
        <w:rPr>
          <w:rFonts w:ascii="Arial" w:cs="Arial" w:eastAsia="Arial" w:hAnsi="Arial"/>
          <w:sz w:val="18"/>
          <w:szCs w:val="18"/>
          <w:color w:val="auto"/>
        </w:rPr>
      </w:pPr>
    </w:p>
    <w:p>
      <w:pPr>
        <w:ind w:left="1540" w:hanging="511"/>
        <w:spacing w:after="0" w:line="246" w:lineRule="auto"/>
        <w:tabs>
          <w:tab w:leader="none" w:pos="159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3" w:name="page94"/>
    <w:bookmarkEnd w:id="93"/>
    <w:p>
      <w:pPr>
        <w:ind w:left="1540" w:hanging="511"/>
        <w:spacing w:after="0"/>
        <w:tabs>
          <w:tab w:leader="none" w:pos="1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12"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97" w:lineRule="exact"/>
        <w:rPr>
          <w:sz w:val="20"/>
          <w:szCs w:val="20"/>
          <w:color w:val="auto"/>
        </w:rPr>
      </w:pPr>
    </w:p>
    <w:p>
      <w:pPr>
        <w:ind w:left="1040" w:hanging="532"/>
        <w:spacing w:after="0"/>
        <w:tabs>
          <w:tab w:leader="none" w:pos="10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Clauses 28.1(b) and 28.1(c) above do not apply to any Security Interest or (as the case may be) Quasi-Security, listed below:</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 relation to a Mortgaged Ship, Permitted Maritime Liens; and</w:t>
      </w:r>
    </w:p>
    <w:p>
      <w:pPr>
        <w:spacing w:after="0" w:line="211" w:lineRule="exact"/>
        <w:rPr>
          <w:rFonts w:ascii="Arial" w:cs="Arial" w:eastAsia="Arial" w:hAnsi="Arial"/>
          <w:sz w:val="18"/>
          <w:szCs w:val="18"/>
          <w:color w:val="auto"/>
        </w:rPr>
      </w:pPr>
    </w:p>
    <w:p>
      <w:pPr>
        <w:ind w:left="1540" w:hanging="511"/>
        <w:spacing w:after="0" w:line="246" w:lineRule="auto"/>
        <w:tabs>
          <w:tab w:leader="none" w:pos="159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those granted in connection with the Existing Indebtedness until the Existing Indebtedness is refinanced in full and in any event not later than the first Utilisation Date.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7"/>
          <w:szCs w:val="17"/>
          <w:b w:val="1"/>
          <w:bCs w:val="1"/>
          <w:color w:val="auto"/>
        </w:rPr>
        <w:t>Financial Indebtedness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incur or permit to exist, any Financial Indebtedness owed by it to anyone else except:</w:t>
      </w:r>
    </w:p>
    <w:p>
      <w:pPr>
        <w:spacing w:after="0" w:line="212" w:lineRule="exact"/>
        <w:rPr>
          <w:sz w:val="20"/>
          <w:szCs w:val="20"/>
          <w:color w:val="auto"/>
        </w:rPr>
      </w:pPr>
    </w:p>
    <w:p>
      <w:pPr>
        <w:ind w:left="1060" w:hanging="552"/>
        <w:spacing w:after="0"/>
        <w:tabs>
          <w:tab w:leader="none" w:pos="10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5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Financial Indebtedness owed to another Obligor (provided that any such Financial Indebtedness owed by an Owner is unsecured and is subordinated to the Finance Documents on terms approved by the Majority Lenders and which (for the avoidance of doubt) will include provisions restricting any payments being made in relation to such Financial Indebtedness whilst an Event of Default is continuing);</w:t>
      </w:r>
    </w:p>
    <w:p>
      <w:pPr>
        <w:spacing w:after="0" w:line="186" w:lineRule="exact"/>
        <w:rPr>
          <w:rFonts w:ascii="Arial" w:cs="Arial" w:eastAsia="Arial" w:hAnsi="Arial"/>
          <w:sz w:val="18"/>
          <w:szCs w:val="18"/>
          <w:color w:val="auto"/>
        </w:rPr>
      </w:pPr>
    </w:p>
    <w:p>
      <w:pPr>
        <w:ind w:left="1040" w:hanging="532"/>
        <w:spacing w:after="0"/>
        <w:tabs>
          <w:tab w:leader="none" w:pos="10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Financial Indebtedness permitted under clause 28.3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Financial Indebtedness permitted under clause 28.4 (</w:t>
      </w:r>
      <w:r>
        <w:rPr>
          <w:rFonts w:ascii="Arial" w:cs="Arial" w:eastAsia="Arial" w:hAnsi="Arial"/>
          <w:sz w:val="18"/>
          <w:szCs w:val="18"/>
          <w:i w:val="1"/>
          <w:iCs w:val="1"/>
          <w:color w:val="auto"/>
        </w:rPr>
        <w:t>Loans and credit</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20" w:right="20" w:hanging="512"/>
        <w:spacing w:after="0" w:line="246" w:lineRule="auto"/>
        <w:tabs>
          <w:tab w:leader="none" w:pos="105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Existing Indebtedness until such Existing Indebtedness is refinanced in full and in any event not later than the first Utilisation Date.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28.3</w:t>
        <w:tab/>
        <w:t>Guarantees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No Borrower shall give or permit to exist, any guarantee by it in respect of indebtedness of any person or allow any of its indebtedness to be guaranteed by anyone else except:</w:t>
      </w:r>
    </w:p>
    <w:p>
      <w:pPr>
        <w:spacing w:after="0" w:line="197" w:lineRule="exact"/>
        <w:rPr>
          <w:sz w:val="20"/>
          <w:szCs w:val="20"/>
          <w:color w:val="auto"/>
        </w:rPr>
      </w:pPr>
    </w:p>
    <w:p>
      <w:pPr>
        <w:ind w:left="1060" w:hanging="552"/>
        <w:spacing w:after="0"/>
        <w:tabs>
          <w:tab w:leader="none" w:pos="10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211"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78" w:lineRule="exact"/>
        <w:rPr>
          <w:rFonts w:ascii="Arial" w:cs="Arial" w:eastAsia="Arial" w:hAnsi="Arial"/>
          <w:sz w:val="18"/>
          <w:szCs w:val="18"/>
          <w:color w:val="auto"/>
        </w:rPr>
      </w:pPr>
    </w:p>
    <w:p>
      <w:pPr>
        <w:ind w:left="1040" w:hanging="532"/>
        <w:spacing w:after="0"/>
        <w:tabs>
          <w:tab w:leader="none" w:pos="10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7"/>
          <w:szCs w:val="17"/>
          <w:b w:val="1"/>
          <w:bCs w:val="1"/>
          <w:color w:val="auto"/>
        </w:rPr>
        <w:t>Loans and credit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make, grant or permit to exist any loans or any credit by it to anyone else other than:</w:t>
      </w:r>
    </w:p>
    <w:p>
      <w:pPr>
        <w:spacing w:after="0" w:line="194" w:lineRule="exact"/>
        <w:rPr>
          <w:sz w:val="20"/>
          <w:szCs w:val="20"/>
          <w:color w:val="auto"/>
        </w:rPr>
      </w:pPr>
    </w:p>
    <w:p>
      <w:pPr>
        <w:ind w:left="1060" w:hanging="552"/>
        <w:spacing w:after="0"/>
        <w:tabs>
          <w:tab w:leader="none" w:pos="10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40" w:hanging="532"/>
        <w:spacing w:after="0"/>
        <w:tabs>
          <w:tab w:leader="none" w:pos="10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21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spacing w:after="0"/>
        <w:tabs>
          <w:tab w:leader="none" w:pos="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7"/>
          <w:szCs w:val="17"/>
          <w:b w:val="1"/>
          <w:bCs w:val="1"/>
          <w:color w:val="auto"/>
        </w:rPr>
        <w:t>Bank accounts, operating leases and other financial transactions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w:t>
      </w:r>
    </w:p>
    <w:p>
      <w:pPr>
        <w:spacing w:after="0" w:line="212" w:lineRule="exact"/>
        <w:rPr>
          <w:sz w:val="20"/>
          <w:szCs w:val="20"/>
          <w:color w:val="auto"/>
        </w:rPr>
      </w:pPr>
    </w:p>
    <w:p>
      <w:pPr>
        <w:jc w:val="both"/>
        <w:ind w:left="1020" w:hanging="512"/>
        <w:spacing w:after="0"/>
        <w:tabs>
          <w:tab w:leader="none" w:pos="12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(or any accounts opened prior to this Agreement in connection with the Existing Indebtedness and until their gradual closure following the first Utilisation) and the deposit of money, operation of current accounts and the conduct of electronic banking operations through the Accounts;</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211" w:lineRule="exact"/>
        <w:rPr>
          <w:rFonts w:ascii="Arial" w:cs="Arial" w:eastAsia="Arial" w:hAnsi="Arial"/>
          <w:sz w:val="18"/>
          <w:szCs w:val="18"/>
          <w:color w:val="auto"/>
        </w:rPr>
      </w:pPr>
    </w:p>
    <w:p>
      <w:pPr>
        <w:ind w:left="1020" w:hanging="512"/>
        <w:spacing w:after="0" w:line="246" w:lineRule="auto"/>
        <w:tabs>
          <w:tab w:leader="none" w:pos="131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be party to any banking or financial transaction, whether on or off balance sheet, that is not expressly permitted under this clause 28.</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28.6</w:t>
        <w:tab/>
        <w:t>Disposals</w:t>
      </w:r>
    </w:p>
    <w:p>
      <w:pPr>
        <w:spacing w:after="0" w:line="234"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No Borrower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203" w:lineRule="exact"/>
        <w:rPr>
          <w:sz w:val="20"/>
          <w:szCs w:val="20"/>
          <w:color w:val="auto"/>
        </w:rPr>
      </w:pPr>
    </w:p>
    <w:p>
      <w:pPr>
        <w:ind w:left="1060" w:hanging="552"/>
        <w:spacing w:after="0"/>
        <w:tabs>
          <w:tab w:leader="none" w:pos="10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11"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178" w:lineRule="exact"/>
        <w:rPr>
          <w:rFonts w:ascii="Arial" w:cs="Arial" w:eastAsia="Arial" w:hAnsi="Arial"/>
          <w:sz w:val="18"/>
          <w:szCs w:val="18"/>
          <w:color w:val="auto"/>
        </w:rPr>
      </w:pPr>
    </w:p>
    <w:p>
      <w:pPr>
        <w:ind w:left="1020" w:hanging="512"/>
        <w:spacing w:after="0" w:line="267" w:lineRule="auto"/>
        <w:tabs>
          <w:tab w:leader="none" w:pos="107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disposals permitted by clauses 28.1 (</w:t>
      </w:r>
      <w:r>
        <w:rPr>
          <w:rFonts w:ascii="Arial" w:cs="Arial" w:eastAsia="Arial" w:hAnsi="Arial"/>
          <w:sz w:val="18"/>
          <w:szCs w:val="18"/>
          <w:i w:val="1"/>
          <w:iCs w:val="1"/>
          <w:color w:val="auto"/>
        </w:rPr>
        <w:t>General negative pledge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22.2 (</w:t>
      </w:r>
      <w:r>
        <w:rPr>
          <w:rFonts w:ascii="Arial" w:cs="Arial" w:eastAsia="Arial" w:hAnsi="Arial"/>
          <w:sz w:val="18"/>
          <w:szCs w:val="18"/>
          <w:i w:val="1"/>
          <w:iCs w:val="1"/>
          <w:color w:val="auto"/>
        </w:rPr>
        <w:t>Sale or other disposal of</w:t>
      </w:r>
      <w:r>
        <w:rPr>
          <w:rFonts w:ascii="Arial" w:cs="Arial" w:eastAsia="Arial" w:hAnsi="Arial"/>
          <w:sz w:val="18"/>
          <w:szCs w:val="18"/>
          <w:color w:val="auto"/>
        </w:rPr>
        <w:t xml:space="preserve"> </w:t>
      </w:r>
      <w:r>
        <w:rPr>
          <w:rFonts w:ascii="Arial" w:cs="Arial" w:eastAsia="Arial" w:hAnsi="Arial"/>
          <w:sz w:val="18"/>
          <w:szCs w:val="18"/>
          <w:i w:val="1"/>
          <w:iCs w:val="1"/>
          <w:color w:val="auto"/>
        </w:rPr>
        <w:t>a Ship; refinancing</w:t>
      </w:r>
      <w:r>
        <w:rPr>
          <w:rFonts w:ascii="Arial" w:cs="Arial" w:eastAsia="Arial" w:hAnsi="Arial"/>
          <w:sz w:val="18"/>
          <w:szCs w:val="18"/>
          <w:color w:val="auto"/>
        </w:rPr>
        <w:t>); and</w:t>
      </w:r>
    </w:p>
    <w:p>
      <w:pPr>
        <w:spacing w:after="0" w:line="178" w:lineRule="exact"/>
        <w:rPr>
          <w:rFonts w:ascii="Arial" w:cs="Arial" w:eastAsia="Arial" w:hAnsi="Arial"/>
          <w:sz w:val="18"/>
          <w:szCs w:val="18"/>
          <w:color w:val="auto"/>
        </w:rPr>
      </w:pPr>
    </w:p>
    <w:p>
      <w:pPr>
        <w:ind w:left="1040" w:hanging="532"/>
        <w:spacing w:after="0"/>
        <w:tabs>
          <w:tab w:leader="none" w:pos="10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7"/>
          <w:szCs w:val="17"/>
          <w:b w:val="1"/>
          <w:bCs w:val="1"/>
          <w:color w:val="auto"/>
        </w:rPr>
        <w:t>Contracts and arrangements with Affiliates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Borrower shall be party to any arrangement or contract with any of its Affiliates (other than in respect of intra-Group loans, to the extent expressly permitted by the other provisions of this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unless such arrangement or contract is on an arm’s length basis.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28.8</w:t>
        <w:tab/>
        <w:t>Subsidiaries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establish or acquire a company or other entity.</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7"/>
          <w:szCs w:val="17"/>
          <w:b w:val="1"/>
          <w:bCs w:val="1"/>
          <w:color w:val="auto"/>
        </w:rPr>
        <w:t>Acquisitions and investments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No Borrower shall acquire any person, business, assets or liabilities or make any investment in any person or business or enter into any joint-venture arrangement except:</w:t>
      </w:r>
    </w:p>
    <w:p>
      <w:pPr>
        <w:spacing w:after="0" w:line="197" w:lineRule="exact"/>
        <w:rPr>
          <w:sz w:val="20"/>
          <w:szCs w:val="20"/>
          <w:color w:val="auto"/>
        </w:rPr>
      </w:pPr>
    </w:p>
    <w:p>
      <w:pPr>
        <w:ind w:left="1060" w:hanging="552"/>
        <w:spacing w:after="0"/>
        <w:tabs>
          <w:tab w:leader="none" w:pos="10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left="1040" w:hanging="532"/>
        <w:spacing w:after="0"/>
        <w:tabs>
          <w:tab w:leader="none" w:pos="10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193" w:lineRule="exact"/>
        <w:rPr>
          <w:rFonts w:ascii="Arial" w:cs="Arial" w:eastAsia="Arial" w:hAnsi="Arial"/>
          <w:sz w:val="18"/>
          <w:szCs w:val="18"/>
          <w:color w:val="auto"/>
        </w:rPr>
      </w:pPr>
    </w:p>
    <w:p>
      <w:pPr>
        <w:ind w:left="1060" w:hanging="552"/>
        <w:spacing w:after="0"/>
        <w:tabs>
          <w:tab w:leader="none" w:pos="10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pursuant to any Finance Documents or any Charter Documents to which it is party</w:t>
      </w:r>
      <w:r>
        <w:rPr>
          <w:rFonts w:ascii="Arial" w:cs="Arial" w:eastAsia="Arial" w:hAnsi="Arial"/>
          <w:sz w:val="18"/>
          <w:szCs w:val="18"/>
          <w:i w:val="1"/>
          <w:i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28.10 Reduction of capital</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Borrower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28.11 Distributions and other payments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the Obligors shall:</w:t>
      </w:r>
    </w:p>
    <w:p>
      <w:pPr>
        <w:spacing w:after="0" w:line="212" w:lineRule="exact"/>
        <w:rPr>
          <w:sz w:val="20"/>
          <w:szCs w:val="20"/>
          <w:color w:val="auto"/>
        </w:rPr>
      </w:pPr>
    </w:p>
    <w:p>
      <w:pPr>
        <w:jc w:val="both"/>
        <w:ind w:left="1020" w:hanging="512"/>
        <w:spacing w:after="0"/>
        <w:tabs>
          <w:tab w:leader="none" w:pos="120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42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97"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unless no Event of Default is continuing at the time of the declaration or payment of any such dividend, distribution or other payment, nor would result from the declaration or payment of the same.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29 Events of Default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of the events or circumstances set out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to 29.20 (</w:t>
      </w:r>
      <w:r>
        <w:rPr>
          <w:rFonts w:ascii="Arial" w:cs="Arial" w:eastAsia="Arial" w:hAnsi="Arial"/>
          <w:sz w:val="18"/>
          <w:szCs w:val="18"/>
          <w:i w:val="1"/>
          <w:iCs w:val="1"/>
          <w:color w:val="auto"/>
        </w:rPr>
        <w:t>Charters</w:t>
      </w:r>
      <w:r>
        <w:rPr>
          <w:rFonts w:ascii="Arial" w:cs="Arial" w:eastAsia="Arial" w:hAnsi="Arial"/>
          <w:sz w:val="18"/>
          <w:szCs w:val="18"/>
          <w:color w:val="auto"/>
        </w:rPr>
        <w:t>) is an Event of Default.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7"/>
          <w:szCs w:val="17"/>
          <w:b w:val="1"/>
          <w:bCs w:val="1"/>
          <w:color w:val="auto"/>
        </w:rPr>
        <w:t>Non-payment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 a Payment Disruption Event has occurred and such payment is made within three (3) Business Days of the due date.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Financial covenants; liquidity</w:t>
      </w:r>
    </w:p>
    <w:p>
      <w:pPr>
        <w:spacing w:after="0" w:line="216" w:lineRule="exact"/>
        <w:rPr>
          <w:sz w:val="20"/>
          <w:szCs w:val="20"/>
          <w:color w:val="auto"/>
        </w:rPr>
      </w:pPr>
    </w:p>
    <w:p>
      <w:pPr>
        <w:ind w:left="1060" w:hanging="552"/>
        <w:spacing w:after="0"/>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Obligors do not comply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Obligors do not comply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b w:val="1"/>
          <w:bCs w:val="1"/>
          <w:color w:val="auto"/>
        </w:rPr>
        <w:t>Value of security</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do not comply with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29.4</w:t>
        <w:tab/>
        <w:t>Insurance</w:t>
      </w:r>
    </w:p>
    <w:p>
      <w:pPr>
        <w:spacing w:after="0" w:line="216" w:lineRule="exact"/>
        <w:rPr>
          <w:sz w:val="20"/>
          <w:szCs w:val="20"/>
          <w:color w:val="auto"/>
        </w:rPr>
      </w:pPr>
    </w:p>
    <w:p>
      <w:pPr>
        <w:ind w:left="1060" w:hanging="552"/>
        <w:spacing w:after="0"/>
        <w:tabs>
          <w:tab w:leader="none" w:pos="10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Insurances of a Mortgaged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40" w:hanging="532"/>
        <w:spacing w:after="0"/>
        <w:tabs>
          <w:tab w:leader="none" w:pos="10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ind w:left="1540" w:hanging="511"/>
        <w:spacing w:after="0" w:line="246" w:lineRule="auto"/>
        <w:tabs>
          <w:tab w:leader="none" w:pos="164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Borrowers to the full satisfaction of all the Lenders; or</w:t>
      </w:r>
    </w:p>
    <w:p>
      <w:pPr>
        <w:spacing w:after="0" w:line="196" w:lineRule="exact"/>
        <w:rPr>
          <w:rFonts w:ascii="Arial" w:cs="Arial" w:eastAsia="Arial" w:hAnsi="Arial"/>
          <w:sz w:val="18"/>
          <w:szCs w:val="18"/>
          <w:color w:val="auto"/>
        </w:rPr>
      </w:pPr>
    </w:p>
    <w:p>
      <w:pPr>
        <w:ind w:left="1560" w:hanging="531"/>
        <w:spacing w:after="0"/>
        <w:tabs>
          <w:tab w:leader="none" w:pos="15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7"/>
          <w:szCs w:val="17"/>
          <w:b w:val="1"/>
          <w:bCs w:val="1"/>
          <w:color w:val="auto"/>
        </w:rPr>
        <w:t>Other obligations</w:t>
      </w:r>
    </w:p>
    <w:p>
      <w:pPr>
        <w:spacing w:after="0" w:line="234" w:lineRule="exact"/>
        <w:rPr>
          <w:sz w:val="20"/>
          <w:szCs w:val="20"/>
          <w:color w:val="auto"/>
        </w:rPr>
      </w:pPr>
    </w:p>
    <w:p>
      <w:pPr>
        <w:jc w:val="both"/>
        <w:ind w:left="1020" w:hanging="512"/>
        <w:spacing w:after="0" w:line="234" w:lineRule="auto"/>
        <w:tabs>
          <w:tab w:leader="none" w:pos="109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those referred to in clauses 18.34 (</w:t>
      </w:r>
      <w:r>
        <w:rPr>
          <w:rFonts w:ascii="Arial" w:cs="Arial" w:eastAsia="Arial" w:hAnsi="Arial"/>
          <w:sz w:val="18"/>
          <w:szCs w:val="18"/>
          <w:i w:val="1"/>
          <w:iCs w:val="1"/>
          <w:color w:val="auto"/>
        </w:rPr>
        <w:t>Sanctions</w:t>
      </w:r>
      <w:r>
        <w:rPr>
          <w:rFonts w:ascii="Arial" w:cs="Arial" w:eastAsia="Arial" w:hAnsi="Arial"/>
          <w:sz w:val="18"/>
          <w:szCs w:val="18"/>
          <w:color w:val="auto"/>
        </w:rPr>
        <w:t>), 21.11 (</w:t>
      </w:r>
      <w:r>
        <w:rPr>
          <w:rFonts w:ascii="Arial" w:cs="Arial" w:eastAsia="Arial" w:hAnsi="Arial"/>
          <w:sz w:val="18"/>
          <w:szCs w:val="18"/>
          <w:i w:val="1"/>
          <w:iCs w:val="1"/>
          <w:color w:val="auto"/>
        </w:rPr>
        <w:t>Sanctions</w:t>
      </w:r>
      <w:r>
        <w:rPr>
          <w:rFonts w:ascii="Arial" w:cs="Arial" w:eastAsia="Arial" w:hAnsi="Arial"/>
          <w:sz w:val="18"/>
          <w:szCs w:val="18"/>
          <w:color w:val="auto"/>
        </w:rPr>
        <w:t>), 29.1 (</w:t>
      </w:r>
      <w:r>
        <w:rPr>
          <w:rFonts w:ascii="Arial" w:cs="Arial" w:eastAsia="Arial" w:hAnsi="Arial"/>
          <w:sz w:val="18"/>
          <w:szCs w:val="18"/>
          <w:i w:val="1"/>
          <w:iCs w:val="1"/>
          <w:color w:val="auto"/>
        </w:rPr>
        <w:t>Non-payment</w:t>
      </w:r>
      <w:r>
        <w:rPr>
          <w:rFonts w:ascii="Arial" w:cs="Arial" w:eastAsia="Arial" w:hAnsi="Arial"/>
          <w:sz w:val="18"/>
          <w:szCs w:val="18"/>
          <w:color w:val="auto"/>
        </w:rPr>
        <w:t>), 29.2 (</w:t>
      </w:r>
      <w:r>
        <w:rPr>
          <w:rFonts w:ascii="Arial" w:cs="Arial" w:eastAsia="Arial" w:hAnsi="Arial"/>
          <w:sz w:val="18"/>
          <w:szCs w:val="18"/>
          <w:i w:val="1"/>
          <w:iCs w:val="1"/>
          <w:color w:val="auto"/>
        </w:rPr>
        <w:t>Financial covenants; liquidity</w:t>
      </w:r>
      <w:r>
        <w:rPr>
          <w:rFonts w:ascii="Arial" w:cs="Arial" w:eastAsia="Arial" w:hAnsi="Arial"/>
          <w:sz w:val="18"/>
          <w:szCs w:val="18"/>
          <w:color w:val="auto"/>
        </w:rPr>
        <w:t>), 29.3 (</w:t>
      </w:r>
      <w:r>
        <w:rPr>
          <w:rFonts w:ascii="Arial" w:cs="Arial" w:eastAsia="Arial" w:hAnsi="Arial"/>
          <w:sz w:val="18"/>
          <w:szCs w:val="18"/>
          <w:i w:val="1"/>
          <w:iCs w:val="1"/>
          <w:color w:val="auto"/>
        </w:rPr>
        <w:t>Value of security</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29.4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clause 29.5.</w:t>
      </w:r>
    </w:p>
    <w:p>
      <w:pPr>
        <w:spacing w:after="0" w:line="211" w:lineRule="exact"/>
        <w:rPr>
          <w:rFonts w:ascii="Arial" w:cs="Arial" w:eastAsia="Arial" w:hAnsi="Arial"/>
          <w:sz w:val="18"/>
          <w:szCs w:val="18"/>
          <w:color w:val="auto"/>
        </w:rPr>
      </w:pPr>
    </w:p>
    <w:p>
      <w:pPr>
        <w:jc w:val="both"/>
        <w:ind w:left="1020" w:hanging="512"/>
        <w:spacing w:after="0" w:line="234" w:lineRule="auto"/>
        <w:tabs>
          <w:tab w:leader="none" w:pos="135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 Event of Default under clause 29.5(a) above will occur if the Agent (acting on the instructions of the Majority Lenders) considers that the failure to comply is capable of remedy and the failure is remedied within twenty (20) days of the earlier of</w:t>
      </w:r>
    </w:p>
    <w:p>
      <w:pPr>
        <w:spacing w:after="0" w:line="1" w:lineRule="exact"/>
        <w:rPr>
          <w:rFonts w:ascii="Arial" w:cs="Arial" w:eastAsia="Arial" w:hAnsi="Arial"/>
          <w:sz w:val="18"/>
          <w:szCs w:val="18"/>
          <w:color w:val="auto"/>
        </w:rPr>
      </w:pPr>
    </w:p>
    <w:p>
      <w:pPr>
        <w:ind w:left="1020" w:right="20" w:firstLine="9"/>
        <w:spacing w:after="0" w:line="246" w:lineRule="auto"/>
        <w:tabs>
          <w:tab w:leader="none" w:pos="132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Agent giving notice to the Borrowers and (B) any of the Borrowers becoming aware of the failure to comply. For the avoidance of doubt, a breach of clause 24.22 (</w:t>
      </w:r>
      <w:r>
        <w:rPr>
          <w:rFonts w:ascii="Arial" w:cs="Arial" w:eastAsia="Arial" w:hAnsi="Arial"/>
          <w:sz w:val="18"/>
          <w:szCs w:val="18"/>
          <w:i w:val="1"/>
          <w:iCs w:val="1"/>
          <w:color w:val="auto"/>
        </w:rPr>
        <w:t>Settlement of claims</w:t>
      </w:r>
      <w:r>
        <w:rPr>
          <w:rFonts w:ascii="Arial" w:cs="Arial" w:eastAsia="Arial" w:hAnsi="Arial"/>
          <w:sz w:val="18"/>
          <w:szCs w:val="18"/>
          <w:color w:val="auto"/>
        </w:rPr>
        <w:t>) shall not be capable of remedy.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29.6</w:t>
        <w:tab/>
        <w:t>Misrepresentation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(excluding the representations under clause 18.34 (</w:t>
      </w:r>
      <w:r>
        <w:rPr>
          <w:rFonts w:ascii="Arial" w:cs="Arial" w:eastAsia="Arial" w:hAnsi="Arial"/>
          <w:sz w:val="18"/>
          <w:szCs w:val="18"/>
          <w:i w:val="1"/>
          <w:iCs w:val="1"/>
          <w:color w:val="auto"/>
        </w:rPr>
        <w:t>Sanctions</w:t>
      </w:r>
      <w:r>
        <w:rPr>
          <w:rFonts w:ascii="Arial" w:cs="Arial" w:eastAsia="Arial" w:hAnsi="Arial"/>
          <w:sz w:val="18"/>
          <w:szCs w:val="18"/>
          <w:color w:val="auto"/>
        </w:rPr>
        <w:t>)) is or proves to have been incorrect or misleading when made or deemed to be made, unless the same is capable of remedy and is remedied within twenty (20) days of the earlier of (a) the Agent giving notice to the Borrowers and (b) any of the Borrowers becoming aware of the same.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29.7</w:t>
        <w:tab/>
        <w:t>Cross default</w:t>
      </w:r>
    </w:p>
    <w:p>
      <w:pPr>
        <w:spacing w:after="0" w:line="234" w:lineRule="exact"/>
        <w:rPr>
          <w:sz w:val="20"/>
          <w:szCs w:val="20"/>
          <w:color w:val="auto"/>
        </w:rPr>
      </w:pPr>
    </w:p>
    <w:p>
      <w:pPr>
        <w:ind w:left="1060" w:hanging="552"/>
        <w:spacing w:after="0"/>
        <w:tabs>
          <w:tab w:leader="none" w:pos="10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Financial Indebtedness of any Obligor is not paid when due nor within any originally applicable grace period.</w:t>
      </w:r>
    </w:p>
    <w:p>
      <w:pPr>
        <w:spacing w:after="0" w:line="211" w:lineRule="exact"/>
        <w:rPr>
          <w:rFonts w:ascii="Arial" w:cs="Arial" w:eastAsia="Arial" w:hAnsi="Arial"/>
          <w:sz w:val="18"/>
          <w:szCs w:val="18"/>
          <w:color w:val="auto"/>
        </w:rPr>
      </w:pPr>
    </w:p>
    <w:p>
      <w:pPr>
        <w:ind w:left="1020" w:right="20" w:hanging="512"/>
        <w:spacing w:after="0" w:line="246" w:lineRule="auto"/>
        <w:tabs>
          <w:tab w:leader="none" w:pos="138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Financial Indebtedness of any Obligor is declared to be or otherwise becomes due and payable prior to its specified maturity as a result of an event of default (however described).</w:t>
      </w:r>
    </w:p>
    <w:p>
      <w:pPr>
        <w:spacing w:after="0" w:line="196" w:lineRule="exact"/>
        <w:rPr>
          <w:rFonts w:ascii="Arial" w:cs="Arial" w:eastAsia="Arial" w:hAnsi="Arial"/>
          <w:sz w:val="18"/>
          <w:szCs w:val="18"/>
          <w:color w:val="auto"/>
        </w:rPr>
      </w:pPr>
    </w:p>
    <w:p>
      <w:pPr>
        <w:ind w:left="1020" w:hanging="512"/>
        <w:spacing w:after="0" w:line="246" w:lineRule="auto"/>
        <w:tabs>
          <w:tab w:leader="none" w:pos="127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is cancelled or suspended by a creditor of that Obligor as a result of an event of default (however described).</w:t>
      </w:r>
    </w:p>
    <w:p>
      <w:pPr>
        <w:spacing w:after="0" w:line="196"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becomes entitled to terminate that Treasury Transaction early by reason of an event of default (however described).</w:t>
      </w:r>
    </w:p>
    <w:p>
      <w:pPr>
        <w:spacing w:after="0" w:line="196"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creditor of any Obligor becomes entitled to declare any Financial Indebtedness of that Obligor due and payable prior to its specified maturity as a result of an event of default (however described).</w:t>
      </w:r>
    </w:p>
    <w:p>
      <w:pPr>
        <w:spacing w:after="0" w:line="196" w:lineRule="exact"/>
        <w:rPr>
          <w:rFonts w:ascii="Arial" w:cs="Arial" w:eastAsia="Arial" w:hAnsi="Arial"/>
          <w:sz w:val="18"/>
          <w:szCs w:val="18"/>
          <w:color w:val="auto"/>
        </w:rPr>
      </w:pPr>
    </w:p>
    <w:p>
      <w:pPr>
        <w:ind w:left="1020" w:hanging="512"/>
        <w:spacing w:after="0" w:line="246" w:lineRule="auto"/>
        <w:tabs>
          <w:tab w:leader="none" w:pos="130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29.7 if the aggregate amount of Financial Indebtedness or commitment for Financial Indebtedness falling within clauses 29.7(a) to 29.7(e) above is:</w:t>
      </w:r>
    </w:p>
    <w:p>
      <w:pPr>
        <w:spacing w:after="0" w:line="196" w:lineRule="exact"/>
        <w:rPr>
          <w:rFonts w:ascii="Arial" w:cs="Arial" w:eastAsia="Arial" w:hAnsi="Arial"/>
          <w:sz w:val="18"/>
          <w:szCs w:val="18"/>
          <w:color w:val="auto"/>
        </w:rPr>
      </w:pPr>
    </w:p>
    <w:p>
      <w:pPr>
        <w:ind w:left="1560" w:hanging="531"/>
        <w:spacing w:after="0"/>
        <w:tabs>
          <w:tab w:leader="none" w:pos="15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spacing w:after="0"/>
        <w:tabs>
          <w:tab w:leader="none" w:pos="500" w:val="left"/>
        </w:tabs>
        <w:rPr>
          <w:sz w:val="20"/>
          <w:szCs w:val="20"/>
          <w:color w:val="auto"/>
        </w:rPr>
      </w:pPr>
      <w:r>
        <w:rPr>
          <w:rFonts w:ascii="Arial" w:cs="Arial" w:eastAsia="Arial" w:hAnsi="Arial"/>
          <w:sz w:val="18"/>
          <w:szCs w:val="18"/>
          <w:b w:val="1"/>
          <w:bCs w:val="1"/>
          <w:color w:val="auto"/>
        </w:rPr>
        <w:t>29.8</w:t>
        <w:tab/>
        <w:t>Insolvency</w:t>
      </w:r>
    </w:p>
    <w:p>
      <w:pPr>
        <w:spacing w:after="0" w:line="234" w:lineRule="exact"/>
        <w:rPr>
          <w:sz w:val="20"/>
          <w:szCs w:val="20"/>
          <w:color w:val="auto"/>
        </w:rPr>
      </w:pPr>
    </w:p>
    <w:p>
      <w:pPr>
        <w:jc w:val="both"/>
        <w:ind w:left="1020" w:hanging="512"/>
        <w:spacing w:after="0"/>
        <w:tabs>
          <w:tab w:leader="none" w:pos="117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 Obligor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value of the assets of any Obligor is less than its liabilities (taking into account contingent and prospective liabilities).</w:t>
      </w:r>
    </w:p>
    <w:p>
      <w:pPr>
        <w:spacing w:after="0" w:line="211" w:lineRule="exact"/>
        <w:rPr>
          <w:rFonts w:ascii="Arial" w:cs="Arial" w:eastAsia="Arial" w:hAnsi="Arial"/>
          <w:sz w:val="18"/>
          <w:szCs w:val="18"/>
          <w:color w:val="auto"/>
        </w:rPr>
      </w:pPr>
    </w:p>
    <w:p>
      <w:pPr>
        <w:ind w:left="1020" w:hanging="512"/>
        <w:spacing w:after="0" w:line="246" w:lineRule="auto"/>
        <w:tabs>
          <w:tab w:leader="none" w:pos="114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caused by that moratorium.</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29.9</w:t>
        <w:tab/>
        <w:t>Insolvency proceedings</w:t>
      </w:r>
    </w:p>
    <w:p>
      <w:pPr>
        <w:spacing w:after="0" w:line="234" w:lineRule="exact"/>
        <w:rPr>
          <w:sz w:val="20"/>
          <w:szCs w:val="20"/>
          <w:color w:val="auto"/>
        </w:rPr>
      </w:pPr>
    </w:p>
    <w:p>
      <w:pPr>
        <w:ind w:left="1060" w:hanging="552"/>
        <w:spacing w:after="0"/>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11" w:lineRule="exact"/>
        <w:rPr>
          <w:rFonts w:ascii="Arial" w:cs="Arial" w:eastAsia="Arial" w:hAnsi="Arial"/>
          <w:sz w:val="18"/>
          <w:szCs w:val="18"/>
          <w:color w:val="auto"/>
        </w:rPr>
      </w:pPr>
    </w:p>
    <w:p>
      <w:pPr>
        <w:ind w:left="1540" w:hanging="511"/>
        <w:spacing w:after="0" w:line="246" w:lineRule="auto"/>
        <w:tabs>
          <w:tab w:leader="none" w:pos="159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196" w:lineRule="exact"/>
        <w:rPr>
          <w:rFonts w:ascii="Arial" w:cs="Arial" w:eastAsia="Arial" w:hAnsi="Arial"/>
          <w:sz w:val="18"/>
          <w:szCs w:val="18"/>
          <w:color w:val="auto"/>
        </w:rPr>
      </w:pPr>
    </w:p>
    <w:p>
      <w:pPr>
        <w:ind w:left="1560" w:hanging="531"/>
        <w:spacing w:after="0"/>
        <w:tabs>
          <w:tab w:leader="none" w:pos="15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w:t>
      </w:r>
    </w:p>
    <w:p>
      <w:pPr>
        <w:spacing w:after="0" w:line="211" w:lineRule="exact"/>
        <w:rPr>
          <w:rFonts w:ascii="Arial" w:cs="Arial" w:eastAsia="Arial" w:hAnsi="Arial"/>
          <w:sz w:val="18"/>
          <w:szCs w:val="18"/>
          <w:color w:val="auto"/>
        </w:rPr>
      </w:pPr>
    </w:p>
    <w:p>
      <w:pPr>
        <w:jc w:val="both"/>
        <w:ind w:left="1540" w:hanging="511"/>
        <w:spacing w:after="0"/>
        <w:tabs>
          <w:tab w:leader="none" w:pos="186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or any of its assets (including the directors of such Obligor requesting a person to appoint any such officer in relation to it or any of its assets); or</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12" w:lineRule="exact"/>
        <w:rPr>
          <w:sz w:val="20"/>
          <w:szCs w:val="20"/>
          <w:color w:val="auto"/>
        </w:rPr>
      </w:pPr>
    </w:p>
    <w:p>
      <w:pPr>
        <w:ind w:left="1020" w:hanging="512"/>
        <w:spacing w:after="0" w:line="246" w:lineRule="auto"/>
        <w:tabs>
          <w:tab w:leader="none" w:pos="107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Clause 29.9(a) shall not apply to any winding-up petition (or analogous procedure or step) which is frivolous or vexatious and is discharged, stayed or dismissed within fifteen (15) days of commencement or, if earlier, the date on which it is advertised.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29.10 Creditors’ process</w:t>
      </w:r>
    </w:p>
    <w:p>
      <w:pPr>
        <w:spacing w:after="0" w:line="234" w:lineRule="exact"/>
        <w:rPr>
          <w:sz w:val="20"/>
          <w:szCs w:val="20"/>
          <w:color w:val="auto"/>
        </w:rPr>
      </w:pPr>
    </w:p>
    <w:p>
      <w:pPr>
        <w:jc w:val="both"/>
        <w:ind w:left="1020" w:hanging="512"/>
        <w:spacing w:after="0" w:line="238" w:lineRule="auto"/>
        <w:tabs>
          <w:tab w:leader="none" w:pos="10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expropriation, attachment, sequestration, execution or analogous process affects any asset or assets of any Obligor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204" w:lineRule="exact"/>
        <w:rPr>
          <w:rFonts w:ascii="Arial" w:cs="Arial" w:eastAsia="Arial" w:hAnsi="Arial"/>
          <w:sz w:val="18"/>
          <w:szCs w:val="18"/>
          <w:color w:val="auto"/>
        </w:rPr>
      </w:pPr>
    </w:p>
    <w:p>
      <w:pPr>
        <w:jc w:val="both"/>
        <w:ind w:left="1020" w:hanging="512"/>
        <w:spacing w:after="0"/>
        <w:tabs>
          <w:tab w:leader="none" w:pos="108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and is not stayed or complied with within thirty (30)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29.11 Cessation of business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Obligor suspends or ceases to carry on (or threatens to suspend or cease to carry on) all or a material part of its business (except in the case of an Owner as a result of the sale of its Ship in accordance with, and subject to, the provisions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29.12 Expropriation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29.13 Repudiation and rescission of Finance Documents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Obligor repudiates a Finance Document.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29.14 Litigation</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29.15 Material Adverse Effect</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29.16 Security enforceable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29.17 Arrest of Ship</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30 days thereafter (or such longer period as may be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29.18 Ship registration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with approval of the Majority Lenders,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29.19 Political risk</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Flag State of any Mortgaged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29.20 Charters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of the Majority Lenders, a Charter of any Ship (which for the purposes of this clause 29.20 shall include any charter commitment that replaces a Charter pursuant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both"/>
        <w:ind w:left="20"/>
        <w:spacing w:after="0" w:line="238" w:lineRule="auto"/>
        <w:rPr>
          <w:sz w:val="20"/>
          <w:szCs w:val="20"/>
          <w:color w:val="auto"/>
        </w:rPr>
      </w:pPr>
      <w:r>
        <w:rPr>
          <w:rFonts w:ascii="Arial" w:cs="Arial" w:eastAsia="Arial" w:hAnsi="Arial"/>
          <w:sz w:val="18"/>
          <w:szCs w:val="18"/>
          <w:color w:val="auto"/>
        </w:rPr>
        <w:t xml:space="preserve">clause 29.20(b)) is terminated, cancelled or rescinded or (except as a result of the relevant Ship being a Total Loss) frustrated or any Ship is withdrawn from service under a Charter before the time that Charter was scheduled to expire (any such Ship, an </w:t>
      </w:r>
      <w:r>
        <w:rPr>
          <w:rFonts w:ascii="Arial" w:cs="Arial" w:eastAsia="Arial" w:hAnsi="Arial"/>
          <w:sz w:val="18"/>
          <w:szCs w:val="18"/>
          <w:b w:val="1"/>
          <w:bCs w:val="1"/>
          <w:color w:val="auto"/>
        </w:rPr>
        <w:t>Affected</w:t>
      </w:r>
      <w:r>
        <w:rPr>
          <w:rFonts w:ascii="Arial" w:cs="Arial" w:eastAsia="Arial" w:hAnsi="Arial"/>
          <w:sz w:val="18"/>
          <w:szCs w:val="18"/>
          <w:color w:val="auto"/>
        </w:rPr>
        <w:t xml:space="preserve"> </w:t>
      </w:r>
      <w:r>
        <w:rPr>
          <w:rFonts w:ascii="Arial" w:cs="Arial" w:eastAsia="Arial" w:hAnsi="Arial"/>
          <w:sz w:val="18"/>
          <w:szCs w:val="18"/>
          <w:b w:val="1"/>
          <w:bCs w:val="1"/>
          <w:color w:val="auto"/>
        </w:rPr>
        <w:t>Ship</w:t>
      </w:r>
      <w:r>
        <w:rPr>
          <w:rFonts w:ascii="Arial" w:cs="Arial" w:eastAsia="Arial" w:hAnsi="Arial"/>
          <w:sz w:val="18"/>
          <w:szCs w:val="18"/>
          <w:color w:val="auto"/>
        </w:rPr>
        <w:t>),</w:t>
      </w:r>
      <w:r>
        <w:rPr>
          <w:rFonts w:ascii="Arial" w:cs="Arial" w:eastAsia="Arial" w:hAnsi="Arial"/>
          <w:sz w:val="18"/>
          <w:szCs w:val="18"/>
          <w:b w:val="1"/>
          <w:bCs w:val="1"/>
          <w:color w:val="auto"/>
        </w:rPr>
        <w:t xml:space="preserve"> provided however that </w:t>
      </w:r>
      <w:r>
        <w:rPr>
          <w:rFonts w:ascii="Arial" w:cs="Arial" w:eastAsia="Arial" w:hAnsi="Arial"/>
          <w:sz w:val="18"/>
          <w:szCs w:val="18"/>
          <w:color w:val="auto"/>
        </w:rPr>
        <w:t>no Event of Default shall occur under this clause 29.20 in relation to a Charter or Affected Ship,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under either paragraph (a) or paragraph (b) below are satisfied in respect of that Charter or (as the case may be) Affected Ship within 120 days of such termination, cancellation, rescission, frustration or withdrawal either:</w:t>
      </w:r>
    </w:p>
    <w:p>
      <w:pPr>
        <w:spacing w:after="0" w:line="202" w:lineRule="exact"/>
        <w:rPr>
          <w:sz w:val="20"/>
          <w:szCs w:val="20"/>
          <w:color w:val="auto"/>
        </w:rPr>
      </w:pPr>
    </w:p>
    <w:p>
      <w:pPr>
        <w:ind w:left="560" w:hanging="552"/>
        <w:spacing w:after="0"/>
        <w:tabs>
          <w:tab w:leader="none" w:pos="5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Borrowers:</w:t>
      </w:r>
    </w:p>
    <w:p>
      <w:pPr>
        <w:spacing w:after="0" w:line="193" w:lineRule="exact"/>
        <w:rPr>
          <w:rFonts w:ascii="Arial" w:cs="Arial" w:eastAsia="Arial" w:hAnsi="Arial"/>
          <w:sz w:val="18"/>
          <w:szCs w:val="18"/>
          <w:color w:val="auto"/>
        </w:rPr>
      </w:pPr>
    </w:p>
    <w:p>
      <w:pPr>
        <w:jc w:val="both"/>
        <w:ind w:left="1040" w:hanging="511"/>
        <w:spacing w:after="0" w:line="250" w:lineRule="auto"/>
        <w:tabs>
          <w:tab w:leader="none" w:pos="105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have prepaid the Advance relevant to such Affected Ship under clause 7.4(d) (</w:t>
      </w:r>
      <w:r>
        <w:rPr>
          <w:rFonts w:ascii="Arial" w:cs="Arial" w:eastAsia="Arial" w:hAnsi="Arial"/>
          <w:sz w:val="18"/>
          <w:szCs w:val="18"/>
          <w:i w:val="1"/>
          <w:iCs w:val="1"/>
          <w:color w:val="auto"/>
        </w:rPr>
        <w:t>Voluntary prepayment</w:t>
      </w:r>
      <w:r>
        <w:rPr>
          <w:rFonts w:ascii="Arial" w:cs="Arial" w:eastAsia="Arial" w:hAnsi="Arial"/>
          <w:sz w:val="18"/>
          <w:szCs w:val="18"/>
          <w:color w:val="auto"/>
        </w:rPr>
        <w:t>) by an amount equal to no less than the Affected Ship Prepayment Amount (but on three (3) Business Days’ notice instead of the period required by such clause); or</w:t>
      </w:r>
    </w:p>
    <w:p>
      <w:pPr>
        <w:spacing w:after="0" w:line="194" w:lineRule="exact"/>
        <w:rPr>
          <w:rFonts w:ascii="Arial" w:cs="Arial" w:eastAsia="Arial" w:hAnsi="Arial"/>
          <w:sz w:val="18"/>
          <w:szCs w:val="18"/>
          <w:color w:val="auto"/>
        </w:rPr>
      </w:pPr>
    </w:p>
    <w:p>
      <w:pPr>
        <w:ind w:left="1040" w:hanging="511"/>
        <w:spacing w:after="0" w:line="246" w:lineRule="auto"/>
        <w:tabs>
          <w:tab w:leader="none" w:pos="10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have provided to the Finance Parties additional cash collateral in the form of pledged or charged dollar cash deposits in a Cash Collateral Account in an amount equal to the Affected Ship Prepayment Amount.</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For the purposes of this clause:</w:t>
      </w:r>
    </w:p>
    <w:p>
      <w:pPr>
        <w:spacing w:after="0" w:line="190" w:lineRule="exact"/>
        <w:rPr>
          <w:sz w:val="20"/>
          <w:szCs w:val="20"/>
          <w:color w:val="auto"/>
        </w:rPr>
      </w:pPr>
    </w:p>
    <w:p>
      <w:pPr>
        <w:jc w:val="both"/>
        <w:ind w:left="1040"/>
        <w:spacing w:after="0" w:line="247" w:lineRule="auto"/>
        <w:rPr>
          <w:sz w:val="20"/>
          <w:szCs w:val="20"/>
          <w:color w:val="auto"/>
        </w:rPr>
      </w:pPr>
      <w:r>
        <w:rPr>
          <w:rFonts w:ascii="Arial" w:cs="Arial" w:eastAsia="Arial" w:hAnsi="Arial"/>
          <w:sz w:val="18"/>
          <w:szCs w:val="18"/>
          <w:b w:val="1"/>
          <w:bCs w:val="1"/>
          <w:color w:val="auto"/>
        </w:rPr>
        <w:t xml:space="preserve">Affected Ship Prepayment Amount </w:t>
      </w:r>
      <w:r>
        <w:rPr>
          <w:rFonts w:ascii="Arial" w:cs="Arial" w:eastAsia="Arial" w:hAnsi="Arial"/>
          <w:sz w:val="18"/>
          <w:szCs w:val="18"/>
          <w:color w:val="auto"/>
        </w:rPr>
        <w:t>shall be equal to an amount which is sufficient to ensure that the ratio of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under the relevant Advance of the Affected Ship over the Affected Ship’s market value as determined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(together with any additional cash collateral) is (aa) equal to or less than 50% in the case of Ship A and (bb) equal to or less than 55% in the case of each of Ship B and Ship C;</w:t>
      </w:r>
    </w:p>
    <w:p>
      <w:pPr>
        <w:spacing w:after="0" w:line="196" w:lineRule="exact"/>
        <w:rPr>
          <w:sz w:val="20"/>
          <w:szCs w:val="20"/>
          <w:color w:val="auto"/>
        </w:rPr>
      </w:pPr>
    </w:p>
    <w:p>
      <w:pPr>
        <w:ind w:left="540" w:hanging="532"/>
        <w:spacing w:after="0"/>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relevant Owner has:</w:t>
      </w:r>
    </w:p>
    <w:p>
      <w:pPr>
        <w:spacing w:after="0" w:line="211" w:lineRule="exact"/>
        <w:rPr>
          <w:rFonts w:ascii="Arial" w:cs="Arial" w:eastAsia="Arial" w:hAnsi="Arial"/>
          <w:sz w:val="18"/>
          <w:szCs w:val="18"/>
          <w:color w:val="auto"/>
        </w:rPr>
      </w:pPr>
    </w:p>
    <w:p>
      <w:pPr>
        <w:ind w:left="1060" w:hanging="531"/>
        <w:spacing w:after="0"/>
        <w:tabs>
          <w:tab w:leader="none" w:pos="10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entered into a new charter commitment in respect of the Affected Ship which:</w:t>
      </w:r>
    </w:p>
    <w:p>
      <w:pPr>
        <w:spacing w:after="0" w:line="211" w:lineRule="exact"/>
        <w:rPr>
          <w:rFonts w:ascii="Arial" w:cs="Arial" w:eastAsia="Arial" w:hAnsi="Arial"/>
          <w:sz w:val="18"/>
          <w:szCs w:val="18"/>
          <w:color w:val="auto"/>
        </w:rPr>
      </w:pPr>
    </w:p>
    <w:p>
      <w:pPr>
        <w:ind w:left="1540" w:hanging="501"/>
        <w:spacing w:after="0" w:line="246" w:lineRule="auto"/>
        <w:tabs>
          <w:tab w:leader="none" w:pos="1769" w:val="left"/>
        </w:tabs>
        <w:numPr>
          <w:ilvl w:val="2"/>
          <w:numId w:val="278"/>
        </w:numPr>
        <w:rPr>
          <w:rFonts w:ascii="Arial" w:cs="Arial" w:eastAsia="Arial" w:hAnsi="Arial"/>
          <w:sz w:val="18"/>
          <w:szCs w:val="18"/>
          <w:color w:val="auto"/>
        </w:rPr>
      </w:pPr>
      <w:r>
        <w:rPr>
          <w:rFonts w:ascii="Arial" w:cs="Arial" w:eastAsia="Arial" w:hAnsi="Arial"/>
          <w:sz w:val="18"/>
          <w:szCs w:val="18"/>
          <w:color w:val="auto"/>
        </w:rPr>
        <w:t>is with a charterer which is not a Non-Acceptable Charterer and with a credit rating of not less than BBB- or its equivalent by at least one of Standard and Poor’s, Moody’s or Fitch; and</w:t>
      </w:r>
    </w:p>
    <w:p>
      <w:pPr>
        <w:spacing w:after="0" w:line="196" w:lineRule="exact"/>
        <w:rPr>
          <w:rFonts w:ascii="Arial" w:cs="Arial" w:eastAsia="Arial" w:hAnsi="Arial"/>
          <w:sz w:val="18"/>
          <w:szCs w:val="18"/>
          <w:color w:val="auto"/>
        </w:rPr>
      </w:pPr>
    </w:p>
    <w:p>
      <w:pPr>
        <w:jc w:val="both"/>
        <w:ind w:left="1540" w:hanging="501"/>
        <w:spacing w:after="0"/>
        <w:tabs>
          <w:tab w:leader="none" w:pos="158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provides for charter rates which shall, for each calendar month, exceed the aggregate of all amounts of operational costs of such Ship and debt service (including any applicable commitment fee) for the Ship Commitment for that Ship payable in such month; and</w:t>
      </w:r>
    </w:p>
    <w:p>
      <w:pPr>
        <w:spacing w:after="0" w:line="202" w:lineRule="exact"/>
        <w:rPr>
          <w:rFonts w:ascii="Arial" w:cs="Arial" w:eastAsia="Arial" w:hAnsi="Arial"/>
          <w:sz w:val="18"/>
          <w:szCs w:val="18"/>
          <w:color w:val="auto"/>
        </w:rPr>
      </w:pPr>
    </w:p>
    <w:p>
      <w:pPr>
        <w:ind w:left="1540" w:hanging="501"/>
        <w:spacing w:after="0" w:line="246" w:lineRule="auto"/>
        <w:tabs>
          <w:tab w:leader="none" w:pos="1631" w:val="left"/>
        </w:tabs>
        <w:numPr>
          <w:ilvl w:val="2"/>
          <w:numId w:val="278"/>
        </w:numPr>
        <w:rPr>
          <w:rFonts w:ascii="Arial" w:cs="Arial" w:eastAsia="Arial" w:hAnsi="Arial"/>
          <w:sz w:val="18"/>
          <w:szCs w:val="18"/>
          <w:color w:val="auto"/>
        </w:rPr>
      </w:pPr>
      <w:r>
        <w:rPr>
          <w:rFonts w:ascii="Arial" w:cs="Arial" w:eastAsia="Arial" w:hAnsi="Arial"/>
          <w:sz w:val="18"/>
          <w:szCs w:val="18"/>
          <w:color w:val="auto"/>
        </w:rPr>
        <w:t>provides for a fixed charter tenor of no less than the remaining tenor of Charter of the Affected Ship without taking into account any option to extend; and</w:t>
      </w:r>
    </w:p>
    <w:p>
      <w:pPr>
        <w:spacing w:after="0" w:line="196" w:lineRule="exact"/>
        <w:rPr>
          <w:rFonts w:ascii="Arial" w:cs="Arial" w:eastAsia="Arial" w:hAnsi="Arial"/>
          <w:sz w:val="18"/>
          <w:szCs w:val="18"/>
          <w:color w:val="auto"/>
        </w:rPr>
      </w:pPr>
    </w:p>
    <w:p>
      <w:pPr>
        <w:jc w:val="both"/>
        <w:ind w:left="1540" w:right="20" w:hanging="501"/>
        <w:spacing w:after="0" w:line="246" w:lineRule="auto"/>
        <w:tabs>
          <w:tab w:leader="none" w:pos="1604" w:val="left"/>
        </w:tabs>
        <w:numPr>
          <w:ilvl w:val="2"/>
          <w:numId w:val="278"/>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Affected Ship to another person except where operational control is passed to the Ship’s Technical Manager,</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or is otherwise acceptable in form and substance in all respects to the Majority Lenders in their absolute discretion; and</w:t>
      </w:r>
    </w:p>
    <w:p>
      <w:pPr>
        <w:spacing w:after="0" w:line="212" w:lineRule="exact"/>
        <w:rPr>
          <w:sz w:val="20"/>
          <w:szCs w:val="20"/>
          <w:color w:val="auto"/>
        </w:rPr>
      </w:pPr>
    </w:p>
    <w:p>
      <w:pPr>
        <w:jc w:val="both"/>
        <w:ind w:left="1040" w:hanging="511"/>
        <w:spacing w:after="0" w:line="238" w:lineRule="auto"/>
        <w:tabs>
          <w:tab w:leader="none" w:pos="122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granted in favour of the Security Agent a Security Interest in respect of such charter commitment (and where relevant, guarantee) in a document in an agreed form and will provide and has delivered to the Agent in respect of the same, any documents and evidence of the nature described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reasonably required by the Agent.</w:t>
      </w:r>
    </w:p>
    <w:p>
      <w:pPr>
        <w:spacing w:after="0" w:line="20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29.21 Acceleration</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On and at any time after the occurrence of an Event of Default which is continuing the Agent shall, if so directed by the Majority Lenders, by notice to the Borrowers:</w:t>
      </w:r>
    </w:p>
    <w:p>
      <w:pPr>
        <w:spacing w:after="0" w:line="197" w:lineRule="exact"/>
        <w:rPr>
          <w:sz w:val="20"/>
          <w:szCs w:val="20"/>
          <w:color w:val="auto"/>
        </w:rPr>
      </w:pPr>
    </w:p>
    <w:p>
      <w:pPr>
        <w:ind w:left="1040" w:hanging="526"/>
        <w:spacing w:after="0"/>
        <w:tabs>
          <w:tab w:leader="none" w:pos="10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211" w:lineRule="exact"/>
        <w:rPr>
          <w:rFonts w:ascii="Arial" w:cs="Arial" w:eastAsia="Arial" w:hAnsi="Arial"/>
          <w:sz w:val="18"/>
          <w:szCs w:val="18"/>
          <w:color w:val="auto"/>
        </w:rPr>
      </w:pPr>
    </w:p>
    <w:p>
      <w:pPr>
        <w:ind w:left="1040" w:right="20" w:hanging="526"/>
        <w:spacing w:after="0" w:line="246" w:lineRule="auto"/>
        <w:tabs>
          <w:tab w:leader="none" w:pos="130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declare that all or part of the Loan, together with accrued interest, and all other amounts accrued or outstanding under the Finance Documents be immediately due and payable, at which time they shall become immediately due and payable; and/or</w:t>
      </w:r>
    </w:p>
    <w:p>
      <w:pPr>
        <w:spacing w:after="0" w:line="196" w:lineRule="exact"/>
        <w:rPr>
          <w:rFonts w:ascii="Arial" w:cs="Arial" w:eastAsia="Arial" w:hAnsi="Arial"/>
          <w:sz w:val="18"/>
          <w:szCs w:val="18"/>
          <w:color w:val="auto"/>
        </w:rPr>
      </w:pPr>
    </w:p>
    <w:p>
      <w:pPr>
        <w:ind w:left="1040" w:hanging="526"/>
        <w:spacing w:after="0" w:line="246" w:lineRule="auto"/>
        <w:tabs>
          <w:tab w:leader="none" w:pos="108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declare that all or part of the Loan be payable on demand, at which time they shall immediately become payable on demand by the Agent on the instructions of the Majority Lenders; and/or</w:t>
      </w:r>
    </w:p>
    <w:p>
      <w:pPr>
        <w:spacing w:after="0" w:line="196" w:lineRule="exact"/>
        <w:rPr>
          <w:rFonts w:ascii="Arial" w:cs="Arial" w:eastAsia="Arial" w:hAnsi="Arial"/>
          <w:sz w:val="18"/>
          <w:szCs w:val="18"/>
          <w:color w:val="auto"/>
        </w:rPr>
      </w:pPr>
    </w:p>
    <w:p>
      <w:pPr>
        <w:ind w:left="1040" w:hanging="526"/>
        <w:spacing w:after="0"/>
        <w:tabs>
          <w:tab w:leader="none" w:pos="10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11" w:lineRule="exact"/>
        <w:rPr>
          <w:rFonts w:ascii="Arial" w:cs="Arial" w:eastAsia="Arial" w:hAnsi="Arial"/>
          <w:sz w:val="18"/>
          <w:szCs w:val="18"/>
          <w:color w:val="auto"/>
        </w:rPr>
      </w:pPr>
    </w:p>
    <w:p>
      <w:pPr>
        <w:ind w:left="1040" w:hanging="526"/>
        <w:spacing w:after="0" w:line="246" w:lineRule="auto"/>
        <w:tabs>
          <w:tab w:leader="none" w:pos="11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65" w:lineRule="exact"/>
        <w:rPr>
          <w:sz w:val="20"/>
          <w:szCs w:val="20"/>
          <w:color w:val="auto"/>
        </w:rPr>
      </w:pPr>
    </w:p>
    <w:p>
      <w:pPr>
        <w:ind w:left="480" w:hanging="342"/>
        <w:spacing w:after="0"/>
        <w:tabs>
          <w:tab w:leader="none" w:pos="480" w:val="left"/>
        </w:tabs>
        <w:numPr>
          <w:ilvl w:val="0"/>
          <w:numId w:val="281"/>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Lenders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7"/>
          <w:szCs w:val="17"/>
          <w:b w:val="1"/>
          <w:bCs w:val="1"/>
          <w:color w:val="auto"/>
        </w:rPr>
        <w:t>Assignments by the Lenders</w:t>
      </w:r>
    </w:p>
    <w:p>
      <w:pPr>
        <w:spacing w:after="0" w:line="212"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 xml:space="preserve">Subject to this clause 30,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color w:val="auto"/>
        </w:rPr>
        <w:t>Conditions of assignment</w:t>
      </w:r>
    </w:p>
    <w:p>
      <w:pPr>
        <w:spacing w:after="0" w:line="234" w:lineRule="exact"/>
        <w:rPr>
          <w:sz w:val="20"/>
          <w:szCs w:val="20"/>
          <w:color w:val="auto"/>
        </w:rPr>
      </w:pPr>
    </w:p>
    <w:p>
      <w:pPr>
        <w:ind w:left="1040" w:hanging="526"/>
        <w:spacing w:after="0" w:line="246" w:lineRule="auto"/>
        <w:tabs>
          <w:tab w:leader="none" w:pos="122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prior written consent of the Borrowers is required for an assignment by a Lender, unless (i) the assignment is to another Lender or an Affiliate of a Lender or to a fund which is a Related Fund of that Lender or (ii) an Event of Default is continuing.</w:t>
      </w:r>
    </w:p>
    <w:p>
      <w:pPr>
        <w:spacing w:after="0" w:line="196" w:lineRule="exact"/>
        <w:rPr>
          <w:rFonts w:ascii="Arial" w:cs="Arial" w:eastAsia="Arial" w:hAnsi="Arial"/>
          <w:sz w:val="18"/>
          <w:szCs w:val="18"/>
          <w:color w:val="auto"/>
        </w:rPr>
      </w:pPr>
    </w:p>
    <w:p>
      <w:pPr>
        <w:jc w:val="both"/>
        <w:ind w:left="1020" w:hanging="512"/>
        <w:spacing w:after="0"/>
        <w:tabs>
          <w:tab w:leader="none" w:pos="132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Borrowers’ consent may not be unreasonably withheld or delayed and will be deemed to have been given fifteen (15) Business Days after the Lender has requested consent unless consent is expressly refused within that time, provided however, that the Borrowers shall be entitled to withhold consent in their discretion if the assignment is to a trust or fund.</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11" w:lineRule="exact"/>
        <w:rPr>
          <w:rFonts w:ascii="Arial" w:cs="Arial" w:eastAsia="Arial" w:hAnsi="Arial"/>
          <w:sz w:val="18"/>
          <w:szCs w:val="18"/>
          <w:color w:val="auto"/>
        </w:rPr>
      </w:pPr>
    </w:p>
    <w:p>
      <w:pPr>
        <w:jc w:val="both"/>
        <w:ind w:left="1540" w:hanging="511"/>
        <w:spacing w:after="0"/>
        <w:tabs>
          <w:tab w:leader="none" w:pos="156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Borrowers and the other Finance Parties as it would have been under if it was the Existing Lender;</w:t>
      </w:r>
    </w:p>
    <w:p>
      <w:pPr>
        <w:spacing w:after="0" w:line="202" w:lineRule="exact"/>
        <w:rPr>
          <w:rFonts w:ascii="Arial" w:cs="Arial" w:eastAsia="Arial" w:hAnsi="Arial"/>
          <w:sz w:val="18"/>
          <w:szCs w:val="18"/>
          <w:color w:val="auto"/>
        </w:rPr>
      </w:pPr>
    </w:p>
    <w:p>
      <w:pPr>
        <w:jc w:val="both"/>
        <w:ind w:left="1540" w:hanging="511"/>
        <w:spacing w:after="0"/>
        <w:tabs>
          <w:tab w:leader="none" w:pos="179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202" w:lineRule="exact"/>
        <w:rPr>
          <w:rFonts w:ascii="Arial" w:cs="Arial" w:eastAsia="Arial" w:hAnsi="Arial"/>
          <w:sz w:val="18"/>
          <w:szCs w:val="18"/>
          <w:color w:val="auto"/>
        </w:rPr>
      </w:pPr>
    </w:p>
    <w:p>
      <w:pPr>
        <w:jc w:val="both"/>
        <w:ind w:left="1540" w:hanging="511"/>
        <w:spacing w:after="0"/>
        <w:tabs>
          <w:tab w:leader="none" w:pos="160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both"/>
        <w:ind w:left="1540" w:hanging="511"/>
        <w:spacing w:after="0"/>
        <w:tabs>
          <w:tab w:leader="none" w:pos="157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an assignment takes effect after there has been a Utilisation, the assignment of an Existing Lender’s participation in the Utilisations (if any) under the Facility shall take effect in respect of the same fraction of each such Utilisation under the Facility;</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the Facility; and</w:t>
      </w:r>
    </w:p>
    <w:p>
      <w:pPr>
        <w:spacing w:after="0" w:line="211" w:lineRule="exact"/>
        <w:rPr>
          <w:rFonts w:ascii="Arial" w:cs="Arial" w:eastAsia="Arial" w:hAnsi="Arial"/>
          <w:sz w:val="18"/>
          <w:szCs w:val="18"/>
          <w:color w:val="auto"/>
        </w:rPr>
      </w:pPr>
    </w:p>
    <w:p>
      <w:pPr>
        <w:jc w:val="both"/>
        <w:ind w:left="1540" w:hanging="511"/>
        <w:spacing w:after="0"/>
        <w:tabs>
          <w:tab w:leader="none" w:pos="164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(save for an assignment where the consent of the Borrowers and the Guarantors is not required under clause 30.2(a)) if the total amount of participations and Commitments of the Existing Lender being assigned is not less than $10,000,000 (or its entire participations and Commitments if lower than $10,000,000).</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35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202" w:lineRule="exact"/>
        <w:rPr>
          <w:rFonts w:ascii="Arial" w:cs="Arial" w:eastAsia="Arial" w:hAnsi="Arial"/>
          <w:sz w:val="18"/>
          <w:szCs w:val="18"/>
          <w:color w:val="auto"/>
        </w:rPr>
      </w:pPr>
    </w:p>
    <w:p>
      <w:pPr>
        <w:ind w:left="1060" w:hanging="552"/>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w:t>
      </w:r>
    </w:p>
    <w:p>
      <w:pPr>
        <w:spacing w:after="0" w:line="211" w:lineRule="exact"/>
        <w:rPr>
          <w:rFonts w:ascii="Arial" w:cs="Arial" w:eastAsia="Arial" w:hAnsi="Arial"/>
          <w:sz w:val="18"/>
          <w:szCs w:val="18"/>
          <w:color w:val="auto"/>
        </w:rPr>
      </w:pPr>
    </w:p>
    <w:p>
      <w:pPr>
        <w:ind w:left="1540" w:hanging="511"/>
        <w:spacing w:after="0" w:line="246" w:lineRule="auto"/>
        <w:tabs>
          <w:tab w:leader="none" w:pos="159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96" w:lineRule="exact"/>
        <w:rPr>
          <w:rFonts w:ascii="Arial" w:cs="Arial" w:eastAsia="Arial" w:hAnsi="Arial"/>
          <w:sz w:val="18"/>
          <w:szCs w:val="18"/>
          <w:color w:val="auto"/>
        </w:rPr>
      </w:pPr>
    </w:p>
    <w:p>
      <w:pPr>
        <w:jc w:val="both"/>
        <w:ind w:left="1540" w:hanging="511"/>
        <w:spacing w:after="0"/>
        <w:tabs>
          <w:tab w:leader="none" w:pos="163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03"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30.3</w:t>
        <w:tab/>
        <w:t>Fee</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 unless the New Lender is an Affiliate of an Existing Lender, in which case no fee shall be payable.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7"/>
          <w:szCs w:val="17"/>
          <w:b w:val="1"/>
          <w:bCs w:val="1"/>
          <w:color w:val="auto"/>
        </w:rPr>
        <w:t>Limitation of responsibility of Existing Lenders</w:t>
      </w:r>
    </w:p>
    <w:p>
      <w:pPr>
        <w:spacing w:after="0" w:line="234" w:lineRule="exact"/>
        <w:rPr>
          <w:sz w:val="20"/>
          <w:szCs w:val="20"/>
          <w:color w:val="auto"/>
        </w:rPr>
      </w:pPr>
    </w:p>
    <w:p>
      <w:pPr>
        <w:ind w:left="1020" w:hanging="512"/>
        <w:spacing w:after="0" w:line="246" w:lineRule="auto"/>
        <w:tabs>
          <w:tab w:leader="none" w:pos="104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96" w:lineRule="exact"/>
        <w:rPr>
          <w:rFonts w:ascii="Arial" w:cs="Arial" w:eastAsia="Arial" w:hAnsi="Arial"/>
          <w:sz w:val="18"/>
          <w:szCs w:val="18"/>
          <w:color w:val="auto"/>
        </w:rPr>
      </w:pPr>
    </w:p>
    <w:p>
      <w:pPr>
        <w:ind w:left="1560" w:hanging="531"/>
        <w:spacing w:after="0"/>
        <w:tabs>
          <w:tab w:leader="none" w:pos="15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11" w:lineRule="exact"/>
        <w:rPr>
          <w:rFonts w:ascii="Arial" w:cs="Arial" w:eastAsia="Arial" w:hAnsi="Arial"/>
          <w:sz w:val="18"/>
          <w:szCs w:val="18"/>
          <w:color w:val="auto"/>
        </w:rPr>
      </w:pPr>
    </w:p>
    <w:p>
      <w:pPr>
        <w:ind w:left="1540" w:hanging="511"/>
        <w:spacing w:after="0" w:line="246" w:lineRule="auto"/>
        <w:tabs>
          <w:tab w:leader="none" w:pos="1661"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96" w:lineRule="exact"/>
        <w:rPr>
          <w:rFonts w:ascii="Arial" w:cs="Arial" w:eastAsia="Arial" w:hAnsi="Arial"/>
          <w:sz w:val="18"/>
          <w:szCs w:val="18"/>
          <w:color w:val="auto"/>
        </w:rPr>
      </w:pPr>
    </w:p>
    <w:p>
      <w:pPr>
        <w:ind w:left="1540" w:right="20" w:hanging="511"/>
        <w:spacing w:after="0" w:line="246" w:lineRule="auto"/>
        <w:tabs>
          <w:tab w:leader="none" w:pos="175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2" w:name="page103"/>
    <w:bookmarkEnd w:id="102"/>
    <w:p>
      <w:pPr>
        <w:ind w:left="1540" w:hanging="511"/>
        <w:spacing w:after="0" w:line="246" w:lineRule="auto"/>
        <w:tabs>
          <w:tab w:leader="none" w:pos="177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12" w:lineRule="exact"/>
        <w:rPr>
          <w:sz w:val="20"/>
          <w:szCs w:val="20"/>
          <w:color w:val="auto"/>
        </w:rPr>
      </w:pPr>
    </w:p>
    <w:p>
      <w:pPr>
        <w:ind w:left="1040" w:hanging="532"/>
        <w:spacing w:after="0"/>
        <w:tabs>
          <w:tab w:leader="none" w:pos="10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11" w:lineRule="exact"/>
        <w:rPr>
          <w:rFonts w:ascii="Arial" w:cs="Arial" w:eastAsia="Arial" w:hAnsi="Arial"/>
          <w:sz w:val="18"/>
          <w:szCs w:val="18"/>
          <w:color w:val="auto"/>
        </w:rPr>
      </w:pPr>
    </w:p>
    <w:p>
      <w:pPr>
        <w:ind w:left="2040" w:right="20" w:hanging="501"/>
        <w:spacing w:after="0" w:line="246" w:lineRule="auto"/>
        <w:tabs>
          <w:tab w:leader="none" w:pos="2107"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96" w:lineRule="exact"/>
        <w:rPr>
          <w:rFonts w:ascii="Arial" w:cs="Arial" w:eastAsia="Arial" w:hAnsi="Arial"/>
          <w:sz w:val="18"/>
          <w:szCs w:val="18"/>
          <w:color w:val="auto"/>
        </w:rPr>
      </w:pPr>
    </w:p>
    <w:p>
      <w:pPr>
        <w:ind w:left="2040" w:right="20" w:hanging="501"/>
        <w:spacing w:after="0" w:line="246" w:lineRule="auto"/>
        <w:tabs>
          <w:tab w:leader="none" w:pos="2364"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97"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97" w:lineRule="exact"/>
        <w:rPr>
          <w:sz w:val="20"/>
          <w:szCs w:val="20"/>
          <w:color w:val="auto"/>
        </w:rPr>
      </w:pPr>
    </w:p>
    <w:p>
      <w:pPr>
        <w:ind w:left="1540" w:hanging="511"/>
        <w:spacing w:after="0" w:line="246" w:lineRule="auto"/>
        <w:tabs>
          <w:tab w:leader="none" w:pos="158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96"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30; or</w:t>
      </w:r>
    </w:p>
    <w:p>
      <w:pPr>
        <w:spacing w:after="0" w:line="211" w:lineRule="exact"/>
        <w:rPr>
          <w:rFonts w:ascii="Arial" w:cs="Arial" w:eastAsia="Arial" w:hAnsi="Arial"/>
          <w:sz w:val="18"/>
          <w:szCs w:val="18"/>
          <w:color w:val="auto"/>
        </w:rPr>
      </w:pPr>
    </w:p>
    <w:p>
      <w:pPr>
        <w:jc w:val="both"/>
        <w:ind w:left="1540" w:hanging="511"/>
        <w:spacing w:after="0"/>
        <w:tabs>
          <w:tab w:leader="none" w:pos="160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7"/>
          <w:szCs w:val="17"/>
          <w:b w:val="1"/>
          <w:bCs w:val="1"/>
          <w:color w:val="auto"/>
        </w:rPr>
        <w:t>Procedure for assignment</w:t>
      </w:r>
    </w:p>
    <w:p>
      <w:pPr>
        <w:spacing w:after="0" w:line="216" w:lineRule="exact"/>
        <w:rPr>
          <w:sz w:val="20"/>
          <w:szCs w:val="20"/>
          <w:color w:val="auto"/>
        </w:rPr>
      </w:pPr>
    </w:p>
    <w:p>
      <w:pPr>
        <w:jc w:val="both"/>
        <w:ind w:left="1020" w:hanging="512"/>
        <w:spacing w:after="0" w:line="238" w:lineRule="auto"/>
        <w:tabs>
          <w:tab w:leader="none" w:pos="115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Subject to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 clause 30.5(d) below when (a) the Agent executes an otherwise duly completed Transfer Certificate and (b) the Agent executes any document required under clause 30.2(c)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which it may be necessary for it to execute in each case delivered to it by the Existing Lender and the New Lender duly executed by them and, in the case of any such other document, any other relevant person. The Agent shall, subject to clause 30.5(b)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209" w:lineRule="exact"/>
        <w:rPr>
          <w:rFonts w:ascii="Arial" w:cs="Arial" w:eastAsia="Arial" w:hAnsi="Arial"/>
          <w:sz w:val="18"/>
          <w:szCs w:val="18"/>
          <w:color w:val="auto"/>
        </w:rPr>
      </w:pPr>
    </w:p>
    <w:p>
      <w:pPr>
        <w:jc w:val="both"/>
        <w:ind w:left="1020" w:hanging="512"/>
        <w:spacing w:after="0"/>
        <w:tabs>
          <w:tab w:leader="none" w:pos="103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ind w:left="1020" w:hanging="512"/>
        <w:spacing w:after="0" w:line="246" w:lineRule="auto"/>
        <w:tabs>
          <w:tab w:leader="none" w:pos="116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78" w:lineRule="exact"/>
        <w:rPr>
          <w:rFonts w:ascii="Arial" w:cs="Arial" w:eastAsia="Arial" w:hAnsi="Arial"/>
          <w:sz w:val="18"/>
          <w:szCs w:val="18"/>
          <w:color w:val="auto"/>
        </w:rPr>
      </w:pPr>
    </w:p>
    <w:p>
      <w:pPr>
        <w:ind w:left="1040" w:hanging="532"/>
        <w:spacing w:after="0"/>
        <w:tabs>
          <w:tab w:leader="none" w:pos="10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29" w:lineRule="exact"/>
        <w:rPr>
          <w:rFonts w:ascii="Arial" w:cs="Arial" w:eastAsia="Arial" w:hAnsi="Arial"/>
          <w:sz w:val="18"/>
          <w:szCs w:val="18"/>
          <w:color w:val="auto"/>
        </w:rPr>
      </w:pPr>
    </w:p>
    <w:p>
      <w:pPr>
        <w:ind w:left="1540" w:hanging="511"/>
        <w:spacing w:after="0" w:line="246" w:lineRule="auto"/>
        <w:tabs>
          <w:tab w:leader="none" w:pos="155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96" w:lineRule="exact"/>
        <w:rPr>
          <w:rFonts w:ascii="Arial" w:cs="Arial" w:eastAsia="Arial" w:hAnsi="Arial"/>
          <w:sz w:val="18"/>
          <w:szCs w:val="18"/>
          <w:color w:val="auto"/>
        </w:rPr>
      </w:pPr>
    </w:p>
    <w:p>
      <w:pPr>
        <w:jc w:val="both"/>
        <w:ind w:left="1540" w:hanging="511"/>
        <w:spacing w:after="0"/>
        <w:tabs>
          <w:tab w:leader="none" w:pos="170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Transfer Certificate (but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owed by the Obligors under the Finance Documents shall not be released); and</w:t>
      </w:r>
    </w:p>
    <w:p>
      <w:pPr>
        <w:spacing w:after="0" w:line="202" w:lineRule="exact"/>
        <w:rPr>
          <w:rFonts w:ascii="Arial" w:cs="Arial" w:eastAsia="Arial" w:hAnsi="Arial"/>
          <w:sz w:val="18"/>
          <w:szCs w:val="18"/>
          <w:color w:val="auto"/>
        </w:rPr>
      </w:pPr>
    </w:p>
    <w:p>
      <w:pPr>
        <w:ind w:left="1540" w:hanging="511"/>
        <w:spacing w:after="0" w:line="246" w:lineRule="auto"/>
        <w:tabs>
          <w:tab w:leader="none" w:pos="190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78" w:lineRule="exact"/>
        <w:rPr>
          <w:rFonts w:ascii="Arial" w:cs="Arial" w:eastAsia="Arial" w:hAnsi="Arial"/>
          <w:sz w:val="18"/>
          <w:szCs w:val="18"/>
          <w:color w:val="auto"/>
        </w:rPr>
      </w:pPr>
    </w:p>
    <w:p>
      <w:pPr>
        <w:jc w:val="both"/>
        <w:ind w:left="1020" w:hanging="512"/>
        <w:spacing w:after="0" w:line="242" w:lineRule="auto"/>
        <w:tabs>
          <w:tab w:leader="none" w:pos="12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assign their rights under the Finance Documents (but not, without the consent of the relevant Obligor or unless in accordance with clauses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obtain a release by that Obligor from the obligations owed to that Obligor by the Lenders nor the assumption of equivalent obligations by a New Lender) provided that they comply with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7"/>
          <w:szCs w:val="17"/>
          <w:b w:val="1"/>
          <w:bCs w:val="1"/>
          <w:color w:val="auto"/>
        </w:rPr>
        <w:t>Copy of Transfer Certificate to Borrowers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Agent shall, as soon as reasonably practicable after it has executed a Transfer Certificate and any other document required under clause 30.2(c)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send a copy of that Transfer Certificate and such other documents to the Borrowers.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30.7</w:t>
        <w:tab/>
        <w:t>Security over Lenders’ rights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In addition to the other rights provided to Lenders under this clause 30.6,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203" w:lineRule="exact"/>
        <w:rPr>
          <w:sz w:val="20"/>
          <w:szCs w:val="20"/>
          <w:color w:val="auto"/>
        </w:rPr>
      </w:pPr>
    </w:p>
    <w:p>
      <w:pPr>
        <w:ind w:left="1060" w:hanging="552"/>
        <w:spacing w:after="0"/>
        <w:tabs>
          <w:tab w:leader="none" w:pos="10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11" w:lineRule="exact"/>
        <w:rPr>
          <w:rFonts w:ascii="Arial" w:cs="Arial" w:eastAsia="Arial" w:hAnsi="Arial"/>
          <w:sz w:val="18"/>
          <w:szCs w:val="18"/>
          <w:color w:val="auto"/>
        </w:rPr>
      </w:pPr>
    </w:p>
    <w:p>
      <w:pPr>
        <w:jc w:val="both"/>
        <w:ind w:left="1020" w:hanging="512"/>
        <w:spacing w:after="0"/>
        <w:tabs>
          <w:tab w:leader="none" w:pos="112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20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except that no such charge, assignment or Security Interest shall:</w:t>
      </w:r>
    </w:p>
    <w:p>
      <w:pPr>
        <w:spacing w:after="0" w:line="212" w:lineRule="exact"/>
        <w:rPr>
          <w:sz w:val="20"/>
          <w:szCs w:val="20"/>
          <w:color w:val="auto"/>
        </w:rPr>
      </w:pPr>
    </w:p>
    <w:p>
      <w:pPr>
        <w:ind w:left="1540" w:hanging="511"/>
        <w:spacing w:after="0" w:line="246" w:lineRule="auto"/>
        <w:tabs>
          <w:tab w:leader="none" w:pos="175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96" w:lineRule="exact"/>
        <w:rPr>
          <w:rFonts w:ascii="Arial" w:cs="Arial" w:eastAsia="Arial" w:hAnsi="Arial"/>
          <w:sz w:val="18"/>
          <w:szCs w:val="18"/>
          <w:color w:val="auto"/>
        </w:rPr>
      </w:pPr>
    </w:p>
    <w:p>
      <w:pPr>
        <w:ind w:left="1540" w:hanging="511"/>
        <w:spacing w:after="0" w:line="246" w:lineRule="auto"/>
        <w:tabs>
          <w:tab w:leader="none" w:pos="172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30.8</w:t>
        <w:tab/>
        <w:t>Pro rata interest settlement</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ind w:left="520"/>
        <w:spacing w:after="0" w:line="267" w:lineRule="auto"/>
        <w:rPr>
          <w:sz w:val="20"/>
          <w:szCs w:val="20"/>
          <w:color w:val="auto"/>
        </w:rPr>
      </w:pPr>
      <w:r>
        <w:rPr>
          <w:rFonts w:ascii="Arial" w:cs="Arial" w:eastAsia="Arial" w:hAnsi="Arial"/>
          <w:sz w:val="18"/>
          <w:szCs w:val="18"/>
          <w:color w:val="auto"/>
        </w:rPr>
        <w:t>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65" w:lineRule="exact"/>
        <w:rPr>
          <w:sz w:val="20"/>
          <w:szCs w:val="20"/>
          <w:color w:val="auto"/>
        </w:rPr>
      </w:pPr>
    </w:p>
    <w:p>
      <w:pPr>
        <w:jc w:val="both"/>
        <w:ind w:left="1020" w:hanging="512"/>
        <w:spacing w:after="0" w:line="238" w:lineRule="auto"/>
        <w:tabs>
          <w:tab w:leader="none" w:pos="108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(6) months, on the next of the dates which falls at six monthly intervals after the first day of that Interest Period); and</w:t>
      </w:r>
    </w:p>
    <w:p>
      <w:pPr>
        <w:spacing w:after="0" w:line="188" w:lineRule="exact"/>
        <w:rPr>
          <w:rFonts w:ascii="Arial" w:cs="Arial" w:eastAsia="Arial" w:hAnsi="Arial"/>
          <w:sz w:val="18"/>
          <w:szCs w:val="18"/>
          <w:color w:val="auto"/>
        </w:rPr>
      </w:pPr>
    </w:p>
    <w:p>
      <w:pPr>
        <w:ind w:left="1020" w:hanging="512"/>
        <w:spacing w:after="0" w:line="246" w:lineRule="auto"/>
        <w:tabs>
          <w:tab w:leader="none" w:pos="132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98" w:lineRule="exact"/>
        <w:rPr>
          <w:rFonts w:ascii="Arial" w:cs="Arial" w:eastAsia="Arial" w:hAnsi="Arial"/>
          <w:sz w:val="18"/>
          <w:szCs w:val="18"/>
          <w:color w:val="auto"/>
        </w:rPr>
      </w:pPr>
    </w:p>
    <w:p>
      <w:pPr>
        <w:ind w:left="1540" w:hanging="511"/>
        <w:spacing w:after="0" w:line="246" w:lineRule="auto"/>
        <w:tabs>
          <w:tab w:leader="none" w:pos="191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30.8, have been payable to it on that date, but after deduction of the Accrued Amounts.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31 Changes to the Obligors/Restriction on Debt Purchase Transactions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b w:val="1"/>
          <w:bCs w:val="1"/>
          <w:color w:val="auto"/>
        </w:rPr>
        <w:t>Changes to the Obligors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Prohibition on Debt Purchase Transactions by the Group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Obligors shall not, and each Guarantor shall procure that each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Disenfranchisement of Debt Purchase Transactions entered into by Affiliates</w:t>
      </w:r>
    </w:p>
    <w:p>
      <w:pPr>
        <w:spacing w:after="0" w:line="220" w:lineRule="exact"/>
        <w:rPr>
          <w:sz w:val="20"/>
          <w:szCs w:val="20"/>
          <w:color w:val="auto"/>
        </w:rPr>
      </w:pPr>
    </w:p>
    <w:p>
      <w:pPr>
        <w:jc w:val="both"/>
        <w:ind w:left="1020" w:hanging="512"/>
        <w:spacing w:after="0"/>
        <w:tabs>
          <w:tab w:leader="none" w:pos="138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For so long as a Parent Affiliate (i) beneficially owns a Commitment or (ii) has entered into a sub-participation agreement relating to a Commitment or other agreement or arrangement having a substantially similar economic effect and such agreement or arrangement has not been terminated:</w:t>
      </w:r>
    </w:p>
    <w:p>
      <w:pPr>
        <w:spacing w:after="0" w:line="189" w:lineRule="exact"/>
        <w:rPr>
          <w:rFonts w:ascii="Arial" w:cs="Arial" w:eastAsia="Arial" w:hAnsi="Arial"/>
          <w:sz w:val="18"/>
          <w:szCs w:val="18"/>
          <w:color w:val="auto"/>
        </w:rPr>
      </w:pPr>
    </w:p>
    <w:p>
      <w:pPr>
        <w:jc w:val="both"/>
        <w:ind w:left="1540" w:hanging="511"/>
        <w:spacing w:after="0" w:line="238" w:lineRule="auto"/>
        <w:tabs>
          <w:tab w:leader="none" w:pos="158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 ascertaining the Majority Lenders or whether any given percentage (including, for the avoidance of doubt, unanimity) of the Total Commitments or any agreement of any specified group of Lenders (whether Majority Lenders, all Lenders or otherwise) has been obtained to approve any request for a consent, waiver, amendment or other vote under the Finance Documents, such Commitment shall be deemed to be zero; and</w:t>
      </w:r>
    </w:p>
    <w:p>
      <w:pPr>
        <w:spacing w:after="0" w:line="173" w:lineRule="exact"/>
        <w:rPr>
          <w:rFonts w:ascii="Arial" w:cs="Arial" w:eastAsia="Arial" w:hAnsi="Arial"/>
          <w:sz w:val="18"/>
          <w:szCs w:val="18"/>
          <w:color w:val="auto"/>
        </w:rPr>
      </w:pPr>
    </w:p>
    <w:p>
      <w:pPr>
        <w:jc w:val="both"/>
        <w:ind w:left="1540" w:hanging="511"/>
        <w:spacing w:after="0" w:line="245" w:lineRule="auto"/>
        <w:tabs>
          <w:tab w:leader="none" w:pos="1769" w:val="left"/>
        </w:tabs>
        <w:numPr>
          <w:ilvl w:val="1"/>
          <w:numId w:val="295"/>
        </w:numPr>
        <w:rPr>
          <w:rFonts w:ascii="Arial" w:cs="Arial" w:eastAsia="Arial" w:hAnsi="Arial"/>
          <w:sz w:val="18"/>
          <w:szCs w:val="18"/>
          <w:color w:val="auto"/>
        </w:rPr>
      </w:pPr>
      <w:r>
        <w:rPr>
          <w:rFonts w:ascii="Arial" w:cs="Arial" w:eastAsia="Arial" w:hAnsi="Arial"/>
          <w:sz w:val="18"/>
          <w:szCs w:val="18"/>
          <w:color w:val="auto"/>
        </w:rPr>
        <w:t>for the purposes of clause 41.2 (</w:t>
      </w:r>
      <w:r>
        <w:rPr>
          <w:rFonts w:ascii="Arial" w:cs="Arial" w:eastAsia="Arial" w:hAnsi="Arial"/>
          <w:sz w:val="18"/>
          <w:szCs w:val="18"/>
          <w:i w:val="1"/>
          <w:iCs w:val="1"/>
          <w:color w:val="auto"/>
        </w:rPr>
        <w:t>All Lender matters</w:t>
      </w:r>
      <w:r>
        <w:rPr>
          <w:rFonts w:ascii="Arial" w:cs="Arial" w:eastAsia="Arial" w:hAnsi="Arial"/>
          <w:sz w:val="18"/>
          <w:szCs w:val="18"/>
          <w:color w:val="auto"/>
        </w:rPr>
        <w:t>), such Parent Affiliate or the person with whom it has entered into such sub-participation, other agreement or arrangement shall be deemed not to be a Lender for the purpose of paragraph</w:t>
      </w:r>
    </w:p>
    <w:p>
      <w:pPr>
        <w:ind w:left="1540"/>
        <w:spacing w:after="0" w:line="246" w:lineRule="auto"/>
        <w:rPr>
          <w:rFonts w:ascii="Arial" w:cs="Arial" w:eastAsia="Arial" w:hAnsi="Arial"/>
          <w:sz w:val="18"/>
          <w:szCs w:val="18"/>
          <w:color w:val="auto"/>
        </w:rPr>
      </w:pPr>
      <w:r>
        <w:rPr>
          <w:rFonts w:ascii="Arial" w:cs="Arial" w:eastAsia="Arial" w:hAnsi="Arial"/>
          <w:sz w:val="18"/>
          <w:szCs w:val="18"/>
          <w:color w:val="auto"/>
        </w:rPr>
        <w:t>(i) above (unless, in the case of a person not being a Parent Affiliate, it is a Lender by virtue otherwise than by beneficially owning the relevant Commitment).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Each Lender shall, unless such Debt Purchase Transaction is an assignment or transfer, promptly notify the Agent in writing if it knowingly enters into a Debt Purchase Transaction with a Parent Affiliate (a </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such notification to be substantially in the form set out in Part 1 of Schedule 7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5" w:name="page106"/>
    <w:bookmarkEnd w:id="105"/>
    <w:p>
      <w:pPr>
        <w:ind w:left="1020" w:hanging="512"/>
        <w:spacing w:after="0" w:line="246" w:lineRule="auto"/>
        <w:tabs>
          <w:tab w:leader="none" w:pos="157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Lender shall knowingly enter into any Notifiable Debt Purchase Transaction unless such Notifiable Debt Purchase Transaction relates to the entirety of its Commitment.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Lender shall promptly notify the Agent if a Notifiable Debt Purchase Transaction to which it is a party:</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ceases to be with a Parent Affiliate,</w:t>
      </w:r>
    </w:p>
    <w:p>
      <w:pPr>
        <w:spacing w:after="0" w:line="180" w:lineRule="exact"/>
        <w:rPr>
          <w:sz w:val="20"/>
          <w:szCs w:val="20"/>
          <w:color w:val="auto"/>
        </w:rPr>
      </w:pPr>
    </w:p>
    <w:p>
      <w:pPr>
        <w:ind w:left="1020"/>
        <w:spacing w:after="0" w:line="267" w:lineRule="auto"/>
        <w:rPr>
          <w:sz w:val="20"/>
          <w:szCs w:val="20"/>
          <w:color w:val="auto"/>
        </w:rPr>
      </w:pPr>
      <w:r>
        <w:rPr>
          <w:rFonts w:ascii="Arial" w:cs="Arial" w:eastAsia="Arial" w:hAnsi="Arial"/>
          <w:sz w:val="18"/>
          <w:szCs w:val="18"/>
          <w:color w:val="auto"/>
        </w:rPr>
        <w:t>such notification to be substantially in the form set out in Schedule 7, Part 2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165" w:lineRule="exact"/>
        <w:rPr>
          <w:sz w:val="20"/>
          <w:szCs w:val="20"/>
          <w:color w:val="auto"/>
        </w:rPr>
      </w:pPr>
    </w:p>
    <w:p>
      <w:pPr>
        <w:ind w:left="1060" w:hanging="552"/>
        <w:spacing w:after="0"/>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Parent Affiliate that is a Lender agrees that:</w:t>
      </w:r>
    </w:p>
    <w:p>
      <w:pPr>
        <w:spacing w:after="0" w:line="198" w:lineRule="exact"/>
        <w:rPr>
          <w:rFonts w:ascii="Arial" w:cs="Arial" w:eastAsia="Arial" w:hAnsi="Arial"/>
          <w:sz w:val="18"/>
          <w:szCs w:val="18"/>
          <w:color w:val="auto"/>
        </w:rPr>
      </w:pPr>
    </w:p>
    <w:p>
      <w:pPr>
        <w:jc w:val="both"/>
        <w:ind w:left="1540" w:hanging="511"/>
        <w:spacing w:after="0"/>
        <w:tabs>
          <w:tab w:leader="none" w:pos="159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189" w:lineRule="exact"/>
        <w:rPr>
          <w:rFonts w:ascii="Arial" w:cs="Arial" w:eastAsia="Arial" w:hAnsi="Arial"/>
          <w:sz w:val="18"/>
          <w:szCs w:val="18"/>
          <w:color w:val="auto"/>
        </w:rPr>
      </w:pPr>
    </w:p>
    <w:p>
      <w:pPr>
        <w:jc w:val="both"/>
        <w:ind w:left="1540" w:hanging="511"/>
        <w:spacing w:after="0" w:line="238" w:lineRule="auto"/>
        <w:tabs>
          <w:tab w:leader="none" w:pos="1958"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in its capacity as Lender, unless the Agent otherwise agrees, it shall not be entitled to receive any report or other document prepared at the behest of, or on the instructions of or addressed to, the Agent or one or more of the Lenders. For the avoidance of doubt the only information the Lender is entitled to receive are operational notices for that Lender in connection with their Commitment.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7"/>
          <w:szCs w:val="17"/>
          <w:b w:val="1"/>
          <w:bCs w:val="1"/>
          <w:color w:val="auto"/>
        </w:rPr>
        <w:t>Parent Affiliates’ notification to other Lenders of Debt Purchase Transactions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Any Parent Affiliate which is or becomes a Lender and which enters into a Debt Purchase Transaction as a purchaser or a participant shall, by 5.00 pm on the Business Day following the day on which it entered into the Debt Purchase Transaction, notify the Agent of the extent of the Commitment(s) or amount outstanding to which that Debt Purchase Transaction relates. The Agent shall promptly disclose such information to the Lenders.</w:t>
      </w:r>
    </w:p>
    <w:p>
      <w:pPr>
        <w:spacing w:after="0" w:line="196" w:lineRule="exact"/>
        <w:rPr>
          <w:sz w:val="20"/>
          <w:szCs w:val="20"/>
          <w:color w:val="auto"/>
        </w:rPr>
      </w:pPr>
    </w:p>
    <w:p>
      <w:pPr>
        <w:ind w:right="6800" w:firstLine="150"/>
        <w:spacing w:after="0" w:line="441" w:lineRule="auto"/>
        <w:tabs>
          <w:tab w:leader="none" w:pos="518" w:val="left"/>
        </w:tabs>
        <w:numPr>
          <w:ilvl w:val="0"/>
          <w:numId w:val="298"/>
        </w:numPr>
        <w:rPr>
          <w:rFonts w:ascii="Arial" w:cs="Arial" w:eastAsia="Arial" w:hAnsi="Arial"/>
          <w:sz w:val="22"/>
          <w:szCs w:val="22"/>
          <w:b w:val="1"/>
          <w:bCs w:val="1"/>
          <w:color w:val="auto"/>
        </w:rPr>
      </w:pPr>
      <w:r>
        <w:rPr>
          <w:rFonts w:ascii="Arial" w:cs="Arial" w:eastAsia="Arial" w:hAnsi="Arial"/>
          <w:sz w:val="18"/>
          <w:szCs w:val="18"/>
          <w:b w:val="1"/>
          <w:bCs w:val="1"/>
          <w:color w:val="auto"/>
        </w:rPr>
        <w:t>Roles of Agent, Security Agent and Arrangers 32.1 Appointment of the Agent</w:t>
      </w:r>
    </w:p>
    <w:p>
      <w:pPr>
        <w:ind w:left="1020" w:hanging="512"/>
        <w:spacing w:after="0" w:line="246" w:lineRule="auto"/>
        <w:tabs>
          <w:tab w:leader="none" w:pos="104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198" w:lineRule="exact"/>
        <w:rPr>
          <w:rFonts w:ascii="Arial" w:cs="Arial" w:eastAsia="Arial" w:hAnsi="Arial"/>
          <w:sz w:val="18"/>
          <w:szCs w:val="18"/>
          <w:color w:val="auto"/>
        </w:rPr>
      </w:pPr>
    </w:p>
    <w:p>
      <w:pPr>
        <w:jc w:val="both"/>
        <w:ind w:left="1540" w:hanging="511"/>
        <w:spacing w:after="0"/>
        <w:tabs>
          <w:tab w:leader="none" w:pos="1905"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189" w:lineRule="exact"/>
        <w:rPr>
          <w:rFonts w:ascii="Arial" w:cs="Arial" w:eastAsia="Arial" w:hAnsi="Arial"/>
          <w:sz w:val="18"/>
          <w:szCs w:val="18"/>
          <w:color w:val="auto"/>
        </w:rPr>
      </w:pPr>
    </w:p>
    <w:p>
      <w:pPr>
        <w:ind w:left="1540" w:hanging="511"/>
        <w:spacing w:after="0" w:line="246" w:lineRule="auto"/>
        <w:tabs>
          <w:tab w:leader="none" w:pos="1729"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Majority Lenders for execution by it.</w:t>
      </w:r>
    </w:p>
    <w:p>
      <w:pPr>
        <w:spacing w:after="0" w:line="183" w:lineRule="exact"/>
        <w:rPr>
          <w:rFonts w:ascii="Arial" w:cs="Arial" w:eastAsia="Arial" w:hAnsi="Arial"/>
          <w:sz w:val="18"/>
          <w:szCs w:val="18"/>
          <w:color w:val="auto"/>
        </w:rPr>
      </w:pPr>
    </w:p>
    <w:p>
      <w:pPr>
        <w:ind w:left="1020" w:hanging="512"/>
        <w:spacing w:after="0" w:line="246" w:lineRule="auto"/>
        <w:tabs>
          <w:tab w:leader="none" w:pos="133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Agent accepts its appointment under clause 32.1(a) as agent for the Finance Parties (for so long as they are Finance Parties) on and subject to the terms of this clause 32, and any Finance Documents to which it is a Party.</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Instructions to Agent</w:t>
      </w:r>
    </w:p>
    <w:p>
      <w:pPr>
        <w:spacing w:after="0" w:line="220" w:lineRule="exact"/>
        <w:rPr>
          <w:sz w:val="20"/>
          <w:szCs w:val="20"/>
          <w:color w:val="auto"/>
        </w:rPr>
      </w:pPr>
    </w:p>
    <w:p>
      <w:pPr>
        <w:ind w:left="1060" w:hanging="552"/>
        <w:spacing w:after="0"/>
        <w:tabs>
          <w:tab w:leader="none" w:pos="10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ind w:left="1540" w:right="20" w:hanging="511"/>
        <w:spacing w:after="0" w:line="246" w:lineRule="auto"/>
        <w:tabs>
          <w:tab w:leader="none" w:pos="199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83" w:lineRule="exact"/>
        <w:rPr>
          <w:rFonts w:ascii="Arial" w:cs="Arial" w:eastAsia="Arial" w:hAnsi="Arial"/>
          <w:sz w:val="18"/>
          <w:szCs w:val="18"/>
          <w:color w:val="auto"/>
        </w:rPr>
      </w:pPr>
    </w:p>
    <w:p>
      <w:pPr>
        <w:ind w:left="2040" w:hanging="501"/>
        <w:spacing w:after="0" w:line="246" w:lineRule="auto"/>
        <w:tabs>
          <w:tab w:leader="none" w:pos="2215" w:val="left"/>
        </w:tabs>
        <w:numPr>
          <w:ilvl w:val="2"/>
          <w:numId w:val="300"/>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83" w:lineRule="exact"/>
        <w:rPr>
          <w:rFonts w:ascii="Arial" w:cs="Arial" w:eastAsia="Arial" w:hAnsi="Arial"/>
          <w:sz w:val="18"/>
          <w:szCs w:val="18"/>
          <w:color w:val="auto"/>
        </w:rPr>
      </w:pPr>
    </w:p>
    <w:p>
      <w:pPr>
        <w:ind w:left="2060" w:hanging="521"/>
        <w:spacing w:after="0"/>
        <w:tabs>
          <w:tab w:leader="none" w:pos="2060" w:val="left"/>
        </w:tabs>
        <w:numPr>
          <w:ilvl w:val="2"/>
          <w:numId w:val="300"/>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32.2(a)(i) above.</w:t>
      </w:r>
    </w:p>
    <w:p>
      <w:pPr>
        <w:spacing w:after="0" w:line="198" w:lineRule="exact"/>
        <w:rPr>
          <w:rFonts w:ascii="Arial" w:cs="Arial" w:eastAsia="Arial" w:hAnsi="Arial"/>
          <w:sz w:val="18"/>
          <w:szCs w:val="18"/>
          <w:color w:val="auto"/>
        </w:rPr>
      </w:pPr>
    </w:p>
    <w:p>
      <w:pPr>
        <w:jc w:val="both"/>
        <w:ind w:left="1020" w:hanging="512"/>
        <w:spacing w:after="0" w:line="238" w:lineRule="auto"/>
        <w:tabs>
          <w:tab w:leader="none" w:pos="105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23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16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91" w:lineRule="exact"/>
        <w:rPr>
          <w:rFonts w:ascii="Arial" w:cs="Arial" w:eastAsia="Arial" w:hAnsi="Arial"/>
          <w:sz w:val="18"/>
          <w:szCs w:val="18"/>
          <w:color w:val="auto"/>
        </w:rPr>
      </w:pPr>
    </w:p>
    <w:p>
      <w:pPr>
        <w:ind w:left="1060" w:hanging="552"/>
        <w:spacing w:after="0"/>
        <w:tabs>
          <w:tab w:leader="none" w:pos="10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198" w:lineRule="exact"/>
        <w:rPr>
          <w:rFonts w:ascii="Arial" w:cs="Arial" w:eastAsia="Arial" w:hAnsi="Arial"/>
          <w:sz w:val="18"/>
          <w:szCs w:val="18"/>
          <w:color w:val="auto"/>
        </w:rPr>
      </w:pPr>
    </w:p>
    <w:p>
      <w:pPr>
        <w:jc w:val="both"/>
        <w:ind w:left="1020" w:hanging="512"/>
        <w:spacing w:after="0"/>
        <w:tabs>
          <w:tab w:leader="none" w:pos="107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clause (f) shall not apply to any legal or arbitration proceeding relating to the perfection, preservation or protection of rights under the Security Documents or enforcement of the Security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b w:val="1"/>
          <w:bCs w:val="1"/>
          <w:color w:val="auto"/>
        </w:rPr>
        <w:t>Duties of the Agent</w:t>
      </w:r>
    </w:p>
    <w:p>
      <w:pPr>
        <w:spacing w:after="0" w:line="220" w:lineRule="exact"/>
        <w:rPr>
          <w:sz w:val="20"/>
          <w:szCs w:val="20"/>
          <w:color w:val="auto"/>
        </w:rPr>
      </w:pPr>
    </w:p>
    <w:p>
      <w:pPr>
        <w:ind w:left="1060" w:hanging="552"/>
        <w:spacing w:after="0"/>
        <w:tabs>
          <w:tab w:leader="none" w:pos="10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198"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65" w:lineRule="exact"/>
        <w:rPr>
          <w:rFonts w:ascii="Arial" w:cs="Arial" w:eastAsia="Arial" w:hAnsi="Arial"/>
          <w:sz w:val="18"/>
          <w:szCs w:val="18"/>
          <w:color w:val="auto"/>
        </w:rPr>
      </w:pPr>
    </w:p>
    <w:p>
      <w:pPr>
        <w:ind w:left="1020" w:hanging="512"/>
        <w:spacing w:after="0" w:line="267" w:lineRule="auto"/>
        <w:tabs>
          <w:tab w:leader="none" w:pos="131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Without prejudice to clause 30.6 (</w:t>
      </w:r>
      <w:r>
        <w:rPr>
          <w:rFonts w:ascii="Arial" w:cs="Arial" w:eastAsia="Arial" w:hAnsi="Arial"/>
          <w:sz w:val="18"/>
          <w:szCs w:val="18"/>
          <w:i w:val="1"/>
          <w:iCs w:val="1"/>
          <w:color w:val="auto"/>
        </w:rPr>
        <w:t>Copy of Transfer Certificate to Borrowers</w:t>
      </w:r>
      <w:r>
        <w:rPr>
          <w:rFonts w:ascii="Arial" w:cs="Arial" w:eastAsia="Arial" w:hAnsi="Arial"/>
          <w:sz w:val="18"/>
          <w:szCs w:val="18"/>
          <w:color w:val="auto"/>
        </w:rPr>
        <w:t>), clause 32.2(b) shall not apply to any Transfer Certificate.</w:t>
      </w:r>
    </w:p>
    <w:p>
      <w:pPr>
        <w:spacing w:after="0" w:line="164" w:lineRule="exact"/>
        <w:rPr>
          <w:rFonts w:ascii="Arial" w:cs="Arial" w:eastAsia="Arial" w:hAnsi="Arial"/>
          <w:sz w:val="18"/>
          <w:szCs w:val="18"/>
          <w:color w:val="auto"/>
        </w:rPr>
      </w:pPr>
    </w:p>
    <w:p>
      <w:pPr>
        <w:ind w:left="1020" w:right="20" w:hanging="512"/>
        <w:spacing w:after="0" w:line="246" w:lineRule="auto"/>
        <w:tabs>
          <w:tab w:leader="none" w:pos="117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83" w:lineRule="exact"/>
        <w:rPr>
          <w:rFonts w:ascii="Arial" w:cs="Arial" w:eastAsia="Arial" w:hAnsi="Arial"/>
          <w:sz w:val="18"/>
          <w:szCs w:val="18"/>
          <w:color w:val="auto"/>
        </w:rPr>
      </w:pPr>
    </w:p>
    <w:p>
      <w:pPr>
        <w:ind w:left="1020" w:hanging="512"/>
        <w:spacing w:after="0" w:line="246" w:lineRule="auto"/>
        <w:tabs>
          <w:tab w:leader="none" w:pos="127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jc w:val="both"/>
        <w:ind w:left="1020" w:hanging="512"/>
        <w:spacing w:after="0"/>
        <w:tabs>
          <w:tab w:leader="none" w:pos="127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189" w:lineRule="exact"/>
        <w:rPr>
          <w:rFonts w:ascii="Arial" w:cs="Arial" w:eastAsia="Arial" w:hAnsi="Arial"/>
          <w:sz w:val="18"/>
          <w:szCs w:val="18"/>
          <w:color w:val="auto"/>
        </w:rPr>
      </w:pPr>
    </w:p>
    <w:p>
      <w:pPr>
        <w:ind w:left="1020" w:hanging="512"/>
        <w:spacing w:after="0" w:line="246" w:lineRule="auto"/>
        <w:tabs>
          <w:tab w:leader="none" w:pos="103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b w:val="1"/>
          <w:bCs w:val="1"/>
          <w:color w:val="auto"/>
        </w:rPr>
        <w:t>Role of the Arrangers, Bookrunner and Global Co-ordinator</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as specifically provided in the Finance Documents, the Arrangers, the Bookrunner and the Global Co-ordinator have no obligations of any kind to any other Party under or in connection with any Finance Document or the transactions contemplated by the Finance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7"/>
          <w:szCs w:val="17"/>
          <w:b w:val="1"/>
          <w:bCs w:val="1"/>
          <w:color w:val="auto"/>
        </w:rPr>
        <w:t>No fiduciary duties</w:t>
      </w:r>
    </w:p>
    <w:p>
      <w:pPr>
        <w:spacing w:after="0" w:line="220" w:lineRule="exact"/>
        <w:rPr>
          <w:sz w:val="20"/>
          <w:szCs w:val="20"/>
          <w:color w:val="auto"/>
        </w:rPr>
      </w:pPr>
    </w:p>
    <w:p>
      <w:pPr>
        <w:ind w:left="1020" w:hanging="512"/>
        <w:spacing w:after="0" w:line="246" w:lineRule="auto"/>
        <w:tabs>
          <w:tab w:leader="none" w:pos="12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Arrangers, the Bookrunner and the Global Co-ordinator as a trustee or fiduciary of any other person.</w:t>
      </w:r>
    </w:p>
    <w:p>
      <w:pPr>
        <w:spacing w:after="0" w:line="183" w:lineRule="exact"/>
        <w:rPr>
          <w:rFonts w:ascii="Arial" w:cs="Arial" w:eastAsia="Arial" w:hAnsi="Arial"/>
          <w:sz w:val="18"/>
          <w:szCs w:val="18"/>
          <w:color w:val="auto"/>
        </w:rPr>
      </w:pPr>
    </w:p>
    <w:p>
      <w:pPr>
        <w:jc w:val="both"/>
        <w:ind w:left="1020" w:hanging="512"/>
        <w:spacing w:after="0"/>
        <w:tabs>
          <w:tab w:leader="none" w:pos="107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None of the Agent, the Security Agent, the Arrangers, the Bookrunner and the Global Co-ordinator shall be bound to account to any Lender for any sum or the profit element of any sum received by it for its own account or have any obligations to the other Finance Parties beyond those expressly stated in the Finance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b w:val="1"/>
          <w:bCs w:val="1"/>
          <w:color w:val="auto"/>
        </w:rPr>
        <w:t>Business with the Group</w:t>
      </w:r>
    </w:p>
    <w:p>
      <w:pPr>
        <w:spacing w:after="0" w:line="220"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The Agent, the Security Agent, the Arrangers, the Bookrunner and the Global Co-ordinator may accept deposits from, lend money to and generally engage in any kind of banking or other business with any Obligor or other Group Member or their Affiliates and shall not be obliged to account to the other Finance Parties for any profits.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7"/>
          <w:szCs w:val="17"/>
          <w:b w:val="1"/>
          <w:bCs w:val="1"/>
          <w:color w:val="auto"/>
        </w:rPr>
        <w:t>Rights and discretions of the Agent</w:t>
      </w:r>
    </w:p>
    <w:p>
      <w:pPr>
        <w:spacing w:after="0" w:line="220" w:lineRule="exact"/>
        <w:rPr>
          <w:sz w:val="20"/>
          <w:szCs w:val="20"/>
          <w:color w:val="auto"/>
        </w:rPr>
      </w:pPr>
    </w:p>
    <w:p>
      <w:pPr>
        <w:ind w:left="1060" w:hanging="552"/>
        <w:spacing w:after="0"/>
        <w:tabs>
          <w:tab w:leader="none" w:pos="10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55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(including, without limitation, any notice given by a Lender pursuant to clauses 31.3(b) and 31.3(d) (</w:t>
      </w:r>
      <w:r>
        <w:rPr>
          <w:rFonts w:ascii="Arial" w:cs="Arial" w:eastAsia="Arial" w:hAnsi="Arial"/>
          <w:sz w:val="18"/>
          <w:szCs w:val="18"/>
          <w:i w:val="1"/>
          <w:iCs w:val="1"/>
          <w:color w:val="auto"/>
        </w:rPr>
        <w:t>Disenfranchisement on Debt Purchase Transactions entered into by Affiliates</w:t>
      </w:r>
      <w:r>
        <w:rPr>
          <w:rFonts w:ascii="Arial" w:cs="Arial" w:eastAsia="Arial" w:hAnsi="Arial"/>
          <w:sz w:val="18"/>
          <w:szCs w:val="18"/>
          <w:color w:val="auto"/>
        </w:rPr>
        <w: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188" w:lineRule="exact"/>
        <w:rPr>
          <w:rFonts w:ascii="Arial" w:cs="Arial" w:eastAsia="Arial" w:hAnsi="Arial"/>
          <w:sz w:val="18"/>
          <w:szCs w:val="18"/>
          <w:color w:val="auto"/>
        </w:rPr>
      </w:pPr>
    </w:p>
    <w:p>
      <w:pPr>
        <w:ind w:left="1560" w:hanging="531"/>
        <w:spacing w:after="0"/>
        <w:tabs>
          <w:tab w:leader="none" w:pos="15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98" w:lineRule="exact"/>
        <w:rPr>
          <w:rFonts w:ascii="Arial" w:cs="Arial" w:eastAsia="Arial" w:hAnsi="Arial"/>
          <w:sz w:val="18"/>
          <w:szCs w:val="18"/>
          <w:color w:val="auto"/>
        </w:rPr>
      </w:pPr>
    </w:p>
    <w:p>
      <w:pPr>
        <w:ind w:left="2040" w:hanging="501"/>
        <w:spacing w:after="0" w:line="246" w:lineRule="auto"/>
        <w:tabs>
          <w:tab w:leader="none" w:pos="2215"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83" w:lineRule="exact"/>
        <w:rPr>
          <w:rFonts w:ascii="Arial" w:cs="Arial" w:eastAsia="Arial" w:hAnsi="Arial"/>
          <w:sz w:val="18"/>
          <w:szCs w:val="18"/>
          <w:color w:val="auto"/>
        </w:rPr>
      </w:pPr>
    </w:p>
    <w:p>
      <w:pPr>
        <w:ind w:left="2060" w:hanging="521"/>
        <w:spacing w:after="0"/>
        <w:tabs>
          <w:tab w:leader="none" w:pos="20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98" w:lineRule="exact"/>
        <w:rPr>
          <w:rFonts w:ascii="Arial" w:cs="Arial" w:eastAsia="Arial" w:hAnsi="Arial"/>
          <w:sz w:val="18"/>
          <w:szCs w:val="18"/>
          <w:color w:val="auto"/>
        </w:rPr>
      </w:pPr>
    </w:p>
    <w:p>
      <w:pPr>
        <w:ind w:left="2040" w:hanging="501"/>
        <w:spacing w:after="0" w:line="246" w:lineRule="auto"/>
        <w:tabs>
          <w:tab w:leader="none" w:pos="2229"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8" w:name="page109"/>
    <w:bookmarkEnd w:id="108"/>
    <w:p>
      <w:pPr>
        <w:ind w:left="1560" w:hanging="521"/>
        <w:spacing w:after="0"/>
        <w:tabs>
          <w:tab w:leader="none" w:pos="15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98" w:lineRule="exact"/>
        <w:rPr>
          <w:sz w:val="20"/>
          <w:szCs w:val="20"/>
          <w:color w:val="auto"/>
        </w:rPr>
      </w:pPr>
    </w:p>
    <w:p>
      <w:pPr>
        <w:ind w:left="1040"/>
        <w:spacing w:after="0" w:line="246" w:lineRule="auto"/>
        <w:rPr>
          <w:sz w:val="20"/>
          <w:szCs w:val="20"/>
          <w:color w:val="auto"/>
        </w:rPr>
      </w:pPr>
      <w:r>
        <w:rPr>
          <w:rFonts w:ascii="Arial" w:cs="Arial" w:eastAsia="Arial" w:hAnsi="Arial"/>
          <w:sz w:val="18"/>
          <w:szCs w:val="18"/>
          <w:color w:val="auto"/>
        </w:rPr>
        <w:t>as sufficient evidence that that is the case and, in the case of paragraph (i) above, may assume the truth and accuracy of that certificate.</w:t>
      </w:r>
    </w:p>
    <w:p>
      <w:pPr>
        <w:spacing w:after="0" w:line="183" w:lineRule="exact"/>
        <w:rPr>
          <w:sz w:val="20"/>
          <w:szCs w:val="20"/>
          <w:color w:val="auto"/>
        </w:rPr>
      </w:pPr>
    </w:p>
    <w:p>
      <w:pPr>
        <w:ind w:left="540" w:hanging="532"/>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180" w:lineRule="exact"/>
        <w:rPr>
          <w:rFonts w:ascii="Arial" w:cs="Arial" w:eastAsia="Arial" w:hAnsi="Arial"/>
          <w:sz w:val="18"/>
          <w:szCs w:val="18"/>
          <w:color w:val="auto"/>
        </w:rPr>
      </w:pPr>
    </w:p>
    <w:p>
      <w:pPr>
        <w:ind w:left="1060" w:hanging="531"/>
        <w:spacing w:after="0"/>
        <w:tabs>
          <w:tab w:leader="none" w:pos="10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29.1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right="20" w:hanging="511"/>
        <w:spacing w:after="0" w:line="246" w:lineRule="auto"/>
        <w:tabs>
          <w:tab w:leader="none" w:pos="114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w:t>
      </w:r>
    </w:p>
    <w:p>
      <w:pPr>
        <w:spacing w:after="0" w:line="183" w:lineRule="exact"/>
        <w:rPr>
          <w:rFonts w:ascii="Arial" w:cs="Arial" w:eastAsia="Arial" w:hAnsi="Arial"/>
          <w:sz w:val="18"/>
          <w:szCs w:val="18"/>
          <w:color w:val="auto"/>
        </w:rPr>
      </w:pPr>
    </w:p>
    <w:p>
      <w:pPr>
        <w:ind w:left="1040" w:hanging="511"/>
        <w:spacing w:after="0" w:line="246" w:lineRule="auto"/>
        <w:tabs>
          <w:tab w:leader="none" w:pos="118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notice or request made by a Borrower (other than a Utilisation Request) is made on behalf of and with the consent and knowledge of all the Obligors; and</w:t>
      </w:r>
    </w:p>
    <w:p>
      <w:pPr>
        <w:spacing w:after="0" w:line="183" w:lineRule="exact"/>
        <w:rPr>
          <w:rFonts w:ascii="Arial" w:cs="Arial" w:eastAsia="Arial" w:hAnsi="Arial"/>
          <w:sz w:val="18"/>
          <w:szCs w:val="18"/>
          <w:color w:val="auto"/>
        </w:rPr>
      </w:pPr>
    </w:p>
    <w:p>
      <w:pPr>
        <w:ind w:left="1040" w:hanging="511"/>
        <w:spacing w:after="0"/>
        <w:tabs>
          <w:tab w:leader="none" w:pos="104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198" w:lineRule="exact"/>
        <w:rPr>
          <w:rFonts w:ascii="Arial" w:cs="Arial" w:eastAsia="Arial" w:hAnsi="Arial"/>
          <w:sz w:val="18"/>
          <w:szCs w:val="18"/>
          <w:color w:val="auto"/>
        </w:rPr>
      </w:pPr>
    </w:p>
    <w:p>
      <w:pPr>
        <w:ind w:left="1560" w:hanging="521"/>
        <w:spacing w:after="0"/>
        <w:tabs>
          <w:tab w:leader="none" w:pos="15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198" w:lineRule="exact"/>
        <w:rPr>
          <w:rFonts w:ascii="Arial" w:cs="Arial" w:eastAsia="Arial" w:hAnsi="Arial"/>
          <w:sz w:val="18"/>
          <w:szCs w:val="18"/>
          <w:color w:val="auto"/>
        </w:rPr>
      </w:pPr>
    </w:p>
    <w:p>
      <w:pPr>
        <w:ind w:left="1560" w:hanging="521"/>
        <w:spacing w:after="0"/>
        <w:tabs>
          <w:tab w:leader="none" w:pos="15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198" w:lineRule="exact"/>
        <w:rPr>
          <w:rFonts w:ascii="Arial" w:cs="Arial" w:eastAsia="Arial" w:hAnsi="Arial"/>
          <w:sz w:val="18"/>
          <w:szCs w:val="18"/>
          <w:color w:val="auto"/>
        </w:rPr>
      </w:pPr>
    </w:p>
    <w:p>
      <w:pPr>
        <w:ind w:left="1580" w:hanging="541"/>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has ceased to be with a Parent Affiliate.</w:t>
      </w:r>
    </w:p>
    <w:p>
      <w:pPr>
        <w:spacing w:after="0" w:line="198" w:lineRule="exact"/>
        <w:rPr>
          <w:rFonts w:ascii="Arial" w:cs="Arial" w:eastAsia="Arial" w:hAnsi="Arial"/>
          <w:sz w:val="18"/>
          <w:szCs w:val="18"/>
          <w:color w:val="auto"/>
        </w:rPr>
      </w:pPr>
    </w:p>
    <w:p>
      <w:pPr>
        <w:ind w:left="520" w:hanging="512"/>
        <w:spacing w:after="0" w:line="246" w:lineRule="auto"/>
        <w:tabs>
          <w:tab w:leader="none" w:pos="92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83" w:lineRule="exact"/>
        <w:rPr>
          <w:rFonts w:ascii="Arial" w:cs="Arial" w:eastAsia="Arial" w:hAnsi="Arial"/>
          <w:sz w:val="18"/>
          <w:szCs w:val="18"/>
          <w:color w:val="auto"/>
        </w:rPr>
      </w:pPr>
    </w:p>
    <w:p>
      <w:pPr>
        <w:jc w:val="both"/>
        <w:ind w:left="520" w:hanging="512"/>
        <w:spacing w:after="0"/>
        <w:tabs>
          <w:tab w:leader="none" w:pos="8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Without prejudice to the generality of clause 32.7(c) or clause 32.7(e),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9" w:lineRule="exact"/>
        <w:rPr>
          <w:rFonts w:ascii="Arial" w:cs="Arial" w:eastAsia="Arial" w:hAnsi="Arial"/>
          <w:sz w:val="18"/>
          <w:szCs w:val="18"/>
          <w:color w:val="auto"/>
        </w:rPr>
      </w:pPr>
    </w:p>
    <w:p>
      <w:pPr>
        <w:jc w:val="both"/>
        <w:ind w:left="520" w:hanging="512"/>
        <w:spacing w:after="0" w:line="237" w:lineRule="auto"/>
        <w:tabs>
          <w:tab w:leader="none" w:pos="93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under the provisions of the Finance Documents.</w:t>
      </w:r>
    </w:p>
    <w:p>
      <w:pPr>
        <w:spacing w:after="0" w:line="191" w:lineRule="exact"/>
        <w:rPr>
          <w:rFonts w:ascii="Arial" w:cs="Arial" w:eastAsia="Arial" w:hAnsi="Arial"/>
          <w:sz w:val="18"/>
          <w:szCs w:val="18"/>
          <w:color w:val="auto"/>
        </w:rPr>
      </w:pPr>
    </w:p>
    <w:p>
      <w:pPr>
        <w:ind w:left="520" w:hanging="512"/>
        <w:spacing w:after="0"/>
        <w:tabs>
          <w:tab w:leader="none" w:pos="5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198" w:lineRule="exact"/>
        <w:rPr>
          <w:rFonts w:ascii="Arial" w:cs="Arial" w:eastAsia="Arial" w:hAnsi="Arial"/>
          <w:sz w:val="18"/>
          <w:szCs w:val="18"/>
          <w:color w:val="auto"/>
        </w:rPr>
      </w:pPr>
    </w:p>
    <w:p>
      <w:pPr>
        <w:ind w:left="520" w:hanging="512"/>
        <w:spacing w:after="0" w:line="246" w:lineRule="auto"/>
        <w:tabs>
          <w:tab w:leader="none" w:pos="94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83" w:lineRule="exact"/>
        <w:rPr>
          <w:rFonts w:ascii="Arial" w:cs="Arial" w:eastAsia="Arial" w:hAnsi="Arial"/>
          <w:sz w:val="18"/>
          <w:szCs w:val="18"/>
          <w:color w:val="auto"/>
        </w:rPr>
      </w:pPr>
    </w:p>
    <w:p>
      <w:pPr>
        <w:jc w:val="both"/>
        <w:ind w:left="520" w:hanging="512"/>
        <w:spacing w:after="0" w:line="238" w:lineRule="auto"/>
        <w:tabs>
          <w:tab w:leader="none" w:pos="63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09" w:name="page110"/>
    <w:bookmarkEnd w:id="109"/>
    <w:p>
      <w:pPr>
        <w:jc w:val="both"/>
        <w:ind w:left="1020" w:hanging="512"/>
        <w:spacing w:after="0"/>
        <w:tabs>
          <w:tab w:leader="none" w:pos="129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Without prejudice to the generality of clause 32.7(h), the Agent may (but is not obliged) disclose the identity of a Defaulting Lender to the other Finance Parties and the Borrowers and the Agent shall disclose the same upon the written request of the Majority Lenders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91" w:lineRule="exact"/>
        <w:rPr>
          <w:rFonts w:ascii="Arial" w:cs="Arial" w:eastAsia="Arial" w:hAnsi="Arial"/>
          <w:sz w:val="18"/>
          <w:szCs w:val="18"/>
          <w:color w:val="auto"/>
        </w:rPr>
      </w:pPr>
    </w:p>
    <w:p>
      <w:pPr>
        <w:jc w:val="both"/>
        <w:ind w:left="1020" w:hanging="512"/>
        <w:spacing w:after="0"/>
        <w:tabs>
          <w:tab w:leader="none" w:pos="129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unless so required in writing by a Lender, in which case the Agent shall promptly make the appropriate request of the Borrowers if such request would be in accordance with the terms of this Agreement.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7"/>
          <w:szCs w:val="17"/>
          <w:b w:val="1"/>
          <w:bCs w:val="1"/>
          <w:color w:val="auto"/>
        </w:rPr>
        <w:t>Responsibility for documentation and other matters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198" w:lineRule="exact"/>
        <w:rPr>
          <w:sz w:val="20"/>
          <w:szCs w:val="20"/>
          <w:color w:val="auto"/>
        </w:rPr>
      </w:pPr>
    </w:p>
    <w:p>
      <w:pPr>
        <w:jc w:val="both"/>
        <w:ind w:left="1020" w:hanging="512"/>
        <w:spacing w:after="0" w:line="238" w:lineRule="auto"/>
        <w:tabs>
          <w:tab w:leader="none" w:pos="115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188" w:lineRule="exact"/>
        <w:rPr>
          <w:rFonts w:ascii="Arial" w:cs="Arial" w:eastAsia="Arial" w:hAnsi="Arial"/>
          <w:sz w:val="18"/>
          <w:szCs w:val="18"/>
          <w:color w:val="auto"/>
        </w:rPr>
      </w:pPr>
    </w:p>
    <w:p>
      <w:pPr>
        <w:jc w:val="both"/>
        <w:ind w:left="1020" w:hanging="512"/>
        <w:spacing w:after="0"/>
        <w:tabs>
          <w:tab w:leader="none" w:pos="123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other agreement, arrangement or document entered into, made or executed in anticipation of, under or in connection with any Finance Document or any Charter Document;</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198" w:lineRule="exact"/>
        <w:rPr>
          <w:rFonts w:ascii="Arial" w:cs="Arial" w:eastAsia="Arial" w:hAnsi="Arial"/>
          <w:sz w:val="18"/>
          <w:szCs w:val="18"/>
          <w:color w:val="auto"/>
        </w:rPr>
      </w:pPr>
    </w:p>
    <w:p>
      <w:pPr>
        <w:ind w:left="1020" w:hanging="512"/>
        <w:spacing w:after="0" w:line="246" w:lineRule="auto"/>
        <w:tabs>
          <w:tab w:leader="none" w:pos="139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198" w:lineRule="exact"/>
        <w:rPr>
          <w:rFonts w:ascii="Arial" w:cs="Arial" w:eastAsia="Arial" w:hAnsi="Arial"/>
          <w:sz w:val="18"/>
          <w:szCs w:val="18"/>
          <w:color w:val="auto"/>
        </w:rPr>
      </w:pPr>
    </w:p>
    <w:p>
      <w:pPr>
        <w:ind w:left="1020" w:hanging="512"/>
        <w:spacing w:after="0" w:line="246" w:lineRule="auto"/>
        <w:tabs>
          <w:tab w:leader="none" w:pos="115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or the financial condition of any such person;</w:t>
      </w:r>
    </w:p>
    <w:p>
      <w:pPr>
        <w:spacing w:after="0" w:line="183" w:lineRule="exact"/>
        <w:rPr>
          <w:rFonts w:ascii="Arial" w:cs="Arial" w:eastAsia="Arial" w:hAnsi="Arial"/>
          <w:sz w:val="18"/>
          <w:szCs w:val="18"/>
          <w:color w:val="auto"/>
        </w:rPr>
      </w:pPr>
    </w:p>
    <w:p>
      <w:pPr>
        <w:ind w:left="1020" w:hanging="512"/>
        <w:spacing w:after="0" w:line="246" w:lineRule="auto"/>
        <w:tabs>
          <w:tab w:leader="none" w:pos="103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83" w:lineRule="exact"/>
        <w:rPr>
          <w:rFonts w:ascii="Arial" w:cs="Arial" w:eastAsia="Arial" w:hAnsi="Arial"/>
          <w:sz w:val="18"/>
          <w:szCs w:val="18"/>
          <w:color w:val="auto"/>
        </w:rPr>
      </w:pPr>
    </w:p>
    <w:p>
      <w:pPr>
        <w:ind w:left="1020" w:hanging="512"/>
        <w:spacing w:after="0" w:line="246" w:lineRule="auto"/>
        <w:tabs>
          <w:tab w:leader="none" w:pos="121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investigating or making any enquiry into the title of any Obligor to any of the Charged Property or any of its other property or assets;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198" w:lineRule="exact"/>
        <w:rPr>
          <w:rFonts w:ascii="Arial" w:cs="Arial" w:eastAsia="Arial" w:hAnsi="Arial"/>
          <w:sz w:val="18"/>
          <w:szCs w:val="18"/>
          <w:color w:val="auto"/>
        </w:rPr>
      </w:pPr>
    </w:p>
    <w:p>
      <w:pPr>
        <w:ind w:left="1020" w:hanging="512"/>
        <w:spacing w:after="0" w:line="246" w:lineRule="auto"/>
        <w:tabs>
          <w:tab w:leader="none" w:pos="103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ind w:left="1020" w:hanging="512"/>
        <w:spacing w:after="0" w:line="246" w:lineRule="auto"/>
        <w:tabs>
          <w:tab w:leader="none" w:pos="110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30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83" w:lineRule="exact"/>
        <w:rPr>
          <w:rFonts w:ascii="Arial" w:cs="Arial" w:eastAsia="Arial" w:hAnsi="Arial"/>
          <w:sz w:val="18"/>
          <w:szCs w:val="18"/>
          <w:color w:val="auto"/>
        </w:rPr>
      </w:pPr>
    </w:p>
    <w:p>
      <w:pPr>
        <w:ind w:left="1020" w:hanging="512"/>
        <w:spacing w:after="0" w:line="246" w:lineRule="auto"/>
        <w:tabs>
          <w:tab w:leader="none" w:pos="113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83" w:lineRule="exact"/>
        <w:rPr>
          <w:rFonts w:ascii="Arial" w:cs="Arial" w:eastAsia="Arial" w:hAnsi="Arial"/>
          <w:sz w:val="18"/>
          <w:szCs w:val="18"/>
          <w:color w:val="auto"/>
        </w:rPr>
      </w:pPr>
    </w:p>
    <w:p>
      <w:pPr>
        <w:jc w:val="both"/>
        <w:ind w:left="1020" w:hanging="512"/>
        <w:spacing w:after="0"/>
        <w:tabs>
          <w:tab w:leader="none" w:pos="111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89" w:lineRule="exact"/>
        <w:rPr>
          <w:rFonts w:ascii="Arial" w:cs="Arial" w:eastAsia="Arial" w:hAnsi="Arial"/>
          <w:sz w:val="18"/>
          <w:szCs w:val="18"/>
          <w:color w:val="auto"/>
        </w:rPr>
      </w:pPr>
    </w:p>
    <w:p>
      <w:pPr>
        <w:jc w:val="both"/>
        <w:ind w:left="1020" w:hanging="512"/>
        <w:spacing w:after="0"/>
        <w:tabs>
          <w:tab w:leader="none" w:pos="103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unsuitability, inadequacy or unfitness of any Charged Property as security for the Loan and shall not be obliged to make any investigation into, and shall be entitled to assume, the suitability, adequacy and fitness of the Charged Property as security for the Loan; or</w:t>
      </w:r>
    </w:p>
    <w:p>
      <w:pPr>
        <w:spacing w:after="0" w:line="189" w:lineRule="exact"/>
        <w:rPr>
          <w:rFonts w:ascii="Arial" w:cs="Arial" w:eastAsia="Arial" w:hAnsi="Arial"/>
          <w:sz w:val="18"/>
          <w:szCs w:val="18"/>
          <w:color w:val="auto"/>
        </w:rPr>
      </w:pPr>
    </w:p>
    <w:p>
      <w:pPr>
        <w:jc w:val="both"/>
        <w:ind w:left="1020" w:hanging="512"/>
        <w:spacing w:after="0"/>
        <w:tabs>
          <w:tab w:leader="none" w:pos="105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7"/>
          <w:szCs w:val="17"/>
          <w:b w:val="1"/>
          <w:bCs w:val="1"/>
          <w:color w:val="auto"/>
        </w:rPr>
        <w:t>No duty to monitor</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not be bound to enquire:</w:t>
      </w:r>
    </w:p>
    <w:p>
      <w:pPr>
        <w:spacing w:after="0" w:line="198" w:lineRule="exact"/>
        <w:rPr>
          <w:sz w:val="20"/>
          <w:szCs w:val="20"/>
          <w:color w:val="auto"/>
        </w:rPr>
      </w:pPr>
    </w:p>
    <w:p>
      <w:pPr>
        <w:ind w:left="1060" w:hanging="552"/>
        <w:spacing w:after="0"/>
        <w:tabs>
          <w:tab w:leader="none" w:pos="10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32.10 Exclusion of liability</w:t>
      </w:r>
    </w:p>
    <w:p>
      <w:pPr>
        <w:spacing w:after="0" w:line="220" w:lineRule="exact"/>
        <w:rPr>
          <w:sz w:val="20"/>
          <w:szCs w:val="20"/>
          <w:color w:val="auto"/>
        </w:rPr>
      </w:pPr>
    </w:p>
    <w:p>
      <w:pPr>
        <w:jc w:val="both"/>
        <w:ind w:left="1020" w:hanging="512"/>
        <w:spacing w:after="0"/>
        <w:tabs>
          <w:tab w:leader="none" w:pos="10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Without limiting clause 32.10(b)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189" w:lineRule="exact"/>
        <w:rPr>
          <w:rFonts w:ascii="Arial" w:cs="Arial" w:eastAsia="Arial" w:hAnsi="Arial"/>
          <w:sz w:val="18"/>
          <w:szCs w:val="18"/>
          <w:color w:val="auto"/>
        </w:rPr>
      </w:pPr>
    </w:p>
    <w:p>
      <w:pPr>
        <w:jc w:val="both"/>
        <w:ind w:left="1540" w:hanging="511"/>
        <w:spacing w:after="0" w:line="237" w:lineRule="auto"/>
        <w:tabs>
          <w:tab w:leader="none" w:pos="1797"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91" w:lineRule="exact"/>
        <w:rPr>
          <w:rFonts w:ascii="Arial" w:cs="Arial" w:eastAsia="Arial" w:hAnsi="Arial"/>
          <w:sz w:val="18"/>
          <w:szCs w:val="18"/>
          <w:color w:val="auto"/>
        </w:rPr>
      </w:pPr>
    </w:p>
    <w:p>
      <w:pPr>
        <w:jc w:val="both"/>
        <w:ind w:left="1540" w:hanging="511"/>
        <w:spacing w:after="0" w:line="238" w:lineRule="auto"/>
        <w:tabs>
          <w:tab w:leader="none" w:pos="176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the gross negligence or wilful default of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ind w:left="1560"/>
        <w:spacing w:after="0" w:line="246" w:lineRule="auto"/>
        <w:rPr>
          <w:sz w:val="20"/>
          <w:szCs w:val="20"/>
          <w:color w:val="auto"/>
        </w:rPr>
      </w:pPr>
      <w:r>
        <w:rPr>
          <w:rFonts w:ascii="Arial" w:cs="Arial" w:eastAsia="Arial" w:hAnsi="Arial"/>
          <w:sz w:val="18"/>
          <w:szCs w:val="18"/>
          <w:color w:val="auto"/>
        </w:rPr>
        <w:t>Agent and in the course of the exercise or non-exercise by it of any right, power, authority or discretion given to it expressly under a Finance Document; or</w:t>
      </w:r>
    </w:p>
    <w:p>
      <w:pPr>
        <w:spacing w:after="0" w:line="183" w:lineRule="exact"/>
        <w:rPr>
          <w:sz w:val="20"/>
          <w:szCs w:val="20"/>
          <w:color w:val="auto"/>
        </w:rPr>
      </w:pPr>
    </w:p>
    <w:p>
      <w:pPr>
        <w:ind w:left="1540" w:right="20" w:hanging="511"/>
        <w:spacing w:after="0" w:line="246" w:lineRule="auto"/>
        <w:tabs>
          <w:tab w:leader="none" w:pos="176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83" w:lineRule="exact"/>
        <w:rPr>
          <w:rFonts w:ascii="Arial" w:cs="Arial" w:eastAsia="Arial" w:hAnsi="Arial"/>
          <w:sz w:val="18"/>
          <w:szCs w:val="18"/>
          <w:color w:val="auto"/>
        </w:rPr>
      </w:pPr>
    </w:p>
    <w:p>
      <w:pPr>
        <w:ind w:left="2060" w:hanging="649"/>
        <w:spacing w:after="0"/>
        <w:tabs>
          <w:tab w:leader="none" w:pos="20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98" w:lineRule="exact"/>
        <w:rPr>
          <w:rFonts w:ascii="Arial" w:cs="Arial" w:eastAsia="Arial" w:hAnsi="Arial"/>
          <w:sz w:val="18"/>
          <w:szCs w:val="18"/>
          <w:color w:val="auto"/>
        </w:rPr>
      </w:pPr>
    </w:p>
    <w:p>
      <w:pPr>
        <w:ind w:left="2060" w:hanging="649"/>
        <w:spacing w:after="0"/>
        <w:tabs>
          <w:tab w:leader="none" w:pos="20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98" w:lineRule="exact"/>
        <w:rPr>
          <w:sz w:val="20"/>
          <w:szCs w:val="20"/>
          <w:color w:val="auto"/>
        </w:rPr>
      </w:pPr>
    </w:p>
    <w:p>
      <w:pPr>
        <w:jc w:val="both"/>
        <w:ind w:left="1540"/>
        <w:spacing w:after="0" w:line="237"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191" w:lineRule="exact"/>
        <w:rPr>
          <w:sz w:val="20"/>
          <w:szCs w:val="20"/>
          <w:color w:val="auto"/>
        </w:rPr>
      </w:pPr>
    </w:p>
    <w:p>
      <w:pPr>
        <w:jc w:val="both"/>
        <w:ind w:left="1020" w:hanging="512"/>
        <w:spacing w:after="0" w:line="238" w:lineRule="auto"/>
        <w:tabs>
          <w:tab w:leader="none" w:pos="105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32.10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10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91" w:lineRule="exact"/>
        <w:rPr>
          <w:rFonts w:ascii="Arial" w:cs="Arial" w:eastAsia="Arial" w:hAnsi="Arial"/>
          <w:sz w:val="18"/>
          <w:szCs w:val="18"/>
          <w:color w:val="auto"/>
        </w:rPr>
      </w:pPr>
    </w:p>
    <w:p>
      <w:pPr>
        <w:ind w:left="1040" w:hanging="532"/>
        <w:spacing w:after="0"/>
        <w:tabs>
          <w:tab w:leader="none" w:pos="10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189" w:lineRule="exact"/>
        <w:rPr>
          <w:sz w:val="20"/>
          <w:szCs w:val="20"/>
          <w:color w:val="auto"/>
        </w:rPr>
      </w:pPr>
    </w:p>
    <w:p>
      <w:pPr>
        <w:jc w:val="both"/>
        <w:ind w:left="1020" w:hanging="512"/>
        <w:spacing w:after="0" w:line="237" w:lineRule="auto"/>
        <w:tabs>
          <w:tab w:leader="none" w:pos="116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32.11 Lenders’ indemnity to the Agent</w:t>
      </w:r>
    </w:p>
    <w:p>
      <w:pPr>
        <w:spacing w:after="0" w:line="220" w:lineRule="exact"/>
        <w:rPr>
          <w:sz w:val="20"/>
          <w:szCs w:val="20"/>
          <w:color w:val="auto"/>
        </w:rPr>
      </w:pPr>
    </w:p>
    <w:p>
      <w:pPr>
        <w:ind w:left="1020" w:hanging="512"/>
        <w:spacing w:after="0" w:line="246" w:lineRule="auto"/>
        <w:tabs>
          <w:tab w:leader="none" w:pos="105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ind w:left="1040"/>
        <w:spacing w:after="0"/>
        <w:rPr>
          <w:sz w:val="20"/>
          <w:szCs w:val="20"/>
          <w:color w:val="auto"/>
        </w:rPr>
      </w:pPr>
      <w:r>
        <w:rPr>
          <w:rFonts w:ascii="Arial" w:cs="Arial" w:eastAsia="Arial" w:hAnsi="Arial"/>
          <w:sz w:val="18"/>
          <w:szCs w:val="18"/>
          <w:color w:val="auto"/>
        </w:rPr>
        <w:t>their reduction to zero) indemnify the Agent, within five Business Days of demand, against:</w:t>
      </w:r>
    </w:p>
    <w:p>
      <w:pPr>
        <w:spacing w:after="0" w:line="198" w:lineRule="exact"/>
        <w:rPr>
          <w:sz w:val="20"/>
          <w:szCs w:val="20"/>
          <w:color w:val="auto"/>
        </w:rPr>
      </w:pPr>
    </w:p>
    <w:p>
      <w:pPr>
        <w:jc w:val="both"/>
        <w:ind w:left="1540" w:hanging="511"/>
        <w:spacing w:after="0" w:line="238" w:lineRule="auto"/>
        <w:tabs>
          <w:tab w:leader="none" w:pos="193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Losses for negligence or any other category of liability whatsoever incurred by the Agent in the circumstances contemplated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191" w:lineRule="exact"/>
        <w:rPr>
          <w:rFonts w:ascii="Arial" w:cs="Arial" w:eastAsia="Arial" w:hAnsi="Arial"/>
          <w:sz w:val="18"/>
          <w:szCs w:val="18"/>
          <w:color w:val="auto"/>
        </w:rPr>
      </w:pPr>
    </w:p>
    <w:p>
      <w:pPr>
        <w:jc w:val="both"/>
        <w:ind w:left="1540" w:hanging="511"/>
        <w:spacing w:after="0"/>
        <w:tabs>
          <w:tab w:leader="none" w:pos="16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189" w:lineRule="exact"/>
        <w:rPr>
          <w:sz w:val="20"/>
          <w:szCs w:val="20"/>
          <w:color w:val="auto"/>
        </w:rPr>
      </w:pPr>
    </w:p>
    <w:p>
      <w:pPr>
        <w:jc w:val="both"/>
        <w:ind w:left="1040"/>
        <w:spacing w:after="0" w:line="238" w:lineRule="auto"/>
        <w:rPr>
          <w:sz w:val="20"/>
          <w:szCs w:val="20"/>
          <w:color w:val="auto"/>
        </w:rPr>
      </w:pPr>
      <w:r>
        <w:rPr>
          <w:rFonts w:ascii="Arial" w:cs="Arial" w:eastAsia="Arial" w:hAnsi="Arial"/>
          <w:sz w:val="18"/>
          <w:szCs w:val="18"/>
          <w:color w:val="auto"/>
        </w:rPr>
        <w:t>in each case incurred by the Agent in acting as such under the Finance Documents (unless the Agent has been reimbursed by an Obligor pursuant to a Finance Document or out of the Trust Property) and this clause 32.11 as applied in favour of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be without prejudice to any right to indemnity by law given to trustees generally and any other indemnity in the Security Agent’s favour in any other Finance Document.</w:t>
      </w:r>
    </w:p>
    <w:p>
      <w:pPr>
        <w:spacing w:after="0" w:line="189"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indemnities contained in this clause 32.11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189" w:lineRule="exact"/>
        <w:rPr>
          <w:sz w:val="20"/>
          <w:szCs w:val="20"/>
          <w:color w:val="auto"/>
        </w:rPr>
      </w:pPr>
    </w:p>
    <w:p>
      <w:pPr>
        <w:ind w:left="1020" w:hanging="512"/>
        <w:spacing w:after="0" w:line="246" w:lineRule="auto"/>
        <w:tabs>
          <w:tab w:leader="none" w:pos="12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Subject to clause 32.11(c), the Borrowers shall immediately on demand reimburse any Lender for any payment that Lender makes to the Agent pursuant to clause 32.11(a).</w:t>
      </w:r>
    </w:p>
    <w:p>
      <w:pPr>
        <w:spacing w:after="0" w:line="183" w:lineRule="exact"/>
        <w:rPr>
          <w:rFonts w:ascii="Arial" w:cs="Arial" w:eastAsia="Arial" w:hAnsi="Arial"/>
          <w:sz w:val="18"/>
          <w:szCs w:val="18"/>
          <w:color w:val="auto"/>
        </w:rPr>
      </w:pPr>
    </w:p>
    <w:p>
      <w:pPr>
        <w:ind w:left="1020" w:hanging="512"/>
        <w:spacing w:after="0" w:line="246" w:lineRule="auto"/>
        <w:tabs>
          <w:tab w:leader="none" w:pos="114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Clause 32.11(b) shall not apply to the extent that the indemnity payment in respect of which the Lender claims reimbursement relates to a liability of the Agent to an Obligor.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32.12 Resignation of the Agent</w:t>
      </w:r>
    </w:p>
    <w:p>
      <w:pPr>
        <w:spacing w:after="0" w:line="220" w:lineRule="exact"/>
        <w:rPr>
          <w:sz w:val="20"/>
          <w:szCs w:val="20"/>
          <w:color w:val="auto"/>
        </w:rPr>
      </w:pPr>
    </w:p>
    <w:p>
      <w:pPr>
        <w:ind w:left="1020" w:hanging="512"/>
        <w:spacing w:after="0" w:line="246" w:lineRule="auto"/>
        <w:tabs>
          <w:tab w:leader="none" w:pos="119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Borrowers.</w:t>
      </w:r>
    </w:p>
    <w:p>
      <w:pPr>
        <w:spacing w:after="0" w:line="183" w:lineRule="exact"/>
        <w:rPr>
          <w:rFonts w:ascii="Arial" w:cs="Arial" w:eastAsia="Arial" w:hAnsi="Arial"/>
          <w:sz w:val="18"/>
          <w:szCs w:val="18"/>
          <w:color w:val="auto"/>
        </w:rPr>
      </w:pPr>
    </w:p>
    <w:p>
      <w:pPr>
        <w:jc w:val="both"/>
        <w:ind w:left="1020" w:hanging="512"/>
        <w:spacing w:after="0"/>
        <w:tabs>
          <w:tab w:leader="none" w:pos="107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Alternatively the Agent may without giving any reason therefor resign by giving 30 days’ notice to the other Finance Parties and the Borrowers, in which case the Majority Lenders (after consultation with the Borrowers) may appoint a successor Agent acting through an office in London or Paris.</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20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clause 32.12(b) above within 30 days after notice of resignation was given, the retiring Agent (after consultation with the Borrowers) may appoint a successor Agent.</w:t>
      </w:r>
    </w:p>
    <w:p>
      <w:pPr>
        <w:spacing w:after="0" w:line="165" w:lineRule="exact"/>
        <w:rPr>
          <w:rFonts w:ascii="Arial" w:cs="Arial" w:eastAsia="Arial" w:hAnsi="Arial"/>
          <w:sz w:val="18"/>
          <w:szCs w:val="18"/>
          <w:color w:val="auto"/>
        </w:rPr>
      </w:pPr>
    </w:p>
    <w:p>
      <w:pPr>
        <w:jc w:val="both"/>
        <w:ind w:left="1020" w:hanging="512"/>
        <w:spacing w:after="0" w:line="241" w:lineRule="auto"/>
        <w:tabs>
          <w:tab w:leader="none" w:pos="108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retiring Agent shall, either at the Lenders’ expense if it has been required to resign pursuant to clause 32.13 (</w:t>
      </w:r>
      <w:r>
        <w:rPr>
          <w:rFonts w:ascii="Arial" w:cs="Arial" w:eastAsia="Arial" w:hAnsi="Arial"/>
          <w:sz w:val="18"/>
          <w:szCs w:val="18"/>
          <w:i w:val="1"/>
          <w:iCs w:val="1"/>
          <w:color w:val="auto"/>
        </w:rPr>
        <w:t>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Agent</w:t>
      </w:r>
      <w:r>
        <w:rPr>
          <w:rFonts w:ascii="Arial" w:cs="Arial" w:eastAsia="Arial" w:hAnsi="Arial"/>
          <w:sz w:val="18"/>
          <w:szCs w:val="18"/>
          <w:color w:val="auto"/>
        </w:rPr>
        <w:t>) or otherwise at its own cost, make available to the successor Agent such documents and records and provide such</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as the successor Agent may reasonably request for the purposes of performing its functions as Agent under the Finance Documents. The Borrowers shall, within three Business Days of demand, reimburse the retiring Agent for the amount of all costs and expenses (including legal fees) properly incurred by it in making available such documents and records and providing such assistance.</w:t>
      </w:r>
    </w:p>
    <w:p>
      <w:pPr>
        <w:spacing w:after="0" w:line="188" w:lineRule="exact"/>
        <w:rPr>
          <w:rFonts w:ascii="Arial" w:cs="Arial" w:eastAsia="Arial" w:hAnsi="Arial"/>
          <w:sz w:val="18"/>
          <w:szCs w:val="18"/>
          <w:color w:val="auto"/>
        </w:rPr>
      </w:pPr>
    </w:p>
    <w:p>
      <w:pPr>
        <w:ind w:left="1060" w:hanging="552"/>
        <w:spacing w:after="0"/>
        <w:tabs>
          <w:tab w:leader="none" w:pos="10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jc w:val="both"/>
        <w:ind w:left="1020" w:hanging="512"/>
        <w:spacing w:after="0" w:line="237" w:lineRule="auto"/>
        <w:tabs>
          <w:tab w:leader="none" w:pos="121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32.12(d)) but shall remain entitled to the benefit of clause 14.3 (</w:t>
      </w:r>
      <w:r>
        <w:rPr>
          <w:rFonts w:ascii="Arial" w:cs="Arial" w:eastAsia="Arial" w:hAnsi="Arial"/>
          <w:sz w:val="18"/>
          <w:szCs w:val="18"/>
          <w:i w:val="1"/>
          <w:iCs w:val="1"/>
          <w:color w:val="auto"/>
        </w:rPr>
        <w:t>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 Security Agent</w:t>
      </w:r>
      <w:r>
        <w:rPr>
          <w:rFonts w:ascii="Arial" w:cs="Arial" w:eastAsia="Arial" w:hAnsi="Arial"/>
          <w:sz w:val="18"/>
          <w:szCs w:val="18"/>
          <w:color w:val="auto"/>
        </w:rPr>
        <w:t>) and this clause 32 (and any agency fees for the account of the retiring Agent shall cease to accrue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shall be payable on) that date). Any successor and each of the other Parties shall have the same rights and obligations amongst themselves as they would have had if such successor had been an original Party.</w:t>
      </w:r>
    </w:p>
    <w:p>
      <w:pPr>
        <w:spacing w:after="0" w:line="191" w:lineRule="exact"/>
        <w:rPr>
          <w:rFonts w:ascii="Arial" w:cs="Arial" w:eastAsia="Arial" w:hAnsi="Arial"/>
          <w:sz w:val="18"/>
          <w:szCs w:val="18"/>
          <w:color w:val="auto"/>
        </w:rPr>
      </w:pPr>
    </w:p>
    <w:p>
      <w:pPr>
        <w:jc w:val="both"/>
        <w:ind w:left="1020" w:hanging="512"/>
        <w:spacing w:after="0"/>
        <w:tabs>
          <w:tab w:leader="none" w:pos="138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32.12(b) above (and, to the extent applicable, shall use reasonable endeavours to appoint a successor Agent pursuant to paragraph 32.12(c) above) if on or after the date which is three months before the earliest FATCA Application Date relating to any payment to the Agent under the Finance Documents, either:</w:t>
      </w:r>
    </w:p>
    <w:p>
      <w:pPr>
        <w:spacing w:after="0" w:line="171" w:lineRule="exact"/>
        <w:rPr>
          <w:rFonts w:ascii="Arial" w:cs="Arial" w:eastAsia="Arial" w:hAnsi="Arial"/>
          <w:sz w:val="18"/>
          <w:szCs w:val="18"/>
          <w:color w:val="auto"/>
        </w:rPr>
      </w:pPr>
    </w:p>
    <w:p>
      <w:pPr>
        <w:jc w:val="both"/>
        <w:ind w:left="1540" w:hanging="511"/>
        <w:spacing w:after="0" w:line="250" w:lineRule="auto"/>
        <w:tabs>
          <w:tab w:leader="none" w:pos="172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and a Borrower or a Lender reasonably believes that the Agent will not be (or will have ceased to be) a FATCA Exempt Party on or after that FATCA Application Date;</w:t>
      </w:r>
    </w:p>
    <w:p>
      <w:pPr>
        <w:spacing w:after="0" w:line="163" w:lineRule="exact"/>
        <w:rPr>
          <w:rFonts w:ascii="Arial" w:cs="Arial" w:eastAsia="Arial" w:hAnsi="Arial"/>
          <w:sz w:val="18"/>
          <w:szCs w:val="18"/>
          <w:color w:val="auto"/>
        </w:rPr>
      </w:pPr>
    </w:p>
    <w:p>
      <w:pPr>
        <w:ind w:left="1540" w:hanging="511"/>
        <w:spacing w:after="0" w:line="267" w:lineRule="auto"/>
        <w:tabs>
          <w:tab w:leader="none" w:pos="15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64"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183"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and (in each case) a Borrower or a Lender reasonably believes that a Party will be required to make a FATCA Deduction that would not be required if the Agent were a FATCA Exempt Party, and a Borrower or that Lender, by notice to the Agent, requires it to resign.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32.13 Replacement of the Agent</w:t>
      </w:r>
    </w:p>
    <w:p>
      <w:pPr>
        <w:spacing w:after="0" w:line="220" w:lineRule="exact"/>
        <w:rPr>
          <w:sz w:val="20"/>
          <w:szCs w:val="20"/>
          <w:color w:val="auto"/>
        </w:rPr>
      </w:pPr>
    </w:p>
    <w:p>
      <w:pPr>
        <w:jc w:val="both"/>
        <w:ind w:left="1020" w:hanging="512"/>
        <w:spacing w:after="0"/>
        <w:tabs>
          <w:tab w:leader="none" w:pos="104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After consultation with the Borrowers, the Majority Lenders may, by giving 30 days’ notice to the Agent (or, at any time the Agent is an Impaired Agent, by giving any shorter notice determined by the Majority Lenders) replace the Agent by appointing a successor Agent.</w:t>
      </w:r>
    </w:p>
    <w:p>
      <w:pPr>
        <w:spacing w:after="0" w:line="189" w:lineRule="exact"/>
        <w:rPr>
          <w:rFonts w:ascii="Arial" w:cs="Arial" w:eastAsia="Arial" w:hAnsi="Arial"/>
          <w:sz w:val="18"/>
          <w:szCs w:val="18"/>
          <w:color w:val="auto"/>
        </w:rPr>
      </w:pPr>
    </w:p>
    <w:p>
      <w:pPr>
        <w:jc w:val="both"/>
        <w:ind w:left="1020" w:hanging="512"/>
        <w:spacing w:after="0"/>
        <w:tabs>
          <w:tab w:leader="none" w:pos="103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20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32.13(b)) (and any agency fees for the account of the retiring Agent shall cease to accrue from (and shall be payable on) that date).</w:t>
      </w:r>
    </w:p>
    <w:p>
      <w:pPr>
        <w:spacing w:after="0" w:line="191" w:lineRule="exact"/>
        <w:rPr>
          <w:rFonts w:ascii="Arial" w:cs="Arial" w:eastAsia="Arial" w:hAnsi="Arial"/>
          <w:sz w:val="18"/>
          <w:szCs w:val="18"/>
          <w:color w:val="auto"/>
        </w:rPr>
      </w:pPr>
    </w:p>
    <w:p>
      <w:pPr>
        <w:ind w:left="1020" w:hanging="512"/>
        <w:spacing w:after="0" w:line="246" w:lineRule="auto"/>
        <w:tabs>
          <w:tab w:leader="none" w:pos="12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32.14 Confidentiality</w:t>
      </w:r>
    </w:p>
    <w:p>
      <w:pPr>
        <w:spacing w:after="0" w:line="220" w:lineRule="exact"/>
        <w:rPr>
          <w:sz w:val="20"/>
          <w:szCs w:val="20"/>
          <w:color w:val="auto"/>
        </w:rPr>
      </w:pPr>
    </w:p>
    <w:p>
      <w:pPr>
        <w:jc w:val="both"/>
        <w:ind w:left="1020" w:hanging="512"/>
        <w:spacing w:after="0"/>
        <w:tabs>
          <w:tab w:leader="none" w:pos="136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ind w:left="1020" w:hanging="512"/>
        <w:spacing w:after="0" w:line="246" w:lineRule="auto"/>
        <w:tabs>
          <w:tab w:leader="none" w:pos="12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83" w:lineRule="exact"/>
        <w:rPr>
          <w:rFonts w:ascii="Arial" w:cs="Arial" w:eastAsia="Arial" w:hAnsi="Arial"/>
          <w:sz w:val="18"/>
          <w:szCs w:val="18"/>
          <w:color w:val="auto"/>
        </w:rPr>
      </w:pPr>
    </w:p>
    <w:p>
      <w:pPr>
        <w:jc w:val="both"/>
        <w:ind w:left="1020" w:hanging="512"/>
        <w:spacing w:after="0"/>
        <w:tabs>
          <w:tab w:leader="none" w:pos="112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32.15 Relationship with the Lenders</w:t>
      </w:r>
    </w:p>
    <w:p>
      <w:pPr>
        <w:spacing w:after="0" w:line="202" w:lineRule="exact"/>
        <w:rPr>
          <w:sz w:val="20"/>
          <w:szCs w:val="20"/>
          <w:color w:val="auto"/>
        </w:rPr>
      </w:pPr>
    </w:p>
    <w:p>
      <w:pPr>
        <w:jc w:val="both"/>
        <w:ind w:left="1020" w:hanging="512"/>
        <w:spacing w:after="0" w:line="250" w:lineRule="auto"/>
        <w:tabs>
          <w:tab w:leader="none" w:pos="111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at the opening of business (in the place of the Agent’s principal office as notified to the Finance Parties from time to time) as a Lender acting through its Facility Office:</w:t>
      </w:r>
    </w:p>
    <w:p>
      <w:pPr>
        <w:spacing w:after="0" w:line="181" w:lineRule="exact"/>
        <w:rPr>
          <w:rFonts w:ascii="Arial" w:cs="Arial" w:eastAsia="Arial" w:hAnsi="Arial"/>
          <w:sz w:val="18"/>
          <w:szCs w:val="18"/>
          <w:color w:val="auto"/>
        </w:rPr>
      </w:pPr>
    </w:p>
    <w:p>
      <w:pPr>
        <w:ind w:left="1560" w:hanging="531"/>
        <w:spacing w:after="0"/>
        <w:tabs>
          <w:tab w:leader="none" w:pos="156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198"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83"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83" w:lineRule="exact"/>
        <w:rPr>
          <w:sz w:val="20"/>
          <w:szCs w:val="20"/>
          <w:color w:val="auto"/>
        </w:rPr>
      </w:pPr>
    </w:p>
    <w:p>
      <w:pPr>
        <w:jc w:val="both"/>
        <w:ind w:left="1020" w:hanging="512"/>
        <w:spacing w:after="0" w:line="236" w:lineRule="auto"/>
        <w:tabs>
          <w:tab w:leader="none" w:pos="116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or (as the case may be) under the Finance Documents. Such notice shall contain the address and (where communication by electronic mail or other electronic means is permitted under clause 37.5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and clause 37.5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193" w:lineRule="exact"/>
        <w:rPr>
          <w:rFonts w:ascii="Arial" w:cs="Arial" w:eastAsia="Arial" w:hAnsi="Arial"/>
          <w:sz w:val="18"/>
          <w:szCs w:val="18"/>
          <w:color w:val="auto"/>
        </w:rPr>
      </w:pPr>
    </w:p>
    <w:p>
      <w:pPr>
        <w:ind w:left="1020" w:right="20" w:hanging="512"/>
        <w:spacing w:after="0" w:line="246" w:lineRule="auto"/>
        <w:tabs>
          <w:tab w:leader="none" w:pos="10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32.16 Credit appraisal by the Lenders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191" w:lineRule="exact"/>
        <w:rPr>
          <w:sz w:val="20"/>
          <w:szCs w:val="20"/>
          <w:color w:val="auto"/>
        </w:rPr>
      </w:pPr>
    </w:p>
    <w:p>
      <w:pPr>
        <w:ind w:left="1060" w:hanging="552"/>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198" w:lineRule="exact"/>
        <w:rPr>
          <w:rFonts w:ascii="Arial" w:cs="Arial" w:eastAsia="Arial" w:hAnsi="Arial"/>
          <w:sz w:val="18"/>
          <w:szCs w:val="18"/>
          <w:color w:val="auto"/>
        </w:rPr>
      </w:pPr>
    </w:p>
    <w:p>
      <w:pPr>
        <w:jc w:val="both"/>
        <w:ind w:left="1020" w:hanging="512"/>
        <w:spacing w:after="0"/>
        <w:tabs>
          <w:tab w:leader="none" w:pos="11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or any Charter Document;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ind w:left="1040" w:hanging="532"/>
        <w:spacing w:after="0"/>
        <w:tabs>
          <w:tab w:leader="none" w:pos="10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198" w:lineRule="exact"/>
        <w:rPr>
          <w:rFonts w:ascii="Arial" w:cs="Arial" w:eastAsia="Arial" w:hAnsi="Arial"/>
          <w:sz w:val="18"/>
          <w:szCs w:val="18"/>
          <w:color w:val="auto"/>
        </w:rPr>
      </w:pPr>
    </w:p>
    <w:p>
      <w:pPr>
        <w:jc w:val="both"/>
        <w:ind w:left="1020" w:hanging="512"/>
        <w:spacing w:after="0" w:line="238" w:lineRule="auto"/>
        <w:tabs>
          <w:tab w:leader="none" w:pos="111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8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or 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191" w:lineRule="exact"/>
        <w:rPr>
          <w:rFonts w:ascii="Arial" w:cs="Arial" w:eastAsia="Arial" w:hAnsi="Arial"/>
          <w:sz w:val="18"/>
          <w:szCs w:val="18"/>
          <w:color w:val="auto"/>
        </w:rPr>
      </w:pPr>
    </w:p>
    <w:p>
      <w:pPr>
        <w:ind w:left="1020" w:hanging="512"/>
        <w:spacing w:after="0" w:line="246" w:lineRule="auto"/>
        <w:tabs>
          <w:tab w:leader="none" w:pos="106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32.17 Agent’s management time and additional remuneration</w:t>
      </w:r>
    </w:p>
    <w:p>
      <w:pPr>
        <w:spacing w:after="0" w:line="202" w:lineRule="exact"/>
        <w:rPr>
          <w:sz w:val="20"/>
          <w:szCs w:val="20"/>
          <w:color w:val="auto"/>
        </w:rPr>
      </w:pPr>
    </w:p>
    <w:p>
      <w:pPr>
        <w:jc w:val="both"/>
        <w:ind w:left="1020" w:hanging="512"/>
        <w:spacing w:after="0" w:line="242" w:lineRule="auto"/>
        <w:tabs>
          <w:tab w:leader="none" w:pos="143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amount payable to the Agent under clause 14.3 (</w:t>
      </w:r>
      <w:r>
        <w:rPr>
          <w:rFonts w:ascii="Arial" w:cs="Arial" w:eastAsia="Arial" w:hAnsi="Arial"/>
          <w:sz w:val="18"/>
          <w:szCs w:val="18"/>
          <w:i w:val="1"/>
          <w:iCs w:val="1"/>
          <w:color w:val="auto"/>
        </w:rPr>
        <w:t>Indemnity to the Agent and Security Agent</w:t>
      </w:r>
      <w:r>
        <w:rPr>
          <w:rFonts w:ascii="Arial" w:cs="Arial" w:eastAsia="Arial" w:hAnsi="Arial"/>
          <w:sz w:val="18"/>
          <w:szCs w:val="18"/>
          <w:color w:val="auto"/>
        </w:rPr>
        <w:t>), clause 16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w:t>
      </w:r>
      <w:r>
        <w:rPr>
          <w:rFonts w:ascii="Arial" w:cs="Arial" w:eastAsia="Arial" w:hAnsi="Arial"/>
          <w:sz w:val="18"/>
          <w:szCs w:val="18"/>
          <w:i w:val="1"/>
          <w:iCs w:val="1"/>
          <w:color w:val="auto"/>
        </w:rPr>
        <w:t xml:space="preserve"> </w:t>
      </w:r>
      <w:r>
        <w:rPr>
          <w:rFonts w:ascii="Arial" w:cs="Arial" w:eastAsia="Arial" w:hAnsi="Arial"/>
          <w:sz w:val="18"/>
          <w:szCs w:val="18"/>
          <w:color w:val="auto"/>
        </w:rPr>
        <w:t>of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Borrowers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Default;</w:t>
      </w:r>
    </w:p>
    <w:p>
      <w:pPr>
        <w:spacing w:after="0" w:line="198" w:lineRule="exact"/>
        <w:rPr>
          <w:rFonts w:ascii="Arial" w:cs="Arial" w:eastAsia="Arial" w:hAnsi="Arial"/>
          <w:sz w:val="18"/>
          <w:szCs w:val="18"/>
          <w:color w:val="auto"/>
        </w:rPr>
      </w:pPr>
    </w:p>
    <w:p>
      <w:pPr>
        <w:jc w:val="both"/>
        <w:ind w:left="1540" w:hanging="511"/>
        <w:spacing w:after="0"/>
        <w:tabs>
          <w:tab w:leader="none" w:pos="1621"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Agent being requested by an Obligor or the Majority Lenders to undertake duties which the Agent and the Borrowers agree to be of an exceptional nature or outside the scope of the normal duties of the Agent under the Finance Documents; or</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Agent and the Borrowers agreeing that it is otherwise appropriate in the circumstances,</w:t>
      </w:r>
    </w:p>
    <w:p>
      <w:pPr>
        <w:spacing w:after="0" w:line="198"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the Borrowers shall pay to the Agent any additional remuneration that may be agreed between them or determined pursuant to clause 32.17(c).</w:t>
      </w:r>
    </w:p>
    <w:p>
      <w:pPr>
        <w:spacing w:after="0" w:line="183" w:lineRule="exact"/>
        <w:rPr>
          <w:sz w:val="20"/>
          <w:szCs w:val="20"/>
          <w:color w:val="auto"/>
        </w:rPr>
      </w:pPr>
    </w:p>
    <w:p>
      <w:pPr>
        <w:jc w:val="both"/>
        <w:ind w:left="1020" w:hanging="512"/>
        <w:spacing w:after="0" w:line="237" w:lineRule="auto"/>
        <w:tabs>
          <w:tab w:leader="none" w:pos="124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the Agent and the Borrowers fail to agree upon the nature of the duties, or upon the additional remuneration referred to in clause 32.17(b)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32.18 Deduction from amounts payable by the Agent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jc w:val="both"/>
        <w:ind w:left="520"/>
        <w:spacing w:after="0" w:line="246" w:lineRule="auto"/>
        <w:rPr>
          <w:sz w:val="20"/>
          <w:szCs w:val="20"/>
          <w:color w:val="auto"/>
        </w:rPr>
      </w:pPr>
      <w:r>
        <w:rPr>
          <w:rFonts w:ascii="Arial" w:cs="Arial" w:eastAsia="Arial" w:hAnsi="Arial"/>
          <w:sz w:val="18"/>
          <w:szCs w:val="18"/>
          <w:color w:val="auto"/>
        </w:rPr>
        <w:t>and apply the amount deducted in or towards satisfaction of the amount owed. For the purposes of the Finance Documents that Party shall be regarded as having received any amount so deducted.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32.19 Common parties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32.20 Security Agent</w:t>
      </w:r>
    </w:p>
    <w:p>
      <w:pPr>
        <w:spacing w:after="0" w:line="220" w:lineRule="exact"/>
        <w:rPr>
          <w:sz w:val="20"/>
          <w:szCs w:val="20"/>
          <w:color w:val="auto"/>
        </w:rPr>
      </w:pPr>
    </w:p>
    <w:p>
      <w:pPr>
        <w:jc w:val="both"/>
        <w:ind w:left="1020" w:hanging="512"/>
        <w:spacing w:after="0" w:line="238" w:lineRule="auto"/>
        <w:tabs>
          <w:tab w:leader="none" w:pos="109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pacing w:after="0" w:line="191" w:lineRule="exact"/>
        <w:rPr>
          <w:rFonts w:ascii="Arial" w:cs="Arial" w:eastAsia="Arial" w:hAnsi="Arial"/>
          <w:sz w:val="18"/>
          <w:szCs w:val="18"/>
          <w:color w:val="auto"/>
        </w:rPr>
      </w:pPr>
    </w:p>
    <w:p>
      <w:pPr>
        <w:ind w:left="1040" w:hanging="532"/>
        <w:spacing w:after="0"/>
        <w:tabs>
          <w:tab w:leader="none" w:pos="10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198" w:lineRule="exact"/>
        <w:rPr>
          <w:rFonts w:ascii="Arial" w:cs="Arial" w:eastAsia="Arial" w:hAnsi="Arial"/>
          <w:sz w:val="18"/>
          <w:szCs w:val="18"/>
          <w:color w:val="auto"/>
        </w:rPr>
      </w:pPr>
    </w:p>
    <w:p>
      <w:pPr>
        <w:jc w:val="both"/>
        <w:ind w:left="1540" w:hanging="511"/>
        <w:spacing w:after="0"/>
        <w:tabs>
          <w:tab w:leader="none" w:pos="190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189" w:lineRule="exact"/>
        <w:rPr>
          <w:rFonts w:ascii="Arial" w:cs="Arial" w:eastAsia="Arial" w:hAnsi="Arial"/>
          <w:sz w:val="18"/>
          <w:szCs w:val="18"/>
          <w:color w:val="auto"/>
        </w:rPr>
      </w:pPr>
    </w:p>
    <w:p>
      <w:pPr>
        <w:ind w:left="1540" w:hanging="511"/>
        <w:spacing w:after="0" w:line="246" w:lineRule="auto"/>
        <w:tabs>
          <w:tab w:leader="none" w:pos="1864"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65" w:lineRule="exact"/>
        <w:rPr>
          <w:rFonts w:ascii="Arial" w:cs="Arial" w:eastAsia="Arial" w:hAnsi="Arial"/>
          <w:sz w:val="18"/>
          <w:szCs w:val="18"/>
          <w:color w:val="auto"/>
        </w:rPr>
      </w:pPr>
    </w:p>
    <w:p>
      <w:pPr>
        <w:jc w:val="both"/>
        <w:ind w:left="1020" w:hanging="512"/>
        <w:spacing w:after="0" w:line="245" w:lineRule="auto"/>
        <w:tabs>
          <w:tab w:leader="none" w:pos="108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32.20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32.20 - 32.32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32.21 Application of certain clauses to Security Agent</w:t>
      </w:r>
    </w:p>
    <w:p>
      <w:pPr>
        <w:spacing w:after="0" w:line="202" w:lineRule="exact"/>
        <w:rPr>
          <w:sz w:val="20"/>
          <w:szCs w:val="20"/>
          <w:color w:val="auto"/>
        </w:rPr>
      </w:pPr>
    </w:p>
    <w:p>
      <w:pPr>
        <w:jc w:val="both"/>
        <w:ind w:left="1020" w:hanging="512"/>
        <w:spacing w:after="0"/>
        <w:tabs>
          <w:tab w:leader="none" w:pos="109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Clauses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32.8 (</w:t>
      </w:r>
      <w:r>
        <w:rPr>
          <w:rFonts w:ascii="Arial" w:cs="Arial" w:eastAsia="Arial" w:hAnsi="Arial"/>
          <w:sz w:val="18"/>
          <w:szCs w:val="18"/>
          <w:i w:val="1"/>
          <w:iCs w:val="1"/>
          <w:color w:val="auto"/>
        </w:rPr>
        <w:t>Responsibility for documentation and other matters</w:t>
      </w:r>
      <w:r>
        <w:rPr>
          <w:rFonts w:ascii="Arial" w:cs="Arial" w:eastAsia="Arial" w:hAnsi="Arial"/>
          <w:sz w:val="18"/>
          <w:szCs w:val="18"/>
          <w:color w:val="auto"/>
        </w:rPr>
        <w:t xml:space="preserve">), 32.9 </w:t>
      </w:r>
      <w:r>
        <w:rPr>
          <w:rFonts w:ascii="Arial" w:cs="Arial" w:eastAsia="Arial" w:hAnsi="Arial"/>
          <w:sz w:val="18"/>
          <w:szCs w:val="18"/>
          <w:i w:val="1"/>
          <w:iCs w:val="1"/>
          <w:color w:val="auto"/>
        </w:rPr>
        <w:t>(No duty to</w:t>
      </w:r>
      <w:r>
        <w:rPr>
          <w:rFonts w:ascii="Arial" w:cs="Arial" w:eastAsia="Arial" w:hAnsi="Arial"/>
          <w:sz w:val="18"/>
          <w:szCs w:val="18"/>
          <w:color w:val="auto"/>
        </w:rPr>
        <w:t xml:space="preserve"> </w:t>
      </w:r>
      <w:r>
        <w:rPr>
          <w:rFonts w:ascii="Arial" w:cs="Arial" w:eastAsia="Arial" w:hAnsi="Arial"/>
          <w:sz w:val="18"/>
          <w:szCs w:val="18"/>
          <w:i w:val="1"/>
          <w:iCs w:val="1"/>
          <w:color w:val="auto"/>
        </w:rPr>
        <w:t>monitor)</w:t>
      </w:r>
      <w:r>
        <w:rPr>
          <w:rFonts w:ascii="Arial" w:cs="Arial" w:eastAsia="Arial" w:hAnsi="Arial"/>
          <w:sz w:val="18"/>
          <w:szCs w:val="18"/>
          <w:color w:val="auto"/>
        </w:rPr>
        <w:t>,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32.13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Replacement of the Agent</w:t>
      </w:r>
      <w:r>
        <w:rPr>
          <w:rFonts w:ascii="Arial" w:cs="Arial" w:eastAsia="Arial" w:hAnsi="Arial"/>
          <w:sz w:val="18"/>
          <w:szCs w:val="18"/>
          <w:color w:val="auto"/>
        </w:rPr>
        <w:t>), 32.14 (</w:t>
      </w:r>
      <w:r>
        <w:rPr>
          <w:rFonts w:ascii="Arial" w:cs="Arial" w:eastAsia="Arial" w:hAnsi="Arial"/>
          <w:sz w:val="18"/>
          <w:szCs w:val="18"/>
          <w:i w:val="1"/>
          <w:iCs w:val="1"/>
          <w:color w:val="auto"/>
        </w:rPr>
        <w:t>Confidentiality</w:t>
      </w:r>
      <w:r>
        <w:rPr>
          <w:rFonts w:ascii="Arial" w:cs="Arial" w:eastAsia="Arial" w:hAnsi="Arial"/>
          <w:sz w:val="18"/>
          <w:szCs w:val="18"/>
          <w:color w:val="auto"/>
        </w:rPr>
        <w:t>), 32.15 (</w:t>
      </w:r>
      <w:r>
        <w:rPr>
          <w:rFonts w:ascii="Arial" w:cs="Arial" w:eastAsia="Arial" w:hAnsi="Arial"/>
          <w:sz w:val="18"/>
          <w:szCs w:val="18"/>
          <w:i w:val="1"/>
          <w:iCs w:val="1"/>
          <w:color w:val="auto"/>
        </w:rPr>
        <w:t>Relationship with the Lenders</w:t>
      </w:r>
      <w:r>
        <w:rPr>
          <w:rFonts w:ascii="Arial" w:cs="Arial" w:eastAsia="Arial" w:hAnsi="Arial"/>
          <w:sz w:val="18"/>
          <w:szCs w:val="18"/>
          <w:color w:val="auto"/>
        </w:rPr>
        <w:t>), 32.16 (</w:t>
      </w:r>
      <w:r>
        <w:rPr>
          <w:rFonts w:ascii="Arial" w:cs="Arial" w:eastAsia="Arial" w:hAnsi="Arial"/>
          <w:sz w:val="18"/>
          <w:szCs w:val="18"/>
          <w:i w:val="1"/>
          <w:iCs w:val="1"/>
          <w:color w:val="auto"/>
        </w:rPr>
        <w:t>Credit appraisal by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32.17</w:t>
      </w:r>
      <w:r>
        <w:rPr>
          <w:rFonts w:ascii="Arial" w:cs="Arial" w:eastAsia="Arial" w:hAnsi="Arial"/>
          <w:sz w:val="18"/>
          <w:szCs w:val="18"/>
          <w:i w:val="1"/>
          <w:iCs w:val="1"/>
          <w:color w:val="auto"/>
        </w:rPr>
        <w:t xml:space="preserve"> (Agent’s management time and additional remuneration) </w:t>
      </w:r>
      <w:r>
        <w:rPr>
          <w:rFonts w:ascii="Arial" w:cs="Arial" w:eastAsia="Arial" w:hAnsi="Arial"/>
          <w:sz w:val="18"/>
          <w:szCs w:val="18"/>
          <w:color w:val="auto"/>
        </w:rPr>
        <w:t>and 32.18 (</w:t>
      </w:r>
      <w:r>
        <w:rPr>
          <w:rFonts w:ascii="Arial" w:cs="Arial" w:eastAsia="Arial" w:hAnsi="Arial"/>
          <w:sz w:val="18"/>
          <w:szCs w:val="18"/>
          <w:i w:val="1"/>
          <w:iCs w:val="1"/>
          <w:color w:val="auto"/>
        </w:rPr>
        <w:t>Deduction from amounts payable by the Agent</w:t>
      </w:r>
      <w:r>
        <w:rPr>
          <w:rFonts w:ascii="Arial" w:cs="Arial" w:eastAsia="Arial" w:hAnsi="Arial"/>
          <w:sz w:val="18"/>
          <w:szCs w:val="18"/>
          <w:color w:val="auto"/>
        </w:rPr>
        <w:t>) shall each extend so as to apply to the Security Agent in its capacity as such and for that purpose each 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these clauses shall extend to include in addition a reference to the “Security Agent” in its capacity as such and, in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71" w:lineRule="exact"/>
        <w:rPr>
          <w:rFonts w:ascii="Arial" w:cs="Arial" w:eastAsia="Arial" w:hAnsi="Arial"/>
          <w:sz w:val="18"/>
          <w:szCs w:val="18"/>
          <w:color w:val="auto"/>
        </w:rPr>
      </w:pPr>
    </w:p>
    <w:p>
      <w:pPr>
        <w:ind w:left="1020" w:hanging="512"/>
        <w:spacing w:after="0" w:line="267" w:lineRule="auto"/>
        <w:tabs>
          <w:tab w:leader="none" w:pos="112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 addition,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32.21(a), have the following additional sub-clause inserted after them:</w:t>
      </w:r>
    </w:p>
    <w:p>
      <w:pPr>
        <w:spacing w:after="0" w:line="165"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jc w:val="both"/>
        <w:ind w:left="1020"/>
        <w:spacing w:after="0" w:line="238" w:lineRule="auto"/>
        <w:rPr>
          <w:sz w:val="20"/>
          <w:szCs w:val="20"/>
          <w:color w:val="auto"/>
        </w:rPr>
      </w:pPr>
      <w:r>
        <w:rPr>
          <w:rFonts w:ascii="Arial" w:cs="Arial" w:eastAsia="Arial" w:hAnsi="Arial"/>
          <w:sz w:val="18"/>
          <w:szCs w:val="18"/>
          <w:color w:val="auto"/>
        </w:rPr>
        <w:t>vested in its successor by operation of law. All such acts, deeds and documents shall be done or, as the case may be, executed at the cost of the Borrowers (except where the Security Agent is retiring under clause 32.12(a) as extended to it by clause 32.21(a), in which case such costs shall be borne by the Lenders (in proportion to its share of the Total Commitments or, if the Total Commitments are then zero, to its share of the Total Commitments immediately prior to their reduction to zero)).”.</w:t>
      </w:r>
    </w:p>
    <w:p>
      <w:pPr>
        <w:spacing w:after="0" w:line="191" w:lineRule="exact"/>
        <w:rPr>
          <w:sz w:val="20"/>
          <w:szCs w:val="20"/>
          <w:color w:val="auto"/>
        </w:rPr>
      </w:pPr>
    </w:p>
    <w:p>
      <w:pPr>
        <w:ind w:left="1040" w:hanging="532"/>
        <w:spacing w:after="0"/>
        <w:tabs>
          <w:tab w:leader="none" w:pos="10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Clause 32.7(e) shall, for the purposes of its application to the Security Agent pursuant to clause 32.21(a), read as follows:</w:t>
      </w:r>
    </w:p>
    <w:p>
      <w:pPr>
        <w:spacing w:after="0" w:line="198" w:lineRule="exact"/>
        <w:rPr>
          <w:rFonts w:ascii="Arial" w:cs="Arial" w:eastAsia="Arial" w:hAnsi="Arial"/>
          <w:sz w:val="18"/>
          <w:szCs w:val="18"/>
          <w:color w:val="auto"/>
        </w:rPr>
      </w:pPr>
    </w:p>
    <w:p>
      <w:pPr>
        <w:jc w:val="both"/>
        <w:ind w:left="1020"/>
        <w:spacing w:after="0" w:line="238" w:lineRule="auto"/>
        <w:rPr>
          <w:rFonts w:ascii="Arial" w:cs="Arial" w:eastAsia="Arial" w:hAnsi="Arial"/>
          <w:sz w:val="18"/>
          <w:szCs w:val="18"/>
          <w:color w:val="auto"/>
        </w:rPr>
      </w:pPr>
      <w:r>
        <w:rPr>
          <w:rFonts w:ascii="Arial" w:cs="Arial" w:eastAsia="Arial" w:hAnsi="Arial"/>
          <w:sz w:val="18"/>
          <w:szCs w:val="18"/>
          <w:color w:val="auto"/>
        </w:rPr>
        <w:t>“The Security Agent may, at the cost of the Borrowers,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173" w:lineRule="exact"/>
        <w:rPr>
          <w:rFonts w:ascii="Arial" w:cs="Arial" w:eastAsia="Arial" w:hAnsi="Arial"/>
          <w:sz w:val="18"/>
          <w:szCs w:val="18"/>
          <w:color w:val="auto"/>
        </w:rPr>
      </w:pPr>
    </w:p>
    <w:p>
      <w:pPr>
        <w:ind w:left="1020" w:right="20" w:hanging="512"/>
        <w:spacing w:after="0" w:line="267" w:lineRule="auto"/>
        <w:tabs>
          <w:tab w:leader="none" w:pos="115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Clause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32.21(a), include the following after sub clause 32.10(a)(iii)(B):</w:t>
      </w:r>
    </w:p>
    <w:p>
      <w:pPr>
        <w:spacing w:after="0" w:line="165" w:lineRule="exact"/>
        <w:rPr>
          <w:sz w:val="20"/>
          <w:szCs w:val="20"/>
          <w:color w:val="auto"/>
        </w:rPr>
      </w:pPr>
    </w:p>
    <w:p>
      <w:pPr>
        <w:ind w:left="1020"/>
        <w:spacing w:after="0"/>
        <w:tabs>
          <w:tab w:leader="none" w:pos="154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180" w:lineRule="exact"/>
        <w:rPr>
          <w:sz w:val="20"/>
          <w:szCs w:val="20"/>
          <w:color w:val="auto"/>
        </w:rPr>
      </w:pPr>
    </w:p>
    <w:p>
      <w:pPr>
        <w:jc w:val="both"/>
        <w:ind w:left="1020" w:hanging="512"/>
        <w:spacing w:after="0" w:line="250" w:lineRule="auto"/>
        <w:tabs>
          <w:tab w:leader="none" w:pos="127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Clause 32.14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32.21(a), be read and construed as to refer to “its agency and trust department” instead of “its department, division or team directly responsible for the management of the Finance Documents”.</w:t>
      </w:r>
    </w:p>
    <w:p>
      <w:pPr>
        <w:spacing w:after="0" w:line="181" w:lineRule="exact"/>
        <w:rPr>
          <w:rFonts w:ascii="Arial" w:cs="Arial" w:eastAsia="Arial" w:hAnsi="Arial"/>
          <w:sz w:val="18"/>
          <w:szCs w:val="18"/>
          <w:color w:val="auto"/>
        </w:rPr>
      </w:pPr>
    </w:p>
    <w:p>
      <w:pPr>
        <w:jc w:val="both"/>
        <w:ind w:left="1020" w:hanging="512"/>
        <w:spacing w:after="0" w:line="237" w:lineRule="auto"/>
        <w:tabs>
          <w:tab w:leader="none" w:pos="133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189" w:lineRule="exact"/>
        <w:rPr>
          <w:rFonts w:ascii="Arial" w:cs="Arial" w:eastAsia="Arial" w:hAnsi="Arial"/>
          <w:sz w:val="18"/>
          <w:szCs w:val="18"/>
          <w:color w:val="auto"/>
        </w:rPr>
      </w:pPr>
    </w:p>
    <w:p>
      <w:pPr>
        <w:jc w:val="both"/>
        <w:ind w:left="1020" w:hanging="512"/>
        <w:spacing w:after="0" w:line="237" w:lineRule="auto"/>
        <w:tabs>
          <w:tab w:leader="none" w:pos="127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Borrowers,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Borrowers, the agents and the other parties thereto are observing and performing all their respective obligations thereunder.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32.22 Instructions to Security Agent</w:t>
      </w:r>
    </w:p>
    <w:p>
      <w:pPr>
        <w:spacing w:after="0" w:line="220" w:lineRule="exact"/>
        <w:rPr>
          <w:sz w:val="20"/>
          <w:szCs w:val="20"/>
          <w:color w:val="auto"/>
        </w:rPr>
      </w:pPr>
    </w:p>
    <w:p>
      <w:pPr>
        <w:ind w:left="1060" w:hanging="552"/>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198" w:lineRule="exact"/>
        <w:rPr>
          <w:rFonts w:ascii="Arial" w:cs="Arial" w:eastAsia="Arial" w:hAnsi="Arial"/>
          <w:sz w:val="18"/>
          <w:szCs w:val="18"/>
          <w:color w:val="auto"/>
        </w:rPr>
      </w:pPr>
    </w:p>
    <w:p>
      <w:pPr>
        <w:jc w:val="both"/>
        <w:ind w:left="1540" w:hanging="511"/>
        <w:spacing w:after="0"/>
        <w:tabs>
          <w:tab w:leader="none" w:pos="199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89" w:lineRule="exact"/>
        <w:rPr>
          <w:rFonts w:ascii="Arial" w:cs="Arial" w:eastAsia="Arial" w:hAnsi="Arial"/>
          <w:sz w:val="18"/>
          <w:szCs w:val="18"/>
          <w:color w:val="auto"/>
        </w:rPr>
      </w:pPr>
    </w:p>
    <w:p>
      <w:pPr>
        <w:ind w:left="1540" w:hanging="511"/>
        <w:spacing w:after="0" w:line="246" w:lineRule="auto"/>
        <w:tabs>
          <w:tab w:leader="none" w:pos="185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8" w:name="page119"/>
    <w:bookmarkEnd w:id="118"/>
    <w:p>
      <w:pPr>
        <w:jc w:val="both"/>
        <w:ind w:left="1020" w:hanging="512"/>
        <w:spacing w:after="0"/>
        <w:tabs>
          <w:tab w:leader="none" w:pos="105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189" w:lineRule="exact"/>
        <w:rPr>
          <w:rFonts w:ascii="Arial" w:cs="Arial" w:eastAsia="Arial" w:hAnsi="Arial"/>
          <w:sz w:val="18"/>
          <w:szCs w:val="18"/>
          <w:color w:val="auto"/>
        </w:rPr>
      </w:pPr>
    </w:p>
    <w:p>
      <w:pPr>
        <w:ind w:left="1020" w:hanging="512"/>
        <w:spacing w:after="0" w:line="246" w:lineRule="auto"/>
        <w:tabs>
          <w:tab w:leader="none" w:pos="122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83" w:lineRule="exact"/>
        <w:rPr>
          <w:rFonts w:ascii="Arial" w:cs="Arial" w:eastAsia="Arial" w:hAnsi="Arial"/>
          <w:sz w:val="18"/>
          <w:szCs w:val="18"/>
          <w:color w:val="auto"/>
        </w:rPr>
      </w:pPr>
    </w:p>
    <w:p>
      <w:pPr>
        <w:jc w:val="both"/>
        <w:ind w:left="1020" w:hanging="512"/>
        <w:spacing w:after="0"/>
        <w:tabs>
          <w:tab w:leader="none" w:pos="157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17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191" w:lineRule="exact"/>
        <w:rPr>
          <w:rFonts w:ascii="Arial" w:cs="Arial" w:eastAsia="Arial" w:hAnsi="Arial"/>
          <w:sz w:val="18"/>
          <w:szCs w:val="18"/>
          <w:color w:val="auto"/>
        </w:rPr>
      </w:pPr>
    </w:p>
    <w:p>
      <w:pPr>
        <w:ind w:left="1020" w:right="20" w:hanging="512"/>
        <w:spacing w:after="0" w:line="246" w:lineRule="auto"/>
        <w:tabs>
          <w:tab w:leader="none" w:pos="107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absence of instructions, the Security Agent may act (or refrain from acting) as it considers to be in the best interest of the Finance Parties.</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5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Security Agent is not authorised to act on behalf of a Lender (without first obtaining that Lender’s consent) in any legal or arbitration proceedings relating to any Finance Document. This paragraph (g) shall not apply to any legal or arbitration proceeding relating to the perfection, preservation or protection of rights under the Security Documents or enforcement of the Security Documents.</w:t>
      </w:r>
    </w:p>
    <w:p>
      <w:pPr>
        <w:spacing w:after="0" w:line="191" w:lineRule="exact"/>
        <w:rPr>
          <w:rFonts w:ascii="Arial" w:cs="Arial" w:eastAsia="Arial" w:hAnsi="Arial"/>
          <w:sz w:val="18"/>
          <w:szCs w:val="18"/>
          <w:color w:val="auto"/>
        </w:rPr>
      </w:pPr>
    </w:p>
    <w:p>
      <w:pPr>
        <w:jc w:val="both"/>
        <w:ind w:left="1020" w:hanging="512"/>
        <w:spacing w:after="0"/>
        <w:tabs>
          <w:tab w:leader="none" w:pos="117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Borrowers, the Agent, or any Finance Party as regards any deficiency which might arise because the Security Agent is subject to any Tax in respect of all or any of the Charged Property, the income therefrom or the proceeds thereof.</w:t>
      </w:r>
    </w:p>
    <w:p>
      <w:pPr>
        <w:spacing w:after="0" w:line="171" w:lineRule="exact"/>
        <w:rPr>
          <w:rFonts w:ascii="Arial" w:cs="Arial" w:eastAsia="Arial" w:hAnsi="Arial"/>
          <w:sz w:val="18"/>
          <w:szCs w:val="18"/>
          <w:color w:val="auto"/>
        </w:rPr>
      </w:pPr>
    </w:p>
    <w:p>
      <w:pPr>
        <w:jc w:val="both"/>
        <w:ind w:left="1020" w:hanging="512"/>
        <w:spacing w:after="0" w:line="242" w:lineRule="auto"/>
        <w:tabs>
          <w:tab w:leader="none" w:pos="12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Until the delivery of an enforcement notice pursuant to clause 29.21 (</w:t>
      </w:r>
      <w:r>
        <w:rPr>
          <w:rFonts w:ascii="Arial" w:cs="Arial" w:eastAsia="Arial" w:hAnsi="Arial"/>
          <w:sz w:val="18"/>
          <w:szCs w:val="18"/>
          <w:i w:val="1"/>
          <w:iCs w:val="1"/>
          <w:color w:val="auto"/>
        </w:rPr>
        <w:t>Acceleration</w:t>
      </w:r>
      <w:r>
        <w:rPr>
          <w:rFonts w:ascii="Arial" w:cs="Arial" w:eastAsia="Arial" w:hAnsi="Arial"/>
          <w:sz w:val="18"/>
          <w:szCs w:val="18"/>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32.23 Security Agent’s actions</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Without prejudice to the provisions of clause 32.22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32.24 Order of application</w:t>
      </w:r>
    </w:p>
    <w:p>
      <w:pPr>
        <w:spacing w:after="0" w:line="220" w:lineRule="exact"/>
        <w:rPr>
          <w:sz w:val="20"/>
          <w:szCs w:val="20"/>
          <w:color w:val="auto"/>
        </w:rPr>
      </w:pPr>
    </w:p>
    <w:p>
      <w:pPr>
        <w:jc w:val="both"/>
        <w:ind w:left="1020" w:hanging="512"/>
        <w:spacing w:after="0"/>
        <w:tabs>
          <w:tab w:leader="none" w:pos="107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67" w:lineRule="exact"/>
        <w:rPr>
          <w:sz w:val="20"/>
          <w:szCs w:val="20"/>
          <w:color w:val="auto"/>
        </w:rPr>
      </w:pPr>
    </w:p>
    <w:p>
      <w:pPr>
        <w:ind w:left="1540" w:hanging="511"/>
        <w:spacing w:after="0" w:line="271" w:lineRule="auto"/>
        <w:tabs>
          <w:tab w:leader="none" w:pos="1797"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amounts received by the Security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jc w:val="both"/>
        <w:ind w:left="1560"/>
        <w:spacing w:after="0" w:line="250" w:lineRule="auto"/>
        <w:rPr>
          <w:sz w:val="20"/>
          <w:szCs w:val="20"/>
          <w:color w:val="auto"/>
        </w:rPr>
      </w:pPr>
      <w:r>
        <w:rPr>
          <w:rFonts w:ascii="Arial" w:cs="Arial" w:eastAsia="Arial" w:hAnsi="Arial"/>
          <w:sz w:val="18"/>
          <w:szCs w:val="18"/>
          <w:color w:val="auto"/>
        </w:rPr>
        <w:t>extended to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xml:space="preserve"> for the Agent absolutely;</w:t>
      </w:r>
    </w:p>
    <w:p>
      <w:pPr>
        <w:spacing w:after="0" w:line="159" w:lineRule="exact"/>
        <w:rPr>
          <w:sz w:val="20"/>
          <w:szCs w:val="20"/>
          <w:color w:val="auto"/>
        </w:rPr>
      </w:pPr>
    </w:p>
    <w:p>
      <w:pPr>
        <w:jc w:val="both"/>
        <w:ind w:left="1540" w:hanging="511"/>
        <w:spacing w:after="0" w:line="253" w:lineRule="auto"/>
        <w:tabs>
          <w:tab w:leader="none" w:pos="1715"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as to a sum equivalent to the aggregate amount then due and owing to the other Finance Parties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for those Finance Parties absolutely for application between them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jc w:val="both"/>
        <w:ind w:left="1540" w:hanging="511"/>
        <w:spacing w:after="0" w:line="247" w:lineRule="auto"/>
        <w:tabs>
          <w:tab w:leader="none" w:pos="1850"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and unconditionally discharged in full, held by the Security Agent on a suspense account for payment of any further amounts owing to the Finance Parties under the Finance Documents and further application in accordance with this clause 32.24(a) as and when any such amounts later fall due;</w:t>
      </w:r>
    </w:p>
    <w:p>
      <w:pPr>
        <w:spacing w:after="0" w:line="160" w:lineRule="exact"/>
        <w:rPr>
          <w:rFonts w:ascii="Arial" w:cs="Arial" w:eastAsia="Arial" w:hAnsi="Arial"/>
          <w:sz w:val="18"/>
          <w:szCs w:val="18"/>
          <w:color w:val="auto"/>
        </w:rPr>
      </w:pPr>
    </w:p>
    <w:p>
      <w:pPr>
        <w:ind w:left="1540" w:hanging="511"/>
        <w:spacing w:after="0"/>
        <w:tabs>
          <w:tab w:leader="none" w:pos="1540"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198" w:lineRule="exact"/>
        <w:rPr>
          <w:rFonts w:ascii="Arial" w:cs="Arial" w:eastAsia="Arial" w:hAnsi="Arial"/>
          <w:sz w:val="18"/>
          <w:szCs w:val="18"/>
          <w:color w:val="auto"/>
        </w:rPr>
      </w:pPr>
    </w:p>
    <w:p>
      <w:pPr>
        <w:ind w:left="1540" w:hanging="511"/>
        <w:spacing w:after="0" w:line="271" w:lineRule="auto"/>
        <w:tabs>
          <w:tab w:leader="none" w:pos="1563"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or recovered or other person entitled to them.</w:t>
      </w:r>
    </w:p>
    <w:p>
      <w:pPr>
        <w:spacing w:after="0" w:line="162" w:lineRule="exact"/>
        <w:rPr>
          <w:rFonts w:ascii="Arial" w:cs="Arial" w:eastAsia="Arial" w:hAnsi="Arial"/>
          <w:sz w:val="18"/>
          <w:szCs w:val="18"/>
          <w:color w:val="auto"/>
        </w:rPr>
      </w:pPr>
    </w:p>
    <w:p>
      <w:pPr>
        <w:jc w:val="both"/>
        <w:ind w:left="1020" w:hanging="512"/>
        <w:spacing w:after="0" w:line="237" w:lineRule="auto"/>
        <w:tabs>
          <w:tab w:leader="none" w:pos="105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Borrowers or any other person liable.</w:t>
      </w:r>
    </w:p>
    <w:p>
      <w:pPr>
        <w:spacing w:after="0" w:line="189" w:lineRule="exact"/>
        <w:rPr>
          <w:rFonts w:ascii="Arial" w:cs="Arial" w:eastAsia="Arial" w:hAnsi="Arial"/>
          <w:sz w:val="18"/>
          <w:szCs w:val="18"/>
          <w:color w:val="auto"/>
        </w:rPr>
      </w:pPr>
    </w:p>
    <w:p>
      <w:pPr>
        <w:jc w:val="both"/>
        <w:ind w:left="1020" w:hanging="512"/>
        <w:spacing w:after="0"/>
        <w:tabs>
          <w:tab w:leader="none" w:pos="130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32.24 by paying such amounts to the Agent for distribution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32.25 Powers and duties of the Security Agent as trustee of the security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198" w:lineRule="exact"/>
        <w:rPr>
          <w:sz w:val="20"/>
          <w:szCs w:val="20"/>
          <w:color w:val="auto"/>
        </w:rPr>
      </w:pPr>
    </w:p>
    <w:p>
      <w:pPr>
        <w:jc w:val="both"/>
        <w:ind w:left="1020" w:hanging="512"/>
        <w:spacing w:after="0" w:line="238" w:lineRule="auto"/>
        <w:tabs>
          <w:tab w:leader="none" w:pos="115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70" w:lineRule="exact"/>
        <w:rPr>
          <w:rFonts w:ascii="Arial" w:cs="Arial" w:eastAsia="Arial" w:hAnsi="Arial"/>
          <w:sz w:val="18"/>
          <w:szCs w:val="18"/>
          <w:color w:val="auto"/>
        </w:rPr>
      </w:pPr>
    </w:p>
    <w:p>
      <w:pPr>
        <w:jc w:val="both"/>
        <w:ind w:left="1020" w:hanging="512"/>
        <w:spacing w:after="0" w:line="242" w:lineRule="auto"/>
        <w:tabs>
          <w:tab w:leader="none" w:pos="13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shall (subject to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20" w:name="page121"/>
    <w:bookmarkEnd w:id="120"/>
    <w:p>
      <w:pPr>
        <w:jc w:val="both"/>
        <w:ind w:left="540"/>
        <w:spacing w:after="0"/>
        <w:rPr>
          <w:sz w:val="20"/>
          <w:szCs w:val="20"/>
          <w:color w:val="auto"/>
        </w:rPr>
      </w:pPr>
      <w:r>
        <w:rPr>
          <w:rFonts w:ascii="Arial" w:cs="Arial" w:eastAsia="Arial" w:hAnsi="Arial"/>
          <w:sz w:val="18"/>
          <w:szCs w:val="18"/>
          <w:color w:val="auto"/>
        </w:rPr>
        <w:t>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189" w:lineRule="exact"/>
        <w:rPr>
          <w:sz w:val="20"/>
          <w:szCs w:val="20"/>
          <w:color w:val="auto"/>
        </w:rPr>
      </w:pPr>
    </w:p>
    <w:p>
      <w:pPr>
        <w:jc w:val="both"/>
        <w:ind w:left="520" w:hanging="512"/>
        <w:spacing w:after="0" w:line="236" w:lineRule="auto"/>
        <w:tabs>
          <w:tab w:leader="none" w:pos="61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194" w:lineRule="exact"/>
        <w:rPr>
          <w:rFonts w:ascii="Arial" w:cs="Arial" w:eastAsia="Arial" w:hAnsi="Arial"/>
          <w:sz w:val="18"/>
          <w:szCs w:val="18"/>
          <w:color w:val="auto"/>
        </w:rPr>
      </w:pPr>
    </w:p>
    <w:p>
      <w:pPr>
        <w:jc w:val="both"/>
        <w:ind w:left="520" w:hanging="512"/>
        <w:spacing w:after="0" w:line="237" w:lineRule="auto"/>
        <w:tabs>
          <w:tab w:leader="none" w:pos="54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189" w:lineRule="exact"/>
        <w:rPr>
          <w:rFonts w:ascii="Arial" w:cs="Arial" w:eastAsia="Arial" w:hAnsi="Arial"/>
          <w:sz w:val="18"/>
          <w:szCs w:val="18"/>
          <w:color w:val="auto"/>
        </w:rPr>
      </w:pPr>
    </w:p>
    <w:p>
      <w:pPr>
        <w:jc w:val="both"/>
        <w:ind w:left="520" w:hanging="512"/>
        <w:spacing w:after="0"/>
        <w:tabs>
          <w:tab w:leader="none" w:pos="73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189" w:lineRule="exact"/>
        <w:rPr>
          <w:rFonts w:ascii="Arial" w:cs="Arial" w:eastAsia="Arial" w:hAnsi="Arial"/>
          <w:sz w:val="18"/>
          <w:szCs w:val="18"/>
          <w:color w:val="auto"/>
        </w:rPr>
      </w:pPr>
    </w:p>
    <w:p>
      <w:pPr>
        <w:jc w:val="both"/>
        <w:ind w:left="520" w:hanging="512"/>
        <w:spacing w:after="0" w:line="238" w:lineRule="auto"/>
        <w:tabs>
          <w:tab w:leader="none" w:pos="83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188" w:lineRule="exact"/>
        <w:rPr>
          <w:rFonts w:ascii="Arial" w:cs="Arial" w:eastAsia="Arial" w:hAnsi="Arial"/>
          <w:sz w:val="18"/>
          <w:szCs w:val="18"/>
          <w:color w:val="auto"/>
        </w:rPr>
      </w:pPr>
    </w:p>
    <w:p>
      <w:pPr>
        <w:jc w:val="both"/>
        <w:ind w:left="520" w:right="20" w:hanging="512"/>
        <w:spacing w:after="0"/>
        <w:tabs>
          <w:tab w:leader="none" w:pos="77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189" w:lineRule="exact"/>
        <w:rPr>
          <w:rFonts w:ascii="Arial" w:cs="Arial" w:eastAsia="Arial" w:hAnsi="Arial"/>
          <w:sz w:val="18"/>
          <w:szCs w:val="18"/>
          <w:color w:val="auto"/>
        </w:rPr>
      </w:pPr>
    </w:p>
    <w:p>
      <w:pPr>
        <w:jc w:val="both"/>
        <w:ind w:left="520" w:hanging="512"/>
        <w:spacing w:after="0"/>
        <w:tabs>
          <w:tab w:leader="none" w:pos="55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(ii) enforcing such Security Interests created by the Finance Documents;</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198" w:lineRule="exact"/>
        <w:rPr>
          <w:rFonts w:ascii="Arial" w:cs="Arial" w:eastAsia="Arial" w:hAnsi="Arial"/>
          <w:sz w:val="18"/>
          <w:szCs w:val="18"/>
          <w:color w:val="auto"/>
        </w:rPr>
      </w:pPr>
    </w:p>
    <w:p>
      <w:pPr>
        <w:jc w:val="both"/>
        <w:ind w:left="520" w:hanging="512"/>
        <w:spacing w:after="0" w:line="238" w:lineRule="auto"/>
        <w:tabs>
          <w:tab w:leader="none" w:pos="96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21" w:name="page122"/>
    <w:bookmarkEnd w:id="121"/>
    <w:p>
      <w:pPr>
        <w:jc w:val="both"/>
        <w:ind w:left="520"/>
        <w:spacing w:after="0" w:line="246"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83"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32.26 Insurance by Security Agent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32.27 Custodians and nominees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32.28 Acceptance of title</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32.29 Refrain from illegality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32.30 All enforcement action through the Security Agent</w:t>
      </w:r>
    </w:p>
    <w:p>
      <w:pPr>
        <w:spacing w:after="0" w:line="220" w:lineRule="exact"/>
        <w:rPr>
          <w:sz w:val="20"/>
          <w:szCs w:val="20"/>
          <w:color w:val="auto"/>
        </w:rPr>
      </w:pPr>
    </w:p>
    <w:p>
      <w:pPr>
        <w:jc w:val="both"/>
        <w:ind w:left="1020" w:hanging="512"/>
        <w:spacing w:after="0" w:line="238" w:lineRule="auto"/>
        <w:tabs>
          <w:tab w:leader="none" w:pos="123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21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with the prior written consent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jc w:val="both"/>
        <w:ind w:left="1040"/>
        <w:spacing w:after="0" w:line="238" w:lineRule="auto"/>
        <w:rPr>
          <w:sz w:val="20"/>
          <w:szCs w:val="20"/>
          <w:color w:val="auto"/>
        </w:rPr>
      </w:pPr>
      <w:r>
        <w:rPr>
          <w:rFonts w:ascii="Arial" w:cs="Arial" w:eastAsia="Arial" w:hAnsi="Arial"/>
          <w:sz w:val="18"/>
          <w:szCs w:val="18"/>
          <w:color w:val="auto"/>
        </w:rPr>
        <w:t>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32.31 Co-operation to achieve agreed priorities of application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in realising the property and assets subject to the Security Documents and in ensuring that the net proceeds realised under the Security Documents after deduction of the expenses of realisation are applied in accordance with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32.32 Indemnity from Trust Property</w:t>
      </w:r>
    </w:p>
    <w:p>
      <w:pPr>
        <w:spacing w:after="0" w:line="220" w:lineRule="exact"/>
        <w:rPr>
          <w:sz w:val="20"/>
          <w:szCs w:val="20"/>
          <w:color w:val="auto"/>
        </w:rPr>
      </w:pPr>
    </w:p>
    <w:p>
      <w:pPr>
        <w:jc w:val="both"/>
        <w:ind w:left="1020" w:hanging="512"/>
        <w:spacing w:after="0" w:line="238" w:lineRule="auto"/>
        <w:tabs>
          <w:tab w:leader="none" w:pos="127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191" w:lineRule="exact"/>
        <w:rPr>
          <w:rFonts w:ascii="Arial" w:cs="Arial" w:eastAsia="Arial" w:hAnsi="Arial"/>
          <w:sz w:val="18"/>
          <w:szCs w:val="18"/>
          <w:color w:val="auto"/>
        </w:rPr>
      </w:pPr>
    </w:p>
    <w:p>
      <w:pPr>
        <w:ind w:left="1540" w:hanging="511"/>
        <w:spacing w:after="0" w:line="246" w:lineRule="auto"/>
        <w:tabs>
          <w:tab w:leader="none" w:pos="1999"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198" w:lineRule="exact"/>
        <w:rPr>
          <w:rFonts w:ascii="Arial" w:cs="Arial" w:eastAsia="Arial" w:hAnsi="Arial"/>
          <w:sz w:val="18"/>
          <w:szCs w:val="18"/>
          <w:color w:val="auto"/>
        </w:rPr>
      </w:pPr>
    </w:p>
    <w:p>
      <w:pPr>
        <w:ind w:left="1540" w:hanging="511"/>
        <w:spacing w:after="0" w:line="246" w:lineRule="auto"/>
        <w:tabs>
          <w:tab w:leader="none" w:pos="170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779"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83" w:lineRule="exact"/>
        <w:rPr>
          <w:rFonts w:ascii="Arial" w:cs="Arial" w:eastAsia="Arial" w:hAnsi="Arial"/>
          <w:sz w:val="18"/>
          <w:szCs w:val="18"/>
          <w:color w:val="auto"/>
        </w:rPr>
      </w:pPr>
    </w:p>
    <w:p>
      <w:pPr>
        <w:jc w:val="both"/>
        <w:ind w:left="1020" w:hanging="512"/>
        <w:spacing w:after="0" w:line="237" w:lineRule="auto"/>
        <w:tabs>
          <w:tab w:leader="none" w:pos="103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rights conferred by this clause 32.32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32.32 shall entitle the Security Agent or any other person to be indemnified in respect of any liabilities, damages, costs, claims, charges or expenses to the extent that the same arise from such person’s own gross negligence or wilful default.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32.33 Finance Parties to provide information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32.34 No reliance on Security Agent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 responsibility for and each other Finance Party warrants to the Security Agent that it has not relied and will not hereafter rely on the Security Agent:</w:t>
      </w:r>
    </w:p>
    <w:p>
      <w:pPr>
        <w:spacing w:after="0" w:line="191" w:lineRule="exact"/>
        <w:rPr>
          <w:sz w:val="20"/>
          <w:szCs w:val="20"/>
          <w:color w:val="auto"/>
        </w:rPr>
      </w:pPr>
    </w:p>
    <w:p>
      <w:pPr>
        <w:jc w:val="both"/>
        <w:ind w:left="1020" w:hanging="512"/>
        <w:spacing w:after="0"/>
        <w:tabs>
          <w:tab w:leader="none" w:pos="104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 Finance Documents, the Charged Property or the transactions therein contemplated (whether or not such information has been or is hereafter circulated to such Finance Party by the Security Agent);</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4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188" w:lineRule="exact"/>
        <w:rPr>
          <w:rFonts w:ascii="Arial" w:cs="Arial" w:eastAsia="Arial" w:hAnsi="Arial"/>
          <w:sz w:val="18"/>
          <w:szCs w:val="18"/>
          <w:color w:val="auto"/>
        </w:rPr>
      </w:pPr>
    </w:p>
    <w:p>
      <w:pPr>
        <w:jc w:val="both"/>
        <w:ind w:left="1020" w:hanging="512"/>
        <w:spacing w:after="0" w:line="238" w:lineRule="auto"/>
        <w:tabs>
          <w:tab w:leader="none" w:pos="108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 paragraph (b) above or of any guarantee, indemnity or security given or created thereby or any obligations imposed thereby or assumed thereunder;</w:t>
      </w:r>
    </w:p>
    <w:p>
      <w:pPr>
        <w:spacing w:after="0" w:line="191" w:lineRule="exact"/>
        <w:rPr>
          <w:rFonts w:ascii="Arial" w:cs="Arial" w:eastAsia="Arial" w:hAnsi="Arial"/>
          <w:sz w:val="18"/>
          <w:szCs w:val="18"/>
          <w:color w:val="auto"/>
        </w:rPr>
      </w:pPr>
    </w:p>
    <w:p>
      <w:pPr>
        <w:jc w:val="both"/>
        <w:ind w:left="1020" w:hanging="512"/>
        <w:spacing w:after="0"/>
        <w:tabs>
          <w:tab w:leader="none" w:pos="111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189"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32.35 Release to facilitate enforcement and realisation</w:t>
      </w:r>
    </w:p>
    <w:p>
      <w:pPr>
        <w:spacing w:after="0" w:line="220"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32.36 Undertaking to pay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32.37 Additional trustees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Borrowers to appoint any person either to act as separate trustee or as co-trustee jointly with the Security Agent:</w:t>
      </w:r>
    </w:p>
    <w:p>
      <w:pPr>
        <w:spacing w:after="0" w:line="183" w:lineRule="exact"/>
        <w:rPr>
          <w:sz w:val="20"/>
          <w:szCs w:val="20"/>
          <w:color w:val="auto"/>
        </w:rPr>
      </w:pPr>
    </w:p>
    <w:p>
      <w:pPr>
        <w:ind w:left="1060" w:hanging="552"/>
        <w:spacing w:after="0"/>
        <w:tabs>
          <w:tab w:leader="none" w:pos="10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198"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42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83"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32.38 Non-recognition of trust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agreed by all the parties to this Agreement that:</w:t>
      </w:r>
    </w:p>
    <w:p>
      <w:pPr>
        <w:spacing w:after="0" w:line="198" w:lineRule="exact"/>
        <w:rPr>
          <w:sz w:val="20"/>
          <w:szCs w:val="20"/>
          <w:color w:val="auto"/>
        </w:rPr>
      </w:pPr>
    </w:p>
    <w:p>
      <w:pPr>
        <w:jc w:val="both"/>
        <w:ind w:left="1020" w:hanging="512"/>
        <w:spacing w:after="0" w:line="238" w:lineRule="auto"/>
        <w:tabs>
          <w:tab w:leader="none" w:pos="115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32,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8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provisions of this clause 32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32.39 Security Agent’s Ongoing Fees</w:t>
      </w:r>
    </w:p>
    <w:p>
      <w:pPr>
        <w:spacing w:after="0" w:line="202" w:lineRule="exact"/>
        <w:rPr>
          <w:sz w:val="20"/>
          <w:szCs w:val="20"/>
          <w:color w:val="auto"/>
        </w:rPr>
      </w:pPr>
    </w:p>
    <w:p>
      <w:pPr>
        <w:ind w:left="1060" w:hanging="552"/>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Borrowers shall pay to the Agent and the Security Agent certain fees in accordance with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79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Borrowers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191"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Borrowers shall pay to the Security Agent any additional reasonable remuneration (together with any applicable taxes thereon) which shall be calculated by reference to its hourly rates in force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32.40 Interest on Demand</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Borrowers fail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32.41 Release of Security</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Borrowers under or pursuant to this Agreement or any other Finance Document, the trusts herein set out shall be wound up and the Security Agent shall, at the request and cost of the Borrowers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33 Conduct of business by the Finance Parties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33.1</w:t>
        <w:tab/>
        <w:t>Finance Parties tax affairs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provision of this Agreement will:</w:t>
      </w:r>
    </w:p>
    <w:p>
      <w:pPr>
        <w:spacing w:after="0" w:line="198" w:lineRule="exact"/>
        <w:rPr>
          <w:sz w:val="20"/>
          <w:szCs w:val="20"/>
          <w:color w:val="auto"/>
        </w:rPr>
      </w:pPr>
    </w:p>
    <w:p>
      <w:pPr>
        <w:ind w:left="1060" w:hanging="552"/>
        <w:spacing w:after="0"/>
        <w:tabs>
          <w:tab w:leader="none" w:pos="10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98"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83" w:lineRule="exact"/>
        <w:rPr>
          <w:rFonts w:ascii="Arial" w:cs="Arial" w:eastAsia="Arial" w:hAnsi="Arial"/>
          <w:sz w:val="18"/>
          <w:szCs w:val="18"/>
          <w:color w:val="auto"/>
        </w:rPr>
      </w:pPr>
    </w:p>
    <w:p>
      <w:pPr>
        <w:ind w:left="1020" w:hanging="512"/>
        <w:spacing w:after="0" w:line="246" w:lineRule="auto"/>
        <w:tabs>
          <w:tab w:leader="none" w:pos="118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6" w:name="page127"/>
    <w:bookmarkEnd w:id="126"/>
    <w:p>
      <w:pPr>
        <w:spacing w:after="0"/>
        <w:tabs>
          <w:tab w:leader="none" w:pos="50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Finance Parties acting together</w:t>
      </w:r>
    </w:p>
    <w:p>
      <w:pPr>
        <w:spacing w:after="0" w:line="202" w:lineRule="exact"/>
        <w:rPr>
          <w:sz w:val="20"/>
          <w:szCs w:val="20"/>
          <w:color w:val="auto"/>
        </w:rPr>
      </w:pPr>
    </w:p>
    <w:p>
      <w:pPr>
        <w:jc w:val="both"/>
        <w:ind w:left="520"/>
        <w:spacing w:after="0" w:line="242" w:lineRule="auto"/>
        <w:rPr>
          <w:sz w:val="20"/>
          <w:szCs w:val="20"/>
          <w:color w:val="auto"/>
        </w:rPr>
      </w:pPr>
      <w:r>
        <w:rPr>
          <w:rFonts w:ascii="Arial" w:cs="Arial" w:eastAsia="Arial" w:hAnsi="Arial"/>
          <w:sz w:val="18"/>
          <w:szCs w:val="18"/>
          <w:color w:val="auto"/>
        </w:rPr>
        <w:t>Notwithstanding 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29.21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Borrowers and any Group Members and generally administer the Facility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clause shall not override clause 32 (</w:t>
      </w:r>
      <w:r>
        <w:rPr>
          <w:rFonts w:ascii="Arial" w:cs="Arial" w:eastAsia="Arial" w:hAnsi="Arial"/>
          <w:sz w:val="18"/>
          <w:szCs w:val="18"/>
          <w:i w:val="1"/>
          <w:iCs w:val="1"/>
          <w:color w:val="auto"/>
        </w:rPr>
        <w:t>Roles of Agent, Security Agent and Arrangers</w:t>
      </w:r>
      <w:r>
        <w:rPr>
          <w:rFonts w:ascii="Arial" w:cs="Arial" w:eastAsia="Arial" w:hAnsi="Arial"/>
          <w:sz w:val="18"/>
          <w:szCs w:val="18"/>
          <w:color w:val="auto"/>
        </w:rPr>
        <w:t>) as it applies to the Security Agent.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b w:val="1"/>
          <w:bCs w:val="1"/>
          <w:color w:val="auto"/>
        </w:rPr>
        <w:t>Majority Lenders</w:t>
      </w:r>
    </w:p>
    <w:p>
      <w:pPr>
        <w:spacing w:after="0" w:line="220"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8"/>
          <w:szCs w:val="18"/>
          <w:b w:val="1"/>
          <w:bCs w:val="1"/>
          <w:color w:val="auto"/>
        </w:rPr>
        <w:t>majority</w:t>
      </w:r>
      <w:r>
        <w:rPr>
          <w:rFonts w:ascii="Arial" w:cs="Arial" w:eastAsia="Arial" w:hAnsi="Arial"/>
          <w:sz w:val="18"/>
          <w:szCs w:val="18"/>
          <w:color w:val="auto"/>
        </w:rPr>
        <w:t xml:space="preserve"> </w:t>
      </w:r>
      <w:r>
        <w:rPr>
          <w:rFonts w:ascii="Arial" w:cs="Arial" w:eastAsia="Arial" w:hAnsi="Arial"/>
          <w:sz w:val="18"/>
          <w:szCs w:val="18"/>
          <w:b w:val="1"/>
          <w:bCs w:val="1"/>
          <w:color w:val="auto"/>
        </w:rPr>
        <w:t>decision</w:t>
      </w:r>
      <w:r>
        <w:rPr>
          <w:rFonts w:ascii="Arial" w:cs="Arial" w:eastAsia="Arial" w:hAnsi="Arial"/>
          <w:sz w:val="18"/>
          <w:szCs w:val="18"/>
          <w:color w:val="auto"/>
        </w:rPr>
        <w:t>), such majority decision shall (as between the Lenders) only be regarded as having been validly given or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7"/>
          <w:szCs w:val="17"/>
          <w:b w:val="1"/>
          <w:bCs w:val="1"/>
          <w:color w:val="auto"/>
        </w:rPr>
        <w:t>Conflicts</w:t>
      </w:r>
    </w:p>
    <w:p>
      <w:pPr>
        <w:spacing w:after="0" w:line="220" w:lineRule="exact"/>
        <w:rPr>
          <w:sz w:val="20"/>
          <w:szCs w:val="20"/>
          <w:color w:val="auto"/>
        </w:rPr>
      </w:pPr>
    </w:p>
    <w:p>
      <w:pPr>
        <w:jc w:val="both"/>
        <w:ind w:left="1020" w:hanging="512"/>
        <w:spacing w:after="0" w:line="238" w:lineRule="auto"/>
        <w:tabs>
          <w:tab w:leader="none" w:pos="136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Each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Borrowers may have conflicting interests in respect of the Facility or otherwise.</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34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Borrowers also acknowledge that no member of an Arranger Group has any obligation to use or furnish to any Obligor information obtained from other persons for their benefit.</w:t>
      </w:r>
    </w:p>
    <w:p>
      <w:pPr>
        <w:spacing w:after="0" w:line="166" w:lineRule="exact"/>
        <w:rPr>
          <w:rFonts w:ascii="Arial" w:cs="Arial" w:eastAsia="Arial" w:hAnsi="Arial"/>
          <w:sz w:val="18"/>
          <w:szCs w:val="18"/>
          <w:color w:val="auto"/>
        </w:rPr>
      </w:pPr>
    </w:p>
    <w:p>
      <w:pPr>
        <w:ind w:left="1020" w:hanging="512"/>
        <w:spacing w:after="0" w:line="271" w:lineRule="auto"/>
        <w:tabs>
          <w:tab w:leader="none" w:pos="116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34 Sharing among the Finance Parties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 Payments to Finance Parties</w:t>
      </w:r>
    </w:p>
    <w:p>
      <w:pPr>
        <w:spacing w:after="0" w:line="198" w:lineRule="exact"/>
        <w:rPr>
          <w:sz w:val="20"/>
          <w:szCs w:val="20"/>
          <w:color w:val="auto"/>
        </w:rPr>
      </w:pPr>
    </w:p>
    <w:p>
      <w:pPr>
        <w:jc w:val="both"/>
        <w:ind w:left="520" w:right="20"/>
        <w:spacing w:after="0" w:line="253" w:lineRule="auto"/>
        <w:rPr>
          <w:sz w:val="20"/>
          <w:szCs w:val="20"/>
          <w:color w:val="auto"/>
        </w:rPr>
      </w:pPr>
      <w:r>
        <w:rPr>
          <w:rFonts w:ascii="Arial" w:cs="Arial" w:eastAsia="Arial" w:hAnsi="Arial"/>
          <w:sz w:val="18"/>
          <w:szCs w:val="18"/>
          <w:color w:val="auto"/>
        </w:rPr>
        <w:t xml:space="preserve">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xml:space="preserve">)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77" w:lineRule="exact"/>
        <w:rPr>
          <w:sz w:val="20"/>
          <w:szCs w:val="20"/>
          <w:color w:val="auto"/>
        </w:rPr>
      </w:pPr>
    </w:p>
    <w:p>
      <w:pPr>
        <w:ind w:left="1060" w:hanging="552"/>
        <w:spacing w:after="0"/>
        <w:tabs>
          <w:tab w:leader="none" w:pos="10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08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7" w:name="page128"/>
    <w:bookmarkEnd w:id="127"/>
    <w:p>
      <w:pPr>
        <w:ind w:left="1040"/>
        <w:spacing w:after="0" w:line="267" w:lineRule="auto"/>
        <w:rPr>
          <w:sz w:val="20"/>
          <w:szCs w:val="20"/>
          <w:color w:val="auto"/>
        </w:rPr>
      </w:pPr>
      <w:r>
        <w:rPr>
          <w:rFonts w:ascii="Arial" w:cs="Arial" w:eastAsia="Arial" w:hAnsi="Arial"/>
          <w:sz w:val="18"/>
          <w:szCs w:val="18"/>
          <w:color w:val="auto"/>
        </w:rPr>
        <w:t>received or made by the Agent and distributed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165" w:lineRule="exact"/>
        <w:rPr>
          <w:sz w:val="20"/>
          <w:szCs w:val="20"/>
          <w:color w:val="auto"/>
        </w:rPr>
      </w:pPr>
    </w:p>
    <w:p>
      <w:pPr>
        <w:jc w:val="both"/>
        <w:ind w:left="1020" w:hanging="512"/>
        <w:spacing w:after="0"/>
        <w:tabs>
          <w:tab w:leader="none" w:pos="130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Recovering Finance Party as its share of any payment to be made,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7"/>
          <w:szCs w:val="17"/>
          <w:b w:val="1"/>
          <w:bCs w:val="1"/>
          <w:color w:val="auto"/>
        </w:rPr>
        <w:t>Redistribution of payments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7"/>
          <w:szCs w:val="17"/>
          <w:b w:val="1"/>
          <w:bCs w:val="1"/>
          <w:color w:val="auto"/>
        </w:rPr>
        <w:t>Recovering Finance Party’s rights</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On a distribution by the Agent under clause 34.2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7"/>
          <w:szCs w:val="17"/>
          <w:b w:val="1"/>
          <w:bCs w:val="1"/>
          <w:color w:val="auto"/>
        </w:rPr>
        <w:t>Reversal of redistribution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ind w:left="520"/>
        <w:spacing w:after="0"/>
        <w:rPr>
          <w:sz w:val="20"/>
          <w:szCs w:val="20"/>
          <w:color w:val="auto"/>
        </w:rPr>
      </w:pPr>
      <w:r>
        <w:rPr>
          <w:rFonts w:ascii="Arial" w:cs="Arial" w:eastAsia="Arial" w:hAnsi="Arial"/>
          <w:sz w:val="18"/>
          <w:szCs w:val="18"/>
          <w:color w:val="auto"/>
        </w:rPr>
        <w:t>Recovering Finance Party, then:</w:t>
      </w:r>
    </w:p>
    <w:p>
      <w:pPr>
        <w:spacing w:after="0" w:line="198" w:lineRule="exact"/>
        <w:rPr>
          <w:sz w:val="20"/>
          <w:szCs w:val="20"/>
          <w:color w:val="auto"/>
        </w:rPr>
      </w:pPr>
    </w:p>
    <w:p>
      <w:pPr>
        <w:jc w:val="both"/>
        <w:ind w:left="1020" w:hanging="512"/>
        <w:spacing w:after="0" w:line="238" w:lineRule="auto"/>
        <w:tabs>
          <w:tab w:leader="none" w:pos="107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91" w:lineRule="exact"/>
        <w:rPr>
          <w:rFonts w:ascii="Arial" w:cs="Arial" w:eastAsia="Arial" w:hAnsi="Arial"/>
          <w:sz w:val="18"/>
          <w:szCs w:val="18"/>
          <w:color w:val="auto"/>
        </w:rPr>
      </w:pPr>
    </w:p>
    <w:p>
      <w:pPr>
        <w:ind w:left="1020" w:hanging="512"/>
        <w:spacing w:after="0" w:line="246" w:lineRule="auto"/>
        <w:tabs>
          <w:tab w:leader="none" w:pos="138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7"/>
          <w:szCs w:val="17"/>
          <w:b w:val="1"/>
          <w:bCs w:val="1"/>
          <w:color w:val="auto"/>
        </w:rPr>
        <w:t>Exceptions</w:t>
      </w:r>
    </w:p>
    <w:p>
      <w:pPr>
        <w:spacing w:after="0" w:line="220" w:lineRule="exact"/>
        <w:rPr>
          <w:sz w:val="20"/>
          <w:szCs w:val="20"/>
          <w:color w:val="auto"/>
        </w:rPr>
      </w:pPr>
    </w:p>
    <w:p>
      <w:pPr>
        <w:ind w:left="1020" w:hanging="512"/>
        <w:spacing w:after="0" w:line="246" w:lineRule="auto"/>
        <w:tabs>
          <w:tab w:leader="none" w:pos="108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This clause 34 shall not apply to the extent that the Recovering Finance Party would not, after making any payment pursuant to this clause, have a valid and enforceable claim against the relevant Obligor.</w:t>
      </w:r>
    </w:p>
    <w:p>
      <w:pPr>
        <w:spacing w:after="0" w:line="183" w:lineRule="exact"/>
        <w:rPr>
          <w:rFonts w:ascii="Arial" w:cs="Arial" w:eastAsia="Arial" w:hAnsi="Arial"/>
          <w:sz w:val="18"/>
          <w:szCs w:val="18"/>
          <w:color w:val="auto"/>
        </w:rPr>
      </w:pPr>
    </w:p>
    <w:p>
      <w:pPr>
        <w:jc w:val="both"/>
        <w:ind w:left="1020" w:hanging="512"/>
        <w:spacing w:after="0"/>
        <w:tabs>
          <w:tab w:leader="none" w:pos="123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198" w:lineRule="exact"/>
        <w:rPr>
          <w:rFonts w:ascii="Arial" w:cs="Arial" w:eastAsia="Arial" w:hAnsi="Arial"/>
          <w:sz w:val="18"/>
          <w:szCs w:val="18"/>
          <w:color w:val="auto"/>
        </w:rPr>
      </w:pPr>
    </w:p>
    <w:p>
      <w:pPr>
        <w:ind w:left="1540" w:hanging="511"/>
        <w:spacing w:after="0" w:line="246" w:lineRule="auto"/>
        <w:tabs>
          <w:tab w:leader="none" w:pos="172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28" w:name="page129"/>
    <w:bookmarkEnd w:id="128"/>
    <w:p>
      <w:pPr>
        <w:ind w:left="160"/>
        <w:spacing w:after="0"/>
        <w:rPr>
          <w:sz w:val="20"/>
          <w:szCs w:val="20"/>
          <w:color w:val="auto"/>
        </w:rPr>
      </w:pPr>
      <w:r>
        <w:rPr>
          <w:rFonts w:ascii="Arial" w:cs="Arial" w:eastAsia="Arial" w:hAnsi="Arial"/>
          <w:sz w:val="22"/>
          <w:szCs w:val="22"/>
          <w:b w:val="1"/>
          <w:bCs w:val="1"/>
          <w:color w:val="auto"/>
        </w:rPr>
        <w:t>35 Payment mechanics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7"/>
          <w:szCs w:val="17"/>
          <w:b w:val="1"/>
          <w:bCs w:val="1"/>
          <w:color w:val="auto"/>
        </w:rPr>
        <w:t>Payments to the Agent</w:t>
      </w:r>
    </w:p>
    <w:p>
      <w:pPr>
        <w:spacing w:after="0" w:line="220" w:lineRule="exact"/>
        <w:rPr>
          <w:sz w:val="20"/>
          <w:szCs w:val="20"/>
          <w:color w:val="auto"/>
        </w:rPr>
      </w:pPr>
    </w:p>
    <w:p>
      <w:pPr>
        <w:jc w:val="both"/>
        <w:ind w:left="1020" w:hanging="512"/>
        <w:spacing w:after="0" w:line="238" w:lineRule="auto"/>
        <w:tabs>
          <w:tab w:leader="none" w:pos="132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91" w:lineRule="exact"/>
        <w:rPr>
          <w:rFonts w:ascii="Arial" w:cs="Arial" w:eastAsia="Arial" w:hAnsi="Arial"/>
          <w:sz w:val="18"/>
          <w:szCs w:val="18"/>
          <w:color w:val="auto"/>
        </w:rPr>
      </w:pPr>
    </w:p>
    <w:p>
      <w:pPr>
        <w:jc w:val="both"/>
        <w:ind w:left="1020" w:hanging="512"/>
        <w:spacing w:after="0"/>
        <w:tabs>
          <w:tab w:leader="none" w:pos="108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a Participating Member State or London, as specified by the Agent) and with such bank as the Agent specifies.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7"/>
          <w:szCs w:val="17"/>
          <w:b w:val="1"/>
          <w:bCs w:val="1"/>
          <w:color w:val="auto"/>
        </w:rPr>
        <w:t>Distributions by the Agent</w:t>
      </w:r>
    </w:p>
    <w:p>
      <w:pPr>
        <w:spacing w:after="0" w:line="202"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35.3 (</w:t>
      </w:r>
      <w:r>
        <w:rPr>
          <w:rFonts w:ascii="Arial" w:cs="Arial" w:eastAsia="Arial" w:hAnsi="Arial"/>
          <w:sz w:val="18"/>
          <w:szCs w:val="18"/>
          <w:i w:val="1"/>
          <w:iCs w:val="1"/>
          <w:color w:val="auto"/>
        </w:rPr>
        <w:t>Distributions to an</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and clause 35.4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7"/>
          <w:szCs w:val="17"/>
          <w:b w:val="1"/>
          <w:bCs w:val="1"/>
          <w:color w:val="auto"/>
        </w:rPr>
        <w:t>Distributions to an Obligor</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The Agent may (with the consent of the Obligor or in accordance with clause 36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7"/>
          <w:szCs w:val="17"/>
          <w:b w:val="1"/>
          <w:bCs w:val="1"/>
          <w:color w:val="auto"/>
        </w:rPr>
        <w:t>Clawback and pre-funding</w:t>
      </w:r>
    </w:p>
    <w:p>
      <w:pPr>
        <w:spacing w:after="0" w:line="220" w:lineRule="exact"/>
        <w:rPr>
          <w:sz w:val="20"/>
          <w:szCs w:val="20"/>
          <w:color w:val="auto"/>
        </w:rPr>
      </w:pPr>
    </w:p>
    <w:p>
      <w:pPr>
        <w:jc w:val="both"/>
        <w:ind w:left="1020" w:hanging="512"/>
        <w:spacing w:after="0"/>
        <w:tabs>
          <w:tab w:leader="none" w:pos="121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Unless clause 35.4(c)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91" w:lineRule="exact"/>
        <w:rPr>
          <w:rFonts w:ascii="Arial" w:cs="Arial" w:eastAsia="Arial" w:hAnsi="Arial"/>
          <w:sz w:val="18"/>
          <w:szCs w:val="18"/>
          <w:color w:val="auto"/>
        </w:rPr>
      </w:pPr>
    </w:p>
    <w:p>
      <w:pPr>
        <w:jc w:val="both"/>
        <w:ind w:left="1020" w:hanging="512"/>
        <w:spacing w:after="0"/>
        <w:tabs>
          <w:tab w:leader="none" w:pos="122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a Borrower before receiving funds from the Lenders, and such Lenders and the Borrowers agree, then if and to the extent that the Agent does so but it proves to be the case that it does not then receive funds from a Lender in respect of a sum which it paid to a Borrower:</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198" w:lineRule="exact"/>
        <w:rPr>
          <w:rFonts w:ascii="Arial" w:cs="Arial" w:eastAsia="Arial" w:hAnsi="Arial"/>
          <w:sz w:val="18"/>
          <w:szCs w:val="18"/>
          <w:color w:val="auto"/>
        </w:rPr>
      </w:pPr>
    </w:p>
    <w:p>
      <w:pPr>
        <w:jc w:val="both"/>
        <w:ind w:left="1540" w:hanging="511"/>
        <w:spacing w:after="0"/>
        <w:tabs>
          <w:tab w:leader="none" w:pos="1675"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Borrowers, shall on demand pay to the Agent the amount (as certified by the Agent) which will indemnify the Agent against any funding cost incurred by it as a result of paying out that sum before receiving those funds from that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29" w:name="page130"/>
    <w:bookmarkEnd w:id="129"/>
    <w:p>
      <w:pPr>
        <w:spacing w:after="0"/>
        <w:tabs>
          <w:tab w:leader="none" w:pos="50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7"/>
          <w:szCs w:val="17"/>
          <w:b w:val="1"/>
          <w:bCs w:val="1"/>
          <w:color w:val="auto"/>
        </w:rPr>
        <w:t>Partial payments</w:t>
      </w:r>
    </w:p>
    <w:p>
      <w:pPr>
        <w:spacing w:after="0" w:line="220" w:lineRule="exact"/>
        <w:rPr>
          <w:sz w:val="20"/>
          <w:szCs w:val="20"/>
          <w:color w:val="auto"/>
        </w:rPr>
      </w:pPr>
    </w:p>
    <w:p>
      <w:pPr>
        <w:jc w:val="both"/>
        <w:ind w:left="1020" w:hanging="512"/>
        <w:spacing w:after="0"/>
        <w:tabs>
          <w:tab w:leader="none" w:pos="13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167" w:lineRule="exact"/>
        <w:rPr>
          <w:rFonts w:ascii="Arial" w:cs="Arial" w:eastAsia="Arial" w:hAnsi="Arial"/>
          <w:sz w:val="18"/>
          <w:szCs w:val="18"/>
          <w:color w:val="auto"/>
        </w:rPr>
      </w:pPr>
    </w:p>
    <w:p>
      <w:pPr>
        <w:ind w:left="1540" w:hanging="511"/>
        <w:spacing w:after="0" w:line="271" w:lineRule="auto"/>
        <w:tabs>
          <w:tab w:leader="none" w:pos="1581" w:val="left"/>
        </w:tabs>
        <w:numPr>
          <w:ilvl w:val="1"/>
          <w:numId w:val="356"/>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Finance Documents;</w:t>
      </w:r>
    </w:p>
    <w:p>
      <w:pPr>
        <w:spacing w:after="0" w:line="140" w:lineRule="exact"/>
        <w:rPr>
          <w:rFonts w:ascii="Arial" w:cs="Arial" w:eastAsia="Arial" w:hAnsi="Arial"/>
          <w:sz w:val="18"/>
          <w:szCs w:val="18"/>
          <w:color w:val="auto"/>
        </w:rPr>
      </w:pPr>
    </w:p>
    <w:p>
      <w:pPr>
        <w:jc w:val="both"/>
        <w:ind w:left="1540" w:hanging="511"/>
        <w:spacing w:after="0" w:line="253" w:lineRule="auto"/>
        <w:tabs>
          <w:tab w:leader="none" w:pos="1918" w:val="left"/>
        </w:tabs>
        <w:numPr>
          <w:ilvl w:val="1"/>
          <w:numId w:val="356"/>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32.11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including any amount resulting from the indemnity to the Security Agent under clause 32.21(a)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1540" w:hanging="511"/>
        <w:spacing w:after="0" w:line="271" w:lineRule="auto"/>
        <w:tabs>
          <w:tab w:leader="none" w:pos="1593" w:val="left"/>
        </w:tabs>
        <w:numPr>
          <w:ilvl w:val="1"/>
          <w:numId w:val="356"/>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to the Lenders pro rata of any accrued interest or fee due but unpaid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40" w:lineRule="exact"/>
        <w:rPr>
          <w:rFonts w:ascii="Arial" w:cs="Arial" w:eastAsia="Arial" w:hAnsi="Arial"/>
          <w:sz w:val="18"/>
          <w:szCs w:val="18"/>
          <w:color w:val="auto"/>
        </w:rPr>
      </w:pPr>
    </w:p>
    <w:p>
      <w:pPr>
        <w:ind w:left="1540" w:right="20" w:hanging="511"/>
        <w:spacing w:after="0" w:line="271" w:lineRule="auto"/>
        <w:tabs>
          <w:tab w:leader="none" w:pos="1833" w:val="left"/>
        </w:tabs>
        <w:numPr>
          <w:ilvl w:val="1"/>
          <w:numId w:val="356"/>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to the Lenders pro rata of any principal due but unpaid to the Lenders under those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and</w:t>
      </w:r>
    </w:p>
    <w:p>
      <w:pPr>
        <w:spacing w:after="0" w:line="140" w:lineRule="exact"/>
        <w:rPr>
          <w:rFonts w:ascii="Arial" w:cs="Arial" w:eastAsia="Arial" w:hAnsi="Arial"/>
          <w:sz w:val="18"/>
          <w:szCs w:val="18"/>
          <w:color w:val="auto"/>
        </w:rPr>
      </w:pPr>
    </w:p>
    <w:p>
      <w:pPr>
        <w:ind w:left="1540" w:hanging="511"/>
        <w:spacing w:after="0" w:line="271" w:lineRule="auto"/>
        <w:tabs>
          <w:tab w:leader="none" w:pos="1928" w:val="left"/>
        </w:tabs>
        <w:numPr>
          <w:ilvl w:val="1"/>
          <w:numId w:val="356"/>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 pro rata of any other sum due but unpaid to the Finance Parties under the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2" w:lineRule="exact"/>
        <w:rPr>
          <w:rFonts w:ascii="Arial" w:cs="Arial" w:eastAsia="Arial" w:hAnsi="Arial"/>
          <w:sz w:val="18"/>
          <w:szCs w:val="18"/>
          <w:color w:val="auto"/>
        </w:rPr>
      </w:pPr>
    </w:p>
    <w:p>
      <w:pPr>
        <w:ind w:left="1040" w:hanging="532"/>
        <w:spacing w:after="0"/>
        <w:tabs>
          <w:tab w:leader="none" w:pos="10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vary the order set out in paragraphs (iii) to (v) of clause 35.5(a).</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Clauses 35.5(a) and 35.5(b) above will override any appropriation made by an Obligor.</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35.6</w:t>
      </w:r>
      <w:r>
        <w:rPr>
          <w:sz w:val="20"/>
          <w:szCs w:val="20"/>
          <w:color w:val="auto"/>
        </w:rPr>
        <w:tab/>
      </w:r>
      <w:r>
        <w:rPr>
          <w:rFonts w:ascii="Arial" w:cs="Arial" w:eastAsia="Arial" w:hAnsi="Arial"/>
          <w:sz w:val="17"/>
          <w:szCs w:val="17"/>
          <w:b w:val="1"/>
          <w:bCs w:val="1"/>
          <w:color w:val="auto"/>
        </w:rPr>
        <w:t>No set-off by Obligors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35.7</w:t>
      </w:r>
      <w:r>
        <w:rPr>
          <w:sz w:val="20"/>
          <w:szCs w:val="20"/>
          <w:color w:val="auto"/>
        </w:rPr>
        <w:tab/>
      </w:r>
      <w:r>
        <w:rPr>
          <w:rFonts w:ascii="Arial" w:cs="Arial" w:eastAsia="Arial" w:hAnsi="Arial"/>
          <w:sz w:val="17"/>
          <w:szCs w:val="17"/>
          <w:b w:val="1"/>
          <w:bCs w:val="1"/>
          <w:color w:val="auto"/>
        </w:rPr>
        <w:t>Business Days</w:t>
      </w:r>
    </w:p>
    <w:p>
      <w:pPr>
        <w:spacing w:after="0" w:line="220" w:lineRule="exact"/>
        <w:rPr>
          <w:sz w:val="20"/>
          <w:szCs w:val="20"/>
          <w:color w:val="auto"/>
        </w:rPr>
      </w:pPr>
    </w:p>
    <w:p>
      <w:pPr>
        <w:ind w:left="1020" w:hanging="512"/>
        <w:spacing w:after="0" w:line="246" w:lineRule="auto"/>
        <w:tabs>
          <w:tab w:leader="none" w:pos="105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83" w:lineRule="exact"/>
        <w:rPr>
          <w:rFonts w:ascii="Arial" w:cs="Arial" w:eastAsia="Arial" w:hAnsi="Arial"/>
          <w:sz w:val="18"/>
          <w:szCs w:val="18"/>
          <w:color w:val="auto"/>
        </w:rPr>
      </w:pPr>
    </w:p>
    <w:p>
      <w:pPr>
        <w:ind w:left="1020" w:hanging="512"/>
        <w:spacing w:after="0" w:line="246" w:lineRule="auto"/>
        <w:tabs>
          <w:tab w:leader="none" w:pos="113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35.8</w:t>
      </w:r>
      <w:r>
        <w:rPr>
          <w:sz w:val="20"/>
          <w:szCs w:val="20"/>
          <w:color w:val="auto"/>
        </w:rPr>
        <w:tab/>
      </w:r>
      <w:r>
        <w:rPr>
          <w:rFonts w:ascii="Arial" w:cs="Arial" w:eastAsia="Arial" w:hAnsi="Arial"/>
          <w:sz w:val="17"/>
          <w:szCs w:val="17"/>
          <w:b w:val="1"/>
          <w:bCs w:val="1"/>
          <w:color w:val="auto"/>
        </w:rPr>
        <w:t>Payments on demand</w:t>
      </w:r>
    </w:p>
    <w:p>
      <w:pPr>
        <w:spacing w:after="0" w:line="202" w:lineRule="exact"/>
        <w:rPr>
          <w:sz w:val="20"/>
          <w:szCs w:val="20"/>
          <w:color w:val="auto"/>
        </w:rPr>
      </w:pPr>
    </w:p>
    <w:p>
      <w:pPr>
        <w:ind w:left="520"/>
        <w:spacing w:after="0" w:line="267" w:lineRule="auto"/>
        <w:rPr>
          <w:sz w:val="20"/>
          <w:szCs w:val="20"/>
          <w:color w:val="auto"/>
        </w:rPr>
      </w:pPr>
      <w:r>
        <w:rPr>
          <w:rFonts w:ascii="Arial" w:cs="Arial" w:eastAsia="Arial" w:hAnsi="Arial"/>
          <w:sz w:val="18"/>
          <w:szCs w:val="18"/>
          <w:color w:val="auto"/>
        </w:rPr>
        <w:t>For the purposes of clause 29.1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35.9</w:t>
      </w:r>
      <w:r>
        <w:rPr>
          <w:sz w:val="20"/>
          <w:szCs w:val="20"/>
          <w:color w:val="auto"/>
        </w:rPr>
        <w:tab/>
      </w:r>
      <w:r>
        <w:rPr>
          <w:rFonts w:ascii="Arial" w:cs="Arial" w:eastAsia="Arial" w:hAnsi="Arial"/>
          <w:sz w:val="17"/>
          <w:szCs w:val="17"/>
          <w:b w:val="1"/>
          <w:bCs w:val="1"/>
          <w:color w:val="auto"/>
        </w:rPr>
        <w:t>Currency of account</w:t>
      </w:r>
    </w:p>
    <w:p>
      <w:pPr>
        <w:spacing w:after="0" w:line="220" w:lineRule="exact"/>
        <w:rPr>
          <w:sz w:val="20"/>
          <w:szCs w:val="20"/>
          <w:color w:val="auto"/>
        </w:rPr>
      </w:pPr>
    </w:p>
    <w:p>
      <w:pPr>
        <w:ind w:left="1020" w:right="20" w:hanging="512"/>
        <w:spacing w:after="0" w:line="246" w:lineRule="auto"/>
        <w:tabs>
          <w:tab w:leader="none" w:pos="121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Subject to clauses 35.9(b) to 35.9(c), dollars is the currency of account and payment for any sum due from an Obligor under any Finance Document.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198" w:lineRule="exact"/>
        <w:rPr>
          <w:rFonts w:ascii="Arial" w:cs="Arial" w:eastAsia="Arial" w:hAnsi="Arial"/>
          <w:sz w:val="18"/>
          <w:szCs w:val="18"/>
          <w:color w:val="auto"/>
        </w:rPr>
      </w:pPr>
    </w:p>
    <w:p>
      <w:pPr>
        <w:ind w:left="1020" w:hanging="512"/>
        <w:spacing w:after="0" w:line="246" w:lineRule="auto"/>
        <w:tabs>
          <w:tab w:leader="none" w:pos="120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0" w:name="page131"/>
    <w:bookmarkEnd w:id="130"/>
    <w:p>
      <w:pPr>
        <w:ind w:left="1040"/>
        <w:spacing w:after="0" w:line="246" w:lineRule="auto"/>
        <w:rPr>
          <w:sz w:val="20"/>
          <w:szCs w:val="20"/>
          <w:color w:val="auto"/>
        </w:rPr>
      </w:pPr>
      <w:r>
        <w:rPr>
          <w:rFonts w:ascii="Arial" w:cs="Arial" w:eastAsia="Arial" w:hAnsi="Arial"/>
          <w:sz w:val="18"/>
          <w:szCs w:val="18"/>
          <w:color w:val="auto"/>
        </w:rPr>
        <w:t>amount payable under the Finance Documents shall be the equivalent in dollars of the relevant amount in such other currency on the date on which it was incurred.</w:t>
      </w:r>
    </w:p>
    <w:p>
      <w:pPr>
        <w:spacing w:after="0" w:line="183" w:lineRule="exact"/>
        <w:rPr>
          <w:sz w:val="20"/>
          <w:szCs w:val="20"/>
          <w:color w:val="auto"/>
        </w:rPr>
      </w:pPr>
    </w:p>
    <w:p>
      <w:pPr>
        <w:jc w:val="both"/>
        <w:ind w:left="1020" w:hanging="512"/>
        <w:spacing w:after="0" w:line="238" w:lineRule="auto"/>
        <w:tabs>
          <w:tab w:leader="none" w:pos="108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35.10 Change of currency</w:t>
      </w:r>
    </w:p>
    <w:p>
      <w:pPr>
        <w:spacing w:after="0" w:line="220" w:lineRule="exact"/>
        <w:rPr>
          <w:sz w:val="20"/>
          <w:szCs w:val="20"/>
          <w:color w:val="auto"/>
        </w:rPr>
      </w:pPr>
    </w:p>
    <w:p>
      <w:pPr>
        <w:ind w:left="1020" w:hanging="512"/>
        <w:spacing w:after="0" w:line="246" w:lineRule="auto"/>
        <w:tabs>
          <w:tab w:leader="none" w:pos="116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83" w:lineRule="exact"/>
        <w:rPr>
          <w:rFonts w:ascii="Arial" w:cs="Arial" w:eastAsia="Arial" w:hAnsi="Arial"/>
          <w:sz w:val="18"/>
          <w:szCs w:val="18"/>
          <w:color w:val="auto"/>
        </w:rPr>
      </w:pPr>
    </w:p>
    <w:p>
      <w:pPr>
        <w:jc w:val="both"/>
        <w:ind w:left="1540" w:hanging="511"/>
        <w:spacing w:after="0"/>
        <w:tabs>
          <w:tab w:leader="none" w:pos="1594"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189" w:lineRule="exact"/>
        <w:rPr>
          <w:rFonts w:ascii="Arial" w:cs="Arial" w:eastAsia="Arial" w:hAnsi="Arial"/>
          <w:sz w:val="18"/>
          <w:szCs w:val="18"/>
          <w:color w:val="auto"/>
        </w:rPr>
      </w:pPr>
    </w:p>
    <w:p>
      <w:pPr>
        <w:jc w:val="both"/>
        <w:ind w:left="1540" w:hanging="511"/>
        <w:spacing w:after="0"/>
        <w:tabs>
          <w:tab w:leader="none" w:pos="170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89" w:lineRule="exact"/>
        <w:rPr>
          <w:rFonts w:ascii="Arial" w:cs="Arial" w:eastAsia="Arial" w:hAnsi="Arial"/>
          <w:sz w:val="18"/>
          <w:szCs w:val="18"/>
          <w:color w:val="auto"/>
        </w:rPr>
      </w:pPr>
    </w:p>
    <w:p>
      <w:pPr>
        <w:jc w:val="both"/>
        <w:ind w:left="1020" w:hanging="512"/>
        <w:spacing w:after="0"/>
        <w:tabs>
          <w:tab w:leader="none" w:pos="136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Interbank Market and otherwise to reflect the change in currency.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35.11 Disruption to Payment Systems etc.</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If either the Agent determines (in its discretion) that a Payment Disruption Event has occurred or the Agent is notified by the Borrowers that a Payment Disruption Event has occurred:</w:t>
      </w:r>
    </w:p>
    <w:p>
      <w:pPr>
        <w:spacing w:after="0" w:line="183" w:lineRule="exact"/>
        <w:rPr>
          <w:sz w:val="20"/>
          <w:szCs w:val="20"/>
          <w:color w:val="auto"/>
        </w:rPr>
      </w:pPr>
    </w:p>
    <w:p>
      <w:pPr>
        <w:jc w:val="both"/>
        <w:ind w:left="1020" w:hanging="512"/>
        <w:spacing w:after="0"/>
        <w:tabs>
          <w:tab w:leader="none" w:pos="121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Borrowers, consult with the Borrowers with a view to agreeing with the Borrowers such changes to the operation or administration of the Facility as the Agent may deem necessary in the circumstances;</w:t>
      </w:r>
    </w:p>
    <w:p>
      <w:pPr>
        <w:spacing w:after="0" w:line="189" w:lineRule="exact"/>
        <w:rPr>
          <w:rFonts w:ascii="Arial" w:cs="Arial" w:eastAsia="Arial" w:hAnsi="Arial"/>
          <w:sz w:val="18"/>
          <w:szCs w:val="18"/>
          <w:color w:val="auto"/>
        </w:rPr>
      </w:pPr>
    </w:p>
    <w:p>
      <w:pPr>
        <w:jc w:val="both"/>
        <w:ind w:left="1020" w:hanging="512"/>
        <w:spacing w:after="0"/>
        <w:tabs>
          <w:tab w:leader="none" w:pos="113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89" w:lineRule="exact"/>
        <w:rPr>
          <w:rFonts w:ascii="Arial" w:cs="Arial" w:eastAsia="Arial" w:hAnsi="Arial"/>
          <w:sz w:val="18"/>
          <w:szCs w:val="18"/>
          <w:color w:val="auto"/>
        </w:rPr>
      </w:pPr>
    </w:p>
    <w:p>
      <w:pPr>
        <w:ind w:left="1020" w:hanging="512"/>
        <w:spacing w:after="0" w:line="246" w:lineRule="auto"/>
        <w:tabs>
          <w:tab w:leader="none" w:pos="119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83" w:lineRule="exact"/>
        <w:rPr>
          <w:rFonts w:ascii="Arial" w:cs="Arial" w:eastAsia="Arial" w:hAnsi="Arial"/>
          <w:sz w:val="18"/>
          <w:szCs w:val="18"/>
          <w:color w:val="auto"/>
        </w:rPr>
      </w:pPr>
    </w:p>
    <w:p>
      <w:pPr>
        <w:jc w:val="both"/>
        <w:ind w:left="1020" w:hanging="512"/>
        <w:spacing w:after="0"/>
        <w:tabs>
          <w:tab w:leader="none" w:pos="123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Payment Disruption Event has occurred) be binding upon the Parties as an amendment to (or, as the case may be, waiver of) the terms of the Finance Documents notwithstanding the provisions of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9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35.11;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1" w:name="page132"/>
    <w:bookmarkEnd w:id="131"/>
    <w:p>
      <w:pPr>
        <w:ind w:left="1020" w:hanging="512"/>
        <w:spacing w:after="0"/>
        <w:tabs>
          <w:tab w:leader="none" w:pos="10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35.12 Impaired Agent</w:t>
      </w:r>
    </w:p>
    <w:p>
      <w:pPr>
        <w:spacing w:after="0" w:line="220" w:lineRule="exact"/>
        <w:rPr>
          <w:sz w:val="20"/>
          <w:szCs w:val="20"/>
          <w:color w:val="auto"/>
        </w:rPr>
      </w:pPr>
    </w:p>
    <w:p>
      <w:pPr>
        <w:jc w:val="both"/>
        <w:ind w:left="1020" w:hanging="512"/>
        <w:spacing w:after="0" w:line="237" w:lineRule="auto"/>
        <w:tabs>
          <w:tab w:leader="none" w:pos="116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8"/>
          <w:szCs w:val="18"/>
          <w:b w:val="1"/>
          <w:bCs w:val="1"/>
          <w:color w:val="auto"/>
        </w:rPr>
        <w:t>Acceptable Bank</w:t>
      </w:r>
      <w:r>
        <w:rPr>
          <w:rFonts w:ascii="Arial" w:cs="Arial" w:eastAsia="Arial" w:hAnsi="Arial"/>
          <w:sz w:val="18"/>
          <w:szCs w:val="18"/>
          <w:color w:val="auto"/>
        </w:rPr>
        <w:t xml:space="preserve">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189" w:lineRule="exact"/>
        <w:rPr>
          <w:rFonts w:ascii="Arial" w:cs="Arial" w:eastAsia="Arial" w:hAnsi="Arial"/>
          <w:sz w:val="18"/>
          <w:szCs w:val="18"/>
          <w:color w:val="auto"/>
        </w:rPr>
      </w:pPr>
    </w:p>
    <w:p>
      <w:pPr>
        <w:ind w:left="1020" w:hanging="512"/>
        <w:spacing w:after="0" w:line="246" w:lineRule="auto"/>
        <w:tabs>
          <w:tab w:leader="none" w:pos="113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65" w:lineRule="exact"/>
        <w:rPr>
          <w:rFonts w:ascii="Arial" w:cs="Arial" w:eastAsia="Arial" w:hAnsi="Arial"/>
          <w:sz w:val="18"/>
          <w:szCs w:val="18"/>
          <w:color w:val="auto"/>
        </w:rPr>
      </w:pPr>
    </w:p>
    <w:p>
      <w:pPr>
        <w:jc w:val="both"/>
        <w:ind w:left="1020" w:hanging="512"/>
        <w:spacing w:after="0" w:line="250" w:lineRule="auto"/>
        <w:tabs>
          <w:tab w:leader="none" w:pos="107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be discharged of the relevant payment obligation under the Finance Documents and shall not take any credit risk with respect to the amounts standing to the credit of the trust account.</w:t>
      </w:r>
    </w:p>
    <w:p>
      <w:pPr>
        <w:spacing w:after="0" w:line="163" w:lineRule="exact"/>
        <w:rPr>
          <w:rFonts w:ascii="Arial" w:cs="Arial" w:eastAsia="Arial" w:hAnsi="Arial"/>
          <w:sz w:val="18"/>
          <w:szCs w:val="18"/>
          <w:color w:val="auto"/>
        </w:rPr>
      </w:pPr>
    </w:p>
    <w:p>
      <w:pPr>
        <w:jc w:val="both"/>
        <w:ind w:left="1020" w:hanging="512"/>
        <w:spacing w:after="0" w:line="245" w:lineRule="auto"/>
        <w:tabs>
          <w:tab w:leader="none" w:pos="111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35.2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35.13 Contractual recognition of bail-in</w:t>
      </w:r>
    </w:p>
    <w:p>
      <w:pPr>
        <w:spacing w:after="0" w:line="220" w:lineRule="exact"/>
        <w:rPr>
          <w:sz w:val="20"/>
          <w:szCs w:val="20"/>
          <w:color w:val="auto"/>
        </w:rPr>
      </w:pPr>
    </w:p>
    <w:p>
      <w:pPr>
        <w:jc w:val="both"/>
        <w:ind w:left="1020" w:hanging="512"/>
        <w:spacing w:after="0" w:line="238" w:lineRule="auto"/>
        <w:tabs>
          <w:tab w:leader="none" w:pos="111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91" w:lineRule="exact"/>
        <w:rPr>
          <w:rFonts w:ascii="Arial" w:cs="Arial" w:eastAsia="Arial" w:hAnsi="Arial"/>
          <w:sz w:val="18"/>
          <w:szCs w:val="18"/>
          <w:color w:val="auto"/>
        </w:rPr>
      </w:pPr>
    </w:p>
    <w:p>
      <w:pPr>
        <w:ind w:left="1560" w:hanging="531"/>
        <w:spacing w:after="0"/>
        <w:tabs>
          <w:tab w:leader="none" w:pos="156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98" w:lineRule="exact"/>
        <w:rPr>
          <w:rFonts w:ascii="Arial" w:cs="Arial" w:eastAsia="Arial" w:hAnsi="Arial"/>
          <w:sz w:val="18"/>
          <w:szCs w:val="18"/>
          <w:color w:val="auto"/>
        </w:rPr>
      </w:pPr>
    </w:p>
    <w:p>
      <w:pPr>
        <w:ind w:left="2040" w:hanging="501"/>
        <w:spacing w:after="0" w:line="246" w:lineRule="auto"/>
        <w:tabs>
          <w:tab w:leader="none" w:pos="2107" w:val="left"/>
        </w:tabs>
        <w:numPr>
          <w:ilvl w:val="2"/>
          <w:numId w:val="364"/>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83" w:lineRule="exact"/>
        <w:rPr>
          <w:rFonts w:ascii="Arial" w:cs="Arial" w:eastAsia="Arial" w:hAnsi="Arial"/>
          <w:sz w:val="18"/>
          <w:szCs w:val="18"/>
          <w:color w:val="auto"/>
        </w:rPr>
      </w:pPr>
    </w:p>
    <w:p>
      <w:pPr>
        <w:ind w:left="2040" w:hanging="501"/>
        <w:spacing w:after="0" w:line="246" w:lineRule="auto"/>
        <w:tabs>
          <w:tab w:leader="none" w:pos="2067" w:val="left"/>
        </w:tabs>
        <w:numPr>
          <w:ilvl w:val="2"/>
          <w:numId w:val="364"/>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83" w:lineRule="exact"/>
        <w:rPr>
          <w:rFonts w:ascii="Arial" w:cs="Arial" w:eastAsia="Arial" w:hAnsi="Arial"/>
          <w:sz w:val="18"/>
          <w:szCs w:val="18"/>
          <w:color w:val="auto"/>
        </w:rPr>
      </w:pPr>
    </w:p>
    <w:p>
      <w:pPr>
        <w:ind w:left="2080" w:hanging="541"/>
        <w:spacing w:after="0"/>
        <w:tabs>
          <w:tab w:leader="none" w:pos="208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98" w:lineRule="exact"/>
        <w:rPr>
          <w:rFonts w:ascii="Arial" w:cs="Arial" w:eastAsia="Arial" w:hAnsi="Arial"/>
          <w:sz w:val="18"/>
          <w:szCs w:val="18"/>
          <w:color w:val="auto"/>
        </w:rPr>
      </w:pPr>
    </w:p>
    <w:p>
      <w:pPr>
        <w:ind w:left="1540" w:hanging="511"/>
        <w:spacing w:after="0" w:line="246" w:lineRule="auto"/>
        <w:tabs>
          <w:tab w:leader="none" w:pos="1621"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2" w:name="page133"/>
    <w:bookmarkEnd w:id="132"/>
    <w:p>
      <w:pPr>
        <w:jc w:val="both"/>
        <w:ind w:left="1540" w:hanging="511"/>
        <w:spacing w:after="0"/>
        <w:tabs>
          <w:tab w:leader="none" w:pos="169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89" w:lineRule="exact"/>
        <w:rPr>
          <w:rFonts w:ascii="Arial" w:cs="Arial" w:eastAsia="Arial" w:hAnsi="Arial"/>
          <w:sz w:val="18"/>
          <w:szCs w:val="18"/>
          <w:color w:val="auto"/>
        </w:rPr>
      </w:pPr>
    </w:p>
    <w:p>
      <w:pPr>
        <w:ind w:left="1540" w:right="20" w:hanging="511"/>
        <w:spacing w:after="0" w:line="246" w:lineRule="auto"/>
        <w:tabs>
          <w:tab w:leader="none" w:pos="162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198" w:lineRule="exact"/>
        <w:rPr>
          <w:sz w:val="20"/>
          <w:szCs w:val="20"/>
          <w:color w:val="auto"/>
        </w:rPr>
      </w:pPr>
    </w:p>
    <w:p>
      <w:pPr>
        <w:ind w:left="1020" w:right="20"/>
        <w:spacing w:after="0" w:line="271"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person) from time to time.</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 Conversion Powers means:</w:t>
      </w:r>
    </w:p>
    <w:p>
      <w:pPr>
        <w:spacing w:after="0" w:line="220" w:lineRule="exact"/>
        <w:rPr>
          <w:sz w:val="20"/>
          <w:szCs w:val="20"/>
          <w:color w:val="auto"/>
        </w:rPr>
      </w:pPr>
    </w:p>
    <w:p>
      <w:pPr>
        <w:ind w:left="1540" w:hanging="511"/>
        <w:spacing w:after="0" w:line="246" w:lineRule="auto"/>
        <w:tabs>
          <w:tab w:leader="none" w:pos="191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98" w:lineRule="exact"/>
        <w:rPr>
          <w:rFonts w:ascii="Arial" w:cs="Arial" w:eastAsia="Arial" w:hAnsi="Arial"/>
          <w:sz w:val="18"/>
          <w:szCs w:val="18"/>
          <w:color w:val="auto"/>
        </w:rPr>
      </w:pPr>
    </w:p>
    <w:p>
      <w:pPr>
        <w:jc w:val="both"/>
        <w:ind w:left="2040" w:hanging="501"/>
        <w:spacing w:after="0" w:line="237" w:lineRule="auto"/>
        <w:tabs>
          <w:tab w:leader="none" w:pos="220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9" w:lineRule="exact"/>
        <w:rPr>
          <w:rFonts w:ascii="Arial" w:cs="Arial" w:eastAsia="Arial" w:hAnsi="Arial"/>
          <w:sz w:val="18"/>
          <w:szCs w:val="18"/>
          <w:color w:val="auto"/>
        </w:rPr>
      </w:pPr>
    </w:p>
    <w:p>
      <w:pPr>
        <w:ind w:left="2060" w:hanging="521"/>
        <w:spacing w:after="0"/>
        <w:tabs>
          <w:tab w:leader="none" w:pos="20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36 Set-off</w:t>
      </w:r>
    </w:p>
    <w:p>
      <w:pPr>
        <w:spacing w:after="0" w:line="22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37 Notices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7"/>
          <w:szCs w:val="17"/>
          <w:b w:val="1"/>
          <w:bCs w:val="1"/>
          <w:color w:val="auto"/>
        </w:rPr>
        <w:t>Communications in writing</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3" w:name="page134"/>
    <w:bookmarkEnd w:id="133"/>
    <w:p>
      <w:pPr>
        <w:spacing w:after="0"/>
        <w:tabs>
          <w:tab w:leader="none" w:pos="50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b w:val="1"/>
          <w:bCs w:val="1"/>
          <w:color w:val="auto"/>
        </w:rPr>
        <w:t>Addresses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65" w:lineRule="exact"/>
        <w:rPr>
          <w:sz w:val="20"/>
          <w:szCs w:val="20"/>
          <w:color w:val="auto"/>
        </w:rPr>
      </w:pPr>
    </w:p>
    <w:p>
      <w:pPr>
        <w:ind w:left="1060" w:hanging="552"/>
        <w:spacing w:after="0"/>
        <w:tabs>
          <w:tab w:leader="none" w:pos="10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180" w:lineRule="exact"/>
        <w:rPr>
          <w:rFonts w:ascii="Arial" w:cs="Arial" w:eastAsia="Arial" w:hAnsi="Arial"/>
          <w:sz w:val="18"/>
          <w:szCs w:val="18"/>
          <w:color w:val="auto"/>
        </w:rPr>
      </w:pPr>
    </w:p>
    <w:p>
      <w:pPr>
        <w:ind w:left="1020" w:hanging="512"/>
        <w:spacing w:after="0" w:line="267" w:lineRule="auto"/>
        <w:tabs>
          <w:tab w:leader="none" w:pos="103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original parties</w:t>
      </w:r>
      <w:r>
        <w:rPr>
          <w:rFonts w:ascii="Arial" w:cs="Arial" w:eastAsia="Arial" w:hAnsi="Arial"/>
          <w:sz w:val="18"/>
          <w:szCs w:val="18"/>
          <w:color w:val="auto"/>
        </w:rPr>
        <w:t>); and</w:t>
      </w:r>
    </w:p>
    <w:p>
      <w:pPr>
        <w:spacing w:after="0" w:line="164" w:lineRule="exact"/>
        <w:rPr>
          <w:rFonts w:ascii="Arial" w:cs="Arial" w:eastAsia="Arial" w:hAnsi="Arial"/>
          <w:sz w:val="18"/>
          <w:szCs w:val="18"/>
          <w:color w:val="auto"/>
        </w:rPr>
      </w:pPr>
    </w:p>
    <w:p>
      <w:pPr>
        <w:ind w:left="1020" w:hanging="512"/>
        <w:spacing w:after="0" w:line="246" w:lineRule="auto"/>
        <w:tabs>
          <w:tab w:leader="none" w:pos="103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83"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or, in each case, any substitute address or department or officer as an Obligor or Finance Party may notify to the Agent (or the Agent may notify to the other Parties, if a change is made by the Agent) by not less than five Business Days’ notice.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7"/>
          <w:szCs w:val="17"/>
          <w:b w:val="1"/>
          <w:bCs w:val="1"/>
          <w:color w:val="auto"/>
        </w:rPr>
        <w:t>Delivery</w:t>
      </w:r>
    </w:p>
    <w:p>
      <w:pPr>
        <w:spacing w:after="0" w:line="220" w:lineRule="exact"/>
        <w:rPr>
          <w:sz w:val="20"/>
          <w:szCs w:val="20"/>
          <w:color w:val="auto"/>
        </w:rPr>
      </w:pPr>
    </w:p>
    <w:p>
      <w:pPr>
        <w:jc w:val="both"/>
        <w:ind w:left="1020" w:hanging="512"/>
        <w:spacing w:after="0" w:line="238" w:lineRule="auto"/>
        <w:tabs>
          <w:tab w:leader="none" w:pos="151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88"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(or any substitute department or officer as the Agent or the Security Agent shall specify for this purpose).</w:t>
      </w:r>
    </w:p>
    <w:p>
      <w:pPr>
        <w:spacing w:after="0" w:line="191" w:lineRule="exact"/>
        <w:rPr>
          <w:rFonts w:ascii="Arial" w:cs="Arial" w:eastAsia="Arial" w:hAnsi="Arial"/>
          <w:sz w:val="18"/>
          <w:szCs w:val="18"/>
          <w:color w:val="auto"/>
        </w:rPr>
      </w:pPr>
    </w:p>
    <w:p>
      <w:pPr>
        <w:ind w:left="1040" w:hanging="532"/>
        <w:spacing w:after="0"/>
        <w:tabs>
          <w:tab w:leader="none" w:pos="10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23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183"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37.3(a) to 37.3(d) above, after 5:00pm in the place of receipt shall be deemed only to become effective on the following day.</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b w:val="1"/>
          <w:bCs w:val="1"/>
          <w:color w:val="auto"/>
        </w:rPr>
        <w:t>Notification of address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Agent shall notify the other Parties on changing its address. All other Parties should notify promptly upon change of their address pursuant to clause 37.2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7"/>
          <w:szCs w:val="17"/>
          <w:b w:val="1"/>
          <w:bCs w:val="1"/>
          <w:color w:val="auto"/>
        </w:rPr>
        <w:t>Electronic communication</w:t>
      </w:r>
    </w:p>
    <w:p>
      <w:pPr>
        <w:spacing w:after="0" w:line="220" w:lineRule="exact"/>
        <w:rPr>
          <w:sz w:val="20"/>
          <w:szCs w:val="20"/>
          <w:color w:val="auto"/>
        </w:rPr>
      </w:pPr>
    </w:p>
    <w:p>
      <w:pPr>
        <w:jc w:val="both"/>
        <w:ind w:left="1020" w:hanging="512"/>
        <w:spacing w:after="0"/>
        <w:tabs>
          <w:tab w:leader="none" w:pos="111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4" w:name="page135"/>
    <w:bookmarkEnd w:id="134"/>
    <w:p>
      <w:pPr>
        <w:ind w:left="1540" w:hanging="511"/>
        <w:spacing w:after="0" w:line="246" w:lineRule="auto"/>
        <w:tabs>
          <w:tab w:leader="none" w:pos="1743" w:val="left"/>
        </w:tabs>
        <w:numPr>
          <w:ilvl w:val="1"/>
          <w:numId w:val="370"/>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79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83" w:lineRule="exact"/>
        <w:rPr>
          <w:rFonts w:ascii="Arial" w:cs="Arial" w:eastAsia="Arial" w:hAnsi="Arial"/>
          <w:sz w:val="18"/>
          <w:szCs w:val="18"/>
          <w:color w:val="auto"/>
        </w:rPr>
      </w:pPr>
    </w:p>
    <w:p>
      <w:pPr>
        <w:jc w:val="both"/>
        <w:ind w:left="1020" w:hanging="512"/>
        <w:spacing w:after="0"/>
        <w:tabs>
          <w:tab w:leader="none" w:pos="119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189" w:lineRule="exact"/>
        <w:rPr>
          <w:rFonts w:ascii="Arial" w:cs="Arial" w:eastAsia="Arial" w:hAnsi="Arial"/>
          <w:sz w:val="18"/>
          <w:szCs w:val="18"/>
          <w:color w:val="auto"/>
        </w:rPr>
      </w:pPr>
    </w:p>
    <w:p>
      <w:pPr>
        <w:ind w:left="1020" w:hanging="512"/>
        <w:spacing w:after="0" w:line="246" w:lineRule="auto"/>
        <w:tabs>
          <w:tab w:leader="none" w:pos="111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37.5(b) above, after 5:00 pm in the place of receipt shall be deemed only to become effective on the following day.</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35"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98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191" w:lineRule="exact"/>
        <w:rPr>
          <w:rFonts w:ascii="Arial" w:cs="Arial" w:eastAsia="Arial" w:hAnsi="Arial"/>
          <w:sz w:val="18"/>
          <w:szCs w:val="18"/>
          <w:color w:val="auto"/>
        </w:rPr>
      </w:pPr>
    </w:p>
    <w:p>
      <w:pPr>
        <w:jc w:val="both"/>
        <w:ind w:left="1540" w:hanging="511"/>
        <w:spacing w:after="0"/>
        <w:tabs>
          <w:tab w:leader="none" w:pos="18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Borrowers or any other Obligor due to interruptions and delays in transmission caused by technical problems.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16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Borrowers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7"/>
          <w:szCs w:val="17"/>
          <w:b w:val="1"/>
          <w:bCs w:val="1"/>
          <w:color w:val="auto"/>
        </w:rPr>
        <w:t>English language</w:t>
      </w:r>
    </w:p>
    <w:p>
      <w:pPr>
        <w:spacing w:after="0" w:line="220" w:lineRule="exact"/>
        <w:rPr>
          <w:sz w:val="20"/>
          <w:szCs w:val="20"/>
          <w:color w:val="auto"/>
        </w:rPr>
      </w:pPr>
    </w:p>
    <w:p>
      <w:pPr>
        <w:ind w:left="1060" w:hanging="552"/>
        <w:spacing w:after="0"/>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79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5" w:name="page136"/>
    <w:bookmarkEnd w:id="135"/>
    <w:p>
      <w:pPr>
        <w:spacing w:after="0"/>
        <w:tabs>
          <w:tab w:leader="none" w:pos="50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7"/>
          <w:szCs w:val="17"/>
          <w:b w:val="1"/>
          <w:bCs w:val="1"/>
          <w:color w:val="auto"/>
        </w:rPr>
        <w:t>Communication with Agent when Agent is Impaired Agent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38 Calculations and certificates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7"/>
          <w:szCs w:val="17"/>
          <w:b w:val="1"/>
          <w:bCs w:val="1"/>
          <w:color w:val="auto"/>
        </w:rPr>
        <w:t>Accounts</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7"/>
          <w:szCs w:val="17"/>
          <w:b w:val="1"/>
          <w:bCs w:val="1"/>
          <w:color w:val="auto"/>
        </w:rPr>
        <w:t>Certificates and determinations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7"/>
          <w:szCs w:val="17"/>
          <w:b w:val="1"/>
          <w:bCs w:val="1"/>
          <w:color w:val="auto"/>
        </w:rPr>
        <w:t>Day count convention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interest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39 Partial invalidity</w:t>
      </w:r>
    </w:p>
    <w:p>
      <w:pPr>
        <w:spacing w:after="0" w:line="22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40 Remedies and waivers</w:t>
      </w:r>
    </w:p>
    <w:p>
      <w:pPr>
        <w:spacing w:after="0" w:line="22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41 Amendments and grant of waivers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b w:val="1"/>
          <w:bCs w:val="1"/>
          <w:color w:val="auto"/>
        </w:rPr>
        <w:t>Required consents</w:t>
      </w:r>
    </w:p>
    <w:p>
      <w:pPr>
        <w:spacing w:after="0" w:line="202" w:lineRule="exact"/>
        <w:rPr>
          <w:sz w:val="20"/>
          <w:szCs w:val="20"/>
          <w:color w:val="auto"/>
        </w:rPr>
      </w:pPr>
    </w:p>
    <w:p>
      <w:pPr>
        <w:jc w:val="both"/>
        <w:ind w:left="1020" w:hanging="512"/>
        <w:spacing w:after="0" w:line="245" w:lineRule="auto"/>
        <w:tabs>
          <w:tab w:leader="none" w:pos="105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Subject to clauses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41.3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 amendment or waiver agreed or given by the Agent will be binding on all the Finance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6" w:name="page137"/>
    <w:bookmarkEnd w:id="136"/>
    <w:p>
      <w:pPr>
        <w:ind w:left="1020" w:right="20" w:hanging="512"/>
        <w:spacing w:after="0" w:line="246" w:lineRule="auto"/>
        <w:tabs>
          <w:tab w:leader="none" w:pos="105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41.</w:t>
      </w:r>
    </w:p>
    <w:p>
      <w:pPr>
        <w:spacing w:after="0" w:line="165" w:lineRule="exact"/>
        <w:rPr>
          <w:rFonts w:ascii="Arial" w:cs="Arial" w:eastAsia="Arial" w:hAnsi="Arial"/>
          <w:sz w:val="18"/>
          <w:szCs w:val="18"/>
          <w:color w:val="auto"/>
        </w:rPr>
      </w:pPr>
    </w:p>
    <w:p>
      <w:pPr>
        <w:jc w:val="both"/>
        <w:ind w:left="1020" w:hanging="512"/>
        <w:spacing w:after="0" w:line="250" w:lineRule="auto"/>
        <w:tabs>
          <w:tab w:leader="none" w:pos="129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32.7(c), 32.7(d) and 32.7(e) of clause 32.7 </w:t>
      </w:r>
      <w:r>
        <w:rPr>
          <w:rFonts w:ascii="Arial" w:cs="Arial" w:eastAsia="Arial" w:hAnsi="Arial"/>
          <w:sz w:val="18"/>
          <w:szCs w:val="18"/>
          <w:i w:val="1"/>
          <w:iCs w:val="1"/>
          <w:color w:val="auto"/>
        </w:rPr>
        <w:t>(Rights and discretions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the Agent may engage, pay for and rely on the services of lawyers in determining the consent level required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effecting any amendment, waiver or consent under this Agreement.</w:t>
      </w:r>
    </w:p>
    <w:p>
      <w:pPr>
        <w:spacing w:after="0" w:line="181" w:lineRule="exact"/>
        <w:rPr>
          <w:rFonts w:ascii="Arial" w:cs="Arial" w:eastAsia="Arial" w:hAnsi="Arial"/>
          <w:sz w:val="18"/>
          <w:szCs w:val="18"/>
          <w:color w:val="auto"/>
        </w:rPr>
      </w:pPr>
    </w:p>
    <w:p>
      <w:pPr>
        <w:ind w:left="1020" w:hanging="512"/>
        <w:spacing w:after="0" w:line="246" w:lineRule="auto"/>
        <w:tabs>
          <w:tab w:leader="none" w:pos="116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41 which is agreed to by the Borrowers. This includes any amendment or waiver which would, but for this clause 41.1(d), require the consent of the Parent.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7"/>
          <w:szCs w:val="17"/>
          <w:b w:val="1"/>
          <w:bCs w:val="1"/>
          <w:color w:val="auto"/>
        </w:rPr>
        <w:t>All Lender matters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65" w:lineRule="exact"/>
        <w:rPr>
          <w:sz w:val="20"/>
          <w:szCs w:val="20"/>
          <w:color w:val="auto"/>
        </w:rPr>
      </w:pPr>
    </w:p>
    <w:p>
      <w:pPr>
        <w:ind w:left="1060" w:hanging="552"/>
        <w:spacing w:after="0"/>
        <w:tabs>
          <w:tab w:leader="none" w:pos="10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98"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or fees payable or the rate at which they are calculated;</w:t>
      </w:r>
    </w:p>
    <w:p>
      <w:pPr>
        <w:spacing w:after="0" w:line="183" w:lineRule="exact"/>
        <w:rPr>
          <w:rFonts w:ascii="Arial" w:cs="Arial" w:eastAsia="Arial" w:hAnsi="Arial"/>
          <w:sz w:val="18"/>
          <w:szCs w:val="18"/>
          <w:color w:val="auto"/>
        </w:rPr>
      </w:pPr>
    </w:p>
    <w:p>
      <w:pPr>
        <w:jc w:val="both"/>
        <w:ind w:left="1020" w:hanging="512"/>
        <w:spacing w:after="0"/>
        <w:tabs>
          <w:tab w:leader="none" w:pos="134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save as permitted under this Agreement an increase in, or extension of, any Commitment, Ship Commitments or the Total Commitments, an extension of any period within which the Facility is available for Utilisation or any requirement that a cancellation of Commitments reduces the Commitments of the Lenders pro rata;</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198" w:lineRule="exact"/>
        <w:rPr>
          <w:rFonts w:ascii="Arial" w:cs="Arial" w:eastAsia="Arial" w:hAnsi="Arial"/>
          <w:sz w:val="18"/>
          <w:szCs w:val="18"/>
          <w:color w:val="auto"/>
        </w:rPr>
      </w:pPr>
    </w:p>
    <w:p>
      <w:pPr>
        <w:ind w:left="1060" w:hanging="552"/>
        <w:spacing w:after="0"/>
        <w:tabs>
          <w:tab w:leader="none" w:pos="10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180" w:lineRule="exact"/>
        <w:rPr>
          <w:rFonts w:ascii="Arial" w:cs="Arial" w:eastAsia="Arial" w:hAnsi="Arial"/>
          <w:sz w:val="18"/>
          <w:szCs w:val="18"/>
          <w:color w:val="auto"/>
        </w:rPr>
      </w:pPr>
    </w:p>
    <w:p>
      <w:pPr>
        <w:jc w:val="both"/>
        <w:ind w:left="1020" w:hanging="512"/>
        <w:spacing w:after="0" w:line="245" w:lineRule="auto"/>
        <w:tabs>
          <w:tab w:leader="none" w:pos="155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clause 18.34 (</w:t>
      </w:r>
      <w:r>
        <w:rPr>
          <w:rFonts w:ascii="Arial" w:cs="Arial" w:eastAsia="Arial" w:hAnsi="Arial"/>
          <w:sz w:val="18"/>
          <w:szCs w:val="18"/>
          <w:i w:val="1"/>
          <w:iCs w:val="1"/>
          <w:color w:val="auto"/>
        </w:rPr>
        <w:t>Sanctions</w:t>
      </w:r>
      <w:r>
        <w:rPr>
          <w:rFonts w:ascii="Arial" w:cs="Arial" w:eastAsia="Arial" w:hAnsi="Arial"/>
          <w:sz w:val="18"/>
          <w:szCs w:val="18"/>
          <w:color w:val="auto"/>
        </w:rPr>
        <w:t>), clause 21.11 (</w:t>
      </w:r>
      <w:r>
        <w:rPr>
          <w:rFonts w:ascii="Arial" w:cs="Arial" w:eastAsia="Arial" w:hAnsi="Arial"/>
          <w:sz w:val="18"/>
          <w:szCs w:val="18"/>
          <w:i w:val="1"/>
          <w:iCs w:val="1"/>
          <w:color w:val="auto"/>
        </w:rPr>
        <w:t>Sanctions</w:t>
      </w:r>
      <w:r>
        <w:rPr>
          <w:rFonts w:ascii="Arial" w:cs="Arial" w:eastAsia="Arial" w:hAnsi="Arial"/>
          <w:sz w:val="18"/>
          <w:szCs w:val="18"/>
          <w:color w:val="auto"/>
        </w:rPr>
        <w:t>),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34.1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 this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 clause 44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45.1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order of distribution under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order of distribution under clause 32.24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198" w:lineRule="exact"/>
        <w:rPr>
          <w:rFonts w:ascii="Arial" w:cs="Arial" w:eastAsia="Arial" w:hAnsi="Arial"/>
          <w:sz w:val="18"/>
          <w:szCs w:val="18"/>
          <w:color w:val="auto"/>
        </w:rPr>
      </w:pPr>
    </w:p>
    <w:p>
      <w:pPr>
        <w:ind w:left="1020" w:hanging="512"/>
        <w:spacing w:after="0" w:line="246" w:lineRule="auto"/>
        <w:tabs>
          <w:tab w:leader="none" w:pos="118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nature or scope of the Charged Property or the manner in which the proceeds of enforcement of the Security Documents are distributed;</w:t>
      </w:r>
    </w:p>
    <w:p>
      <w:pPr>
        <w:spacing w:after="0" w:line="165" w:lineRule="exact"/>
        <w:rPr>
          <w:rFonts w:ascii="Arial" w:cs="Arial" w:eastAsia="Arial" w:hAnsi="Arial"/>
          <w:sz w:val="18"/>
          <w:szCs w:val="18"/>
          <w:color w:val="auto"/>
        </w:rPr>
      </w:pPr>
    </w:p>
    <w:p>
      <w:pPr>
        <w:ind w:left="1060" w:hanging="552"/>
        <w:spacing w:after="0"/>
        <w:tabs>
          <w:tab w:leader="none" w:pos="10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16" w:lineRule="exact"/>
        <w:rPr>
          <w:rFonts w:ascii="Arial" w:cs="Arial" w:eastAsia="Arial" w:hAnsi="Arial"/>
          <w:sz w:val="18"/>
          <w:szCs w:val="18"/>
          <w:color w:val="auto"/>
        </w:rPr>
      </w:pPr>
    </w:p>
    <w:p>
      <w:pPr>
        <w:ind w:left="1020" w:hanging="512"/>
        <w:spacing w:after="0" w:line="246" w:lineRule="auto"/>
        <w:tabs>
          <w:tab w:leader="none" w:pos="135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(including the Guarantee) are permitted or required to be released under any of the Finance Documents,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7" w:name="page138"/>
    <w:bookmarkEnd w:id="137"/>
    <w:p>
      <w:pPr>
        <w:ind w:left="52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41.3</w:t>
        <w:tab/>
        <w:t>Other exceptions</w:t>
      </w:r>
    </w:p>
    <w:p>
      <w:pPr>
        <w:spacing w:after="0" w:line="220" w:lineRule="exact"/>
        <w:rPr>
          <w:sz w:val="20"/>
          <w:szCs w:val="20"/>
          <w:color w:val="auto"/>
        </w:rPr>
      </w:pPr>
    </w:p>
    <w:p>
      <w:pPr>
        <w:jc w:val="both"/>
        <w:ind w:left="1020" w:hanging="512"/>
        <w:spacing w:after="0"/>
        <w:tabs>
          <w:tab w:leader="none" w:pos="127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or the Arrangers in their respective capacities as such (and not just as a Lender) may not be effected without the consent of the Agent, the Security Agent or the Arrangers (as the case may be).</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180" w:lineRule="exact"/>
        <w:rPr>
          <w:rFonts w:ascii="Arial" w:cs="Arial" w:eastAsia="Arial" w:hAnsi="Arial"/>
          <w:sz w:val="18"/>
          <w:szCs w:val="18"/>
          <w:color w:val="auto"/>
        </w:rPr>
      </w:pPr>
    </w:p>
    <w:p>
      <w:pPr>
        <w:jc w:val="both"/>
        <w:ind w:left="1020" w:hanging="512"/>
        <w:spacing w:after="0" w:line="245" w:lineRule="auto"/>
        <w:tabs>
          <w:tab w:leader="none" w:pos="108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Notwithstanding clauses 41.1 (</w:t>
      </w:r>
      <w:r>
        <w:rPr>
          <w:rFonts w:ascii="Arial" w:cs="Arial" w:eastAsia="Arial" w:hAnsi="Arial"/>
          <w:sz w:val="18"/>
          <w:szCs w:val="18"/>
          <w:i w:val="1"/>
          <w:iCs w:val="1"/>
          <w:color w:val="auto"/>
        </w:rPr>
        <w:t>Required consents</w:t>
      </w:r>
      <w:r>
        <w:rPr>
          <w:rFonts w:ascii="Arial" w:cs="Arial" w:eastAsia="Arial" w:hAnsi="Arial"/>
          <w:sz w:val="18"/>
          <w:szCs w:val="18"/>
          <w:color w:val="auto"/>
        </w:rPr>
        <w:t>),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and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7"/>
          <w:szCs w:val="17"/>
          <w:b w:val="1"/>
          <w:bCs w:val="1"/>
          <w:color w:val="auto"/>
        </w:rPr>
        <w:t>Disenfranchisement of Defaulting Lenders</w:t>
      </w:r>
    </w:p>
    <w:p>
      <w:pPr>
        <w:spacing w:after="0" w:line="220" w:lineRule="exact"/>
        <w:rPr>
          <w:sz w:val="20"/>
          <w:szCs w:val="20"/>
          <w:color w:val="auto"/>
        </w:rPr>
      </w:pPr>
    </w:p>
    <w:p>
      <w:pPr>
        <w:jc w:val="both"/>
        <w:ind w:left="1020" w:hanging="512"/>
        <w:spacing w:after="0" w:line="234" w:lineRule="auto"/>
        <w:tabs>
          <w:tab w:leader="none" w:pos="134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 (i) the Majority Lenders or (ii) whether any given percentage (including, for the avoidance of doubt, unanimity) of the Total Commitments, or the agreement of any specified group of Lenders (whether Majority Lenders, all Lenders or otherwise), has been obtained to approve any 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Loan, that Defaulting Lender shall be deemed not to be a Lender for the purposes paragraphs</w:t>
      </w:r>
    </w:p>
    <w:p>
      <w:pPr>
        <w:spacing w:after="0" w:line="4" w:lineRule="exact"/>
        <w:rPr>
          <w:rFonts w:ascii="Arial" w:cs="Arial" w:eastAsia="Arial" w:hAnsi="Arial"/>
          <w:sz w:val="18"/>
          <w:szCs w:val="18"/>
          <w:color w:val="auto"/>
        </w:rPr>
      </w:pPr>
    </w:p>
    <w:p>
      <w:pPr>
        <w:ind w:left="1240" w:hanging="211"/>
        <w:spacing w:after="0"/>
        <w:tabs>
          <w:tab w:leader="none" w:pos="12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and (ii) above.</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For the purposes of this clause 41.4, the Agent may assume that the following Lenders are Defaulting Lenders: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193" w:lineRule="exact"/>
        <w:rPr>
          <w:rFonts w:ascii="Arial" w:cs="Arial" w:eastAsia="Arial" w:hAnsi="Arial"/>
          <w:sz w:val="18"/>
          <w:szCs w:val="18"/>
          <w:color w:val="auto"/>
        </w:rPr>
      </w:pPr>
    </w:p>
    <w:p>
      <w:pPr>
        <w:ind w:left="1740" w:hanging="711"/>
        <w:spacing w:after="0"/>
        <w:tabs>
          <w:tab w:leader="none" w:pos="17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w:t>
      </w:r>
    </w:p>
    <w:p>
      <w:pPr>
        <w:jc w:val="both"/>
        <w:ind w:left="1540" w:hanging="1"/>
        <w:spacing w:after="0"/>
        <w:tabs>
          <w:tab w:leader="none" w:pos="1824" w:val="left"/>
        </w:tabs>
        <w:numPr>
          <w:ilvl w:val="2"/>
          <w:numId w:val="377"/>
        </w:numPr>
        <w:rPr>
          <w:rFonts w:ascii="Arial" w:cs="Arial" w:eastAsia="Arial" w:hAnsi="Arial"/>
          <w:sz w:val="18"/>
          <w:szCs w:val="18"/>
          <w:color w:val="auto"/>
        </w:rPr>
      </w:pPr>
      <w:r>
        <w:rPr>
          <w:rFonts w:ascii="Arial" w:cs="Arial" w:eastAsia="Arial" w:hAnsi="Arial"/>
          <w:sz w:val="18"/>
          <w:szCs w:val="18"/>
          <w:color w:val="auto"/>
        </w:rPr>
        <w:t xml:space="preserve">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7"/>
          <w:szCs w:val="17"/>
          <w:b w:val="1"/>
          <w:bCs w:val="1"/>
          <w:color w:val="auto"/>
        </w:rPr>
        <w:t>Replacement of a Defaulting Lender</w:t>
      </w:r>
    </w:p>
    <w:p>
      <w:pPr>
        <w:spacing w:after="0" w:line="220" w:lineRule="exact"/>
        <w:rPr>
          <w:sz w:val="20"/>
          <w:szCs w:val="20"/>
          <w:color w:val="auto"/>
        </w:rPr>
      </w:pPr>
    </w:p>
    <w:p>
      <w:pPr>
        <w:jc w:val="both"/>
        <w:ind w:left="1020" w:hanging="512"/>
        <w:spacing w:after="0" w:line="236" w:lineRule="auto"/>
        <w:tabs>
          <w:tab w:leader="none" w:pos="123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Borrowers may, at any time a Lender has become and continues to be a Defaulting Lender, by giving ten (10) Business Days’ prior written notice to the Agent and such Lender replace such Lender by requiring such Lender to (and, to the extent permitted by law such Lender shall) transfer pursuant to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xml:space="preserve">) all (and not part only) of its rights and obligations under this Agreement to a Lender or other bank, financial institution, trust, fund or other entity (a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selected by the Borrowers, and which (unless the Agent is an Impaired Agent) is acceptable to the Agent (acting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ind w:left="1040"/>
        <w:spacing w:after="0"/>
        <w:rPr>
          <w:sz w:val="20"/>
          <w:szCs w:val="20"/>
          <w:color w:val="auto"/>
        </w:rPr>
      </w:pPr>
      <w:r>
        <w:rPr>
          <w:rFonts w:ascii="Arial" w:cs="Arial" w:eastAsia="Arial" w:hAnsi="Arial"/>
          <w:sz w:val="18"/>
          <w:szCs w:val="18"/>
          <w:color w:val="auto"/>
        </w:rPr>
        <w:t>purchase price approved by all of the other Lenders who are not Defaulting Lenders at the time).</w:t>
      </w:r>
    </w:p>
    <w:p>
      <w:pPr>
        <w:spacing w:after="0" w:line="198" w:lineRule="exact"/>
        <w:rPr>
          <w:sz w:val="20"/>
          <w:szCs w:val="20"/>
          <w:color w:val="auto"/>
        </w:rPr>
      </w:pPr>
    </w:p>
    <w:p>
      <w:pPr>
        <w:ind w:left="1040" w:hanging="532"/>
        <w:spacing w:after="0"/>
        <w:tabs>
          <w:tab w:leader="none" w:pos="10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 or the Security Agent;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Borrowers to find a Replacement Lender;</w:t>
      </w:r>
    </w:p>
    <w:p>
      <w:pPr>
        <w:spacing w:after="0" w:line="198"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transfer must take place no later than fourteen (14) days after the notice referred to in clause 41.5(a) above (or such other longer period as agreed by the Majority Lenders); and</w:t>
      </w:r>
    </w:p>
    <w:p>
      <w:pPr>
        <w:spacing w:after="0" w:line="183" w:lineRule="exact"/>
        <w:rPr>
          <w:rFonts w:ascii="Arial" w:cs="Arial" w:eastAsia="Arial" w:hAnsi="Arial"/>
          <w:sz w:val="18"/>
          <w:szCs w:val="18"/>
          <w:color w:val="auto"/>
        </w:rPr>
      </w:pPr>
    </w:p>
    <w:p>
      <w:pPr>
        <w:ind w:left="1540" w:hanging="511"/>
        <w:spacing w:after="0" w:line="246" w:lineRule="auto"/>
        <w:tabs>
          <w:tab w:leader="none" w:pos="18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7"/>
          <w:szCs w:val="17"/>
          <w:b w:val="1"/>
          <w:bCs w:val="1"/>
          <w:color w:val="auto"/>
        </w:rPr>
        <w:t>Excluded Commitments; “Snooze you lose”</w:t>
      </w:r>
    </w:p>
    <w:p>
      <w:pPr>
        <w:spacing w:after="0" w:line="220" w:lineRule="exact"/>
        <w:rPr>
          <w:sz w:val="20"/>
          <w:szCs w:val="20"/>
          <w:color w:val="auto"/>
        </w:rPr>
      </w:pPr>
    </w:p>
    <w:p>
      <w:pPr>
        <w:jc w:val="both"/>
        <w:ind w:left="1020" w:right="20" w:hanging="512"/>
        <w:spacing w:after="0"/>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twenty (20) Business Days of that request being made (unless the Borrowers and the Agent agree to a longer time period in relation to any request):</w:t>
      </w:r>
    </w:p>
    <w:p>
      <w:pPr>
        <w:spacing w:after="0" w:line="189" w:lineRule="exact"/>
        <w:rPr>
          <w:rFonts w:ascii="Arial" w:cs="Arial" w:eastAsia="Arial" w:hAnsi="Arial"/>
          <w:sz w:val="18"/>
          <w:szCs w:val="18"/>
          <w:color w:val="auto"/>
        </w:rPr>
      </w:pPr>
    </w:p>
    <w:p>
      <w:pPr>
        <w:jc w:val="both"/>
        <w:ind w:left="1540" w:hanging="511"/>
        <w:spacing w:after="0"/>
        <w:tabs>
          <w:tab w:leader="none" w:pos="155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189" w:lineRule="exact"/>
        <w:rPr>
          <w:rFonts w:ascii="Arial" w:cs="Arial" w:eastAsia="Arial" w:hAnsi="Arial"/>
          <w:sz w:val="18"/>
          <w:szCs w:val="18"/>
          <w:color w:val="auto"/>
        </w:rPr>
      </w:pPr>
    </w:p>
    <w:p>
      <w:pPr>
        <w:ind w:left="1540" w:hanging="511"/>
        <w:spacing w:after="0" w:line="246" w:lineRule="auto"/>
        <w:tabs>
          <w:tab w:leader="none" w:pos="160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83"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any Lender that is not a Defaulting Lender fails to respond to a Relevant Request within 20 Business Days from the Relevant Date (unless the Borrowers and the Agent agree to a longer time period in relation to any Relevant Request):</w:t>
      </w:r>
    </w:p>
    <w:p>
      <w:pPr>
        <w:spacing w:after="0" w:line="183" w:lineRule="exact"/>
        <w:rPr>
          <w:rFonts w:ascii="Arial" w:cs="Arial" w:eastAsia="Arial" w:hAnsi="Arial"/>
          <w:sz w:val="18"/>
          <w:szCs w:val="18"/>
          <w:color w:val="auto"/>
        </w:rPr>
      </w:pPr>
    </w:p>
    <w:p>
      <w:pPr>
        <w:jc w:val="both"/>
        <w:ind w:left="1540" w:hanging="511"/>
        <w:spacing w:after="0"/>
        <w:tabs>
          <w:tab w:leader="none" w:pos="155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189" w:lineRule="exact"/>
        <w:rPr>
          <w:rFonts w:ascii="Arial" w:cs="Arial" w:eastAsia="Arial" w:hAnsi="Arial"/>
          <w:sz w:val="18"/>
          <w:szCs w:val="18"/>
          <w:color w:val="auto"/>
        </w:rPr>
      </w:pPr>
    </w:p>
    <w:p>
      <w:pPr>
        <w:ind w:left="1540" w:hanging="511"/>
        <w:spacing w:after="0" w:line="246" w:lineRule="auto"/>
        <w:tabs>
          <w:tab w:leader="none" w:pos="160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purposes of this paragraph (b):</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later of</w:t>
      </w:r>
    </w:p>
    <w:p>
      <w:pPr>
        <w:spacing w:after="0" w:line="220" w:lineRule="exact"/>
        <w:rPr>
          <w:sz w:val="20"/>
          <w:szCs w:val="20"/>
          <w:color w:val="auto"/>
        </w:rPr>
      </w:pPr>
    </w:p>
    <w:p>
      <w:pPr>
        <w:ind w:left="1560" w:hanging="531"/>
        <w:spacing w:after="0"/>
        <w:tabs>
          <w:tab w:leader="none" w:pos="15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date on which a Relevant Request is made; and</w:t>
      </w:r>
    </w:p>
    <w:p>
      <w:pPr>
        <w:spacing w:after="0" w:line="198" w:lineRule="exact"/>
        <w:rPr>
          <w:rFonts w:ascii="Arial" w:cs="Arial" w:eastAsia="Arial" w:hAnsi="Arial"/>
          <w:sz w:val="18"/>
          <w:szCs w:val="18"/>
          <w:color w:val="auto"/>
        </w:rPr>
      </w:pPr>
    </w:p>
    <w:p>
      <w:pPr>
        <w:ind w:left="1540" w:hanging="511"/>
        <w:spacing w:after="0" w:line="246" w:lineRule="auto"/>
        <w:tabs>
          <w:tab w:leader="none" w:pos="166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if the Agent determines (acting reasonably) that additional information or evidence are required for the Lenders to make an informed decision in respect of that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9" w:name="page140"/>
    <w:bookmarkEnd w:id="139"/>
    <w:p>
      <w:pPr>
        <w:ind w:left="1560"/>
        <w:spacing w:after="0" w:line="246" w:lineRule="auto"/>
        <w:rPr>
          <w:sz w:val="20"/>
          <w:szCs w:val="20"/>
          <w:color w:val="auto"/>
        </w:rPr>
      </w:pPr>
      <w:r>
        <w:rPr>
          <w:rFonts w:ascii="Arial" w:cs="Arial" w:eastAsia="Arial" w:hAnsi="Arial"/>
          <w:sz w:val="18"/>
          <w:szCs w:val="18"/>
          <w:color w:val="auto"/>
        </w:rPr>
        <w:t>Relevant Request, the date on which the Agent determines (acting reasonably) that it has been provided with all such information or evidence; and</w:t>
      </w:r>
    </w:p>
    <w:p>
      <w:pPr>
        <w:spacing w:after="0" w:line="161"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b w:val="1"/>
          <w:bCs w:val="1"/>
          <w:color w:val="auto"/>
        </w:rPr>
        <w:t xml:space="preserve">Relevant Request </w:t>
      </w:r>
      <w:r>
        <w:rPr>
          <w:rFonts w:ascii="Arial" w:cs="Arial" w:eastAsia="Arial" w:hAnsi="Arial"/>
          <w:sz w:val="18"/>
          <w:szCs w:val="18"/>
          <w:color w:val="auto"/>
        </w:rPr>
        <w:t>means a request for a consent, waiver, amendment of or in relation to any term of any Finance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vote of Lenders under the terms of this Agreement other than an amendment, waiver or consent referred to in clause 41.2 (</w:t>
      </w:r>
      <w:r>
        <w:rPr>
          <w:rFonts w:ascii="Arial" w:cs="Arial" w:eastAsia="Arial" w:hAnsi="Arial"/>
          <w:sz w:val="18"/>
          <w:szCs w:val="18"/>
          <w:i w:val="1"/>
          <w:iCs w:val="1"/>
          <w:color w:val="auto"/>
        </w:rPr>
        <w:t>All Lender matters</w:t>
      </w:r>
      <w:r>
        <w:rPr>
          <w:rFonts w:ascii="Arial" w:cs="Arial" w:eastAsia="Arial" w:hAnsi="Arial"/>
          <w:sz w:val="18"/>
          <w:szCs w:val="18"/>
          <w:color w:val="auto"/>
        </w:rPr>
        <w:t>) excluding paragraph (h) thereof.</w:t>
      </w:r>
    </w:p>
    <w:p>
      <w:pPr>
        <w:spacing w:after="0" w:line="15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7"/>
          <w:szCs w:val="17"/>
          <w:b w:val="1"/>
          <w:bCs w:val="1"/>
          <w:color w:val="auto"/>
        </w:rPr>
        <w:t>Releases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w:t>
      </w:r>
    </w:p>
    <w:p>
      <w:pPr>
        <w:ind w:left="520"/>
        <w:spacing w:after="0"/>
        <w:rPr>
          <w:sz w:val="20"/>
          <w:szCs w:val="20"/>
          <w:color w:val="auto"/>
        </w:rPr>
      </w:pPr>
      <w:r>
        <w:rPr>
          <w:rFonts w:ascii="Arial" w:cs="Arial" w:eastAsia="Arial" w:hAnsi="Arial"/>
          <w:sz w:val="18"/>
          <w:szCs w:val="18"/>
          <w:color w:val="auto"/>
        </w:rPr>
        <w:t>Agent shall not have authority to authorise the Security Agent to release:</w:t>
      </w:r>
    </w:p>
    <w:p>
      <w:pPr>
        <w:spacing w:after="0" w:line="198" w:lineRule="exact"/>
        <w:rPr>
          <w:sz w:val="20"/>
          <w:szCs w:val="20"/>
          <w:color w:val="auto"/>
        </w:rPr>
      </w:pPr>
    </w:p>
    <w:p>
      <w:pPr>
        <w:ind w:left="1060" w:hanging="552"/>
        <w:spacing w:after="0"/>
        <w:tabs>
          <w:tab w:leader="none" w:pos="10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41.8</w:t>
        <w:tab/>
        <w:t>Replacement of Screen Rate</w:t>
      </w:r>
    </w:p>
    <w:p>
      <w:pPr>
        <w:spacing w:after="0" w:line="202" w:lineRule="exact"/>
        <w:rPr>
          <w:sz w:val="20"/>
          <w:szCs w:val="20"/>
          <w:color w:val="auto"/>
        </w:rPr>
      </w:pPr>
    </w:p>
    <w:p>
      <w:pPr>
        <w:ind w:left="520" w:right="20"/>
        <w:spacing w:after="0" w:line="267" w:lineRule="auto"/>
        <w:rPr>
          <w:sz w:val="20"/>
          <w:szCs w:val="20"/>
          <w:color w:val="auto"/>
        </w:rPr>
      </w:pPr>
      <w:r>
        <w:rPr>
          <w:rFonts w:ascii="Arial" w:cs="Arial" w:eastAsia="Arial" w:hAnsi="Arial"/>
          <w:sz w:val="18"/>
          <w:szCs w:val="18"/>
          <w:color w:val="auto"/>
        </w:rPr>
        <w:t>Subject to clause 41.3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w:t>
      </w:r>
    </w:p>
    <w:p>
      <w:pPr>
        <w:spacing w:after="0" w:line="165" w:lineRule="exact"/>
        <w:rPr>
          <w:sz w:val="20"/>
          <w:szCs w:val="20"/>
          <w:color w:val="auto"/>
        </w:rPr>
      </w:pPr>
    </w:p>
    <w:p>
      <w:pPr>
        <w:ind w:left="1060" w:hanging="552"/>
        <w:spacing w:after="0"/>
        <w:tabs>
          <w:tab w:leader="none" w:pos="10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198" w:lineRule="exact"/>
        <w:rPr>
          <w:rFonts w:ascii="Arial" w:cs="Arial" w:eastAsia="Arial" w:hAnsi="Arial"/>
          <w:sz w:val="18"/>
          <w:szCs w:val="18"/>
          <w:color w:val="auto"/>
        </w:rPr>
      </w:pPr>
    </w:p>
    <w:p>
      <w:pPr>
        <w:spacing w:after="0"/>
        <w:tabs>
          <w:tab w:leader="none" w:pos="0" w:val="left"/>
        </w:tabs>
        <w:numPr>
          <w:ilvl w:val="0"/>
          <w:numId w:val="383"/>
        </w:numPr>
        <w:rPr>
          <w:rFonts w:ascii="Arial" w:cs="Arial" w:eastAsia="Arial" w:hAnsi="Arial"/>
          <w:sz w:val="18"/>
          <w:szCs w:val="18"/>
          <w:color w:val="auto"/>
        </w:rPr>
      </w:pP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98" w:lineRule="exact"/>
        <w:rPr>
          <w:rFonts w:ascii="Arial" w:cs="Arial" w:eastAsia="Arial" w:hAnsi="Arial"/>
          <w:sz w:val="18"/>
          <w:szCs w:val="18"/>
          <w:color w:val="auto"/>
        </w:rPr>
      </w:pPr>
    </w:p>
    <w:p>
      <w:pPr>
        <w:jc w:val="both"/>
        <w:ind w:left="1540" w:hanging="511"/>
        <w:spacing w:after="0"/>
        <w:tabs>
          <w:tab w:leader="none" w:pos="163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577"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176"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20" w:lineRule="exact"/>
        <w:rPr>
          <w:sz w:val="20"/>
          <w:szCs w:val="20"/>
          <w:color w:val="auto"/>
        </w:rPr>
      </w:pPr>
    </w:p>
    <w:p>
      <w:pPr>
        <w:ind w:left="5480" w:right="2800" w:hanging="4972"/>
        <w:spacing w:after="0" w:line="481" w:lineRule="auto"/>
        <w:tabs>
          <w:tab w:leader="none" w:pos="105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0" w:name="page141"/>
    <w:bookmarkEnd w:id="140"/>
    <w:p>
      <w:pPr>
        <w:ind w:left="1060" w:hanging="531"/>
        <w:spacing w:after="0"/>
        <w:tabs>
          <w:tab w:leader="none" w:pos="10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198" w:lineRule="exact"/>
        <w:rPr>
          <w:rFonts w:ascii="Arial" w:cs="Arial" w:eastAsia="Arial" w:hAnsi="Arial"/>
          <w:sz w:val="18"/>
          <w:szCs w:val="18"/>
          <w:color w:val="auto"/>
        </w:rPr>
      </w:pPr>
    </w:p>
    <w:p>
      <w:pPr>
        <w:ind w:left="1060" w:hanging="531"/>
        <w:spacing w:after="0"/>
        <w:tabs>
          <w:tab w:leader="none" w:pos="10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98"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83" w:lineRule="exact"/>
        <w:rPr>
          <w:sz w:val="20"/>
          <w:szCs w:val="20"/>
          <w:color w:val="auto"/>
        </w:rPr>
      </w:pPr>
    </w:p>
    <w:p>
      <w:pPr>
        <w:ind w:left="520" w:hanging="512"/>
        <w:spacing w:after="0" w:line="246" w:lineRule="auto"/>
        <w:tabs>
          <w:tab w:leader="none" w:pos="85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the Screen Rate; or</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the Screen Rate.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the Screen Rate:</w:t>
      </w:r>
    </w:p>
    <w:p>
      <w:pPr>
        <w:spacing w:after="0" w:line="220" w:lineRule="exact"/>
        <w:rPr>
          <w:sz w:val="20"/>
          <w:szCs w:val="20"/>
          <w:color w:val="auto"/>
        </w:rPr>
      </w:pPr>
    </w:p>
    <w:p>
      <w:pPr>
        <w:ind w:left="520" w:right="20" w:hanging="512"/>
        <w:spacing w:after="0" w:line="246" w:lineRule="auto"/>
        <w:tabs>
          <w:tab w:leader="none" w:pos="66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 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w:t>
      </w:r>
    </w:p>
    <w:p>
      <w:pPr>
        <w:spacing w:after="0" w:line="198" w:lineRule="exact"/>
        <w:rPr>
          <w:sz w:val="20"/>
          <w:szCs w:val="20"/>
          <w:color w:val="auto"/>
        </w:rPr>
      </w:pPr>
    </w:p>
    <w:p>
      <w:pPr>
        <w:ind w:left="1560" w:hanging="521"/>
        <w:spacing w:after="0"/>
        <w:tabs>
          <w:tab w:leader="none" w:pos="15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198" w:lineRule="exact"/>
        <w:rPr>
          <w:rFonts w:ascii="Arial" w:cs="Arial" w:eastAsia="Arial" w:hAnsi="Arial"/>
          <w:sz w:val="18"/>
          <w:szCs w:val="18"/>
          <w:color w:val="auto"/>
        </w:rPr>
      </w:pPr>
    </w:p>
    <w:p>
      <w:pPr>
        <w:jc w:val="both"/>
        <w:ind w:left="1540" w:hanging="501"/>
        <w:spacing w:after="0"/>
        <w:tabs>
          <w:tab w:leader="none" w:pos="170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 Rate; or</w:t>
      </w:r>
    </w:p>
    <w:p>
      <w:pPr>
        <w:spacing w:after="0" w:line="198" w:lineRule="exact"/>
        <w:rPr>
          <w:sz w:val="20"/>
          <w:szCs w:val="20"/>
          <w:color w:val="auto"/>
        </w:rPr>
      </w:pPr>
    </w:p>
    <w:p>
      <w:pPr>
        <w:jc w:val="both"/>
        <w:ind w:left="1040" w:hanging="511"/>
        <w:spacing w:after="0"/>
        <w:tabs>
          <w:tab w:leader="none" w:pos="1256"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pacing w:after="0" w:line="189" w:lineRule="exact"/>
        <w:rPr>
          <w:rFonts w:ascii="Arial" w:cs="Arial" w:eastAsia="Arial" w:hAnsi="Arial"/>
          <w:sz w:val="18"/>
          <w:szCs w:val="18"/>
          <w:color w:val="auto"/>
        </w:rPr>
      </w:pPr>
    </w:p>
    <w:p>
      <w:pPr>
        <w:ind w:left="1040" w:right="20" w:hanging="511"/>
        <w:spacing w:after="0" w:line="246" w:lineRule="auto"/>
        <w:tabs>
          <w:tab w:leader="none" w:pos="1323"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83" w:lineRule="exact"/>
        <w:rPr>
          <w:rFonts w:ascii="Arial" w:cs="Arial" w:eastAsia="Arial" w:hAnsi="Arial"/>
          <w:sz w:val="18"/>
          <w:szCs w:val="18"/>
          <w:color w:val="auto"/>
        </w:rPr>
      </w:pPr>
    </w:p>
    <w:p>
      <w:pPr>
        <w:ind w:left="1040" w:hanging="511"/>
        <w:spacing w:after="0"/>
        <w:tabs>
          <w:tab w:leader="none" w:pos="10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198" w:lineRule="exact"/>
        <w:rPr>
          <w:rFonts w:ascii="Arial" w:cs="Arial" w:eastAsia="Arial" w:hAnsi="Arial"/>
          <w:sz w:val="18"/>
          <w:szCs w:val="18"/>
          <w:color w:val="auto"/>
        </w:rPr>
      </w:pPr>
    </w:p>
    <w:p>
      <w:pPr>
        <w:ind w:left="520" w:hanging="512"/>
        <w:spacing w:after="0" w:line="246" w:lineRule="auto"/>
        <w:tabs>
          <w:tab w:leader="none" w:pos="81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183" w:lineRule="exact"/>
        <w:rPr>
          <w:rFonts w:ascii="Arial" w:cs="Arial" w:eastAsia="Arial" w:hAnsi="Arial"/>
          <w:sz w:val="18"/>
          <w:szCs w:val="18"/>
          <w:color w:val="auto"/>
        </w:rPr>
      </w:pPr>
    </w:p>
    <w:p>
      <w:pPr>
        <w:ind w:left="1040" w:hanging="511"/>
        <w:spacing w:after="0" w:line="246" w:lineRule="auto"/>
        <w:tabs>
          <w:tab w:leader="none" w:pos="133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Borrowers) temporary; or</w:t>
      </w:r>
    </w:p>
    <w:p>
      <w:pPr>
        <w:spacing w:after="0" w:line="183" w:lineRule="exact"/>
        <w:rPr>
          <w:rFonts w:ascii="Arial" w:cs="Arial" w:eastAsia="Arial" w:hAnsi="Arial"/>
          <w:sz w:val="18"/>
          <w:szCs w:val="18"/>
          <w:color w:val="auto"/>
        </w:rPr>
      </w:pPr>
    </w:p>
    <w:p>
      <w:pPr>
        <w:ind w:left="1040" w:hanging="511"/>
        <w:spacing w:after="0" w:line="246" w:lineRule="auto"/>
        <w:tabs>
          <w:tab w:leader="none" w:pos="121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that Screen Rate is calculated in accordance with any such policy or arrangement for a period no less than fifteen (15) Business Days; or</w:t>
      </w:r>
    </w:p>
    <w:p>
      <w:pPr>
        <w:spacing w:after="0" w:line="183" w:lineRule="exact"/>
        <w:rPr>
          <w:rFonts w:ascii="Arial" w:cs="Arial" w:eastAsia="Arial" w:hAnsi="Arial"/>
          <w:sz w:val="18"/>
          <w:szCs w:val="18"/>
          <w:color w:val="auto"/>
        </w:rPr>
      </w:pPr>
    </w:p>
    <w:p>
      <w:pPr>
        <w:ind w:left="520" w:hanging="512"/>
        <w:spacing w:after="0" w:line="246" w:lineRule="auto"/>
        <w:tabs>
          <w:tab w:leader="none" w:pos="53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the Screen Rate is otherwise no longer appropriate for the purposes of calculating interest under this Agreement..</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41" w:name="page142"/>
    <w:bookmarkEnd w:id="141"/>
    <w:p>
      <w:pPr>
        <w:ind w:left="160"/>
        <w:spacing w:after="0"/>
        <w:rPr>
          <w:sz w:val="20"/>
          <w:szCs w:val="20"/>
          <w:color w:val="auto"/>
        </w:rPr>
      </w:pPr>
      <w:r>
        <w:rPr>
          <w:rFonts w:ascii="Arial" w:cs="Arial" w:eastAsia="Arial" w:hAnsi="Arial"/>
          <w:sz w:val="22"/>
          <w:szCs w:val="22"/>
          <w:b w:val="1"/>
          <w:bCs w:val="1"/>
          <w:color w:val="auto"/>
        </w:rPr>
        <w:t>42 Counterparts</w:t>
      </w:r>
    </w:p>
    <w:p>
      <w:pPr>
        <w:spacing w:after="0" w:line="22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43 Confidentiality</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Confidential Information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43.2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43.3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Disclosure of Confidential Information</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Finance Party may disclose (without the consent of the Obligors) to (i) any of its Affiliates, employees (including service and settlement employees), officers, representatives or advisers and (ii) any other person:</w:t>
      </w:r>
    </w:p>
    <w:p>
      <w:pPr>
        <w:spacing w:after="0" w:line="183" w:lineRule="exact"/>
        <w:rPr>
          <w:sz w:val="20"/>
          <w:szCs w:val="20"/>
          <w:color w:val="auto"/>
        </w:rPr>
      </w:pPr>
    </w:p>
    <w:p>
      <w:pPr>
        <w:ind w:left="1020" w:hanging="512"/>
        <w:spacing w:after="0" w:line="246" w:lineRule="auto"/>
        <w:tabs>
          <w:tab w:leader="none" w:pos="143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the case of a Lender, to (or through) whom that Lender assigns (or may potentially assign) all or any of its rights and obligations under the Finance Documents;</w:t>
      </w:r>
    </w:p>
    <w:p>
      <w:pPr>
        <w:spacing w:after="0" w:line="183"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the case of a Lender, to whom or for whose benefit that Finance Party charges, assigns or otherwise creates Security (or may do so) pursuant to clause 30.6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20" w:hanging="512"/>
        <w:spacing w:after="0"/>
        <w:tabs>
          <w:tab w:leader="none" w:pos="119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the case of a Lender, with (or through) whom that Lender enters into (or may potentially enter into) any sub-participation in relation to, or any other transaction under which payments are to be made by reference to, the Finance Documents or any Obligor;</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198" w:lineRule="exact"/>
        <w:rPr>
          <w:rFonts w:ascii="Arial" w:cs="Arial" w:eastAsia="Arial" w:hAnsi="Arial"/>
          <w:sz w:val="18"/>
          <w:szCs w:val="18"/>
          <w:color w:val="auto"/>
        </w:rPr>
      </w:pPr>
    </w:p>
    <w:p>
      <w:pPr>
        <w:ind w:left="1060" w:hanging="552"/>
        <w:spacing w:after="0"/>
        <w:tabs>
          <w:tab w:leader="none" w:pos="10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order to preserve or enforce any rights any Finance Party may have under the Security Documents;</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14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which is a rating agency (including its professional advisers) or such Finance Party’s professional advisers (including auditors, lawyers, accountants, surveyors, valuers, insurers, insurance advisors and brokers);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the case of the Security Agent, in the course of the performance of its functions under the Finance Documents; or</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38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or by the rules of any relevant stock exchange,</w:t>
      </w:r>
    </w:p>
    <w:p>
      <w:pPr>
        <w:spacing w:after="0" w:line="183"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any information about any Obligor, the Group and the Finance Documents as that Finance Party shall consider appropriate if (except where disclosure is made to any of its Affiliates (and provided that such Affiliates are notified if any such information is confidential or price sensitive in nature), employees or officers) any such person has entered into a confidentiality agreement substantially in the form of the then current form of LMA Confidentiality Letter (Purchaser) for the secondary trading of loans except that no such confidentiality agreement shall be required in relation to clauses 43.2(e) and 43.2(h) if, in the reasonable opinion of that Finance Party, it is not practicable to obtain such agreement and, in such case, provided that the recipient is notified if any such information is confidential or price sensitive in nature; and any Finance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142" w:name="page143"/>
    <w:bookmarkEnd w:id="142"/>
    <w:p>
      <w:pPr>
        <w:jc w:val="both"/>
        <w:ind w:left="520"/>
        <w:spacing w:after="0" w:line="238" w:lineRule="auto"/>
        <w:rPr>
          <w:sz w:val="20"/>
          <w:szCs w:val="20"/>
          <w:color w:val="auto"/>
        </w:rPr>
      </w:pPr>
      <w:r>
        <w:rPr>
          <w:rFonts w:ascii="Arial" w:cs="Arial" w:eastAsia="Arial" w:hAnsi="Arial"/>
          <w:sz w:val="18"/>
          <w:szCs w:val="18"/>
          <w:color w:val="auto"/>
        </w:rPr>
        <w:t>may disclose (with the consent of the Borrowers) to any other person not included in paragraphs 43.2(a) - 43.2(h) above, any information about any Obligor, the Group and the Finance Documents as that Finance Party shall consider appropriate if any such person has entered into a confidentiality agreement substantially in the form agreed between the Borrowers and the relevant Finance Party.</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Disclosure to numbering service providers</w:t>
      </w:r>
    </w:p>
    <w:p>
      <w:pPr>
        <w:spacing w:after="0" w:line="220" w:lineRule="exact"/>
        <w:rPr>
          <w:sz w:val="20"/>
          <w:szCs w:val="20"/>
          <w:color w:val="auto"/>
        </w:rPr>
      </w:pPr>
    </w:p>
    <w:p>
      <w:pPr>
        <w:jc w:val="both"/>
        <w:ind w:left="1020" w:hanging="512"/>
        <w:spacing w:after="0"/>
        <w:tabs>
          <w:tab w:leader="none" w:pos="112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80"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clause 44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type of the Facility;</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ranking of the Facility;</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term of the Facility;</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43.3(a)(i) to 43.3(a)(xii) above; and</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98" w:lineRule="exact"/>
        <w:rPr>
          <w:sz w:val="20"/>
          <w:szCs w:val="20"/>
          <w:color w:val="auto"/>
        </w:rPr>
      </w:pPr>
    </w:p>
    <w:p>
      <w:pPr>
        <w:jc w:val="both"/>
        <w:ind w:left="1020" w:hanging="512"/>
        <w:spacing w:after="0"/>
        <w:tabs>
          <w:tab w:leader="none" w:pos="105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9" w:lineRule="exact"/>
        <w:rPr>
          <w:rFonts w:ascii="Arial" w:cs="Arial" w:eastAsia="Arial" w:hAnsi="Arial"/>
          <w:sz w:val="18"/>
          <w:szCs w:val="18"/>
          <w:color w:val="auto"/>
        </w:rPr>
      </w:pPr>
    </w:p>
    <w:p>
      <w:pPr>
        <w:ind w:left="1020" w:hanging="512"/>
        <w:spacing w:after="0" w:line="246" w:lineRule="auto"/>
        <w:tabs>
          <w:tab w:leader="none" w:pos="118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clauses 43.3(a)(i) to 43.3(a)(xiii) above is, nor will at any time be, unpublished price-sensitive information.</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198" w:lineRule="exact"/>
        <w:rPr>
          <w:sz w:val="20"/>
          <w:szCs w:val="20"/>
          <w:color w:val="auto"/>
        </w:rPr>
      </w:pPr>
    </w:p>
    <w:p>
      <w:pPr>
        <w:ind w:left="1540" w:hanging="511"/>
        <w:spacing w:after="0" w:line="246" w:lineRule="auto"/>
        <w:tabs>
          <w:tab w:leader="none" w:pos="162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3" w:name="page144"/>
    <w:bookmarkEnd w:id="143"/>
    <w:p>
      <w:pPr>
        <w:ind w:left="1540" w:hanging="511"/>
        <w:spacing w:after="0" w:line="246" w:lineRule="auto"/>
        <w:tabs>
          <w:tab w:leader="none" w:pos="175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43.4</w:t>
        <w:tab/>
        <w:t>Entire agreement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This clause 43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Inside information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43.6</w:t>
        <w:tab/>
        <w:t>Banking secrecy laws</w:t>
      </w:r>
    </w:p>
    <w:p>
      <w:pPr>
        <w:spacing w:after="0" w:line="220" w:lineRule="exact"/>
        <w:rPr>
          <w:sz w:val="20"/>
          <w:szCs w:val="20"/>
          <w:color w:val="auto"/>
        </w:rPr>
      </w:pPr>
    </w:p>
    <w:p>
      <w:pPr>
        <w:jc w:val="both"/>
        <w:ind w:left="1020" w:hanging="512"/>
        <w:spacing w:after="0" w:line="238" w:lineRule="auto"/>
        <w:tabs>
          <w:tab w:leader="none" w:pos="10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8"/>
          <w:szCs w:val="18"/>
          <w:b w:val="1"/>
          <w:bCs w:val="1"/>
          <w:color w:val="auto"/>
        </w:rPr>
        <w:t>Disclosing Party</w:t>
      </w:r>
      <w:r>
        <w:rPr>
          <w:rFonts w:ascii="Arial" w:cs="Arial" w:eastAsia="Arial" w:hAnsi="Arial"/>
          <w:sz w:val="18"/>
          <w:szCs w:val="18"/>
          <w:color w:val="auto"/>
        </w:rPr>
        <w:t>) from any confidentiality obligations or confidentiality restrictions arising from Swiss law or other applicable banking secrecy and data protection legislation which would prevent a Disclosing Party from disclosing any Confidential Information in accordance with this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020" w:hanging="512"/>
        <w:spacing w:after="0" w:line="238" w:lineRule="auto"/>
        <w:tabs>
          <w:tab w:leader="none" w:pos="109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Continuing obligations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obligations in this clause 43 are continuing and, in particular, shall survive and remain binding on each Finance Party for a period of twelve months from the earlier of:</w:t>
      </w:r>
    </w:p>
    <w:p>
      <w:pPr>
        <w:spacing w:after="0" w:line="183" w:lineRule="exact"/>
        <w:rPr>
          <w:sz w:val="20"/>
          <w:szCs w:val="20"/>
          <w:color w:val="auto"/>
        </w:rPr>
      </w:pPr>
    </w:p>
    <w:p>
      <w:pPr>
        <w:ind w:left="1020" w:hanging="512"/>
        <w:spacing w:after="0" w:line="246" w:lineRule="auto"/>
        <w:tabs>
          <w:tab w:leader="none" w:pos="107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44 Governing law</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Agreement and any non-contractual obligations connected with it are governed by English law.</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45 Enforcement</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7"/>
          <w:szCs w:val="17"/>
          <w:b w:val="1"/>
          <w:bCs w:val="1"/>
          <w:color w:val="auto"/>
        </w:rPr>
        <w:t>Jurisdiction of English courts</w:t>
      </w:r>
    </w:p>
    <w:p>
      <w:pPr>
        <w:spacing w:after="0" w:line="220" w:lineRule="exact"/>
        <w:rPr>
          <w:sz w:val="20"/>
          <w:szCs w:val="20"/>
          <w:color w:val="auto"/>
        </w:rPr>
      </w:pPr>
    </w:p>
    <w:p>
      <w:pPr>
        <w:jc w:val="both"/>
        <w:ind w:left="1020" w:hanging="512"/>
        <w:spacing w:after="0"/>
        <w:tabs>
          <w:tab w:leader="none" w:pos="107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4" w:name="page145"/>
    <w:bookmarkEnd w:id="144"/>
    <w:p>
      <w:pPr>
        <w:ind w:left="1020" w:right="20" w:hanging="506"/>
        <w:spacing w:after="0" w:line="246" w:lineRule="auto"/>
        <w:tabs>
          <w:tab w:leader="none" w:pos="1029"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96" w:lineRule="exact"/>
        <w:rPr>
          <w:rFonts w:ascii="Arial" w:cs="Arial" w:eastAsia="Arial" w:hAnsi="Arial"/>
          <w:sz w:val="18"/>
          <w:szCs w:val="18"/>
          <w:color w:val="auto"/>
        </w:rPr>
      </w:pPr>
    </w:p>
    <w:p>
      <w:pPr>
        <w:jc w:val="both"/>
        <w:ind w:left="1020" w:hanging="506"/>
        <w:spacing w:after="0"/>
        <w:tabs>
          <w:tab w:leader="none" w:pos="112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This clause 45.1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7"/>
          <w:szCs w:val="17"/>
          <w:b w:val="1"/>
          <w:bCs w:val="1"/>
          <w:color w:val="auto"/>
        </w:rPr>
        <w:t>Service of process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194" w:lineRule="exact"/>
        <w:rPr>
          <w:sz w:val="20"/>
          <w:szCs w:val="20"/>
          <w:color w:val="auto"/>
        </w:rPr>
      </w:pPr>
    </w:p>
    <w:p>
      <w:pPr>
        <w:ind w:left="1020" w:hanging="506"/>
        <w:spacing w:after="0" w:line="267" w:lineRule="auto"/>
        <w:tabs>
          <w:tab w:leader="none" w:pos="104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78" w:lineRule="exact"/>
        <w:rPr>
          <w:rFonts w:ascii="Arial" w:cs="Arial" w:eastAsia="Arial" w:hAnsi="Arial"/>
          <w:sz w:val="18"/>
          <w:szCs w:val="18"/>
          <w:color w:val="auto"/>
        </w:rPr>
      </w:pPr>
    </w:p>
    <w:p>
      <w:pPr>
        <w:ind w:left="1020" w:right="20" w:hanging="506"/>
        <w:spacing w:after="0" w:line="246" w:lineRule="auto"/>
        <w:tabs>
          <w:tab w:leader="none" w:pos="101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Obligor of the process will not invalidate the proceedings concerned; and</w:t>
      </w:r>
    </w:p>
    <w:p>
      <w:pPr>
        <w:spacing w:after="0" w:line="196" w:lineRule="exact"/>
        <w:rPr>
          <w:rFonts w:ascii="Arial" w:cs="Arial" w:eastAsia="Arial" w:hAnsi="Arial"/>
          <w:sz w:val="18"/>
          <w:szCs w:val="18"/>
          <w:color w:val="auto"/>
        </w:rPr>
      </w:pPr>
    </w:p>
    <w:p>
      <w:pPr>
        <w:jc w:val="both"/>
        <w:ind w:left="1020" w:hanging="506"/>
        <w:spacing w:after="0"/>
        <w:tabs>
          <w:tab w:leader="none" w:pos="108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5" w:name="page146"/>
    <w:bookmarkEnd w:id="145"/>
    <w:tbl>
      <w:tblPr>
        <w:tblLayout w:type="fixed"/>
        <w:tblInd w:w="10" w:type="dxa"/>
        <w:tblCellMar>
          <w:top w:w="0" w:type="dxa"/>
          <w:left w:w="0" w:type="dxa"/>
          <w:bottom w:w="0" w:type="dxa"/>
          <w:right w:w="0" w:type="dxa"/>
        </w:tblCellMar>
      </w:tblPr>
      <w:tr>
        <w:trPr>
          <w:trHeight w:val="253"/>
        </w:trPr>
        <w:tc>
          <w:tcPr>
            <w:tcW w:w="3600" w:type="dxa"/>
            <w:vAlign w:val="bottom"/>
          </w:tcPr>
          <w:p>
            <w:pPr>
              <w:spacing w:after="0"/>
              <w:rPr>
                <w:sz w:val="21"/>
                <w:szCs w:val="21"/>
                <w:color w:val="auto"/>
              </w:rPr>
            </w:pPr>
          </w:p>
        </w:tc>
        <w:tc>
          <w:tcPr>
            <w:tcW w:w="7640" w:type="dxa"/>
            <w:vAlign w:val="bottom"/>
          </w:tcPr>
          <w:p>
            <w:pPr>
              <w:jc w:val="center"/>
              <w:ind w:right="3489"/>
              <w:spacing w:after="0"/>
              <w:rPr>
                <w:sz w:val="20"/>
                <w:szCs w:val="20"/>
                <w:color w:val="auto"/>
              </w:rPr>
            </w:pPr>
            <w:r>
              <w:rPr>
                <w:rFonts w:ascii="Arial" w:cs="Arial" w:eastAsia="Arial" w:hAnsi="Arial"/>
                <w:sz w:val="22"/>
                <w:szCs w:val="22"/>
                <w:b w:val="1"/>
                <w:bCs w:val="1"/>
                <w:color w:val="auto"/>
                <w:w w:val="98"/>
              </w:rPr>
              <w:t>Schedule 1</w:t>
            </w:r>
          </w:p>
        </w:tc>
        <w:tc>
          <w:tcPr>
            <w:tcW w:w="40" w:type="dxa"/>
            <w:vAlign w:val="bottom"/>
          </w:tcPr>
          <w:p>
            <w:pPr>
              <w:spacing w:after="0"/>
              <w:rPr>
                <w:sz w:val="21"/>
                <w:szCs w:val="21"/>
                <w:color w:val="auto"/>
              </w:rPr>
            </w:pPr>
          </w:p>
        </w:tc>
      </w:tr>
      <w:tr>
        <w:trPr>
          <w:trHeight w:val="285"/>
        </w:trPr>
        <w:tc>
          <w:tcPr>
            <w:tcW w:w="3600" w:type="dxa"/>
            <w:vAlign w:val="bottom"/>
          </w:tcPr>
          <w:p>
            <w:pPr>
              <w:spacing w:after="0"/>
              <w:rPr>
                <w:sz w:val="24"/>
                <w:szCs w:val="24"/>
                <w:color w:val="auto"/>
              </w:rPr>
            </w:pPr>
          </w:p>
        </w:tc>
        <w:tc>
          <w:tcPr>
            <w:tcW w:w="7640" w:type="dxa"/>
            <w:vAlign w:val="bottom"/>
          </w:tcPr>
          <w:p>
            <w:pPr>
              <w:jc w:val="center"/>
              <w:ind w:right="3509"/>
              <w:spacing w:after="0"/>
              <w:rPr>
                <w:sz w:val="20"/>
                <w:szCs w:val="20"/>
                <w:color w:val="auto"/>
              </w:rPr>
            </w:pPr>
            <w:r>
              <w:rPr>
                <w:rFonts w:ascii="Arial" w:cs="Arial" w:eastAsia="Arial" w:hAnsi="Arial"/>
                <w:sz w:val="22"/>
                <w:szCs w:val="22"/>
                <w:b w:val="1"/>
                <w:bCs w:val="1"/>
                <w:color w:val="auto"/>
                <w:w w:val="98"/>
              </w:rPr>
              <w:t>The original parties</w:t>
            </w:r>
          </w:p>
        </w:tc>
        <w:tc>
          <w:tcPr>
            <w:tcW w:w="40" w:type="dxa"/>
            <w:vAlign w:val="bottom"/>
          </w:tcPr>
          <w:p>
            <w:pPr>
              <w:spacing w:after="0"/>
              <w:rPr>
                <w:sz w:val="24"/>
                <w:szCs w:val="24"/>
                <w:color w:val="auto"/>
              </w:rPr>
            </w:pPr>
          </w:p>
        </w:tc>
      </w:tr>
      <w:tr>
        <w:trPr>
          <w:trHeight w:val="422"/>
        </w:trPr>
        <w:tc>
          <w:tcPr>
            <w:tcW w:w="3600" w:type="dxa"/>
            <w:vAlign w:val="bottom"/>
          </w:tcPr>
          <w:p>
            <w:pPr>
              <w:spacing w:after="0"/>
              <w:rPr>
                <w:sz w:val="24"/>
                <w:szCs w:val="24"/>
                <w:color w:val="auto"/>
              </w:rPr>
            </w:pPr>
          </w:p>
        </w:tc>
        <w:tc>
          <w:tcPr>
            <w:tcW w:w="7640" w:type="dxa"/>
            <w:vAlign w:val="bottom"/>
          </w:tcPr>
          <w:p>
            <w:pPr>
              <w:jc w:val="center"/>
              <w:ind w:right="3489"/>
              <w:spacing w:after="0"/>
              <w:rPr>
                <w:sz w:val="20"/>
                <w:szCs w:val="20"/>
                <w:color w:val="auto"/>
              </w:rPr>
            </w:pPr>
            <w:r>
              <w:rPr>
                <w:rFonts w:ascii="Arial" w:cs="Arial" w:eastAsia="Arial" w:hAnsi="Arial"/>
                <w:sz w:val="18"/>
                <w:szCs w:val="18"/>
                <w:b w:val="1"/>
                <w:bCs w:val="1"/>
                <w:color w:val="auto"/>
                <w:w w:val="99"/>
              </w:rPr>
              <w:t>Borrowers</w:t>
            </w:r>
          </w:p>
        </w:tc>
        <w:tc>
          <w:tcPr>
            <w:tcW w:w="40" w:type="dxa"/>
            <w:vAlign w:val="bottom"/>
          </w:tcPr>
          <w:p>
            <w:pPr>
              <w:spacing w:after="0"/>
              <w:rPr>
                <w:sz w:val="24"/>
                <w:szCs w:val="24"/>
                <w:color w:val="auto"/>
              </w:rPr>
            </w:pPr>
          </w:p>
        </w:tc>
      </w:tr>
      <w:tr>
        <w:trPr>
          <w:trHeight w:val="202"/>
        </w:trPr>
        <w:tc>
          <w:tcPr>
            <w:tcW w:w="3600" w:type="dxa"/>
            <w:vAlign w:val="bottom"/>
            <w:tcBorders>
              <w:bottom w:val="single" w:sz="8" w:color="auto"/>
            </w:tcBorders>
          </w:tcPr>
          <w:p>
            <w:pPr>
              <w:spacing w:after="0"/>
              <w:rPr>
                <w:sz w:val="17"/>
                <w:szCs w:val="17"/>
                <w:color w:val="auto"/>
              </w:rPr>
            </w:pPr>
          </w:p>
        </w:tc>
        <w:tc>
          <w:tcPr>
            <w:tcW w:w="7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91"/>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GAS-twenty Ltd.</w:t>
            </w:r>
          </w:p>
        </w:tc>
        <w:tc>
          <w:tcPr>
            <w:tcW w:w="40" w:type="dxa"/>
            <w:vAlign w:val="bottom"/>
          </w:tcPr>
          <w:p>
            <w:pPr>
              <w:spacing w:after="0"/>
              <w:rPr>
                <w:sz w:val="24"/>
                <w:szCs w:val="24"/>
                <w:color w:val="auto"/>
              </w:rPr>
            </w:pPr>
          </w:p>
        </w:tc>
      </w:tr>
      <w:tr>
        <w:trPr>
          <w:trHeight w:val="291"/>
        </w:trPr>
        <w:tc>
          <w:tcPr>
            <w:tcW w:w="360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r>
      <w:tr>
        <w:trPr>
          <w:trHeight w:val="173"/>
        </w:trPr>
        <w:tc>
          <w:tcPr>
            <w:tcW w:w="3600" w:type="dxa"/>
            <w:vAlign w:val="bottom"/>
            <w:tcBorders>
              <w:top w:val="single" w:sz="8" w:color="auto"/>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48942</w:t>
            </w:r>
          </w:p>
        </w:tc>
        <w:tc>
          <w:tcPr>
            <w:tcW w:w="40" w:type="dxa"/>
            <w:vAlign w:val="bottom"/>
          </w:tcPr>
          <w:p>
            <w:pPr>
              <w:spacing w:after="0"/>
              <w:rPr>
                <w:sz w:val="15"/>
                <w:szCs w:val="15"/>
                <w:color w:val="auto"/>
              </w:rPr>
            </w:pP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73"/>
        </w:trPr>
        <w:tc>
          <w:tcPr>
            <w:tcW w:w="360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5"/>
                <w:szCs w:val="15"/>
                <w:color w:val="auto"/>
              </w:rPr>
            </w:pP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90"/>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24"/>
                <w:szCs w:val="24"/>
                <w:color w:val="auto"/>
              </w:rPr>
            </w:pPr>
          </w:p>
        </w:tc>
      </w:tr>
      <w:tr>
        <w:trPr>
          <w:trHeight w:val="195"/>
        </w:trPr>
        <w:tc>
          <w:tcPr>
            <w:tcW w:w="3600" w:type="dxa"/>
            <w:vAlign w:val="bottom"/>
            <w:tcBorders>
              <w:top w:val="single" w:sz="8" w:color="auto"/>
              <w:left w:val="single" w:sz="8" w:color="auto"/>
              <w:right w:val="single" w:sz="8" w:color="auto"/>
            </w:tcBorders>
            <w:shd w:val="clear" w:color="auto" w:fill="C0C0C0"/>
          </w:tcPr>
          <w:p>
            <w:pPr>
              <w:ind w:left="120"/>
              <w:spacing w:after="0" w:line="195" w:lineRule="exact"/>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top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6"/>
                <w:szCs w:val="16"/>
                <w:color w:val="auto"/>
              </w:rPr>
            </w:pPr>
          </w:p>
        </w:tc>
      </w:tr>
      <w:tr>
        <w:trPr>
          <w:trHeight w:val="217"/>
        </w:trPr>
        <w:tc>
          <w:tcPr>
            <w:tcW w:w="3600" w:type="dxa"/>
            <w:vAlign w:val="bottom"/>
            <w:tcBorders>
              <w:left w:val="single" w:sz="8" w:color="auto"/>
              <w:right w:val="single" w:sz="8" w:color="auto"/>
            </w:tcBorders>
            <w:shd w:val="clear" w:color="auto" w:fill="C0C0C0"/>
          </w:tcPr>
          <w:p>
            <w:pPr>
              <w:spacing w:after="0"/>
              <w:rPr>
                <w:sz w:val="18"/>
                <w:szCs w:val="18"/>
                <w:color w:val="auto"/>
              </w:rPr>
            </w:pP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09"/>
        </w:trPr>
        <w:tc>
          <w:tcPr>
            <w:tcW w:w="3600" w:type="dxa"/>
            <w:vAlign w:val="bottom"/>
            <w:tcBorders>
              <w:bottom w:val="single" w:sz="8" w:color="auto"/>
            </w:tcBorders>
          </w:tcPr>
          <w:p>
            <w:pPr>
              <w:spacing w:after="0"/>
              <w:rPr>
                <w:sz w:val="18"/>
                <w:szCs w:val="18"/>
                <w:color w:val="auto"/>
              </w:rPr>
            </w:pPr>
          </w:p>
        </w:tc>
        <w:tc>
          <w:tcPr>
            <w:tcW w:w="7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91"/>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GAS-seven Ltd.</w:t>
            </w:r>
          </w:p>
        </w:tc>
        <w:tc>
          <w:tcPr>
            <w:tcW w:w="40" w:type="dxa"/>
            <w:vAlign w:val="bottom"/>
          </w:tcPr>
          <w:p>
            <w:pPr>
              <w:spacing w:after="0"/>
              <w:rPr>
                <w:sz w:val="24"/>
                <w:szCs w:val="24"/>
                <w:color w:val="auto"/>
              </w:rPr>
            </w:pPr>
          </w:p>
        </w:tc>
      </w:tr>
      <w:tr>
        <w:trPr>
          <w:trHeight w:val="290"/>
        </w:trPr>
        <w:tc>
          <w:tcPr>
            <w:tcW w:w="360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r>
      <w:tr>
        <w:trPr>
          <w:trHeight w:val="173"/>
        </w:trPr>
        <w:tc>
          <w:tcPr>
            <w:tcW w:w="3600" w:type="dxa"/>
            <w:vAlign w:val="bottom"/>
            <w:tcBorders>
              <w:top w:val="single" w:sz="8" w:color="auto"/>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45254</w:t>
            </w:r>
          </w:p>
        </w:tc>
        <w:tc>
          <w:tcPr>
            <w:tcW w:w="40" w:type="dxa"/>
            <w:vAlign w:val="bottom"/>
          </w:tcPr>
          <w:p>
            <w:pPr>
              <w:spacing w:after="0"/>
              <w:rPr>
                <w:sz w:val="15"/>
                <w:szCs w:val="15"/>
                <w:color w:val="auto"/>
              </w:rPr>
            </w:pP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73"/>
        </w:trPr>
        <w:tc>
          <w:tcPr>
            <w:tcW w:w="360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5"/>
                <w:szCs w:val="15"/>
                <w:color w:val="auto"/>
              </w:rPr>
            </w:pP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91"/>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24"/>
                <w:szCs w:val="24"/>
                <w:color w:val="auto"/>
              </w:rPr>
            </w:pPr>
          </w:p>
        </w:tc>
      </w:tr>
      <w:tr>
        <w:trPr>
          <w:trHeight w:val="195"/>
        </w:trPr>
        <w:tc>
          <w:tcPr>
            <w:tcW w:w="3600" w:type="dxa"/>
            <w:vAlign w:val="bottom"/>
            <w:tcBorders>
              <w:top w:val="single" w:sz="8" w:color="auto"/>
              <w:left w:val="single" w:sz="8" w:color="auto"/>
              <w:right w:val="single" w:sz="8" w:color="auto"/>
            </w:tcBorders>
            <w:shd w:val="clear" w:color="auto" w:fill="C0C0C0"/>
          </w:tcPr>
          <w:p>
            <w:pPr>
              <w:ind w:left="120"/>
              <w:spacing w:after="0" w:line="195" w:lineRule="exact"/>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top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6"/>
                <w:szCs w:val="16"/>
                <w:color w:val="auto"/>
              </w:rPr>
            </w:pPr>
          </w:p>
        </w:tc>
      </w:tr>
      <w:tr>
        <w:trPr>
          <w:trHeight w:val="217"/>
        </w:trPr>
        <w:tc>
          <w:tcPr>
            <w:tcW w:w="3600" w:type="dxa"/>
            <w:vAlign w:val="bottom"/>
            <w:tcBorders>
              <w:left w:val="single" w:sz="8" w:color="auto"/>
              <w:right w:val="single" w:sz="8" w:color="auto"/>
            </w:tcBorders>
            <w:shd w:val="clear" w:color="auto" w:fill="C0C0C0"/>
          </w:tcPr>
          <w:p>
            <w:pPr>
              <w:spacing w:after="0"/>
              <w:rPr>
                <w:sz w:val="18"/>
                <w:szCs w:val="18"/>
                <w:color w:val="auto"/>
              </w:rPr>
            </w:pP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10"/>
        </w:trPr>
        <w:tc>
          <w:tcPr>
            <w:tcW w:w="3600" w:type="dxa"/>
            <w:vAlign w:val="bottom"/>
            <w:tcBorders>
              <w:bottom w:val="single" w:sz="8" w:color="auto"/>
            </w:tcBorders>
          </w:tcPr>
          <w:p>
            <w:pPr>
              <w:spacing w:after="0"/>
              <w:rPr>
                <w:sz w:val="18"/>
                <w:szCs w:val="18"/>
                <w:color w:val="auto"/>
              </w:rPr>
            </w:pPr>
          </w:p>
        </w:tc>
        <w:tc>
          <w:tcPr>
            <w:tcW w:w="7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90"/>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GAS-eight Ltd.</w:t>
            </w:r>
          </w:p>
        </w:tc>
        <w:tc>
          <w:tcPr>
            <w:tcW w:w="40" w:type="dxa"/>
            <w:vAlign w:val="bottom"/>
          </w:tcPr>
          <w:p>
            <w:pPr>
              <w:spacing w:after="0"/>
              <w:rPr>
                <w:sz w:val="24"/>
                <w:szCs w:val="24"/>
                <w:color w:val="auto"/>
              </w:rPr>
            </w:pPr>
          </w:p>
        </w:tc>
      </w:tr>
      <w:tr>
        <w:trPr>
          <w:trHeight w:val="290"/>
        </w:trPr>
        <w:tc>
          <w:tcPr>
            <w:tcW w:w="360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r>
      <w:tr>
        <w:trPr>
          <w:trHeight w:val="173"/>
        </w:trPr>
        <w:tc>
          <w:tcPr>
            <w:tcW w:w="3600" w:type="dxa"/>
            <w:vAlign w:val="bottom"/>
            <w:tcBorders>
              <w:top w:val="single" w:sz="8" w:color="auto"/>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45255</w:t>
            </w:r>
          </w:p>
        </w:tc>
        <w:tc>
          <w:tcPr>
            <w:tcW w:w="40" w:type="dxa"/>
            <w:vAlign w:val="bottom"/>
          </w:tcPr>
          <w:p>
            <w:pPr>
              <w:spacing w:after="0"/>
              <w:rPr>
                <w:sz w:val="15"/>
                <w:szCs w:val="15"/>
                <w:color w:val="auto"/>
              </w:rPr>
            </w:pP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73"/>
        </w:trPr>
        <w:tc>
          <w:tcPr>
            <w:tcW w:w="360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5"/>
                <w:szCs w:val="15"/>
                <w:color w:val="auto"/>
              </w:rPr>
            </w:pP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91"/>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24"/>
                <w:szCs w:val="24"/>
                <w:color w:val="auto"/>
              </w:rPr>
            </w:pPr>
          </w:p>
        </w:tc>
      </w:tr>
      <w:tr>
        <w:trPr>
          <w:trHeight w:val="195"/>
        </w:trPr>
        <w:tc>
          <w:tcPr>
            <w:tcW w:w="3600" w:type="dxa"/>
            <w:vAlign w:val="bottom"/>
            <w:tcBorders>
              <w:top w:val="single" w:sz="8" w:color="auto"/>
              <w:left w:val="single" w:sz="8" w:color="auto"/>
              <w:right w:val="single" w:sz="8" w:color="auto"/>
            </w:tcBorders>
            <w:shd w:val="clear" w:color="auto" w:fill="C0C0C0"/>
          </w:tcPr>
          <w:p>
            <w:pPr>
              <w:ind w:left="120"/>
              <w:spacing w:after="0" w:line="195" w:lineRule="exact"/>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top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6"/>
                <w:szCs w:val="16"/>
                <w:color w:val="auto"/>
              </w:rPr>
            </w:pPr>
          </w:p>
        </w:tc>
      </w:tr>
      <w:tr>
        <w:trPr>
          <w:trHeight w:val="217"/>
        </w:trPr>
        <w:tc>
          <w:tcPr>
            <w:tcW w:w="3600" w:type="dxa"/>
            <w:vAlign w:val="bottom"/>
            <w:tcBorders>
              <w:left w:val="single" w:sz="8" w:color="auto"/>
              <w:right w:val="single" w:sz="8" w:color="auto"/>
            </w:tcBorders>
            <w:shd w:val="clear" w:color="auto" w:fill="C0C0C0"/>
          </w:tcPr>
          <w:p>
            <w:pPr>
              <w:spacing w:after="0"/>
              <w:rPr>
                <w:sz w:val="18"/>
                <w:szCs w:val="18"/>
                <w:color w:val="auto"/>
              </w:rPr>
            </w:pP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425"/>
        </w:trPr>
        <w:tc>
          <w:tcPr>
            <w:tcW w:w="3600" w:type="dxa"/>
            <w:vAlign w:val="bottom"/>
          </w:tcPr>
          <w:p>
            <w:pPr>
              <w:spacing w:after="0"/>
              <w:rPr>
                <w:sz w:val="24"/>
                <w:szCs w:val="24"/>
                <w:color w:val="auto"/>
              </w:rPr>
            </w:pPr>
          </w:p>
        </w:tc>
        <w:tc>
          <w:tcPr>
            <w:tcW w:w="7640" w:type="dxa"/>
            <w:vAlign w:val="bottom"/>
          </w:tcPr>
          <w:p>
            <w:pPr>
              <w:jc w:val="center"/>
              <w:ind w:right="3489"/>
              <w:spacing w:after="0"/>
              <w:rPr>
                <w:sz w:val="20"/>
                <w:szCs w:val="20"/>
                <w:color w:val="auto"/>
              </w:rPr>
            </w:pPr>
            <w:r>
              <w:rPr>
                <w:rFonts w:ascii="Arial" w:cs="Arial" w:eastAsia="Arial" w:hAnsi="Arial"/>
                <w:sz w:val="18"/>
                <w:szCs w:val="18"/>
                <w:color w:val="auto"/>
                <w:w w:val="99"/>
              </w:rPr>
              <w:t>139</w:t>
            </w:r>
          </w:p>
        </w:tc>
        <w:tc>
          <w:tcPr>
            <w:tcW w:w="40" w:type="dxa"/>
            <w:vAlign w:val="bottom"/>
          </w:tcPr>
          <w:p>
            <w:pPr>
              <w:spacing w:after="0"/>
              <w:rPr>
                <w:sz w:val="24"/>
                <w:szCs w:val="24"/>
                <w:color w:val="auto"/>
              </w:rPr>
            </w:pPr>
          </w:p>
        </w:tc>
      </w:tr>
      <w:tr>
        <w:trPr>
          <w:trHeight w:val="118"/>
        </w:trPr>
        <w:tc>
          <w:tcPr>
            <w:tcW w:w="360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146" w:name="page147"/>
    <w:bookmarkEnd w:id="146"/>
    <w:tbl>
      <w:tblPr>
        <w:tblLayout w:type="fixed"/>
        <w:tblInd w:w="10" w:type="dxa"/>
        <w:tblCellMar>
          <w:top w:w="0" w:type="dxa"/>
          <w:left w:w="0" w:type="dxa"/>
          <w:bottom w:w="0" w:type="dxa"/>
          <w:right w:w="0" w:type="dxa"/>
        </w:tblCellMar>
      </w:tblPr>
      <w:tr>
        <w:trPr>
          <w:trHeight w:val="239"/>
        </w:trPr>
        <w:tc>
          <w:tcPr>
            <w:tcW w:w="3600" w:type="dxa"/>
            <w:vAlign w:val="bottom"/>
          </w:tcPr>
          <w:p>
            <w:pPr>
              <w:spacing w:after="0"/>
              <w:rPr>
                <w:sz w:val="20"/>
                <w:szCs w:val="20"/>
                <w:color w:val="auto"/>
              </w:rPr>
            </w:pPr>
          </w:p>
        </w:tc>
        <w:tc>
          <w:tcPr>
            <w:tcW w:w="7640" w:type="dxa"/>
            <w:vAlign w:val="bottom"/>
          </w:tcPr>
          <w:p>
            <w:pPr>
              <w:ind w:left="1740"/>
              <w:spacing w:after="0"/>
              <w:rPr>
                <w:sz w:val="20"/>
                <w:szCs w:val="20"/>
                <w:color w:val="auto"/>
              </w:rPr>
            </w:pPr>
            <w:r>
              <w:rPr>
                <w:rFonts w:ascii="Arial" w:cs="Arial" w:eastAsia="Arial" w:hAnsi="Arial"/>
                <w:sz w:val="18"/>
                <w:szCs w:val="18"/>
                <w:b w:val="1"/>
                <w:bCs w:val="1"/>
                <w:color w:val="auto"/>
              </w:rPr>
              <w:t>Parent</w:t>
            </w:r>
          </w:p>
        </w:tc>
      </w:tr>
      <w:tr>
        <w:trPr>
          <w:trHeight w:val="203"/>
        </w:trPr>
        <w:tc>
          <w:tcPr>
            <w:tcW w:w="3600" w:type="dxa"/>
            <w:vAlign w:val="bottom"/>
            <w:tcBorders>
              <w:bottom w:val="single" w:sz="8" w:color="auto"/>
            </w:tcBorders>
          </w:tcPr>
          <w:p>
            <w:pPr>
              <w:spacing w:after="0"/>
              <w:rPr>
                <w:sz w:val="17"/>
                <w:szCs w:val="17"/>
                <w:color w:val="auto"/>
              </w:rPr>
            </w:pPr>
          </w:p>
        </w:tc>
        <w:tc>
          <w:tcPr>
            <w:tcW w:w="7640" w:type="dxa"/>
            <w:vAlign w:val="bottom"/>
            <w:tcBorders>
              <w:bottom w:val="single" w:sz="8" w:color="auto"/>
            </w:tcBorders>
          </w:tcPr>
          <w:p>
            <w:pPr>
              <w:spacing w:after="0"/>
              <w:rPr>
                <w:sz w:val="17"/>
                <w:szCs w:val="17"/>
                <w:color w:val="auto"/>
              </w:rPr>
            </w:pPr>
          </w:p>
        </w:tc>
      </w:tr>
      <w:tr>
        <w:trPr>
          <w:trHeight w:val="291"/>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GasLog Partners LP</w:t>
            </w:r>
          </w:p>
        </w:tc>
      </w:tr>
      <w:tr>
        <w:trPr>
          <w:trHeight w:val="290"/>
        </w:trPr>
        <w:tc>
          <w:tcPr>
            <w:tcW w:w="360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Marshall Islands</w:t>
            </w:r>
          </w:p>
        </w:tc>
      </w:tr>
      <w:tr>
        <w:trPr>
          <w:trHeight w:val="173"/>
        </w:trPr>
        <w:tc>
          <w:tcPr>
            <w:tcW w:w="3600" w:type="dxa"/>
            <w:vAlign w:val="bottom"/>
            <w:tcBorders>
              <w:top w:val="single" w:sz="8" w:color="auto"/>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950063</w:t>
            </w: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right w:val="single" w:sz="8" w:color="auto"/>
            </w:tcBorders>
          </w:tcPr>
          <w:p>
            <w:pPr>
              <w:spacing w:after="0"/>
              <w:rPr>
                <w:sz w:val="20"/>
                <w:szCs w:val="20"/>
                <w:color w:val="auto"/>
              </w:rPr>
            </w:pP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r>
      <w:tr>
        <w:trPr>
          <w:trHeight w:val="173"/>
        </w:trPr>
        <w:tc>
          <w:tcPr>
            <w:tcW w:w="360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GasLog Services UK Ltd.</w:t>
            </w:r>
          </w:p>
        </w:tc>
      </w:tr>
      <w:tr>
        <w:trPr>
          <w:trHeight w:val="23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r>
      <w:tr>
        <w:trPr>
          <w:trHeight w:val="291"/>
        </w:trPr>
        <w:tc>
          <w:tcPr>
            <w:tcW w:w="36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Trust Company Complex, Ajeltake Road, Ajeltake Island, Majuro, Marshall Islands MH96960</w:t>
            </w:r>
          </w:p>
        </w:tc>
      </w:tr>
      <w:tr>
        <w:trPr>
          <w:trHeight w:val="195"/>
        </w:trPr>
        <w:tc>
          <w:tcPr>
            <w:tcW w:w="3600" w:type="dxa"/>
            <w:vAlign w:val="bottom"/>
            <w:tcBorders>
              <w:top w:val="single" w:sz="8" w:color="auto"/>
              <w:left w:val="single" w:sz="8" w:color="auto"/>
              <w:right w:val="single" w:sz="8" w:color="auto"/>
            </w:tcBorders>
            <w:shd w:val="clear" w:color="auto" w:fill="C0C0C0"/>
          </w:tcPr>
          <w:p>
            <w:pPr>
              <w:ind w:left="120"/>
              <w:spacing w:after="0" w:line="195" w:lineRule="exact"/>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top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Achilleas Tasioulas, c/o GasLog LNG Services Limited, c/o 69 Akti Miaouli GR 185-37</w:t>
            </w:r>
          </w:p>
        </w:tc>
      </w:tr>
      <w:tr>
        <w:trPr>
          <w:trHeight w:val="217"/>
        </w:trPr>
        <w:tc>
          <w:tcPr>
            <w:tcW w:w="3600" w:type="dxa"/>
            <w:vAlign w:val="bottom"/>
            <w:tcBorders>
              <w:left w:val="single" w:sz="8" w:color="auto"/>
              <w:right w:val="single" w:sz="8" w:color="auto"/>
            </w:tcBorders>
            <w:shd w:val="clear" w:color="auto" w:fill="C0C0C0"/>
          </w:tcPr>
          <w:p>
            <w:pPr>
              <w:spacing w:after="0"/>
              <w:rPr>
                <w:sz w:val="18"/>
                <w:szCs w:val="18"/>
                <w:color w:val="auto"/>
              </w:rPr>
            </w:pP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r>
      <w:tr>
        <w:trPr>
          <w:trHeight w:val="81"/>
        </w:trPr>
        <w:tc>
          <w:tcPr>
            <w:tcW w:w="36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640" w:type="dxa"/>
            <w:vAlign w:val="bottom"/>
            <w:tcBorders>
              <w:bottom w:val="single" w:sz="8" w:color="auto"/>
              <w:right w:val="single" w:sz="8" w:color="auto"/>
            </w:tcBorders>
          </w:tcPr>
          <w:p>
            <w:pPr>
              <w:spacing w:after="0"/>
              <w:rPr>
                <w:sz w:val="7"/>
                <w:szCs w:val="7"/>
                <w:color w:val="auto"/>
              </w:rPr>
            </w:pPr>
          </w:p>
        </w:tc>
      </w:tr>
    </w:tbl>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7140" w:type="dxa"/>
            <w:vAlign w:val="bottom"/>
          </w:tcPr>
          <w:p>
            <w:pPr>
              <w:ind w:left="780"/>
              <w:spacing w:after="0"/>
              <w:rPr>
                <w:sz w:val="20"/>
                <w:szCs w:val="20"/>
                <w:color w:val="auto"/>
              </w:rPr>
            </w:pPr>
            <w:r>
              <w:rPr>
                <w:rFonts w:ascii="Arial" w:cs="Arial" w:eastAsia="Arial" w:hAnsi="Arial"/>
                <w:sz w:val="18"/>
                <w:szCs w:val="18"/>
                <w:b w:val="1"/>
                <w:bCs w:val="1"/>
                <w:color w:val="auto"/>
              </w:rPr>
              <w:t>GasLog Holdings</w:t>
            </w:r>
          </w:p>
        </w:tc>
        <w:tc>
          <w:tcPr>
            <w:tcW w:w="40" w:type="dxa"/>
            <w:vAlign w:val="bottom"/>
          </w:tcPr>
          <w:p>
            <w:pPr>
              <w:spacing w:after="0"/>
              <w:rPr>
                <w:sz w:val="20"/>
                <w:szCs w:val="20"/>
                <w:color w:val="auto"/>
              </w:rPr>
            </w:pPr>
          </w:p>
        </w:tc>
      </w:tr>
      <w:tr>
        <w:trPr>
          <w:trHeight w:val="203"/>
        </w:trPr>
        <w:tc>
          <w:tcPr>
            <w:tcW w:w="4100" w:type="dxa"/>
            <w:vAlign w:val="bottom"/>
            <w:tcBorders>
              <w:bottom w:val="single" w:sz="8" w:color="auto"/>
            </w:tcBorders>
          </w:tcPr>
          <w:p>
            <w:pPr>
              <w:spacing w:after="0"/>
              <w:rPr>
                <w:sz w:val="17"/>
                <w:szCs w:val="17"/>
                <w:color w:val="auto"/>
              </w:rPr>
            </w:pPr>
          </w:p>
        </w:tc>
        <w:tc>
          <w:tcPr>
            <w:tcW w:w="7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91"/>
        </w:trPr>
        <w:tc>
          <w:tcPr>
            <w:tcW w:w="410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GasLog Partners Holdings LLC</w:t>
            </w:r>
          </w:p>
        </w:tc>
        <w:tc>
          <w:tcPr>
            <w:tcW w:w="40" w:type="dxa"/>
            <w:vAlign w:val="bottom"/>
          </w:tcPr>
          <w:p>
            <w:pPr>
              <w:spacing w:after="0"/>
              <w:rPr>
                <w:sz w:val="24"/>
                <w:szCs w:val="24"/>
                <w:color w:val="auto"/>
              </w:rPr>
            </w:pPr>
          </w:p>
        </w:tc>
      </w:tr>
      <w:tr>
        <w:trPr>
          <w:trHeight w:val="290"/>
        </w:trPr>
        <w:tc>
          <w:tcPr>
            <w:tcW w:w="410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1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Marshall Islands</w:t>
            </w:r>
          </w:p>
        </w:tc>
        <w:tc>
          <w:tcPr>
            <w:tcW w:w="40" w:type="dxa"/>
            <w:vAlign w:val="bottom"/>
          </w:tcPr>
          <w:p>
            <w:pPr>
              <w:spacing w:after="0"/>
              <w:rPr>
                <w:sz w:val="24"/>
                <w:szCs w:val="24"/>
                <w:color w:val="auto"/>
              </w:rPr>
            </w:pPr>
          </w:p>
        </w:tc>
      </w:tr>
      <w:tr>
        <w:trPr>
          <w:trHeight w:val="291"/>
        </w:trPr>
        <w:tc>
          <w:tcPr>
            <w:tcW w:w="410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1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962930</w:t>
            </w:r>
          </w:p>
        </w:tc>
        <w:tc>
          <w:tcPr>
            <w:tcW w:w="40" w:type="dxa"/>
            <w:vAlign w:val="bottom"/>
          </w:tcPr>
          <w:p>
            <w:pPr>
              <w:spacing w:after="0"/>
              <w:rPr>
                <w:sz w:val="24"/>
                <w:szCs w:val="24"/>
                <w:color w:val="auto"/>
              </w:rPr>
            </w:pPr>
          </w:p>
        </w:tc>
      </w:tr>
      <w:tr>
        <w:trPr>
          <w:trHeight w:val="173"/>
        </w:trPr>
        <w:tc>
          <w:tcPr>
            <w:tcW w:w="4100" w:type="dxa"/>
            <w:vAlign w:val="bottom"/>
            <w:tcBorders>
              <w:top w:val="single" w:sz="8" w:color="auto"/>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w:t>
            </w:r>
          </w:p>
        </w:tc>
        <w:tc>
          <w:tcPr>
            <w:tcW w:w="714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5"/>
                <w:szCs w:val="15"/>
                <w:color w:val="auto"/>
              </w:rPr>
            </w:pPr>
          </w:p>
        </w:tc>
      </w:tr>
      <w:tr>
        <w:trPr>
          <w:trHeight w:val="239"/>
        </w:trPr>
        <w:tc>
          <w:tcPr>
            <w:tcW w:w="41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81"/>
        </w:trPr>
        <w:tc>
          <w:tcPr>
            <w:tcW w:w="41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1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95"/>
        </w:trPr>
        <w:tc>
          <w:tcPr>
            <w:tcW w:w="4100" w:type="dxa"/>
            <w:vAlign w:val="bottom"/>
            <w:tcBorders>
              <w:left w:val="single" w:sz="8" w:color="auto"/>
              <w:right w:val="single" w:sz="8" w:color="auto"/>
            </w:tcBorders>
            <w:shd w:val="clear" w:color="auto" w:fill="C0C0C0"/>
          </w:tcPr>
          <w:p>
            <w:pPr>
              <w:ind w:left="120"/>
              <w:spacing w:after="0" w:line="195" w:lineRule="exact"/>
              <w:rPr>
                <w:sz w:val="20"/>
                <w:szCs w:val="20"/>
                <w:color w:val="auto"/>
              </w:rPr>
            </w:pPr>
            <w:r>
              <w:rPr>
                <w:rFonts w:ascii="Arial" w:cs="Arial" w:eastAsia="Arial" w:hAnsi="Arial"/>
                <w:sz w:val="18"/>
                <w:szCs w:val="18"/>
                <w:b w:val="1"/>
                <w:bCs w:val="1"/>
                <w:color w:val="auto"/>
              </w:rPr>
              <w:t>Registered office</w:t>
            </w:r>
          </w:p>
        </w:tc>
        <w:tc>
          <w:tcPr>
            <w:tcW w:w="71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Trust Company Complex, Ajeltake Road, Ajeltake Island, Majuro, Marshall Islands</w:t>
            </w:r>
          </w:p>
        </w:tc>
        <w:tc>
          <w:tcPr>
            <w:tcW w:w="40" w:type="dxa"/>
            <w:vAlign w:val="bottom"/>
          </w:tcPr>
          <w:p>
            <w:pPr>
              <w:spacing w:after="0"/>
              <w:rPr>
                <w:sz w:val="16"/>
                <w:szCs w:val="16"/>
                <w:color w:val="auto"/>
              </w:rPr>
            </w:pPr>
          </w:p>
        </w:tc>
      </w:tr>
      <w:tr>
        <w:trPr>
          <w:trHeight w:val="217"/>
        </w:trPr>
        <w:tc>
          <w:tcPr>
            <w:tcW w:w="4100" w:type="dxa"/>
            <w:vAlign w:val="bottom"/>
            <w:tcBorders>
              <w:left w:val="single" w:sz="8" w:color="auto"/>
              <w:right w:val="single" w:sz="8" w:color="auto"/>
            </w:tcBorders>
            <w:shd w:val="clear" w:color="auto" w:fill="C0C0C0"/>
          </w:tcPr>
          <w:p>
            <w:pPr>
              <w:spacing w:after="0"/>
              <w:rPr>
                <w:sz w:val="18"/>
                <w:szCs w:val="18"/>
                <w:color w:val="auto"/>
              </w:rPr>
            </w:pP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MH96960</w:t>
            </w:r>
          </w:p>
        </w:tc>
        <w:tc>
          <w:tcPr>
            <w:tcW w:w="40" w:type="dxa"/>
            <w:vAlign w:val="bottom"/>
          </w:tcPr>
          <w:p>
            <w:pPr>
              <w:spacing w:after="0"/>
              <w:rPr>
                <w:sz w:val="18"/>
                <w:szCs w:val="18"/>
                <w:color w:val="auto"/>
              </w:rPr>
            </w:pPr>
          </w:p>
        </w:tc>
      </w:tr>
      <w:tr>
        <w:trPr>
          <w:trHeight w:val="81"/>
        </w:trPr>
        <w:tc>
          <w:tcPr>
            <w:tcW w:w="41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1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95"/>
        </w:trPr>
        <w:tc>
          <w:tcPr>
            <w:tcW w:w="4100" w:type="dxa"/>
            <w:vAlign w:val="bottom"/>
            <w:tcBorders>
              <w:left w:val="single" w:sz="8" w:color="auto"/>
              <w:right w:val="single" w:sz="8" w:color="auto"/>
            </w:tcBorders>
            <w:shd w:val="clear" w:color="auto" w:fill="C0C0C0"/>
          </w:tcPr>
          <w:p>
            <w:pPr>
              <w:ind w:left="120"/>
              <w:spacing w:after="0" w:line="195" w:lineRule="exact"/>
              <w:rPr>
                <w:sz w:val="20"/>
                <w:szCs w:val="20"/>
                <w:color w:val="auto"/>
              </w:rPr>
            </w:pPr>
            <w:r>
              <w:rPr>
                <w:rFonts w:ascii="Arial" w:cs="Arial" w:eastAsia="Arial" w:hAnsi="Arial"/>
                <w:sz w:val="18"/>
                <w:szCs w:val="18"/>
                <w:b w:val="1"/>
                <w:bCs w:val="1"/>
                <w:color w:val="auto"/>
              </w:rPr>
              <w:t>Address for service of notices</w:t>
            </w:r>
          </w:p>
        </w:tc>
        <w:tc>
          <w:tcPr>
            <w:tcW w:w="71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6"/>
                <w:szCs w:val="16"/>
                <w:color w:val="auto"/>
              </w:rPr>
            </w:pPr>
          </w:p>
        </w:tc>
      </w:tr>
      <w:tr>
        <w:trPr>
          <w:trHeight w:val="217"/>
        </w:trPr>
        <w:tc>
          <w:tcPr>
            <w:tcW w:w="4100" w:type="dxa"/>
            <w:vAlign w:val="bottom"/>
            <w:tcBorders>
              <w:left w:val="single" w:sz="8" w:color="auto"/>
              <w:right w:val="single" w:sz="8" w:color="auto"/>
            </w:tcBorders>
            <w:shd w:val="clear" w:color="auto" w:fill="C0C0C0"/>
          </w:tcPr>
          <w:p>
            <w:pPr>
              <w:spacing w:after="0"/>
              <w:rPr>
                <w:sz w:val="18"/>
                <w:szCs w:val="18"/>
                <w:color w:val="auto"/>
              </w:rPr>
            </w:pP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81"/>
        </w:trPr>
        <w:tc>
          <w:tcPr>
            <w:tcW w:w="410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71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426"/>
        </w:trPr>
        <w:tc>
          <w:tcPr>
            <w:tcW w:w="4100" w:type="dxa"/>
            <w:vAlign w:val="bottom"/>
          </w:tcPr>
          <w:p>
            <w:pPr>
              <w:spacing w:after="0"/>
              <w:rPr>
                <w:sz w:val="24"/>
                <w:szCs w:val="24"/>
                <w:color w:val="auto"/>
              </w:rPr>
            </w:pPr>
          </w:p>
        </w:tc>
        <w:tc>
          <w:tcPr>
            <w:tcW w:w="7140" w:type="dxa"/>
            <w:vAlign w:val="bottom"/>
          </w:tcPr>
          <w:p>
            <w:pPr>
              <w:ind w:left="138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4"/>
                <w:szCs w:val="24"/>
                <w:color w:val="auto"/>
              </w:rPr>
            </w:pPr>
          </w:p>
        </w:tc>
      </w:tr>
      <w:tr>
        <w:trPr>
          <w:trHeight w:val="118"/>
        </w:trPr>
        <w:tc>
          <w:tcPr>
            <w:tcW w:w="4100" w:type="dxa"/>
            <w:vAlign w:val="bottom"/>
            <w:tcBorders>
              <w:bottom w:val="single" w:sz="8" w:color="808080"/>
            </w:tcBorders>
          </w:tcPr>
          <w:p>
            <w:pPr>
              <w:spacing w:after="0"/>
              <w:rPr>
                <w:sz w:val="10"/>
                <w:szCs w:val="10"/>
                <w:color w:val="auto"/>
              </w:rPr>
            </w:pPr>
          </w:p>
        </w:tc>
        <w:tc>
          <w:tcPr>
            <w:tcW w:w="7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47" w:name="page148"/>
    <w:bookmarkEnd w:id="147"/>
    <w:tbl>
      <w:tblPr>
        <w:tblLayout w:type="fixed"/>
        <w:tblInd w:w="1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7280" w:type="dxa"/>
            <w:vAlign w:val="bottom"/>
            <w:gridSpan w:val="6"/>
          </w:tcPr>
          <w:p>
            <w:pPr>
              <w:ind w:left="760"/>
              <w:spacing w:after="0"/>
              <w:rPr>
                <w:sz w:val="20"/>
                <w:szCs w:val="20"/>
                <w:color w:val="auto"/>
              </w:rPr>
            </w:pPr>
            <w:r>
              <w:rPr>
                <w:rFonts w:ascii="Arial" w:cs="Arial" w:eastAsia="Arial" w:hAnsi="Arial"/>
                <w:sz w:val="18"/>
                <w:szCs w:val="18"/>
                <w:b w:val="1"/>
                <w:bCs w:val="1"/>
                <w:color w:val="auto"/>
              </w:rPr>
              <w:t>The Original Lenders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1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BNP Paribas</w:t>
            </w:r>
          </w:p>
        </w:tc>
        <w:tc>
          <w:tcPr>
            <w:tcW w:w="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1620" w:type="dxa"/>
            <w:vAlign w:val="bottom"/>
          </w:tcPr>
          <w:p>
            <w:pPr>
              <w:ind w:left="8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16 boulevard des Italiens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75009 Paris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Attention:</w:t>
            </w:r>
          </w:p>
        </w:tc>
        <w:tc>
          <w:tcPr>
            <w:tcW w:w="56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Transportation Group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Email:</w:t>
            </w: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melissa.doucoure@bnpparibas.com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mouna.felfel@bnpparibas.com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Attention:</w:t>
            </w:r>
          </w:p>
        </w:tc>
        <w:tc>
          <w:tcPr>
            <w:tcW w:w="566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Mélissa Doucouré/ Mouna Felfel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France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Email:</w:t>
            </w: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paris.cib.boci.cfi.2@bnpparibas.com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Commitment ($)</w:t>
            </w: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Attention:</w:t>
            </w:r>
          </w:p>
        </w:tc>
        <w:tc>
          <w:tcPr>
            <w:tcW w:w="5660" w:type="dxa"/>
            <w:vAlign w:val="bottom"/>
            <w:tcBorders>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CFi2 Team / Cindy Piveteau</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16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106,100,431.22</w:t>
            </w:r>
          </w:p>
        </w:tc>
        <w:tc>
          <w:tcPr>
            <w:tcW w:w="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1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Credit Suisse AG</w:t>
            </w:r>
          </w:p>
        </w:tc>
        <w:tc>
          <w:tcPr>
            <w:tcW w:w="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1620" w:type="dxa"/>
            <w:vAlign w:val="bottom"/>
          </w:tcPr>
          <w:p>
            <w:pPr>
              <w:ind w:left="8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1620" w:type="dxa"/>
            <w:vAlign w:val="bottom"/>
          </w:tcPr>
          <w:p>
            <w:pPr>
              <w:ind w:left="80"/>
              <w:spacing w:after="0" w:line="176" w:lineRule="exact"/>
              <w:rPr>
                <w:sz w:val="20"/>
                <w:szCs w:val="20"/>
                <w:color w:val="auto"/>
              </w:rPr>
            </w:pPr>
            <w:r>
              <w:rPr>
                <w:rFonts w:ascii="Arial" w:cs="Arial" w:eastAsia="Arial" w:hAnsi="Arial"/>
                <w:sz w:val="18"/>
                <w:szCs w:val="18"/>
                <w:color w:val="auto"/>
              </w:rPr>
              <w:t>Email:</w:t>
            </w:r>
          </w:p>
        </w:tc>
        <w:tc>
          <w:tcPr>
            <w:tcW w:w="40" w:type="dxa"/>
            <w:vAlign w:val="bottom"/>
          </w:tcPr>
          <w:p>
            <w:pPr>
              <w:spacing w:after="0"/>
              <w:rPr>
                <w:sz w:val="15"/>
                <w:szCs w:val="15"/>
                <w:color w:val="auto"/>
              </w:rPr>
            </w:pPr>
          </w:p>
        </w:tc>
        <w:tc>
          <w:tcPr>
            <w:tcW w:w="562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eirini.charalampi@credit-suisse.com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2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8"/>
                <w:szCs w:val="18"/>
                <w:color w:val="0000FF"/>
              </w:rPr>
              <w:t>federico.mercurio @credit-suisse.com</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0C0C0"/>
              <w:left w:val="single" w:sz="8" w:color="auto"/>
              <w:right w:val="single" w:sz="8" w:color="auto"/>
            </w:tcBorders>
            <w:shd w:val="clear" w:color="auto" w:fill="C0C0C0"/>
          </w:tcPr>
          <w:p>
            <w:pPr>
              <w:spacing w:after="0"/>
              <w:rPr>
                <w:sz w:val="19"/>
                <w:szCs w:val="19"/>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Attention:</w:t>
            </w:r>
          </w:p>
        </w:tc>
        <w:tc>
          <w:tcPr>
            <w:tcW w:w="40" w:type="dxa"/>
            <w:vAlign w:val="bottom"/>
          </w:tcPr>
          <w:p>
            <w:pPr>
              <w:spacing w:after="0"/>
              <w:rPr>
                <w:sz w:val="19"/>
                <w:szCs w:val="19"/>
                <w:color w:val="auto"/>
              </w:rPr>
            </w:pPr>
          </w:p>
        </w:tc>
        <w:tc>
          <w:tcPr>
            <w:tcW w:w="30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Eirini Charalampi/ Federico Mercurio</w:t>
            </w:r>
          </w:p>
        </w:tc>
        <w:tc>
          <w:tcPr>
            <w:tcW w:w="26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1620" w:type="dxa"/>
            <w:vAlign w:val="bottom"/>
          </w:tcPr>
          <w:p>
            <w:pPr>
              <w:ind w:left="80"/>
              <w:spacing w:after="0" w:line="176" w:lineRule="exact"/>
              <w:rPr>
                <w:sz w:val="20"/>
                <w:szCs w:val="20"/>
                <w:color w:val="auto"/>
              </w:rPr>
            </w:pPr>
            <w:r>
              <w:rPr>
                <w:rFonts w:ascii="Arial" w:cs="Arial" w:eastAsia="Arial" w:hAnsi="Arial"/>
                <w:sz w:val="18"/>
                <w:szCs w:val="18"/>
                <w:color w:val="auto"/>
              </w:rPr>
              <w:t>Email:</w:t>
            </w:r>
          </w:p>
        </w:tc>
        <w:tc>
          <w:tcPr>
            <w:tcW w:w="40" w:type="dxa"/>
            <w:vAlign w:val="bottom"/>
          </w:tcPr>
          <w:p>
            <w:pPr>
              <w:spacing w:after="0"/>
              <w:rPr>
                <w:sz w:val="15"/>
                <w:szCs w:val="15"/>
                <w:color w:val="auto"/>
              </w:rPr>
            </w:pPr>
          </w:p>
        </w:tc>
        <w:tc>
          <w:tcPr>
            <w:tcW w:w="562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rakita.budislava@credit-suisse.com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C0C0C0"/>
              <w:left w:val="single" w:sz="8" w:color="auto"/>
              <w:right w:val="single" w:sz="8" w:color="auto"/>
            </w:tcBorders>
            <w:shd w:val="clear" w:color="auto" w:fill="C0C0C0"/>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alessandra.cali@credit-suisse.com</w:t>
            </w:r>
          </w:p>
        </w:tc>
        <w:tc>
          <w:tcPr>
            <w:tcW w:w="2720" w:type="dxa"/>
            <w:vAlign w:val="bottom"/>
            <w:tcBorders>
              <w:right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0C0C0"/>
              <w:left w:val="single" w:sz="8" w:color="auto"/>
              <w:bottom w:val="single" w:sz="8" w:color="auto"/>
              <w:right w:val="single" w:sz="8" w:color="auto"/>
            </w:tcBorders>
            <w:shd w:val="clear" w:color="auto" w:fill="C0C0C0"/>
          </w:tcPr>
          <w:p>
            <w:pPr>
              <w:spacing w:after="0"/>
              <w:rPr>
                <w:sz w:val="18"/>
                <w:szCs w:val="18"/>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Attention:</w:t>
            </w:r>
          </w:p>
        </w:tc>
        <w:tc>
          <w:tcPr>
            <w:tcW w:w="40" w:type="dxa"/>
            <w:vAlign w:val="bottom"/>
            <w:tcBorders>
              <w:bottom w:val="single" w:sz="8" w:color="auto"/>
            </w:tcBorders>
          </w:tcPr>
          <w:p>
            <w:pPr>
              <w:spacing w:after="0"/>
              <w:rPr>
                <w:sz w:val="18"/>
                <w:szCs w:val="18"/>
                <w:color w:val="auto"/>
              </w:rPr>
            </w:pPr>
          </w:p>
        </w:tc>
        <w:tc>
          <w:tcPr>
            <w:tcW w:w="2780" w:type="dxa"/>
            <w:vAlign w:val="bottom"/>
            <w:tcBorders>
              <w:top w:val="single" w:sz="8" w:color="0000FF"/>
              <w:bottom w:val="single" w:sz="8" w:color="auto"/>
            </w:tcBorders>
          </w:tcPr>
          <w:p>
            <w:pPr>
              <w:spacing w:after="0"/>
              <w:rPr>
                <w:sz w:val="20"/>
                <w:szCs w:val="20"/>
                <w:color w:val="auto"/>
              </w:rPr>
            </w:pPr>
            <w:r>
              <w:rPr>
                <w:rFonts w:ascii="Arial" w:cs="Arial" w:eastAsia="Arial" w:hAnsi="Arial"/>
                <w:sz w:val="18"/>
                <w:szCs w:val="18"/>
                <w:color w:val="auto"/>
              </w:rPr>
              <w:t>Rakita Budislava / Alessandra Cali</w:t>
            </w:r>
          </w:p>
        </w:tc>
        <w:tc>
          <w:tcPr>
            <w:tcW w:w="2840" w:type="dxa"/>
            <w:vAlign w:val="bottom"/>
            <w:tcBorders>
              <w:bottom w:val="single" w:sz="8" w:color="auto"/>
              <w:right w:val="single" w:sz="8" w:color="auto"/>
            </w:tcBorders>
            <w:gridSpan w:val="3"/>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Commitment ($)</w:t>
            </w:r>
          </w:p>
        </w:tc>
        <w:tc>
          <w:tcPr>
            <w:tcW w:w="1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106,100,431.22</w:t>
            </w:r>
          </w:p>
        </w:tc>
        <w:tc>
          <w:tcPr>
            <w:tcW w:w="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960" w:type="dxa"/>
            <w:vAlign w:val="bottom"/>
          </w:tcPr>
          <w:p>
            <w:pPr>
              <w:spacing w:after="0"/>
              <w:rPr>
                <w:sz w:val="24"/>
                <w:szCs w:val="24"/>
                <w:color w:val="auto"/>
              </w:rPr>
            </w:pPr>
          </w:p>
        </w:tc>
        <w:tc>
          <w:tcPr>
            <w:tcW w:w="4440" w:type="dxa"/>
            <w:vAlign w:val="bottom"/>
            <w:gridSpan w:val="3"/>
          </w:tcPr>
          <w:p>
            <w:pPr>
              <w:ind w:left="15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1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Alpha Bank S.A.</w:t>
            </w:r>
          </w:p>
        </w:tc>
        <w:tc>
          <w:tcPr>
            <w:tcW w:w="2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and contact details for notices</w:t>
            </w:r>
          </w:p>
        </w:tc>
        <w:tc>
          <w:tcPr>
            <w:tcW w:w="1600" w:type="dxa"/>
            <w:vAlign w:val="bottom"/>
          </w:tcPr>
          <w:p>
            <w:pPr>
              <w:ind w:left="100"/>
              <w:spacing w:after="0"/>
              <w:rPr>
                <w:sz w:val="20"/>
                <w:szCs w:val="20"/>
                <w:color w:val="auto"/>
              </w:rPr>
            </w:pPr>
            <w:r>
              <w:rPr>
                <w:rFonts w:ascii="Arial" w:cs="Arial" w:eastAsia="Arial" w:hAnsi="Arial"/>
                <w:sz w:val="18"/>
                <w:szCs w:val="18"/>
                <w:color w:val="auto"/>
              </w:rPr>
              <w:t>Facility Office:</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93 Akti Miaouli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185 38 Piraeus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left w:val="single" w:sz="8" w:color="auto"/>
              <w:right w:val="single" w:sz="8" w:color="auto"/>
            </w:tcBorders>
            <w:shd w:val="clear" w:color="auto" w:fill="C0C0C0"/>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w w:val="98"/>
              </w:rPr>
              <w:t>For Credit Matters: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93 Akti Miaouli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185 38 Piraeus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Greece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Borders>
              <w:left w:val="single" w:sz="8" w:color="auto"/>
              <w:right w:val="single" w:sz="8" w:color="auto"/>
            </w:tcBorders>
            <w:shd w:val="clear" w:color="auto" w:fill="C0C0C0"/>
          </w:tcPr>
          <w:p>
            <w:pPr>
              <w:spacing w:after="0"/>
              <w:rPr>
                <w:sz w:val="15"/>
                <w:szCs w:val="15"/>
                <w:color w:val="auto"/>
              </w:rPr>
            </w:pP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260" w:type="dxa"/>
            <w:vAlign w:val="bottom"/>
          </w:tcPr>
          <w:p>
            <w:pPr>
              <w:spacing w:after="0"/>
              <w:rPr>
                <w:sz w:val="15"/>
                <w:szCs w:val="15"/>
                <w:color w:val="auto"/>
              </w:rPr>
            </w:pPr>
          </w:p>
        </w:tc>
        <w:tc>
          <w:tcPr>
            <w:tcW w:w="552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0000FF"/>
              </w:rPr>
              <w:t xml:space="preserve">konstantinos.flokos@alpha.gr </w:t>
            </w:r>
            <w:r>
              <w:rPr>
                <w:rFonts w:ascii="Arial" w:cs="Arial" w:eastAsia="Arial" w:hAnsi="Arial"/>
                <w:sz w:val="18"/>
                <w:szCs w:val="18"/>
                <w:color w:val="000000"/>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C0C0C0"/>
              <w:left w:val="single" w:sz="8" w:color="auto"/>
              <w:bottom w:val="single" w:sz="8" w:color="C0C0C0"/>
              <w:right w:val="single" w:sz="8" w:color="auto"/>
            </w:tcBorders>
            <w:shd w:val="clear" w:color="auto" w:fill="C0C0C0"/>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antonios.chazapis@alpha.gr</w:t>
            </w:r>
          </w:p>
        </w:tc>
        <w:tc>
          <w:tcPr>
            <w:tcW w:w="80" w:type="dxa"/>
            <w:vAlign w:val="bottom"/>
            <w:tcBorders>
              <w:top w:val="single" w:sz="8" w:color="0000FF"/>
            </w:tcBorders>
          </w:tcPr>
          <w:p>
            <w:pPr>
              <w:spacing w:after="0"/>
              <w:rPr>
                <w:sz w:val="15"/>
                <w:szCs w:val="15"/>
                <w:color w:val="auto"/>
              </w:rPr>
            </w:pPr>
          </w:p>
        </w:tc>
        <w:tc>
          <w:tcPr>
            <w:tcW w:w="3160" w:type="dxa"/>
            <w:vAlign w:val="bottom"/>
            <w:tcBorders>
              <w:right w:val="single" w:sz="8" w:color="auto"/>
            </w:tcBorders>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right w:val="single" w:sz="8" w:color="auto"/>
            </w:tcBorders>
            <w:shd w:val="clear" w:color="auto" w:fill="C0C0C0"/>
          </w:tcPr>
          <w:p>
            <w:pPr>
              <w:spacing w:after="0"/>
              <w:rPr>
                <w:sz w:val="19"/>
                <w:szCs w:val="19"/>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260" w:type="dxa"/>
            <w:vAlign w:val="bottom"/>
          </w:tcPr>
          <w:p>
            <w:pPr>
              <w:spacing w:after="0"/>
              <w:rPr>
                <w:sz w:val="19"/>
                <w:szCs w:val="19"/>
                <w:color w:val="auto"/>
              </w:rPr>
            </w:pPr>
          </w:p>
        </w:tc>
        <w:tc>
          <w:tcPr>
            <w:tcW w:w="55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Konstantinos Flokos / Antonios Chazapis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738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Korai 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102 52 Athens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Greece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Borders>
              <w:left w:val="single" w:sz="8" w:color="auto"/>
              <w:right w:val="single" w:sz="8" w:color="auto"/>
            </w:tcBorders>
            <w:shd w:val="clear" w:color="auto" w:fill="C0C0C0"/>
          </w:tcPr>
          <w:p>
            <w:pPr>
              <w:spacing w:after="0"/>
              <w:rPr>
                <w:sz w:val="15"/>
                <w:szCs w:val="15"/>
                <w:color w:val="auto"/>
              </w:rPr>
            </w:pPr>
          </w:p>
        </w:tc>
        <w:tc>
          <w:tcPr>
            <w:tcW w:w="160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260" w:type="dxa"/>
            <w:vAlign w:val="bottom"/>
          </w:tcPr>
          <w:p>
            <w:pPr>
              <w:spacing w:after="0"/>
              <w:rPr>
                <w:sz w:val="15"/>
                <w:szCs w:val="15"/>
                <w:color w:val="auto"/>
              </w:rPr>
            </w:pPr>
          </w:p>
        </w:tc>
        <w:tc>
          <w:tcPr>
            <w:tcW w:w="552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0000FF"/>
              </w:rPr>
              <w:t xml:space="preserve">shippingloans@alpha.gr </w:t>
            </w:r>
            <w:r>
              <w:rPr>
                <w:rFonts w:ascii="Arial" w:cs="Arial" w:eastAsia="Arial" w:hAnsi="Arial"/>
                <w:sz w:val="18"/>
                <w:szCs w:val="18"/>
                <w:color w:val="000000"/>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left w:val="single" w:sz="8" w:color="auto"/>
              <w:right w:val="single" w:sz="8" w:color="auto"/>
            </w:tcBorders>
            <w:shd w:val="clear" w:color="auto" w:fill="C0C0C0"/>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2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8"/>
                <w:szCs w:val="18"/>
                <w:color w:val="0000FF"/>
              </w:rPr>
              <w:t>efthalia.argiropoulou@alpha.gr</w:t>
            </w:r>
            <w:r>
              <w:rPr>
                <w:rFonts w:ascii="Arial" w:cs="Arial" w:eastAsia="Arial" w:hAnsi="Arial"/>
                <w:sz w:val="18"/>
                <w:szCs w:val="18"/>
                <w:color w:val="000000"/>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left w:val="single" w:sz="8" w:color="auto"/>
              <w:righ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Commitment ($)</w:t>
            </w:r>
          </w:p>
        </w:tc>
        <w:tc>
          <w:tcPr>
            <w:tcW w:w="1600" w:type="dxa"/>
            <w:vAlign w:val="bottom"/>
            <w:vMerge w:val="restart"/>
          </w:tcPr>
          <w:p>
            <w:pPr>
              <w:ind w:left="120"/>
              <w:spacing w:after="0"/>
              <w:rPr>
                <w:sz w:val="20"/>
                <w:szCs w:val="20"/>
                <w:color w:val="auto"/>
              </w:rPr>
            </w:pPr>
            <w:r>
              <w:rPr>
                <w:rFonts w:ascii="Arial" w:cs="Arial" w:eastAsia="Arial" w:hAnsi="Arial"/>
                <w:sz w:val="18"/>
                <w:szCs w:val="18"/>
                <w:color w:val="auto"/>
              </w:rPr>
              <w:t>48,130,387.56</w:t>
            </w:r>
          </w:p>
        </w:tc>
        <w:tc>
          <w:tcPr>
            <w:tcW w:w="260" w:type="dxa"/>
            <w:vAlign w:val="bottom"/>
          </w:tcPr>
          <w:p>
            <w:pPr>
              <w:spacing w:after="0"/>
              <w:rPr>
                <w:sz w:val="15"/>
                <w:szCs w:val="15"/>
                <w:color w:val="auto"/>
              </w:rPr>
            </w:pPr>
          </w:p>
        </w:tc>
        <w:tc>
          <w:tcPr>
            <w:tcW w:w="552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8"/>
                <w:szCs w:val="18"/>
                <w:color w:val="0000FF"/>
              </w:rPr>
              <w:t>theodoros.skiadopoulos@alpha.gr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0C0C0"/>
              <w:left w:val="single" w:sz="8" w:color="auto"/>
              <w:bottom w:val="single" w:sz="8" w:color="auto"/>
              <w:right w:val="single" w:sz="8" w:color="auto"/>
            </w:tcBorders>
            <w:vMerge w:val="continue"/>
            <w:shd w:val="clear" w:color="auto" w:fill="C0C0C0"/>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top w:val="single" w:sz="8" w:color="0000FF"/>
              <w:bottom w:val="single" w:sz="8" w:color="auto"/>
            </w:tcBorders>
          </w:tcPr>
          <w:p>
            <w:pPr>
              <w:spacing w:after="0"/>
              <w:rPr>
                <w:sz w:val="18"/>
                <w:szCs w:val="18"/>
                <w:color w:val="auto"/>
              </w:rPr>
            </w:pPr>
          </w:p>
        </w:tc>
        <w:tc>
          <w:tcPr>
            <w:tcW w:w="340" w:type="dxa"/>
            <w:vAlign w:val="bottom"/>
            <w:tcBorders>
              <w:top w:val="single" w:sz="8" w:color="0000FF"/>
              <w:bottom w:val="single" w:sz="8" w:color="auto"/>
            </w:tcBorders>
          </w:tcPr>
          <w:p>
            <w:pPr>
              <w:spacing w:after="0"/>
              <w:rPr>
                <w:sz w:val="18"/>
                <w:szCs w:val="18"/>
                <w:color w:val="auto"/>
              </w:rPr>
            </w:pPr>
          </w:p>
        </w:tc>
        <w:tc>
          <w:tcPr>
            <w:tcW w:w="80" w:type="dxa"/>
            <w:vAlign w:val="bottom"/>
            <w:tcBorders>
              <w:top w:val="single" w:sz="8" w:color="0000FF"/>
              <w:bottom w:val="single" w:sz="8" w:color="auto"/>
            </w:tcBorders>
          </w:tcPr>
          <w:p>
            <w:pPr>
              <w:spacing w:after="0"/>
              <w:rPr>
                <w:sz w:val="18"/>
                <w:szCs w:val="18"/>
                <w:color w:val="auto"/>
              </w:rPr>
            </w:pPr>
          </w:p>
        </w:tc>
        <w:tc>
          <w:tcPr>
            <w:tcW w:w="100" w:type="dxa"/>
            <w:vAlign w:val="bottom"/>
            <w:tcBorders>
              <w:top w:val="single" w:sz="8" w:color="0000FF"/>
              <w:bottom w:val="single" w:sz="8" w:color="auto"/>
            </w:tcBorders>
          </w:tcPr>
          <w:p>
            <w:pPr>
              <w:spacing w:after="0"/>
              <w:rPr>
                <w:sz w:val="18"/>
                <w:szCs w:val="18"/>
                <w:color w:val="auto"/>
              </w:rPr>
            </w:pPr>
          </w:p>
        </w:tc>
        <w:tc>
          <w:tcPr>
            <w:tcW w:w="280" w:type="dxa"/>
            <w:vAlign w:val="bottom"/>
            <w:tcBorders>
              <w:top w:val="single" w:sz="8" w:color="0000FF"/>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860" w:type="dxa"/>
            <w:vAlign w:val="bottom"/>
          </w:tcPr>
          <w:p>
            <w:pPr>
              <w:spacing w:after="0"/>
              <w:rPr>
                <w:sz w:val="24"/>
                <w:szCs w:val="24"/>
                <w:color w:val="auto"/>
              </w:rPr>
            </w:pPr>
          </w:p>
        </w:tc>
        <w:tc>
          <w:tcPr>
            <w:tcW w:w="73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9"/>
              </w:rPr>
              <w:t>The Agent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16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BNP Paribas</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8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w:t>
            </w: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and contact details for notices</w:t>
            </w:r>
          </w:p>
        </w:tc>
        <w:tc>
          <w:tcPr>
            <w:tcW w:w="738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Facility Office (Credit and Documentation Matters):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BNP Paribas – CIB Agency EMEA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Millénaire 4 - 35 rue de la Gare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left w:val="single" w:sz="8" w:color="auto"/>
              <w:right w:val="single" w:sz="8" w:color="auto"/>
            </w:tcBorders>
            <w:shd w:val="clear" w:color="auto" w:fill="C0C0C0"/>
          </w:tcPr>
          <w:p>
            <w:pPr>
              <w:spacing w:after="0"/>
              <w:rPr>
                <w:sz w:val="18"/>
                <w:szCs w:val="18"/>
                <w:color w:val="auto"/>
              </w:rPr>
            </w:pPr>
          </w:p>
        </w:tc>
        <w:tc>
          <w:tcPr>
            <w:tcW w:w="738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Email:paris.cib.agency.gas.twenty.seven.eight.2020@bnpparibas. 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260" w:type="dxa"/>
            <w:vAlign w:val="bottom"/>
          </w:tcPr>
          <w:p>
            <w:pPr>
              <w:spacing w:after="0"/>
              <w:rPr>
                <w:sz w:val="24"/>
                <w:szCs w:val="24"/>
                <w:color w:val="auto"/>
              </w:rPr>
            </w:pPr>
          </w:p>
        </w:tc>
        <w:tc>
          <w:tcPr>
            <w:tcW w:w="552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Sylvie Potier / Patrick Touzeau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738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Loan Servicing Office (Operational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BNP Paribas – CIB Agency EMEA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Millénaire 4 - 35 rue de la Gare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France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60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260" w:type="dxa"/>
            <w:vAlign w:val="bottom"/>
          </w:tcPr>
          <w:p>
            <w:pPr>
              <w:spacing w:after="0"/>
              <w:rPr>
                <w:sz w:val="17"/>
                <w:szCs w:val="17"/>
                <w:color w:val="auto"/>
              </w:rPr>
            </w:pPr>
          </w:p>
        </w:tc>
        <w:tc>
          <w:tcPr>
            <w:tcW w:w="5520" w:type="dxa"/>
            <w:vAlign w:val="bottom"/>
            <w:tcBorders>
              <w:right w:val="single" w:sz="8" w:color="auto"/>
            </w:tcBorders>
            <w:gridSpan w:val="6"/>
          </w:tcPr>
          <w:p>
            <w:pPr>
              <w:spacing w:after="0" w:line="202" w:lineRule="exact"/>
              <w:rPr>
                <w:sz w:val="20"/>
                <w:szCs w:val="20"/>
                <w:color w:val="auto"/>
              </w:rPr>
            </w:pPr>
            <w:r>
              <w:rPr>
                <w:rFonts w:ascii="Arial" w:cs="Arial" w:eastAsia="Arial" w:hAnsi="Arial"/>
                <w:sz w:val="18"/>
                <w:szCs w:val="18"/>
                <w:color w:val="auto"/>
              </w:rPr>
              <w:t>paris.cib.boci.cfi.2@bnpparibas.com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16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Attention:</w:t>
            </w:r>
          </w:p>
        </w:tc>
        <w:tc>
          <w:tcPr>
            <w:tcW w:w="260" w:type="dxa"/>
            <w:vAlign w:val="bottom"/>
            <w:tcBorders>
              <w:bottom w:val="single" w:sz="8" w:color="auto"/>
            </w:tcBorders>
          </w:tcPr>
          <w:p>
            <w:pPr>
              <w:spacing w:after="0"/>
              <w:rPr>
                <w:sz w:val="17"/>
                <w:szCs w:val="17"/>
                <w:color w:val="auto"/>
              </w:rPr>
            </w:pPr>
          </w:p>
        </w:tc>
        <w:tc>
          <w:tcPr>
            <w:tcW w:w="5520" w:type="dxa"/>
            <w:vAlign w:val="bottom"/>
            <w:tcBorders>
              <w:bottom w:val="single" w:sz="8" w:color="auto"/>
              <w:right w:val="single" w:sz="8" w:color="auto"/>
            </w:tcBorders>
            <w:gridSpan w:val="6"/>
          </w:tcPr>
          <w:p>
            <w:pPr>
              <w:spacing w:after="0" w:line="203" w:lineRule="exact"/>
              <w:rPr>
                <w:sz w:val="20"/>
                <w:szCs w:val="20"/>
                <w:color w:val="auto"/>
              </w:rPr>
            </w:pPr>
            <w:r>
              <w:rPr>
                <w:rFonts w:ascii="Arial" w:cs="Arial" w:eastAsia="Arial" w:hAnsi="Arial"/>
                <w:sz w:val="18"/>
                <w:szCs w:val="18"/>
                <w:color w:val="auto"/>
              </w:rPr>
              <w:t>CFi2 Team / Cindy Piveteau</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gridSpan w:val="2"/>
          </w:tcPr>
          <w:p>
            <w:pPr>
              <w:jc w:val="right"/>
              <w:ind w:right="1790"/>
              <w:spacing w:after="0"/>
              <w:rPr>
                <w:sz w:val="20"/>
                <w:szCs w:val="20"/>
                <w:color w:val="auto"/>
              </w:rPr>
            </w:pPr>
            <w:r>
              <w:rPr>
                <w:rFonts w:ascii="Arial" w:cs="Arial" w:eastAsia="Arial" w:hAnsi="Arial"/>
                <w:sz w:val="18"/>
                <w:szCs w:val="18"/>
                <w:color w:val="auto"/>
                <w:w w:val="99"/>
              </w:rPr>
              <w:t>142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7280" w:type="dxa"/>
            <w:vAlign w:val="bottom"/>
            <w:gridSpan w:val="2"/>
          </w:tcPr>
          <w:p>
            <w:pPr>
              <w:jc w:val="center"/>
              <w:ind w:right="3870"/>
              <w:spacing w:after="0"/>
              <w:rPr>
                <w:sz w:val="20"/>
                <w:szCs w:val="20"/>
                <w:color w:val="auto"/>
              </w:rPr>
            </w:pPr>
            <w:r>
              <w:rPr>
                <w:rFonts w:ascii="Arial" w:cs="Arial" w:eastAsia="Arial" w:hAnsi="Arial"/>
                <w:sz w:val="18"/>
                <w:szCs w:val="18"/>
                <w:b w:val="1"/>
                <w:bCs w:val="1"/>
                <w:color w:val="auto"/>
                <w:w w:val="99"/>
              </w:rPr>
              <w:t>The Security Agent</w:t>
            </w:r>
          </w:p>
        </w:tc>
        <w:tc>
          <w:tcPr>
            <w:tcW w:w="40" w:type="dxa"/>
            <w:vAlign w:val="bottom"/>
          </w:tcPr>
          <w:p>
            <w:pPr>
              <w:spacing w:after="0"/>
              <w:rPr>
                <w:sz w:val="20"/>
                <w:szCs w:val="20"/>
                <w:color w:val="auto"/>
              </w:rPr>
            </w:pPr>
          </w:p>
        </w:tc>
      </w:tr>
      <w:tr>
        <w:trPr>
          <w:trHeight w:val="203"/>
        </w:trPr>
        <w:tc>
          <w:tcPr>
            <w:tcW w:w="3960" w:type="dxa"/>
            <w:vAlign w:val="bottom"/>
            <w:tcBorders>
              <w:bottom w:val="single" w:sz="8" w:color="auto"/>
            </w:tcBorders>
          </w:tcPr>
          <w:p>
            <w:pPr>
              <w:spacing w:after="0"/>
              <w:rPr>
                <w:sz w:val="17"/>
                <w:szCs w:val="17"/>
                <w:color w:val="auto"/>
              </w:rPr>
            </w:pPr>
          </w:p>
        </w:tc>
        <w:tc>
          <w:tcPr>
            <w:tcW w:w="7280" w:type="dxa"/>
            <w:vAlign w:val="bottom"/>
            <w:tcBorders>
              <w:bottom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7280" w:type="dxa"/>
            <w:vAlign w:val="bottom"/>
            <w:tcBorders>
              <w:bottom w:val="single" w:sz="8" w:color="auto"/>
              <w:right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rPr>
              <w:t>BNP Paribas</w:t>
            </w:r>
          </w:p>
        </w:tc>
        <w:tc>
          <w:tcPr>
            <w:tcW w:w="40" w:type="dxa"/>
            <w:vAlign w:val="bottom"/>
          </w:tcPr>
          <w:p>
            <w:pPr>
              <w:spacing w:after="0"/>
              <w:rPr>
                <w:sz w:val="17"/>
                <w:szCs w:val="17"/>
                <w:color w:val="auto"/>
              </w:rPr>
            </w:pPr>
          </w:p>
        </w:tc>
      </w:tr>
      <w:tr>
        <w:trPr>
          <w:trHeight w:val="173"/>
        </w:trPr>
        <w:tc>
          <w:tcPr>
            <w:tcW w:w="39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40" w:type="dxa"/>
            <w:vAlign w:val="bottom"/>
          </w:tcPr>
          <w:p>
            <w:pPr>
              <w:spacing w:after="0"/>
              <w:rPr>
                <w:sz w:val="15"/>
                <w:szCs w:val="15"/>
                <w:color w:val="auto"/>
              </w:rPr>
            </w:pPr>
          </w:p>
        </w:tc>
        <w:tc>
          <w:tcPr>
            <w:tcW w:w="63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Facility Office (Credit and Documentation Matters):</w:t>
            </w:r>
          </w:p>
        </w:tc>
        <w:tc>
          <w:tcPr>
            <w:tcW w:w="40" w:type="dxa"/>
            <w:vAlign w:val="bottom"/>
          </w:tcPr>
          <w:p>
            <w:pPr>
              <w:spacing w:after="0"/>
              <w:rPr>
                <w:sz w:val="19"/>
                <w:szCs w:val="19"/>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BNP Paribas – CIB Agency EMEA</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Millénaire 4 - 35 rue de la Gare</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Email:paris.cib.agency.gas.twenty.seven.eight.2020@bnpparibas.com</w:t>
            </w:r>
          </w:p>
        </w:tc>
        <w:tc>
          <w:tcPr>
            <w:tcW w:w="40" w:type="dxa"/>
            <w:vAlign w:val="bottom"/>
          </w:tcPr>
          <w:p>
            <w:pPr>
              <w:spacing w:after="0"/>
              <w:rPr>
                <w:sz w:val="18"/>
                <w:szCs w:val="18"/>
                <w:color w:val="auto"/>
              </w:rPr>
            </w:pPr>
          </w:p>
        </w:tc>
      </w:tr>
      <w:tr>
        <w:trPr>
          <w:trHeight w:val="418"/>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Attention:</w:t>
            </w:r>
          </w:p>
        </w:tc>
        <w:tc>
          <w:tcPr>
            <w:tcW w:w="634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Sylvie Potier / Patrick Touzeau</w:t>
            </w:r>
          </w:p>
        </w:tc>
        <w:tc>
          <w:tcPr>
            <w:tcW w:w="40" w:type="dxa"/>
            <w:vAlign w:val="bottom"/>
          </w:tcPr>
          <w:p>
            <w:pPr>
              <w:spacing w:after="0"/>
              <w:rPr>
                <w:sz w:val="24"/>
                <w:szCs w:val="24"/>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Loan Servicing Office (Operational Matters):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80"/>
              <w:spacing w:after="0" w:line="202" w:lineRule="exact"/>
              <w:rPr>
                <w:sz w:val="20"/>
                <w:szCs w:val="20"/>
                <w:color w:val="auto"/>
              </w:rPr>
            </w:pPr>
            <w:r>
              <w:rPr>
                <w:rFonts w:ascii="Arial" w:cs="Arial" w:eastAsia="Arial" w:hAnsi="Arial"/>
                <w:sz w:val="18"/>
                <w:szCs w:val="18"/>
                <w:color w:val="auto"/>
              </w:rPr>
              <w:t>Address:</w:t>
            </w: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BNP Paribas – CIB Agency EMEA</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Millénaire 4 - 35 rue de la Gare</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France</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80"/>
              <w:spacing w:after="0" w:line="202" w:lineRule="exact"/>
              <w:rPr>
                <w:sz w:val="20"/>
                <w:szCs w:val="20"/>
                <w:color w:val="auto"/>
              </w:rPr>
            </w:pPr>
            <w:r>
              <w:rPr>
                <w:rFonts w:ascii="Arial" w:cs="Arial" w:eastAsia="Arial" w:hAnsi="Arial"/>
                <w:sz w:val="18"/>
                <w:szCs w:val="18"/>
                <w:color w:val="auto"/>
              </w:rPr>
              <w:t>Email:</w:t>
            </w:r>
          </w:p>
        </w:tc>
        <w:tc>
          <w:tcPr>
            <w:tcW w:w="6340" w:type="dxa"/>
            <w:vAlign w:val="bottom"/>
            <w:tcBorders>
              <w:right w:val="single" w:sz="8" w:color="auto"/>
            </w:tcBorders>
          </w:tcPr>
          <w:p>
            <w:pPr>
              <w:ind w:left="720"/>
              <w:spacing w:after="0" w:line="202" w:lineRule="exact"/>
              <w:rPr>
                <w:sz w:val="20"/>
                <w:szCs w:val="20"/>
                <w:color w:val="auto"/>
              </w:rPr>
            </w:pPr>
            <w:r>
              <w:rPr>
                <w:rFonts w:ascii="Arial" w:cs="Arial" w:eastAsia="Arial" w:hAnsi="Arial"/>
                <w:sz w:val="18"/>
                <w:szCs w:val="18"/>
                <w:color w:val="auto"/>
              </w:rPr>
              <w:t>paris.cib.boci.cfi.2@bnpparibas.com</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94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Attention:</w:t>
            </w:r>
          </w:p>
        </w:tc>
        <w:tc>
          <w:tcPr>
            <w:tcW w:w="6340" w:type="dxa"/>
            <w:vAlign w:val="bottom"/>
            <w:tcBorders>
              <w:bottom w:val="single" w:sz="8" w:color="auto"/>
              <w:right w:val="single" w:sz="8" w:color="auto"/>
            </w:tcBorders>
          </w:tcPr>
          <w:p>
            <w:pPr>
              <w:ind w:left="720"/>
              <w:spacing w:after="0" w:line="203" w:lineRule="exact"/>
              <w:rPr>
                <w:sz w:val="20"/>
                <w:szCs w:val="20"/>
                <w:color w:val="auto"/>
              </w:rPr>
            </w:pPr>
            <w:r>
              <w:rPr>
                <w:rFonts w:ascii="Arial" w:cs="Arial" w:eastAsia="Arial" w:hAnsi="Arial"/>
                <w:sz w:val="18"/>
                <w:szCs w:val="18"/>
                <w:color w:val="auto"/>
              </w:rPr>
              <w:t>CFi2 Team / Cindy Piveteau</w:t>
            </w:r>
          </w:p>
        </w:tc>
        <w:tc>
          <w:tcPr>
            <w:tcW w:w="40" w:type="dxa"/>
            <w:vAlign w:val="bottom"/>
          </w:tcPr>
          <w:p>
            <w:pPr>
              <w:spacing w:after="0"/>
              <w:rPr>
                <w:sz w:val="17"/>
                <w:szCs w:val="17"/>
                <w:color w:val="auto"/>
              </w:rPr>
            </w:pPr>
          </w:p>
        </w:tc>
      </w:tr>
      <w:tr>
        <w:trPr>
          <w:trHeight w:val="376"/>
        </w:trPr>
        <w:tc>
          <w:tcPr>
            <w:tcW w:w="3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tcPr>
          <w:p>
            <w:pPr>
              <w:jc w:val="center"/>
              <w:ind w:right="4810"/>
              <w:spacing w:after="0"/>
              <w:rPr>
                <w:sz w:val="20"/>
                <w:szCs w:val="20"/>
                <w:color w:val="auto"/>
              </w:rPr>
            </w:pPr>
            <w:r>
              <w:rPr>
                <w:rFonts w:ascii="Arial" w:cs="Arial" w:eastAsia="Arial" w:hAnsi="Arial"/>
                <w:sz w:val="18"/>
                <w:szCs w:val="18"/>
                <w:b w:val="1"/>
                <w:bCs w:val="1"/>
                <w:color w:val="auto"/>
              </w:rPr>
              <w:t>The Arrangers</w:t>
            </w:r>
          </w:p>
        </w:tc>
        <w:tc>
          <w:tcPr>
            <w:tcW w:w="40" w:type="dxa"/>
            <w:vAlign w:val="bottom"/>
          </w:tcPr>
          <w:p>
            <w:pPr>
              <w:spacing w:after="0"/>
              <w:rPr>
                <w:sz w:val="24"/>
                <w:szCs w:val="24"/>
                <w:color w:val="auto"/>
              </w:rPr>
            </w:pPr>
          </w:p>
        </w:tc>
      </w:tr>
      <w:tr>
        <w:trPr>
          <w:trHeight w:val="239"/>
        </w:trPr>
        <w:tc>
          <w:tcPr>
            <w:tcW w:w="3960" w:type="dxa"/>
            <w:vAlign w:val="bottom"/>
          </w:tcPr>
          <w:p>
            <w:pPr>
              <w:spacing w:after="0"/>
              <w:rPr>
                <w:sz w:val="20"/>
                <w:szCs w:val="20"/>
                <w:color w:val="auto"/>
              </w:rPr>
            </w:pPr>
          </w:p>
        </w:tc>
        <w:tc>
          <w:tcPr>
            <w:tcW w:w="7280" w:type="dxa"/>
            <w:vAlign w:val="bottom"/>
            <w:gridSpan w:val="2"/>
          </w:tcPr>
          <w:p>
            <w:pPr>
              <w:jc w:val="center"/>
              <w:ind w:right="3890"/>
              <w:spacing w:after="0"/>
              <w:rPr>
                <w:sz w:val="20"/>
                <w:szCs w:val="20"/>
                <w:color w:val="auto"/>
              </w:rPr>
            </w:pPr>
            <w:r>
              <w:rPr>
                <w:rFonts w:ascii="Arial" w:cs="Arial" w:eastAsia="Arial" w:hAnsi="Arial"/>
                <w:sz w:val="18"/>
                <w:szCs w:val="18"/>
                <w:b w:val="1"/>
                <w:bCs w:val="1"/>
                <w:color w:val="auto"/>
                <w:w w:val="99"/>
              </w:rPr>
              <w:t>Mandated Lead Arrangers</w:t>
            </w:r>
          </w:p>
        </w:tc>
        <w:tc>
          <w:tcPr>
            <w:tcW w:w="40" w:type="dxa"/>
            <w:vAlign w:val="bottom"/>
          </w:tcPr>
          <w:p>
            <w:pPr>
              <w:spacing w:after="0"/>
              <w:rPr>
                <w:sz w:val="20"/>
                <w:szCs w:val="20"/>
                <w:color w:val="auto"/>
              </w:rPr>
            </w:pPr>
          </w:p>
        </w:tc>
      </w:tr>
      <w:tr>
        <w:trPr>
          <w:trHeight w:val="189"/>
        </w:trPr>
        <w:tc>
          <w:tcPr>
            <w:tcW w:w="396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gridSpan w:val="2"/>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7280" w:type="dxa"/>
            <w:vAlign w:val="bottom"/>
            <w:tcBorders>
              <w:bottom w:val="single" w:sz="8" w:color="auto"/>
              <w:right w:val="single" w:sz="8" w:color="auto"/>
            </w:tcBorders>
            <w:gridSpan w:val="2"/>
          </w:tcPr>
          <w:p>
            <w:pPr>
              <w:ind w:left="100"/>
              <w:spacing w:after="0" w:line="196" w:lineRule="exact"/>
              <w:rPr>
                <w:sz w:val="20"/>
                <w:szCs w:val="20"/>
                <w:color w:val="auto"/>
              </w:rPr>
            </w:pPr>
            <w:r>
              <w:rPr>
                <w:rFonts w:ascii="Arial" w:cs="Arial" w:eastAsia="Arial" w:hAnsi="Arial"/>
                <w:sz w:val="18"/>
                <w:szCs w:val="18"/>
                <w:b w:val="1"/>
                <w:bCs w:val="1"/>
                <w:color w:val="auto"/>
              </w:rPr>
              <w:t>BNP Paribas</w:t>
            </w:r>
          </w:p>
        </w:tc>
        <w:tc>
          <w:tcPr>
            <w:tcW w:w="40" w:type="dxa"/>
            <w:vAlign w:val="bottom"/>
          </w:tcPr>
          <w:p>
            <w:pPr>
              <w:spacing w:after="0"/>
              <w:rPr>
                <w:sz w:val="17"/>
                <w:szCs w:val="17"/>
                <w:color w:val="auto"/>
              </w:rPr>
            </w:pPr>
          </w:p>
        </w:tc>
      </w:tr>
      <w:tr>
        <w:trPr>
          <w:trHeight w:val="173"/>
        </w:trPr>
        <w:tc>
          <w:tcPr>
            <w:tcW w:w="39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40" w:type="dxa"/>
            <w:vAlign w:val="bottom"/>
          </w:tcPr>
          <w:p>
            <w:pPr>
              <w:spacing w:after="0"/>
              <w:rPr>
                <w:sz w:val="15"/>
                <w:szCs w:val="15"/>
                <w:color w:val="auto"/>
              </w:rPr>
            </w:pPr>
          </w:p>
        </w:tc>
        <w:tc>
          <w:tcPr>
            <w:tcW w:w="63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2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16 boulevard des Italiens</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75009 Paris</w:t>
            </w:r>
          </w:p>
        </w:tc>
        <w:tc>
          <w:tcPr>
            <w:tcW w:w="40" w:type="dxa"/>
            <w:vAlign w:val="bottom"/>
          </w:tcPr>
          <w:p>
            <w:pPr>
              <w:spacing w:after="0"/>
              <w:rPr>
                <w:sz w:val="17"/>
                <w:szCs w:val="17"/>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63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Transportation Group</w:t>
            </w:r>
          </w:p>
        </w:tc>
        <w:tc>
          <w:tcPr>
            <w:tcW w:w="40" w:type="dxa"/>
            <w:vAlign w:val="bottom"/>
          </w:tcPr>
          <w:p>
            <w:pPr>
              <w:spacing w:after="0"/>
              <w:rPr>
                <w:sz w:val="18"/>
                <w:szCs w:val="18"/>
                <w:color w:val="auto"/>
              </w:rPr>
            </w:pP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melissa.doucoure@bnpparibas.com /</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mouna.felfel@bnpparibas.com</w:t>
            </w:r>
          </w:p>
        </w:tc>
        <w:tc>
          <w:tcPr>
            <w:tcW w:w="40" w:type="dxa"/>
            <w:vAlign w:val="bottom"/>
          </w:tcPr>
          <w:p>
            <w:pPr>
              <w:spacing w:after="0"/>
              <w:rPr>
                <w:sz w:val="17"/>
                <w:szCs w:val="17"/>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63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Mélissa Doucouré/ Mouna Felfel</w:t>
            </w:r>
          </w:p>
        </w:tc>
        <w:tc>
          <w:tcPr>
            <w:tcW w:w="40" w:type="dxa"/>
            <w:vAlign w:val="bottom"/>
          </w:tcPr>
          <w:p>
            <w:pPr>
              <w:spacing w:after="0"/>
              <w:rPr>
                <w:sz w:val="18"/>
                <w:szCs w:val="18"/>
                <w:color w:val="auto"/>
              </w:rPr>
            </w:pP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spacing w:after="0"/>
              <w:rPr>
                <w:sz w:val="17"/>
                <w:szCs w:val="17"/>
                <w:color w:val="auto"/>
              </w:rPr>
            </w:pP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France</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4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63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paris.cib.boci.cfi.2@bnpparibas.com</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9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Attention:</w:t>
            </w:r>
          </w:p>
        </w:tc>
        <w:tc>
          <w:tcPr>
            <w:tcW w:w="6340" w:type="dxa"/>
            <w:vAlign w:val="bottom"/>
            <w:tcBorders>
              <w:bottom w:val="single" w:sz="8" w:color="auto"/>
              <w:right w:val="single" w:sz="8" w:color="auto"/>
            </w:tcBorders>
          </w:tcPr>
          <w:p>
            <w:pPr>
              <w:ind w:left="160"/>
              <w:spacing w:after="0" w:line="203" w:lineRule="exact"/>
              <w:rPr>
                <w:sz w:val="20"/>
                <w:szCs w:val="20"/>
                <w:color w:val="auto"/>
              </w:rPr>
            </w:pPr>
            <w:r>
              <w:rPr>
                <w:rFonts w:ascii="Arial" w:cs="Arial" w:eastAsia="Arial" w:hAnsi="Arial"/>
                <w:sz w:val="18"/>
                <w:szCs w:val="18"/>
                <w:color w:val="auto"/>
              </w:rPr>
              <w:t>CFi2 Team / Cindy Piveteau</w:t>
            </w:r>
          </w:p>
        </w:tc>
        <w:tc>
          <w:tcPr>
            <w:tcW w:w="40" w:type="dxa"/>
            <w:vAlign w:val="bottom"/>
          </w:tcPr>
          <w:p>
            <w:pPr>
              <w:spacing w:after="0"/>
              <w:rPr>
                <w:sz w:val="17"/>
                <w:szCs w:val="17"/>
                <w:color w:val="auto"/>
              </w:rPr>
            </w:pPr>
          </w:p>
        </w:tc>
      </w:tr>
      <w:tr>
        <w:trPr>
          <w:trHeight w:val="425"/>
        </w:trPr>
        <w:tc>
          <w:tcPr>
            <w:tcW w:w="3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tcPr>
          <w:p>
            <w:pPr>
              <w:jc w:val="center"/>
              <w:ind w:right="4790"/>
              <w:spacing w:after="0"/>
              <w:rPr>
                <w:sz w:val="20"/>
                <w:szCs w:val="20"/>
                <w:color w:val="auto"/>
              </w:rPr>
            </w:pPr>
            <w:r>
              <w:rPr>
                <w:rFonts w:ascii="Arial" w:cs="Arial" w:eastAsia="Arial" w:hAnsi="Arial"/>
                <w:sz w:val="18"/>
                <w:szCs w:val="18"/>
                <w:color w:val="auto"/>
                <w:w w:val="99"/>
              </w:rPr>
              <w:t>143</w:t>
            </w:r>
          </w:p>
        </w:tc>
        <w:tc>
          <w:tcPr>
            <w:tcW w:w="40" w:type="dxa"/>
            <w:vAlign w:val="bottom"/>
          </w:tcPr>
          <w:p>
            <w:pPr>
              <w:spacing w:after="0"/>
              <w:rPr>
                <w:sz w:val="24"/>
                <w:szCs w:val="24"/>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216"/>
        </w:trPr>
        <w:tc>
          <w:tcPr>
            <w:tcW w:w="3920" w:type="dxa"/>
            <w:vAlign w:val="bottom"/>
            <w:tcBorders>
              <w:top w:val="single" w:sz="8" w:color="auto"/>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320" w:type="dxa"/>
            <w:vAlign w:val="bottom"/>
            <w:tcBorders>
              <w:top w:val="single" w:sz="8" w:color="auto"/>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Credit Suisse AG</w:t>
            </w:r>
          </w:p>
        </w:tc>
        <w:tc>
          <w:tcPr>
            <w:tcW w:w="40" w:type="dxa"/>
            <w:vAlign w:val="bottom"/>
          </w:tcPr>
          <w:p>
            <w:pPr>
              <w:spacing w:after="0"/>
              <w:rPr>
                <w:sz w:val="18"/>
                <w:szCs w:val="18"/>
                <w:color w:val="auto"/>
              </w:rPr>
            </w:pPr>
          </w:p>
        </w:tc>
      </w:tr>
      <w:tr>
        <w:trPr>
          <w:trHeight w:val="173"/>
        </w:trPr>
        <w:tc>
          <w:tcPr>
            <w:tcW w:w="392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2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2"/>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17"/>
        </w:trPr>
        <w:tc>
          <w:tcPr>
            <w:tcW w:w="3920" w:type="dxa"/>
            <w:vAlign w:val="bottom"/>
            <w:tcBorders>
              <w:left w:val="single" w:sz="8" w:color="auto"/>
              <w:right w:val="single" w:sz="8" w:color="auto"/>
            </w:tcBorders>
            <w:shd w:val="clear" w:color="auto" w:fill="C0C0C0"/>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8"/>
                <w:szCs w:val="18"/>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r>
      <w:tr>
        <w:trPr>
          <w:trHeight w:val="176"/>
        </w:trPr>
        <w:tc>
          <w:tcPr>
            <w:tcW w:w="3920" w:type="dxa"/>
            <w:vAlign w:val="bottom"/>
            <w:tcBorders>
              <w:left w:val="single" w:sz="8" w:color="auto"/>
              <w:right w:val="single" w:sz="8" w:color="auto"/>
            </w:tcBorders>
            <w:shd w:val="clear" w:color="auto" w:fill="C0C0C0"/>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620" w:type="dxa"/>
            <w:vAlign w:val="bottom"/>
          </w:tcPr>
          <w:p>
            <w:pPr>
              <w:spacing w:after="0"/>
              <w:rPr>
                <w:sz w:val="15"/>
                <w:szCs w:val="15"/>
                <w:color w:val="auto"/>
              </w:rPr>
            </w:pPr>
          </w:p>
        </w:tc>
        <w:tc>
          <w:tcPr>
            <w:tcW w:w="572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eirini.charalampi@credit-suisse.com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r>
      <w:tr>
        <w:trPr>
          <w:trHeight w:val="20"/>
        </w:trPr>
        <w:tc>
          <w:tcPr>
            <w:tcW w:w="392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920" w:type="dxa"/>
            <w:vAlign w:val="bottom"/>
            <w:tcBorders>
              <w:left w:val="single" w:sz="8" w:color="auto"/>
              <w:right w:val="single" w:sz="8" w:color="auto"/>
            </w:tcBorders>
            <w:shd w:val="clear" w:color="auto" w:fill="C0C0C0"/>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72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8"/>
                <w:szCs w:val="18"/>
                <w:color w:val="0000FF"/>
              </w:rPr>
              <w:t>federico.mercurio @credit-suisse.com</w:t>
            </w:r>
          </w:p>
        </w:tc>
        <w:tc>
          <w:tcPr>
            <w:tcW w:w="40" w:type="dxa"/>
            <w:vAlign w:val="bottom"/>
          </w:tcPr>
          <w:p>
            <w:pPr>
              <w:spacing w:after="0"/>
              <w:rPr>
                <w:sz w:val="15"/>
                <w:szCs w:val="15"/>
                <w:color w:val="auto"/>
              </w:rPr>
            </w:pPr>
          </w:p>
        </w:tc>
      </w:tr>
      <w:tr>
        <w:trPr>
          <w:trHeight w:val="223"/>
        </w:trPr>
        <w:tc>
          <w:tcPr>
            <w:tcW w:w="3920" w:type="dxa"/>
            <w:vAlign w:val="bottom"/>
            <w:tcBorders>
              <w:top w:val="single" w:sz="8" w:color="C0C0C0"/>
              <w:left w:val="single" w:sz="8" w:color="auto"/>
              <w:right w:val="single" w:sz="8" w:color="auto"/>
            </w:tcBorders>
            <w:shd w:val="clear" w:color="auto" w:fill="C0C0C0"/>
          </w:tcPr>
          <w:p>
            <w:pPr>
              <w:spacing w:after="0"/>
              <w:rPr>
                <w:sz w:val="19"/>
                <w:szCs w:val="19"/>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620" w:type="dxa"/>
            <w:vAlign w:val="bottom"/>
          </w:tcPr>
          <w:p>
            <w:pPr>
              <w:spacing w:after="0"/>
              <w:rPr>
                <w:sz w:val="19"/>
                <w:szCs w:val="19"/>
                <w:color w:val="auto"/>
              </w:rPr>
            </w:pPr>
          </w:p>
        </w:tc>
        <w:tc>
          <w:tcPr>
            <w:tcW w:w="30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Eirini Charalampi/ Federico Mercurio</w:t>
            </w:r>
          </w:p>
        </w:tc>
        <w:tc>
          <w:tcPr>
            <w:tcW w:w="2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r>
      <w:tr>
        <w:trPr>
          <w:trHeight w:val="176"/>
        </w:trPr>
        <w:tc>
          <w:tcPr>
            <w:tcW w:w="3920" w:type="dxa"/>
            <w:vAlign w:val="bottom"/>
            <w:tcBorders>
              <w:left w:val="single" w:sz="8" w:color="auto"/>
              <w:right w:val="single" w:sz="8" w:color="auto"/>
            </w:tcBorders>
            <w:shd w:val="clear" w:color="auto" w:fill="C0C0C0"/>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620" w:type="dxa"/>
            <w:vAlign w:val="bottom"/>
          </w:tcPr>
          <w:p>
            <w:pPr>
              <w:spacing w:after="0"/>
              <w:rPr>
                <w:sz w:val="15"/>
                <w:szCs w:val="15"/>
                <w:color w:val="auto"/>
              </w:rPr>
            </w:pPr>
          </w:p>
        </w:tc>
        <w:tc>
          <w:tcPr>
            <w:tcW w:w="572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rakita.budislava@credit-suisse.com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r>
      <w:tr>
        <w:trPr>
          <w:trHeight w:val="183"/>
        </w:trPr>
        <w:tc>
          <w:tcPr>
            <w:tcW w:w="3920" w:type="dxa"/>
            <w:vAlign w:val="bottom"/>
            <w:tcBorders>
              <w:top w:val="single" w:sz="8" w:color="C0C0C0"/>
              <w:left w:val="single" w:sz="8" w:color="auto"/>
              <w:bottom w:val="single" w:sz="8" w:color="C0C0C0"/>
              <w:right w:val="single" w:sz="8" w:color="auto"/>
            </w:tcBorders>
            <w:shd w:val="clear" w:color="auto" w:fill="C0C0C0"/>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alessandra.cali@credit-suisse.com</w:t>
            </w:r>
          </w:p>
        </w:tc>
        <w:tc>
          <w:tcPr>
            <w:tcW w:w="100" w:type="dxa"/>
            <w:vAlign w:val="bottom"/>
            <w:tcBorders>
              <w:top w:val="single" w:sz="8" w:color="0000FF"/>
            </w:tcBorders>
          </w:tcPr>
          <w:p>
            <w:pPr>
              <w:spacing w:after="0"/>
              <w:rPr>
                <w:sz w:val="15"/>
                <w:szCs w:val="15"/>
                <w:color w:val="auto"/>
              </w:rPr>
            </w:pPr>
          </w:p>
        </w:tc>
        <w:tc>
          <w:tcPr>
            <w:tcW w:w="2820" w:type="dxa"/>
            <w:vAlign w:val="bottom"/>
            <w:tcBorders>
              <w:right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392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Attention:</w:t>
            </w:r>
          </w:p>
        </w:tc>
        <w:tc>
          <w:tcPr>
            <w:tcW w:w="63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Rakita Budislava / Alessandra Cali</w:t>
            </w:r>
          </w:p>
        </w:tc>
        <w:tc>
          <w:tcPr>
            <w:tcW w:w="40" w:type="dxa"/>
            <w:vAlign w:val="bottom"/>
          </w:tcPr>
          <w:p>
            <w:pPr>
              <w:spacing w:after="0"/>
              <w:rPr>
                <w:sz w:val="18"/>
                <w:szCs w:val="18"/>
                <w:color w:val="auto"/>
              </w:rPr>
            </w:pPr>
          </w:p>
        </w:tc>
      </w:tr>
      <w:tr>
        <w:trPr>
          <w:trHeight w:val="412"/>
        </w:trPr>
        <w:tc>
          <w:tcPr>
            <w:tcW w:w="3920" w:type="dxa"/>
            <w:vAlign w:val="bottom"/>
          </w:tcPr>
          <w:p>
            <w:pPr>
              <w:spacing w:after="0"/>
              <w:rPr>
                <w:sz w:val="24"/>
                <w:szCs w:val="24"/>
                <w:color w:val="auto"/>
              </w:rPr>
            </w:pPr>
          </w:p>
        </w:tc>
        <w:tc>
          <w:tcPr>
            <w:tcW w:w="732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rPr>
              <w:t>The Global Co-ordinators</w:t>
            </w:r>
          </w:p>
        </w:tc>
        <w:tc>
          <w:tcPr>
            <w:tcW w:w="40" w:type="dxa"/>
            <w:vAlign w:val="bottom"/>
          </w:tcPr>
          <w:p>
            <w:pPr>
              <w:spacing w:after="0"/>
              <w:rPr>
                <w:sz w:val="24"/>
                <w:szCs w:val="24"/>
                <w:color w:val="auto"/>
              </w:rPr>
            </w:pPr>
          </w:p>
        </w:tc>
      </w:tr>
      <w:tr>
        <w:trPr>
          <w:trHeight w:val="391"/>
        </w:trPr>
        <w:tc>
          <w:tcPr>
            <w:tcW w:w="3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92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7320" w:type="dxa"/>
            <w:vAlign w:val="bottom"/>
            <w:tcBorders>
              <w:bottom w:val="single" w:sz="8" w:color="auto"/>
              <w:right w:val="single" w:sz="8" w:color="auto"/>
            </w:tcBorders>
            <w:gridSpan w:val="6"/>
          </w:tcPr>
          <w:p>
            <w:pPr>
              <w:ind w:left="100"/>
              <w:spacing w:after="0" w:line="196" w:lineRule="exact"/>
              <w:rPr>
                <w:sz w:val="20"/>
                <w:szCs w:val="20"/>
                <w:color w:val="auto"/>
              </w:rPr>
            </w:pPr>
            <w:r>
              <w:rPr>
                <w:rFonts w:ascii="Arial" w:cs="Arial" w:eastAsia="Arial" w:hAnsi="Arial"/>
                <w:sz w:val="18"/>
                <w:szCs w:val="18"/>
                <w:b w:val="1"/>
                <w:bCs w:val="1"/>
                <w:color w:val="auto"/>
              </w:rPr>
              <w:t>BNP Paribas</w:t>
            </w:r>
          </w:p>
        </w:tc>
        <w:tc>
          <w:tcPr>
            <w:tcW w:w="40" w:type="dxa"/>
            <w:vAlign w:val="bottom"/>
          </w:tcPr>
          <w:p>
            <w:pPr>
              <w:spacing w:after="0"/>
              <w:rPr>
                <w:sz w:val="17"/>
                <w:szCs w:val="17"/>
                <w:color w:val="auto"/>
              </w:rPr>
            </w:pPr>
          </w:p>
        </w:tc>
      </w:tr>
      <w:tr>
        <w:trPr>
          <w:trHeight w:val="173"/>
        </w:trPr>
        <w:tc>
          <w:tcPr>
            <w:tcW w:w="392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2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16 boulevard des Italiens</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75009 Paris</w:t>
            </w:r>
          </w:p>
        </w:tc>
        <w:tc>
          <w:tcPr>
            <w:tcW w:w="40" w:type="dxa"/>
            <w:vAlign w:val="bottom"/>
          </w:tcPr>
          <w:p>
            <w:pPr>
              <w:spacing w:after="0"/>
              <w:rPr>
                <w:sz w:val="17"/>
                <w:szCs w:val="17"/>
                <w:color w:val="auto"/>
              </w:rPr>
            </w:pPr>
          </w:p>
        </w:tc>
      </w:tr>
      <w:tr>
        <w:trPr>
          <w:trHeight w:val="217"/>
        </w:trPr>
        <w:tc>
          <w:tcPr>
            <w:tcW w:w="3920" w:type="dxa"/>
            <w:vAlign w:val="bottom"/>
            <w:tcBorders>
              <w:left w:val="single" w:sz="8" w:color="auto"/>
              <w:right w:val="single" w:sz="8" w:color="auto"/>
            </w:tcBorders>
            <w:shd w:val="clear" w:color="auto" w:fill="C0C0C0"/>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620" w:type="dxa"/>
            <w:vAlign w:val="bottom"/>
          </w:tcPr>
          <w:p>
            <w:pPr>
              <w:spacing w:after="0"/>
              <w:rPr>
                <w:sz w:val="18"/>
                <w:szCs w:val="18"/>
                <w:color w:val="auto"/>
              </w:rPr>
            </w:pPr>
          </w:p>
        </w:tc>
        <w:tc>
          <w:tcPr>
            <w:tcW w:w="57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Transportation Group</w:t>
            </w:r>
          </w:p>
        </w:tc>
        <w:tc>
          <w:tcPr>
            <w:tcW w:w="40" w:type="dxa"/>
            <w:vAlign w:val="bottom"/>
          </w:tcPr>
          <w:p>
            <w:pPr>
              <w:spacing w:after="0"/>
              <w:rPr>
                <w:sz w:val="18"/>
                <w:szCs w:val="18"/>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melissa.doucoure@bnpparibas.com /</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mouna.felfel@bnpparibas.com</w:t>
            </w:r>
          </w:p>
        </w:tc>
        <w:tc>
          <w:tcPr>
            <w:tcW w:w="40" w:type="dxa"/>
            <w:vAlign w:val="bottom"/>
          </w:tcPr>
          <w:p>
            <w:pPr>
              <w:spacing w:after="0"/>
              <w:rPr>
                <w:sz w:val="17"/>
                <w:szCs w:val="17"/>
                <w:color w:val="auto"/>
              </w:rPr>
            </w:pPr>
          </w:p>
        </w:tc>
      </w:tr>
      <w:tr>
        <w:trPr>
          <w:trHeight w:val="217"/>
        </w:trPr>
        <w:tc>
          <w:tcPr>
            <w:tcW w:w="3920" w:type="dxa"/>
            <w:vAlign w:val="bottom"/>
            <w:tcBorders>
              <w:left w:val="single" w:sz="8" w:color="auto"/>
              <w:right w:val="single" w:sz="8" w:color="auto"/>
            </w:tcBorders>
            <w:shd w:val="clear" w:color="auto" w:fill="C0C0C0"/>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620" w:type="dxa"/>
            <w:vAlign w:val="bottom"/>
          </w:tcPr>
          <w:p>
            <w:pPr>
              <w:spacing w:after="0"/>
              <w:rPr>
                <w:sz w:val="18"/>
                <w:szCs w:val="18"/>
                <w:color w:val="auto"/>
              </w:rPr>
            </w:pPr>
          </w:p>
        </w:tc>
        <w:tc>
          <w:tcPr>
            <w:tcW w:w="57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Mélissa Doucouré/ Mouna Felfel</w:t>
            </w:r>
          </w:p>
        </w:tc>
        <w:tc>
          <w:tcPr>
            <w:tcW w:w="40" w:type="dxa"/>
            <w:vAlign w:val="bottom"/>
          </w:tcPr>
          <w:p>
            <w:pPr>
              <w:spacing w:after="0"/>
              <w:rPr>
                <w:sz w:val="18"/>
                <w:szCs w:val="18"/>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France</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620" w:type="dxa"/>
            <w:vAlign w:val="bottom"/>
          </w:tcPr>
          <w:p>
            <w:pPr>
              <w:spacing w:after="0"/>
              <w:rPr>
                <w:sz w:val="17"/>
                <w:szCs w:val="17"/>
                <w:color w:val="auto"/>
              </w:rPr>
            </w:pPr>
          </w:p>
        </w:tc>
        <w:tc>
          <w:tcPr>
            <w:tcW w:w="572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paris.cib.boci.cfi.2@bnpparibas.com</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9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Attention:</w:t>
            </w:r>
          </w:p>
        </w:tc>
        <w:tc>
          <w:tcPr>
            <w:tcW w:w="6340" w:type="dxa"/>
            <w:vAlign w:val="bottom"/>
            <w:tcBorders>
              <w:bottom w:val="single" w:sz="8" w:color="auto"/>
              <w:right w:val="single" w:sz="8" w:color="auto"/>
            </w:tcBorders>
            <w:gridSpan w:val="5"/>
          </w:tcPr>
          <w:p>
            <w:pPr>
              <w:ind w:left="140"/>
              <w:spacing w:after="0" w:line="203" w:lineRule="exact"/>
              <w:rPr>
                <w:sz w:val="20"/>
                <w:szCs w:val="20"/>
                <w:color w:val="auto"/>
              </w:rPr>
            </w:pPr>
            <w:r>
              <w:rPr>
                <w:rFonts w:ascii="Arial" w:cs="Arial" w:eastAsia="Arial" w:hAnsi="Arial"/>
                <w:sz w:val="18"/>
                <w:szCs w:val="18"/>
                <w:color w:val="auto"/>
              </w:rPr>
              <w:t>CFi2 Team / Cindy Piveteau</w:t>
            </w:r>
          </w:p>
        </w:tc>
        <w:tc>
          <w:tcPr>
            <w:tcW w:w="40" w:type="dxa"/>
            <w:vAlign w:val="bottom"/>
          </w:tcPr>
          <w:p>
            <w:pPr>
              <w:spacing w:after="0"/>
              <w:rPr>
                <w:sz w:val="17"/>
                <w:szCs w:val="17"/>
                <w:color w:val="auto"/>
              </w:rPr>
            </w:pPr>
          </w:p>
        </w:tc>
      </w:tr>
      <w:tr>
        <w:trPr>
          <w:trHeight w:val="426"/>
        </w:trPr>
        <w:tc>
          <w:tcPr>
            <w:tcW w:w="3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gridSpan w:val="2"/>
          </w:tcPr>
          <w:p>
            <w:pPr>
              <w:jc w:val="right"/>
              <w:ind w:right="245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39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151" w:name="page152"/>
    <w:bookmarkEnd w:id="151"/>
    <w:tbl>
      <w:tblPr>
        <w:tblLayout w:type="fixed"/>
        <w:tblInd w:w="10" w:type="dxa"/>
        <w:tblCellMar>
          <w:top w:w="0" w:type="dxa"/>
          <w:left w:w="0" w:type="dxa"/>
          <w:bottom w:w="0" w:type="dxa"/>
          <w:right w:w="0" w:type="dxa"/>
        </w:tblCellMar>
      </w:tblPr>
      <w:tr>
        <w:trPr>
          <w:trHeight w:val="216"/>
        </w:trPr>
        <w:tc>
          <w:tcPr>
            <w:tcW w:w="3920" w:type="dxa"/>
            <w:vAlign w:val="bottom"/>
            <w:tcBorders>
              <w:top w:val="single" w:sz="8" w:color="auto"/>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320" w:type="dxa"/>
            <w:vAlign w:val="bottom"/>
            <w:tcBorders>
              <w:top w:val="single" w:sz="8" w:color="auto"/>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Credit Suisse AG</w:t>
            </w:r>
          </w:p>
        </w:tc>
        <w:tc>
          <w:tcPr>
            <w:tcW w:w="40" w:type="dxa"/>
            <w:vAlign w:val="bottom"/>
          </w:tcPr>
          <w:p>
            <w:pPr>
              <w:spacing w:after="0"/>
              <w:rPr>
                <w:sz w:val="18"/>
                <w:szCs w:val="18"/>
                <w:color w:val="auto"/>
              </w:rPr>
            </w:pPr>
          </w:p>
        </w:tc>
      </w:tr>
      <w:tr>
        <w:trPr>
          <w:trHeight w:val="173"/>
        </w:trPr>
        <w:tc>
          <w:tcPr>
            <w:tcW w:w="392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2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17"/>
        </w:trPr>
        <w:tc>
          <w:tcPr>
            <w:tcW w:w="3920" w:type="dxa"/>
            <w:vAlign w:val="bottom"/>
            <w:tcBorders>
              <w:left w:val="single" w:sz="8" w:color="auto"/>
              <w:right w:val="single" w:sz="8" w:color="auto"/>
            </w:tcBorders>
            <w:shd w:val="clear" w:color="auto" w:fill="C0C0C0"/>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8"/>
                <w:szCs w:val="18"/>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r>
      <w:tr>
        <w:trPr>
          <w:trHeight w:val="176"/>
        </w:trPr>
        <w:tc>
          <w:tcPr>
            <w:tcW w:w="3920" w:type="dxa"/>
            <w:vAlign w:val="bottom"/>
            <w:tcBorders>
              <w:left w:val="single" w:sz="8" w:color="auto"/>
              <w:right w:val="single" w:sz="8" w:color="auto"/>
            </w:tcBorders>
            <w:shd w:val="clear" w:color="auto" w:fill="C0C0C0"/>
          </w:tcPr>
          <w:p>
            <w:pPr>
              <w:spacing w:after="0"/>
              <w:rPr>
                <w:sz w:val="15"/>
                <w:szCs w:val="15"/>
                <w:color w:val="auto"/>
              </w:rPr>
            </w:pPr>
          </w:p>
        </w:tc>
        <w:tc>
          <w:tcPr>
            <w:tcW w:w="90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720" w:type="dxa"/>
            <w:vAlign w:val="bottom"/>
          </w:tcPr>
          <w:p>
            <w:pPr>
              <w:spacing w:after="0"/>
              <w:rPr>
                <w:sz w:val="15"/>
                <w:szCs w:val="15"/>
                <w:color w:val="auto"/>
              </w:rPr>
            </w:pPr>
          </w:p>
        </w:tc>
        <w:tc>
          <w:tcPr>
            <w:tcW w:w="570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eirini.charalampi@credit-suisse.com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r>
      <w:tr>
        <w:trPr>
          <w:trHeight w:val="20"/>
        </w:trPr>
        <w:tc>
          <w:tcPr>
            <w:tcW w:w="392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920" w:type="dxa"/>
            <w:vAlign w:val="bottom"/>
            <w:tcBorders>
              <w:left w:val="single" w:sz="8" w:color="auto"/>
              <w:right w:val="single" w:sz="8" w:color="auto"/>
            </w:tcBorders>
            <w:shd w:val="clear" w:color="auto" w:fill="C0C0C0"/>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7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8"/>
                <w:szCs w:val="18"/>
                <w:color w:val="0000FF"/>
              </w:rPr>
              <w:t>federico.mercurio @credit-suisse.com</w:t>
            </w:r>
          </w:p>
        </w:tc>
        <w:tc>
          <w:tcPr>
            <w:tcW w:w="40" w:type="dxa"/>
            <w:vAlign w:val="bottom"/>
          </w:tcPr>
          <w:p>
            <w:pPr>
              <w:spacing w:after="0"/>
              <w:rPr>
                <w:sz w:val="15"/>
                <w:szCs w:val="15"/>
                <w:color w:val="auto"/>
              </w:rPr>
            </w:pPr>
          </w:p>
        </w:tc>
      </w:tr>
      <w:tr>
        <w:trPr>
          <w:trHeight w:val="223"/>
        </w:trPr>
        <w:tc>
          <w:tcPr>
            <w:tcW w:w="3920" w:type="dxa"/>
            <w:vAlign w:val="bottom"/>
            <w:tcBorders>
              <w:top w:val="single" w:sz="8" w:color="C0C0C0"/>
              <w:left w:val="single" w:sz="8" w:color="auto"/>
              <w:right w:val="single" w:sz="8" w:color="auto"/>
            </w:tcBorders>
            <w:shd w:val="clear" w:color="auto" w:fill="C0C0C0"/>
          </w:tcPr>
          <w:p>
            <w:pPr>
              <w:spacing w:after="0"/>
              <w:rPr>
                <w:sz w:val="19"/>
                <w:szCs w:val="19"/>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720" w:type="dxa"/>
            <w:vAlign w:val="bottom"/>
          </w:tcPr>
          <w:p>
            <w:pPr>
              <w:spacing w:after="0"/>
              <w:rPr>
                <w:sz w:val="19"/>
                <w:szCs w:val="19"/>
                <w:color w:val="auto"/>
              </w:rPr>
            </w:pPr>
          </w:p>
        </w:tc>
        <w:tc>
          <w:tcPr>
            <w:tcW w:w="30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Eirini Charalampi/ Federico Mercurio</w:t>
            </w:r>
          </w:p>
        </w:tc>
        <w:tc>
          <w:tcPr>
            <w:tcW w:w="27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r>
      <w:tr>
        <w:trPr>
          <w:trHeight w:val="176"/>
        </w:trPr>
        <w:tc>
          <w:tcPr>
            <w:tcW w:w="3920" w:type="dxa"/>
            <w:vAlign w:val="bottom"/>
            <w:tcBorders>
              <w:left w:val="single" w:sz="8" w:color="auto"/>
              <w:right w:val="single" w:sz="8" w:color="auto"/>
            </w:tcBorders>
            <w:shd w:val="clear" w:color="auto" w:fill="C0C0C0"/>
          </w:tcPr>
          <w:p>
            <w:pPr>
              <w:spacing w:after="0"/>
              <w:rPr>
                <w:sz w:val="15"/>
                <w:szCs w:val="15"/>
                <w:color w:val="auto"/>
              </w:rPr>
            </w:pPr>
          </w:p>
        </w:tc>
        <w:tc>
          <w:tcPr>
            <w:tcW w:w="90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720" w:type="dxa"/>
            <w:vAlign w:val="bottom"/>
          </w:tcPr>
          <w:p>
            <w:pPr>
              <w:spacing w:after="0"/>
              <w:rPr>
                <w:sz w:val="15"/>
                <w:szCs w:val="15"/>
                <w:color w:val="auto"/>
              </w:rPr>
            </w:pPr>
          </w:p>
        </w:tc>
        <w:tc>
          <w:tcPr>
            <w:tcW w:w="570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rakita.budislava@credit-suisse.com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r>
      <w:tr>
        <w:trPr>
          <w:trHeight w:val="183"/>
        </w:trPr>
        <w:tc>
          <w:tcPr>
            <w:tcW w:w="3920" w:type="dxa"/>
            <w:vAlign w:val="bottom"/>
            <w:tcBorders>
              <w:top w:val="single" w:sz="8" w:color="C0C0C0"/>
              <w:left w:val="single" w:sz="8" w:color="auto"/>
              <w:right w:val="single" w:sz="8" w:color="auto"/>
            </w:tcBorders>
            <w:shd w:val="clear" w:color="auto" w:fill="C0C0C0"/>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8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alessandra.cali@credit-suisse.com</w:t>
            </w:r>
          </w:p>
        </w:tc>
        <w:tc>
          <w:tcPr>
            <w:tcW w:w="2820" w:type="dxa"/>
            <w:vAlign w:val="bottom"/>
            <w:tcBorders>
              <w:right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92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920" w:type="dxa"/>
            <w:vAlign w:val="bottom"/>
            <w:tcBorders>
              <w:righ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92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Attention:</w:t>
            </w:r>
          </w:p>
        </w:tc>
        <w:tc>
          <w:tcPr>
            <w:tcW w:w="642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Rakita Budislava / Alessandra Cali</w:t>
            </w:r>
          </w:p>
        </w:tc>
        <w:tc>
          <w:tcPr>
            <w:tcW w:w="40" w:type="dxa"/>
            <w:vAlign w:val="bottom"/>
          </w:tcPr>
          <w:p>
            <w:pPr>
              <w:spacing w:after="0"/>
              <w:rPr>
                <w:sz w:val="18"/>
                <w:szCs w:val="18"/>
                <w:color w:val="auto"/>
              </w:rPr>
            </w:pPr>
          </w:p>
        </w:tc>
      </w:tr>
      <w:tr>
        <w:trPr>
          <w:trHeight w:val="412"/>
        </w:trPr>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20" w:type="dxa"/>
            <w:vAlign w:val="bottom"/>
            <w:gridSpan w:val="5"/>
          </w:tcPr>
          <w:p>
            <w:pPr>
              <w:jc w:val="center"/>
              <w:ind w:right="4840"/>
              <w:spacing w:after="0"/>
              <w:rPr>
                <w:sz w:val="20"/>
                <w:szCs w:val="20"/>
                <w:color w:val="auto"/>
              </w:rPr>
            </w:pPr>
            <w:r>
              <w:rPr>
                <w:rFonts w:ascii="Arial" w:cs="Arial" w:eastAsia="Arial" w:hAnsi="Arial"/>
                <w:sz w:val="18"/>
                <w:szCs w:val="18"/>
                <w:b w:val="1"/>
                <w:bCs w:val="1"/>
                <w:color w:val="auto"/>
              </w:rPr>
              <w:t>The Bookrunners</w:t>
            </w:r>
          </w:p>
        </w:tc>
        <w:tc>
          <w:tcPr>
            <w:tcW w:w="40" w:type="dxa"/>
            <w:vAlign w:val="bottom"/>
          </w:tcPr>
          <w:p>
            <w:pPr>
              <w:spacing w:after="0"/>
              <w:rPr>
                <w:sz w:val="24"/>
                <w:szCs w:val="24"/>
                <w:color w:val="auto"/>
              </w:rPr>
            </w:pPr>
          </w:p>
        </w:tc>
      </w:tr>
      <w:tr>
        <w:trPr>
          <w:trHeight w:val="189"/>
        </w:trPr>
        <w:tc>
          <w:tcPr>
            <w:tcW w:w="3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920" w:type="dxa"/>
            <w:vAlign w:val="bottom"/>
            <w:tcBorders>
              <w:left w:val="single" w:sz="8" w:color="auto"/>
              <w:bottom w:val="single" w:sz="8" w:color="auto"/>
              <w:right w:val="single" w:sz="8" w:color="auto"/>
            </w:tcBorders>
            <w:shd w:val="clear" w:color="auto" w:fill="C0C0C0"/>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7320" w:type="dxa"/>
            <w:vAlign w:val="bottom"/>
            <w:tcBorders>
              <w:bottom w:val="single" w:sz="8" w:color="auto"/>
              <w:right w:val="single" w:sz="8" w:color="auto"/>
            </w:tcBorders>
            <w:gridSpan w:val="6"/>
          </w:tcPr>
          <w:p>
            <w:pPr>
              <w:ind w:left="100"/>
              <w:spacing w:after="0" w:line="196" w:lineRule="exact"/>
              <w:rPr>
                <w:sz w:val="20"/>
                <w:szCs w:val="20"/>
                <w:color w:val="auto"/>
              </w:rPr>
            </w:pPr>
            <w:r>
              <w:rPr>
                <w:rFonts w:ascii="Arial" w:cs="Arial" w:eastAsia="Arial" w:hAnsi="Arial"/>
                <w:sz w:val="18"/>
                <w:szCs w:val="18"/>
                <w:b w:val="1"/>
                <w:bCs w:val="1"/>
                <w:color w:val="auto"/>
              </w:rPr>
              <w:t>BNP Paribas</w:t>
            </w:r>
          </w:p>
        </w:tc>
        <w:tc>
          <w:tcPr>
            <w:tcW w:w="40" w:type="dxa"/>
            <w:vAlign w:val="bottom"/>
          </w:tcPr>
          <w:p>
            <w:pPr>
              <w:spacing w:after="0"/>
              <w:rPr>
                <w:sz w:val="17"/>
                <w:szCs w:val="17"/>
                <w:color w:val="auto"/>
              </w:rPr>
            </w:pPr>
          </w:p>
        </w:tc>
      </w:tr>
      <w:tr>
        <w:trPr>
          <w:trHeight w:val="173"/>
        </w:trPr>
        <w:tc>
          <w:tcPr>
            <w:tcW w:w="392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2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16 boulevard des Italiens</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75009 Paris</w:t>
            </w:r>
          </w:p>
        </w:tc>
        <w:tc>
          <w:tcPr>
            <w:tcW w:w="40" w:type="dxa"/>
            <w:vAlign w:val="bottom"/>
          </w:tcPr>
          <w:p>
            <w:pPr>
              <w:spacing w:after="0"/>
              <w:rPr>
                <w:sz w:val="17"/>
                <w:szCs w:val="17"/>
                <w:color w:val="auto"/>
              </w:rPr>
            </w:pPr>
          </w:p>
        </w:tc>
      </w:tr>
      <w:tr>
        <w:trPr>
          <w:trHeight w:val="217"/>
        </w:trPr>
        <w:tc>
          <w:tcPr>
            <w:tcW w:w="3920" w:type="dxa"/>
            <w:vAlign w:val="bottom"/>
            <w:tcBorders>
              <w:left w:val="single" w:sz="8" w:color="auto"/>
              <w:right w:val="single" w:sz="8" w:color="auto"/>
            </w:tcBorders>
            <w:shd w:val="clear" w:color="auto" w:fill="C0C0C0"/>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720" w:type="dxa"/>
            <w:vAlign w:val="bottom"/>
          </w:tcPr>
          <w:p>
            <w:pPr>
              <w:spacing w:after="0"/>
              <w:rPr>
                <w:sz w:val="18"/>
                <w:szCs w:val="18"/>
                <w:color w:val="auto"/>
              </w:rPr>
            </w:pPr>
          </w:p>
        </w:tc>
        <w:tc>
          <w:tcPr>
            <w:tcW w:w="57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Transportation Group</w:t>
            </w:r>
          </w:p>
        </w:tc>
        <w:tc>
          <w:tcPr>
            <w:tcW w:w="40" w:type="dxa"/>
            <w:vAlign w:val="bottom"/>
          </w:tcPr>
          <w:p>
            <w:pPr>
              <w:spacing w:after="0"/>
              <w:rPr>
                <w:sz w:val="18"/>
                <w:szCs w:val="18"/>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melissa.doucoure@bnpparibas.com /</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mouna.felfel@bnpparibas.com</w:t>
            </w:r>
          </w:p>
        </w:tc>
        <w:tc>
          <w:tcPr>
            <w:tcW w:w="40" w:type="dxa"/>
            <w:vAlign w:val="bottom"/>
          </w:tcPr>
          <w:p>
            <w:pPr>
              <w:spacing w:after="0"/>
              <w:rPr>
                <w:sz w:val="17"/>
                <w:szCs w:val="17"/>
                <w:color w:val="auto"/>
              </w:rPr>
            </w:pPr>
          </w:p>
        </w:tc>
      </w:tr>
      <w:tr>
        <w:trPr>
          <w:trHeight w:val="217"/>
        </w:trPr>
        <w:tc>
          <w:tcPr>
            <w:tcW w:w="3920" w:type="dxa"/>
            <w:vAlign w:val="bottom"/>
            <w:tcBorders>
              <w:left w:val="single" w:sz="8" w:color="auto"/>
              <w:right w:val="single" w:sz="8" w:color="auto"/>
            </w:tcBorders>
            <w:shd w:val="clear" w:color="auto" w:fill="C0C0C0"/>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720" w:type="dxa"/>
            <w:vAlign w:val="bottom"/>
          </w:tcPr>
          <w:p>
            <w:pPr>
              <w:spacing w:after="0"/>
              <w:rPr>
                <w:sz w:val="18"/>
                <w:szCs w:val="18"/>
                <w:color w:val="auto"/>
              </w:rPr>
            </w:pPr>
          </w:p>
        </w:tc>
        <w:tc>
          <w:tcPr>
            <w:tcW w:w="57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Mélissa Doucouré/ Mouna Felfel</w:t>
            </w:r>
          </w:p>
        </w:tc>
        <w:tc>
          <w:tcPr>
            <w:tcW w:w="40" w:type="dxa"/>
            <w:vAlign w:val="bottom"/>
          </w:tcPr>
          <w:p>
            <w:pPr>
              <w:spacing w:after="0"/>
              <w:rPr>
                <w:sz w:val="18"/>
                <w:szCs w:val="18"/>
                <w:color w:val="auto"/>
              </w:rPr>
            </w:pPr>
          </w:p>
        </w:tc>
      </w:tr>
      <w:tr>
        <w:trPr>
          <w:trHeight w:val="404"/>
        </w:trPr>
        <w:tc>
          <w:tcPr>
            <w:tcW w:w="3920" w:type="dxa"/>
            <w:vAlign w:val="bottom"/>
            <w:tcBorders>
              <w:left w:val="single" w:sz="8" w:color="auto"/>
              <w:right w:val="single" w:sz="8" w:color="auto"/>
            </w:tcBorders>
            <w:shd w:val="clear" w:color="auto" w:fill="C0C0C0"/>
          </w:tcPr>
          <w:p>
            <w:pPr>
              <w:spacing w:after="0"/>
              <w:rPr>
                <w:sz w:val="24"/>
                <w:szCs w:val="24"/>
                <w:color w:val="auto"/>
              </w:rPr>
            </w:pPr>
          </w:p>
        </w:tc>
        <w:tc>
          <w:tcPr>
            <w:tcW w:w="73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35 rue de la Gare</w:t>
            </w:r>
          </w:p>
        </w:tc>
        <w:tc>
          <w:tcPr>
            <w:tcW w:w="40" w:type="dxa"/>
            <w:vAlign w:val="bottom"/>
          </w:tcPr>
          <w:p>
            <w:pPr>
              <w:spacing w:after="0"/>
              <w:rPr>
                <w:sz w:val="17"/>
                <w:szCs w:val="17"/>
                <w:color w:val="auto"/>
              </w:rPr>
            </w:pPr>
          </w:p>
        </w:tc>
      </w:tr>
      <w:tr>
        <w:trPr>
          <w:trHeight w:val="202"/>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75019 Paris</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France</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ind w:left="100"/>
              <w:spacing w:after="0" w:line="202" w:lineRule="exact"/>
              <w:rPr>
                <w:sz w:val="20"/>
                <w:szCs w:val="20"/>
                <w:color w:val="auto"/>
              </w:rPr>
            </w:pPr>
            <w:r>
              <w:rPr>
                <w:rFonts w:ascii="Arial" w:cs="Arial" w:eastAsia="Arial" w:hAnsi="Arial"/>
                <w:sz w:val="18"/>
                <w:szCs w:val="18"/>
                <w:color w:val="auto"/>
              </w:rPr>
              <w:t>Email:</w:t>
            </w:r>
          </w:p>
        </w:tc>
        <w:tc>
          <w:tcPr>
            <w:tcW w:w="720" w:type="dxa"/>
            <w:vAlign w:val="bottom"/>
          </w:tcPr>
          <w:p>
            <w:pPr>
              <w:spacing w:after="0"/>
              <w:rPr>
                <w:sz w:val="17"/>
                <w:szCs w:val="17"/>
                <w:color w:val="auto"/>
              </w:rPr>
            </w:pPr>
          </w:p>
        </w:tc>
        <w:tc>
          <w:tcPr>
            <w:tcW w:w="57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paris.cib.boci.cfi.2@bnpparibas.com</w:t>
            </w:r>
          </w:p>
        </w:tc>
        <w:tc>
          <w:tcPr>
            <w:tcW w:w="40" w:type="dxa"/>
            <w:vAlign w:val="bottom"/>
          </w:tcPr>
          <w:p>
            <w:pPr>
              <w:spacing w:after="0"/>
              <w:rPr>
                <w:sz w:val="17"/>
                <w:szCs w:val="17"/>
                <w:color w:val="auto"/>
              </w:rPr>
            </w:pPr>
          </w:p>
        </w:tc>
      </w:tr>
      <w:tr>
        <w:trPr>
          <w:trHeight w:val="203"/>
        </w:trPr>
        <w:tc>
          <w:tcPr>
            <w:tcW w:w="392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9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Attention:</w:t>
            </w:r>
          </w:p>
        </w:tc>
        <w:tc>
          <w:tcPr>
            <w:tcW w:w="6420" w:type="dxa"/>
            <w:vAlign w:val="bottom"/>
            <w:tcBorders>
              <w:bottom w:val="single" w:sz="8" w:color="auto"/>
              <w:right w:val="single" w:sz="8" w:color="auto"/>
            </w:tcBorders>
            <w:gridSpan w:val="5"/>
          </w:tcPr>
          <w:p>
            <w:pPr>
              <w:ind w:left="200"/>
              <w:spacing w:after="0" w:line="203" w:lineRule="exact"/>
              <w:rPr>
                <w:sz w:val="20"/>
                <w:szCs w:val="20"/>
                <w:color w:val="auto"/>
              </w:rPr>
            </w:pPr>
            <w:r>
              <w:rPr>
                <w:rFonts w:ascii="Arial" w:cs="Arial" w:eastAsia="Arial" w:hAnsi="Arial"/>
                <w:sz w:val="18"/>
                <w:szCs w:val="18"/>
                <w:color w:val="auto"/>
              </w:rPr>
              <w:t>CFi2 Team / Cindy Piveteau</w:t>
            </w:r>
          </w:p>
        </w:tc>
        <w:tc>
          <w:tcPr>
            <w:tcW w:w="40" w:type="dxa"/>
            <w:vAlign w:val="bottom"/>
          </w:tcPr>
          <w:p>
            <w:pPr>
              <w:spacing w:after="0"/>
              <w:rPr>
                <w:sz w:val="17"/>
                <w:szCs w:val="17"/>
                <w:color w:val="auto"/>
              </w:rPr>
            </w:pPr>
          </w:p>
        </w:tc>
      </w:tr>
      <w:tr>
        <w:trPr>
          <w:trHeight w:val="426"/>
        </w:trPr>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gridSpan w:val="2"/>
          </w:tcPr>
          <w:p>
            <w:pPr>
              <w:jc w:val="right"/>
              <w:ind w:right="245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39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152" w:name="page153"/>
    <w:bookmarkEnd w:id="152"/>
    <w:tbl>
      <w:tblPr>
        <w:tblLayout w:type="fixed"/>
        <w:tblInd w:w="10" w:type="dxa"/>
        <w:tblCellMar>
          <w:top w:w="0" w:type="dxa"/>
          <w:left w:w="0" w:type="dxa"/>
          <w:bottom w:w="0" w:type="dxa"/>
          <w:right w:w="0" w:type="dxa"/>
        </w:tblCellMar>
      </w:tblPr>
      <w:tr>
        <w:trPr>
          <w:trHeight w:val="216"/>
        </w:trPr>
        <w:tc>
          <w:tcPr>
            <w:tcW w:w="3960" w:type="dxa"/>
            <w:vAlign w:val="bottom"/>
            <w:tcBorders>
              <w:top w:val="single" w:sz="8" w:color="auto"/>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280" w:type="dxa"/>
            <w:vAlign w:val="bottom"/>
            <w:tcBorders>
              <w:top w:val="single" w:sz="8" w:color="auto"/>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Credit Suisse AG</w:t>
            </w:r>
          </w:p>
        </w:tc>
        <w:tc>
          <w:tcPr>
            <w:tcW w:w="40" w:type="dxa"/>
            <w:vAlign w:val="bottom"/>
          </w:tcPr>
          <w:p>
            <w:pPr>
              <w:spacing w:after="0"/>
              <w:rPr>
                <w:sz w:val="18"/>
                <w:szCs w:val="18"/>
                <w:color w:val="auto"/>
              </w:rPr>
            </w:pPr>
          </w:p>
        </w:tc>
      </w:tr>
      <w:tr>
        <w:trPr>
          <w:trHeight w:val="173"/>
        </w:trPr>
        <w:tc>
          <w:tcPr>
            <w:tcW w:w="3960" w:type="dxa"/>
            <w:vAlign w:val="bottom"/>
            <w:tcBorders>
              <w:left w:val="single" w:sz="8" w:color="auto"/>
              <w:righ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 address and</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contact details for notices</w:t>
            </w:r>
          </w:p>
        </w:tc>
        <w:tc>
          <w:tcPr>
            <w:tcW w:w="72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Facility Office:</w:t>
            </w:r>
          </w:p>
        </w:tc>
        <w:tc>
          <w:tcPr>
            <w:tcW w:w="40" w:type="dxa"/>
            <w:vAlign w:val="bottom"/>
          </w:tcPr>
          <w:p>
            <w:pPr>
              <w:spacing w:after="0"/>
              <w:rPr>
                <w:sz w:val="19"/>
                <w:szCs w:val="19"/>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2"/>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8"/>
                <w:szCs w:val="18"/>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r>
      <w:tr>
        <w:trPr>
          <w:trHeight w:val="176"/>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640" w:type="dxa"/>
            <w:vAlign w:val="bottom"/>
          </w:tcPr>
          <w:p>
            <w:pPr>
              <w:spacing w:after="0"/>
              <w:rPr>
                <w:sz w:val="15"/>
                <w:szCs w:val="15"/>
                <w:color w:val="auto"/>
              </w:rPr>
            </w:pPr>
          </w:p>
        </w:tc>
        <w:tc>
          <w:tcPr>
            <w:tcW w:w="566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eirini.charalampi@credit-suisse.com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r>
      <w:tr>
        <w:trPr>
          <w:trHeight w:val="20"/>
        </w:trPr>
        <w:tc>
          <w:tcPr>
            <w:tcW w:w="396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960" w:type="dxa"/>
            <w:vAlign w:val="bottom"/>
            <w:tcBorders>
              <w:left w:val="single" w:sz="8" w:color="auto"/>
              <w:bottom w:val="single" w:sz="8" w:color="C0C0C0"/>
              <w:right w:val="single" w:sz="8" w:color="auto"/>
            </w:tcBorders>
            <w:shd w:val="clear" w:color="auto" w:fill="C0C0C0"/>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federico.mercurio @credit-suisse.com</w:t>
            </w:r>
          </w:p>
        </w:tc>
        <w:tc>
          <w:tcPr>
            <w:tcW w:w="2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3"/>
        </w:trPr>
        <w:tc>
          <w:tcPr>
            <w:tcW w:w="3960" w:type="dxa"/>
            <w:vAlign w:val="bottom"/>
            <w:tcBorders>
              <w:left w:val="single" w:sz="8" w:color="auto"/>
              <w:right w:val="single" w:sz="8" w:color="auto"/>
            </w:tcBorders>
            <w:shd w:val="clear" w:color="auto" w:fill="C0C0C0"/>
          </w:tcPr>
          <w:p>
            <w:pPr>
              <w:spacing w:after="0"/>
              <w:rPr>
                <w:sz w:val="19"/>
                <w:szCs w:val="19"/>
                <w:color w:val="auto"/>
              </w:rPr>
            </w:pPr>
          </w:p>
        </w:tc>
        <w:tc>
          <w:tcPr>
            <w:tcW w:w="98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640" w:type="dxa"/>
            <w:vAlign w:val="bottom"/>
          </w:tcPr>
          <w:p>
            <w:pPr>
              <w:spacing w:after="0"/>
              <w:rPr>
                <w:sz w:val="19"/>
                <w:szCs w:val="19"/>
                <w:color w:val="auto"/>
              </w:rPr>
            </w:pPr>
          </w:p>
        </w:tc>
        <w:tc>
          <w:tcPr>
            <w:tcW w:w="56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Eirini Charalampi/ Federico Mercurio</w:t>
            </w:r>
          </w:p>
        </w:tc>
        <w:tc>
          <w:tcPr>
            <w:tcW w:w="40" w:type="dxa"/>
            <w:vAlign w:val="bottom"/>
          </w:tcPr>
          <w:p>
            <w:pPr>
              <w:spacing w:after="0"/>
              <w:rPr>
                <w:sz w:val="19"/>
                <w:szCs w:val="19"/>
                <w:color w:val="auto"/>
              </w:rPr>
            </w:pPr>
          </w:p>
        </w:tc>
      </w:tr>
      <w:tr>
        <w:trPr>
          <w:trHeight w:val="404"/>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ind w:left="100"/>
              <w:spacing w:after="0" w:line="202" w:lineRule="exact"/>
              <w:rPr>
                <w:sz w:val="20"/>
                <w:szCs w:val="20"/>
                <w:color w:val="auto"/>
              </w:rPr>
            </w:pPr>
            <w:r>
              <w:rPr>
                <w:rFonts w:ascii="Arial" w:cs="Arial" w:eastAsia="Arial" w:hAnsi="Arial"/>
                <w:sz w:val="18"/>
                <w:szCs w:val="18"/>
                <w:color w:val="auto"/>
              </w:rPr>
              <w:t>Address:</w:t>
            </w: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St Alban-Graben 1-3</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4051 Basel</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6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7"/>
                <w:szCs w:val="17"/>
                <w:color w:val="auto"/>
              </w:rPr>
            </w:pPr>
          </w:p>
        </w:tc>
      </w:tr>
      <w:tr>
        <w:trPr>
          <w:trHeight w:val="176"/>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640" w:type="dxa"/>
            <w:vAlign w:val="bottom"/>
          </w:tcPr>
          <w:p>
            <w:pPr>
              <w:spacing w:after="0"/>
              <w:rPr>
                <w:sz w:val="15"/>
                <w:szCs w:val="15"/>
                <w:color w:val="auto"/>
              </w:rPr>
            </w:pPr>
          </w:p>
        </w:tc>
        <w:tc>
          <w:tcPr>
            <w:tcW w:w="566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 xml:space="preserve">rakita.budislava@credit-suisse.com </w:t>
            </w:r>
            <w:r>
              <w:rPr>
                <w:rFonts w:ascii="Arial" w:cs="Arial" w:eastAsia="Arial" w:hAnsi="Arial"/>
                <w:sz w:val="18"/>
                <w:szCs w:val="18"/>
                <w:color w:val="000000"/>
              </w:rPr>
              <w:t>/</w:t>
            </w:r>
          </w:p>
        </w:tc>
        <w:tc>
          <w:tcPr>
            <w:tcW w:w="40" w:type="dxa"/>
            <w:vAlign w:val="bottom"/>
          </w:tcPr>
          <w:p>
            <w:pPr>
              <w:spacing w:after="0"/>
              <w:rPr>
                <w:sz w:val="15"/>
                <w:szCs w:val="15"/>
                <w:color w:val="auto"/>
              </w:rPr>
            </w:pPr>
          </w:p>
        </w:tc>
      </w:tr>
      <w:tr>
        <w:trPr>
          <w:trHeight w:val="183"/>
        </w:trPr>
        <w:tc>
          <w:tcPr>
            <w:tcW w:w="3960" w:type="dxa"/>
            <w:vAlign w:val="bottom"/>
            <w:tcBorders>
              <w:top w:val="single" w:sz="8" w:color="C0C0C0"/>
              <w:left w:val="single" w:sz="8" w:color="auto"/>
              <w:bottom w:val="single" w:sz="8" w:color="C0C0C0"/>
              <w:right w:val="single" w:sz="8" w:color="auto"/>
            </w:tcBorders>
            <w:shd w:val="clear" w:color="auto" w:fill="C0C0C0"/>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alessandra.cali@credit-suisse.com</w:t>
            </w:r>
          </w:p>
        </w:tc>
        <w:tc>
          <w:tcPr>
            <w:tcW w:w="100" w:type="dxa"/>
            <w:vAlign w:val="bottom"/>
            <w:tcBorders>
              <w:top w:val="single" w:sz="8" w:color="0000FF"/>
            </w:tcBorders>
          </w:tcPr>
          <w:p>
            <w:pPr>
              <w:spacing w:after="0"/>
              <w:rPr>
                <w:sz w:val="15"/>
                <w:szCs w:val="15"/>
                <w:color w:val="auto"/>
              </w:rPr>
            </w:pPr>
          </w:p>
        </w:tc>
        <w:tc>
          <w:tcPr>
            <w:tcW w:w="2780" w:type="dxa"/>
            <w:vAlign w:val="bottom"/>
            <w:tcBorders>
              <w:right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396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Attention:</w:t>
            </w:r>
          </w:p>
        </w:tc>
        <w:tc>
          <w:tcPr>
            <w:tcW w:w="630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Rakita Budislava / Alessandra Cali</w:t>
            </w:r>
          </w:p>
        </w:tc>
        <w:tc>
          <w:tcPr>
            <w:tcW w:w="40" w:type="dxa"/>
            <w:vAlign w:val="bottom"/>
          </w:tcPr>
          <w:p>
            <w:pPr>
              <w:spacing w:after="0"/>
              <w:rPr>
                <w:sz w:val="18"/>
                <w:szCs w:val="18"/>
                <w:color w:val="auto"/>
              </w:rPr>
            </w:pPr>
          </w:p>
        </w:tc>
      </w:tr>
      <w:tr>
        <w:trPr>
          <w:trHeight w:val="426"/>
        </w:trPr>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gridSpan w:val="2"/>
          </w:tcPr>
          <w:p>
            <w:pPr>
              <w:jc w:val="right"/>
              <w:ind w:right="249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22"/>
          <w:szCs w:val="22"/>
          <w:b w:val="1"/>
          <w:bCs w:val="1"/>
          <w:color w:val="auto"/>
        </w:rPr>
        <w:t>Schedule 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Ship information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64135</wp:posOffset>
            </wp:positionV>
            <wp:extent cx="71532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Schedule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any Utilisation</w:t>
      </w:r>
    </w:p>
    <w:p>
      <w:pPr>
        <w:spacing w:after="0" w:line="190" w:lineRule="exact"/>
        <w:rPr>
          <w:sz w:val="20"/>
          <w:szCs w:val="20"/>
          <w:color w:val="auto"/>
        </w:rPr>
      </w:pPr>
    </w:p>
    <w:p>
      <w:pPr>
        <w:ind w:left="500" w:hanging="492"/>
        <w:spacing w:after="0"/>
        <w:tabs>
          <w:tab w:leader="none" w:pos="50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33" w:lineRule="exact"/>
        <w:rPr>
          <w:rFonts w:ascii="Arial" w:cs="Arial" w:eastAsia="Arial" w:hAnsi="Arial"/>
          <w:sz w:val="18"/>
          <w:szCs w:val="18"/>
          <w:b w:val="1"/>
          <w:bCs w:val="1"/>
          <w:color w:val="auto"/>
        </w:rPr>
      </w:pPr>
    </w:p>
    <w:p>
      <w:pPr>
        <w:ind w:left="1000" w:hanging="486"/>
        <w:spacing w:after="0"/>
        <w:tabs>
          <w:tab w:leader="none" w:pos="10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w:t>
      </w:r>
    </w:p>
    <w:p>
      <w:pPr>
        <w:spacing w:after="0" w:line="211" w:lineRule="exact"/>
        <w:rPr>
          <w:rFonts w:ascii="Arial" w:cs="Arial" w:eastAsia="Arial" w:hAnsi="Arial"/>
          <w:sz w:val="18"/>
          <w:szCs w:val="18"/>
          <w:color w:val="auto"/>
        </w:rPr>
      </w:pPr>
    </w:p>
    <w:p>
      <w:pPr>
        <w:ind w:left="1020" w:hanging="502"/>
        <w:spacing w:after="0" w:line="246" w:lineRule="auto"/>
        <w:tabs>
          <w:tab w:leader="none" w:pos="1091"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(or any committee of such board empowered to approve and authorise the following matters):</w:t>
      </w:r>
    </w:p>
    <w:p>
      <w:pPr>
        <w:spacing w:after="0" w:line="174" w:lineRule="exact"/>
        <w:rPr>
          <w:rFonts w:ascii="Arial" w:cs="Arial" w:eastAsia="Arial" w:hAnsi="Arial"/>
          <w:sz w:val="18"/>
          <w:szCs w:val="18"/>
          <w:color w:val="auto"/>
        </w:rPr>
      </w:pPr>
    </w:p>
    <w:p>
      <w:pPr>
        <w:ind w:left="1540" w:hanging="511"/>
        <w:spacing w:after="0" w:line="271" w:lineRule="auto"/>
        <w:tabs>
          <w:tab w:leader="none" w:pos="1547" w:val="left"/>
        </w:tabs>
        <w:numPr>
          <w:ilvl w:val="2"/>
          <w:numId w:val="401"/>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w:t>
      </w:r>
      <w:r>
        <w:rPr>
          <w:rFonts w:ascii="Arial" w:cs="Arial" w:eastAsia="Arial" w:hAnsi="Arial"/>
          <w:sz w:val="18"/>
          <w:szCs w:val="18"/>
          <w:b w:val="1"/>
          <w:bCs w:val="1"/>
          <w:color w:val="auto"/>
        </w:rPr>
        <w:t>Relevant Documents</w:t>
      </w:r>
      <w:r>
        <w:rPr>
          <w:rFonts w:ascii="Arial" w:cs="Arial" w:eastAsia="Arial" w:hAnsi="Arial"/>
          <w:sz w:val="18"/>
          <w:szCs w:val="18"/>
          <w:color w:val="auto"/>
        </w:rPr>
        <w:t>) to which it is a party and resolving that it executes the Relevant Documents;</w:t>
      </w:r>
    </w:p>
    <w:p>
      <w:pPr>
        <w:spacing w:after="0" w:line="175" w:lineRule="exact"/>
        <w:rPr>
          <w:rFonts w:ascii="Arial" w:cs="Arial" w:eastAsia="Arial" w:hAnsi="Arial"/>
          <w:sz w:val="18"/>
          <w:szCs w:val="18"/>
          <w:color w:val="auto"/>
        </w:rPr>
      </w:pPr>
    </w:p>
    <w:p>
      <w:pPr>
        <w:ind w:left="1540" w:hanging="511"/>
        <w:spacing w:after="0"/>
        <w:tabs>
          <w:tab w:leader="none" w:pos="154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on its behalf; and</w:t>
      </w:r>
    </w:p>
    <w:p>
      <w:pPr>
        <w:spacing w:after="0" w:line="211" w:lineRule="exact"/>
        <w:rPr>
          <w:rFonts w:ascii="Arial" w:cs="Arial" w:eastAsia="Arial" w:hAnsi="Arial"/>
          <w:sz w:val="18"/>
          <w:szCs w:val="18"/>
          <w:color w:val="auto"/>
        </w:rPr>
      </w:pPr>
    </w:p>
    <w:p>
      <w:pPr>
        <w:jc w:val="both"/>
        <w:ind w:left="1540" w:hanging="511"/>
        <w:spacing w:after="0"/>
        <w:tabs>
          <w:tab w:leader="none" w:pos="1591" w:val="left"/>
        </w:tabs>
        <w:numPr>
          <w:ilvl w:val="2"/>
          <w:numId w:val="401"/>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202" w:lineRule="exact"/>
        <w:rPr>
          <w:rFonts w:ascii="Arial" w:cs="Arial" w:eastAsia="Arial" w:hAnsi="Arial"/>
          <w:sz w:val="18"/>
          <w:szCs w:val="18"/>
          <w:color w:val="auto"/>
        </w:rPr>
      </w:pPr>
    </w:p>
    <w:p>
      <w:pPr>
        <w:ind w:left="1020" w:right="20" w:hanging="502"/>
        <w:spacing w:after="0" w:line="246" w:lineRule="auto"/>
        <w:tabs>
          <w:tab w:leader="none" w:pos="1066"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applicable, a copy of a resolution of the board of directors of the relevant company, establishing any committee referred to in paragraph (b) above and conferring authority on that committee.</w:t>
      </w:r>
    </w:p>
    <w:p>
      <w:pPr>
        <w:spacing w:after="0" w:line="196" w:lineRule="exact"/>
        <w:rPr>
          <w:rFonts w:ascii="Arial" w:cs="Arial" w:eastAsia="Arial" w:hAnsi="Arial"/>
          <w:sz w:val="18"/>
          <w:szCs w:val="18"/>
          <w:color w:val="auto"/>
        </w:rPr>
      </w:pPr>
    </w:p>
    <w:p>
      <w:pPr>
        <w:ind w:left="1000" w:hanging="482"/>
        <w:spacing w:after="0"/>
        <w:tabs>
          <w:tab w:leader="none" w:pos="10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specimen of the signature of each person signing a Finance Document referred to in paragraph (b) above.</w:t>
      </w:r>
    </w:p>
    <w:p>
      <w:pPr>
        <w:spacing w:after="0" w:line="211" w:lineRule="exact"/>
        <w:rPr>
          <w:rFonts w:ascii="Arial" w:cs="Arial" w:eastAsia="Arial" w:hAnsi="Arial"/>
          <w:sz w:val="18"/>
          <w:szCs w:val="18"/>
          <w:color w:val="auto"/>
        </w:rPr>
      </w:pPr>
    </w:p>
    <w:p>
      <w:pPr>
        <w:jc w:val="both"/>
        <w:ind w:left="1020" w:hanging="502"/>
        <w:spacing w:after="0" w:line="248" w:lineRule="auto"/>
        <w:tabs>
          <w:tab w:leader="none" w:pos="1013"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Bermudian law) A copy of a resolution signed by all the holders of the issued shares in each Obligor, approving the terms of, and the transactions contemplated by, the Relevant Documents to which such Obligor is a party.</w:t>
      </w:r>
    </w:p>
    <w:p>
      <w:pPr>
        <w:spacing w:after="0" w:line="195" w:lineRule="exact"/>
        <w:rPr>
          <w:rFonts w:ascii="Arial" w:cs="Arial" w:eastAsia="Arial" w:hAnsi="Arial"/>
          <w:sz w:val="18"/>
          <w:szCs w:val="18"/>
          <w:color w:val="auto"/>
        </w:rPr>
      </w:pPr>
    </w:p>
    <w:p>
      <w:pPr>
        <w:jc w:val="both"/>
        <w:ind w:left="1020" w:right="20" w:hanging="502"/>
        <w:spacing w:after="0" w:line="246" w:lineRule="auto"/>
        <w:tabs>
          <w:tab w:leader="none" w:pos="1053"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Bermudian law) A copy of a resolution of the board of directors of each corporate shareholder of each Obligor approving the terms of the resolution referred to in paragraph (e) above.</w:t>
      </w:r>
    </w:p>
    <w:p>
      <w:pPr>
        <w:spacing w:after="0" w:line="196" w:lineRule="exact"/>
        <w:rPr>
          <w:rFonts w:ascii="Arial" w:cs="Arial" w:eastAsia="Arial" w:hAnsi="Arial"/>
          <w:sz w:val="18"/>
          <w:szCs w:val="18"/>
          <w:color w:val="auto"/>
        </w:rPr>
      </w:pPr>
    </w:p>
    <w:p>
      <w:pPr>
        <w:ind w:left="1000" w:hanging="482"/>
        <w:spacing w:after="0"/>
        <w:tabs>
          <w:tab w:leader="none" w:pos="10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copy of any power of attorney under which any person is to execute any of the Relevant Documents on behalf of any Obligor.</w:t>
      </w:r>
    </w:p>
    <w:p>
      <w:pPr>
        <w:spacing w:after="0" w:line="211" w:lineRule="exact"/>
        <w:rPr>
          <w:rFonts w:ascii="Arial" w:cs="Arial" w:eastAsia="Arial" w:hAnsi="Arial"/>
          <w:sz w:val="18"/>
          <w:szCs w:val="18"/>
          <w:color w:val="auto"/>
        </w:rPr>
      </w:pPr>
    </w:p>
    <w:p>
      <w:pPr>
        <w:jc w:val="both"/>
        <w:ind w:left="1020" w:hanging="502"/>
        <w:spacing w:after="0"/>
        <w:tabs>
          <w:tab w:leader="none" w:pos="1089"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certifying that each copy document relating to it specified in this Part of this Schedule is correct, complete and in full force and effect as at a date no earlier than the date of this Agreement and that any such resolutions or power of attorney have not been revoked.</w:t>
      </w:r>
    </w:p>
    <w:p>
      <w:pPr>
        <w:spacing w:after="0" w:line="181" w:lineRule="exact"/>
        <w:rPr>
          <w:sz w:val="20"/>
          <w:szCs w:val="20"/>
          <w:color w:val="auto"/>
        </w:rPr>
      </w:pPr>
    </w:p>
    <w:p>
      <w:pPr>
        <w:ind w:left="500" w:hanging="492"/>
        <w:spacing w:after="0"/>
        <w:tabs>
          <w:tab w:leader="none" w:pos="50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33" w:lineRule="exact"/>
        <w:rPr>
          <w:rFonts w:ascii="Arial" w:cs="Arial" w:eastAsia="Arial" w:hAnsi="Arial"/>
          <w:sz w:val="18"/>
          <w:szCs w:val="18"/>
          <w:b w:val="1"/>
          <w:bCs w:val="1"/>
          <w:color w:val="auto"/>
        </w:rPr>
      </w:pPr>
    </w:p>
    <w:p>
      <w:pPr>
        <w:ind w:left="1020" w:hanging="502"/>
        <w:spacing w:after="0" w:line="246" w:lineRule="auto"/>
        <w:tabs>
          <w:tab w:leader="none" w:pos="1049"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addressed to the Arrangers, the Security Agent and the Agent on matters of English law, substantially in the form approved by the Agent.</w:t>
      </w:r>
    </w:p>
    <w:p>
      <w:pPr>
        <w:spacing w:after="0" w:line="196" w:lineRule="exact"/>
        <w:rPr>
          <w:rFonts w:ascii="Arial" w:cs="Arial" w:eastAsia="Arial" w:hAnsi="Arial"/>
          <w:sz w:val="18"/>
          <w:szCs w:val="18"/>
          <w:color w:val="auto"/>
        </w:rPr>
      </w:pPr>
    </w:p>
    <w:p>
      <w:pPr>
        <w:jc w:val="both"/>
        <w:ind w:left="1020" w:hanging="502"/>
        <w:spacing w:after="0"/>
        <w:tabs>
          <w:tab w:leader="none" w:pos="997"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the Security Agent and the Agent in each jurisdiction in which an Obligor is incorporated and/or which is the Flag State of a Ship, or in which an Account opened at Utilisation is established or which governs 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5" w:name="page156"/>
    <w:bookmarkEnd w:id="155"/>
    <w:p>
      <w:pPr>
        <w:ind w:left="1040"/>
        <w:spacing w:after="0" w:line="246" w:lineRule="auto"/>
        <w:rPr>
          <w:sz w:val="20"/>
          <w:szCs w:val="20"/>
          <w:color w:val="auto"/>
        </w:rPr>
      </w:pPr>
      <w:r>
        <w:rPr>
          <w:rFonts w:ascii="Arial" w:cs="Arial" w:eastAsia="Arial" w:hAnsi="Arial"/>
          <w:sz w:val="18"/>
          <w:szCs w:val="18"/>
          <w:color w:val="auto"/>
        </w:rPr>
        <w:t>assets which are to be the subject of a Security Interest for the benefit of all the Finance Parties substantially in the form approved by the Agent.</w:t>
      </w:r>
    </w:p>
    <w:p>
      <w:pPr>
        <w:spacing w:after="0" w:line="175" w:lineRule="exact"/>
        <w:rPr>
          <w:sz w:val="20"/>
          <w:szCs w:val="20"/>
          <w:color w:val="auto"/>
        </w:rPr>
      </w:pPr>
    </w:p>
    <w:p>
      <w:pPr>
        <w:ind w:left="500" w:hanging="492"/>
        <w:spacing w:after="0"/>
        <w:tabs>
          <w:tab w:leader="none" w:pos="50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15" w:lineRule="exact"/>
        <w:rPr>
          <w:rFonts w:ascii="Arial" w:cs="Arial" w:eastAsia="Arial" w:hAnsi="Arial"/>
          <w:sz w:val="18"/>
          <w:szCs w:val="18"/>
          <w:b w:val="1"/>
          <w:bCs w:val="1"/>
          <w:color w:val="auto"/>
        </w:rPr>
      </w:pPr>
    </w:p>
    <w:p>
      <w:pPr>
        <w:ind w:left="1020" w:hanging="502"/>
        <w:spacing w:after="0" w:line="267" w:lineRule="auto"/>
        <w:tabs>
          <w:tab w:leader="none" w:pos="1035" w:val="left"/>
        </w:tabs>
        <w:numPr>
          <w:ilvl w:val="1"/>
          <w:numId w:val="403"/>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45.2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entered into on or before the first Utilisation Date, if not an Obligor, has accepted its appointment.</w:t>
      </w:r>
    </w:p>
    <w:p>
      <w:pPr>
        <w:spacing w:after="0" w:line="178" w:lineRule="exact"/>
        <w:rPr>
          <w:rFonts w:ascii="Arial" w:cs="Arial" w:eastAsia="Arial" w:hAnsi="Arial"/>
          <w:sz w:val="18"/>
          <w:szCs w:val="18"/>
          <w:color w:val="auto"/>
        </w:rPr>
      </w:pPr>
    </w:p>
    <w:p>
      <w:pPr>
        <w:ind w:left="1000" w:hanging="482"/>
        <w:spacing w:after="0"/>
        <w:tabs>
          <w:tab w:leader="none" w:pos="100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Original Financial Statements and any compliance certificate from the Guarantors.</w:t>
      </w:r>
    </w:p>
    <w:p>
      <w:pPr>
        <w:spacing w:after="0" w:line="190" w:lineRule="exact"/>
        <w:rPr>
          <w:sz w:val="20"/>
          <w:szCs w:val="20"/>
          <w:color w:val="auto"/>
        </w:rPr>
      </w:pPr>
    </w:p>
    <w:p>
      <w:pPr>
        <w:ind w:left="500" w:hanging="492"/>
        <w:spacing w:after="0"/>
        <w:tabs>
          <w:tab w:leader="none" w:pos="50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75" w:lineRule="exact"/>
        <w:rPr>
          <w:sz w:val="20"/>
          <w:szCs w:val="20"/>
          <w:color w:val="auto"/>
        </w:rPr>
      </w:pPr>
    </w:p>
    <w:p>
      <w:pPr>
        <w:ind w:left="500" w:hanging="492"/>
        <w:spacing w:after="0"/>
        <w:tabs>
          <w:tab w:leader="none" w:pos="50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Charter Documents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copy, certified by an approved person to be a true and complete copy, of the Charter Documents.</w:t>
      </w:r>
    </w:p>
    <w:p>
      <w:pPr>
        <w:spacing w:after="0" w:line="190" w:lineRule="exact"/>
        <w:rPr>
          <w:sz w:val="20"/>
          <w:szCs w:val="20"/>
          <w:color w:val="auto"/>
        </w:rPr>
      </w:pPr>
    </w:p>
    <w:p>
      <w:pPr>
        <w:ind w:left="500" w:hanging="492"/>
        <w:spacing w:after="0"/>
        <w:tabs>
          <w:tab w:leader="none" w:pos="50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Group structure chart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copy of the group structure chart in form and substance satisfactory to the Agent.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Part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Utilisation</w:t>
      </w:r>
    </w:p>
    <w:p>
      <w:pPr>
        <w:spacing w:after="0" w:line="190" w:lineRule="exact"/>
        <w:rPr>
          <w:sz w:val="20"/>
          <w:szCs w:val="20"/>
          <w:color w:val="auto"/>
        </w:rPr>
      </w:pPr>
    </w:p>
    <w:p>
      <w:pPr>
        <w:ind w:left="500" w:hanging="492"/>
        <w:spacing w:after="0"/>
        <w:tabs>
          <w:tab w:leader="none" w:pos="50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documents</w:t>
      </w:r>
    </w:p>
    <w:p>
      <w:pPr>
        <w:spacing w:after="0" w:line="233" w:lineRule="exact"/>
        <w:rPr>
          <w:rFonts w:ascii="Arial" w:cs="Arial" w:eastAsia="Arial" w:hAnsi="Arial"/>
          <w:sz w:val="18"/>
          <w:szCs w:val="18"/>
          <w:b w:val="1"/>
          <w:bCs w:val="1"/>
          <w:color w:val="auto"/>
        </w:rPr>
      </w:pPr>
    </w:p>
    <w:p>
      <w:pPr>
        <w:jc w:val="both"/>
        <w:ind w:left="1020" w:hanging="502"/>
        <w:spacing w:after="0" w:line="238" w:lineRule="auto"/>
        <w:tabs>
          <w:tab w:leader="none" w:pos="1049"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Owner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204" w:lineRule="exact"/>
        <w:rPr>
          <w:rFonts w:ascii="Arial" w:cs="Arial" w:eastAsia="Arial" w:hAnsi="Arial"/>
          <w:sz w:val="18"/>
          <w:szCs w:val="18"/>
          <w:color w:val="auto"/>
        </w:rPr>
      </w:pPr>
    </w:p>
    <w:p>
      <w:pPr>
        <w:jc w:val="both"/>
        <w:ind w:left="1020" w:hanging="502"/>
        <w:spacing w:after="0" w:line="238" w:lineRule="auto"/>
        <w:tabs>
          <w:tab w:leader="none" w:pos="99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certificate of an authorised signatory of each other Obligor which is party to any of the Original Security Documents required to be executed at or before the Utilisation Date for the Ship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80" w:lineRule="exact"/>
        <w:rPr>
          <w:sz w:val="20"/>
          <w:szCs w:val="20"/>
          <w:color w:val="auto"/>
        </w:rPr>
      </w:pPr>
    </w:p>
    <w:p>
      <w:pPr>
        <w:ind w:left="500" w:hanging="492"/>
        <w:spacing w:after="0"/>
        <w:tabs>
          <w:tab w:leader="none" w:pos="50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33" w:lineRule="exact"/>
        <w:rPr>
          <w:rFonts w:ascii="Arial" w:cs="Arial" w:eastAsia="Arial" w:hAnsi="Arial"/>
          <w:sz w:val="18"/>
          <w:szCs w:val="18"/>
          <w:b w:val="1"/>
          <w:bCs w:val="1"/>
          <w:color w:val="auto"/>
        </w:rPr>
      </w:pPr>
    </w:p>
    <w:p>
      <w:pPr>
        <w:ind w:left="1020" w:hanging="506"/>
        <w:spacing w:after="0" w:line="246" w:lineRule="auto"/>
        <w:tabs>
          <w:tab w:leader="none" w:pos="1056"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Mortgage, Share Security, the Deed of Covenant, the Charter Assignment and Security Power of Attorney for the relevant Ship duly executed by the relevant Owner.</w:t>
      </w:r>
    </w:p>
    <w:p>
      <w:pPr>
        <w:spacing w:after="0" w:line="196" w:lineRule="exact"/>
        <w:rPr>
          <w:rFonts w:ascii="Arial" w:cs="Arial" w:eastAsia="Arial" w:hAnsi="Arial"/>
          <w:sz w:val="18"/>
          <w:szCs w:val="18"/>
          <w:color w:val="auto"/>
        </w:rPr>
      </w:pPr>
    </w:p>
    <w:p>
      <w:pPr>
        <w:ind w:left="1000" w:hanging="482"/>
        <w:spacing w:after="0"/>
        <w:tabs>
          <w:tab w:leader="none" w:pos="10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Quiet Enjoyment Agreement duly executed by the, Security Agent, the relevant Owner and the Charterer.</w:t>
      </w:r>
    </w:p>
    <w:p>
      <w:pPr>
        <w:spacing w:after="0" w:line="211" w:lineRule="exact"/>
        <w:rPr>
          <w:rFonts w:ascii="Arial" w:cs="Arial" w:eastAsia="Arial" w:hAnsi="Arial"/>
          <w:sz w:val="18"/>
          <w:szCs w:val="18"/>
          <w:color w:val="auto"/>
        </w:rPr>
      </w:pPr>
    </w:p>
    <w:p>
      <w:pPr>
        <w:ind w:left="1040" w:hanging="522"/>
        <w:spacing w:after="0"/>
        <w:tabs>
          <w:tab w:leader="none" w:pos="104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Any Manager’s Undertaking then required pursuant to the Finance Documents duly executed by the relevant manager.</w:t>
      </w:r>
    </w:p>
    <w:p>
      <w:pPr>
        <w:spacing w:after="0" w:line="211" w:lineRule="exact"/>
        <w:rPr>
          <w:rFonts w:ascii="Arial" w:cs="Arial" w:eastAsia="Arial" w:hAnsi="Arial"/>
          <w:sz w:val="18"/>
          <w:szCs w:val="18"/>
          <w:color w:val="auto"/>
        </w:rPr>
      </w:pPr>
    </w:p>
    <w:p>
      <w:pPr>
        <w:ind w:left="1020" w:right="20" w:hanging="502"/>
        <w:spacing w:after="0" w:line="246" w:lineRule="auto"/>
        <w:tabs>
          <w:tab w:leader="none" w:pos="1213" w:val="left"/>
        </w:tabs>
        <w:numPr>
          <w:ilvl w:val="1"/>
          <w:numId w:val="408"/>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of those notices as required by any of the above Security Documents.</w:t>
      </w:r>
    </w:p>
    <w:p>
      <w:pPr>
        <w:spacing w:after="0" w:line="175" w:lineRule="exact"/>
        <w:rPr>
          <w:sz w:val="20"/>
          <w:szCs w:val="20"/>
          <w:color w:val="auto"/>
        </w:rPr>
      </w:pPr>
    </w:p>
    <w:p>
      <w:pPr>
        <w:ind w:left="500" w:hanging="492"/>
        <w:spacing w:after="0"/>
        <w:tabs>
          <w:tab w:leader="none" w:pos="50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of Ship</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Evidence that the relevant Ship:</w:t>
      </w:r>
    </w:p>
    <w:p>
      <w:pPr>
        <w:spacing w:after="0" w:line="212" w:lineRule="exact"/>
        <w:rPr>
          <w:sz w:val="20"/>
          <w:szCs w:val="20"/>
          <w:color w:val="auto"/>
        </w:rPr>
      </w:pPr>
    </w:p>
    <w:p>
      <w:pPr>
        <w:ind w:left="1020" w:hanging="502"/>
        <w:spacing w:after="0" w:line="261" w:lineRule="auto"/>
        <w:tabs>
          <w:tab w:leader="none" w:pos="108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permanently registered in the name of the relevant Owner through the relevant Registry as a Bermudian flagged ship under the laws and flag of the relevant Flag State;</w:t>
      </w:r>
    </w:p>
    <w:p>
      <w:pPr>
        <w:spacing w:after="0" w:line="184" w:lineRule="exact"/>
        <w:rPr>
          <w:rFonts w:ascii="Arial" w:cs="Arial" w:eastAsia="Arial" w:hAnsi="Arial"/>
          <w:sz w:val="18"/>
          <w:szCs w:val="18"/>
          <w:color w:val="auto"/>
        </w:rPr>
      </w:pPr>
    </w:p>
    <w:p>
      <w:pPr>
        <w:ind w:left="1060" w:hanging="542"/>
        <w:spacing w:after="0"/>
        <w:tabs>
          <w:tab w:leader="none" w:pos="10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is operationally seaworthy and in every way fit for service;</w:t>
      </w:r>
    </w:p>
    <w:p>
      <w:pPr>
        <w:spacing w:after="0" w:line="225" w:lineRule="exact"/>
        <w:rPr>
          <w:rFonts w:ascii="Arial" w:cs="Arial" w:eastAsia="Arial" w:hAnsi="Arial"/>
          <w:sz w:val="18"/>
          <w:szCs w:val="18"/>
          <w:color w:val="auto"/>
        </w:rPr>
      </w:pPr>
    </w:p>
    <w:p>
      <w:pPr>
        <w:ind w:left="1020" w:hanging="502"/>
        <w:spacing w:after="0" w:line="261" w:lineRule="auto"/>
        <w:tabs>
          <w:tab w:leader="none" w:pos="108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overdue requirements and recommendations of the relevant Classification Society;</w:t>
      </w:r>
    </w:p>
    <w:p>
      <w:pPr>
        <w:spacing w:after="0" w:line="184" w:lineRule="exact"/>
        <w:rPr>
          <w:rFonts w:ascii="Arial" w:cs="Arial" w:eastAsia="Arial" w:hAnsi="Arial"/>
          <w:sz w:val="18"/>
          <w:szCs w:val="18"/>
          <w:color w:val="auto"/>
        </w:rPr>
      </w:pPr>
    </w:p>
    <w:p>
      <w:pPr>
        <w:ind w:left="1060" w:hanging="542"/>
        <w:spacing w:after="0"/>
        <w:tabs>
          <w:tab w:leader="none" w:pos="10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w:t>
      </w:r>
    </w:p>
    <w:p>
      <w:pPr>
        <w:spacing w:after="0" w:line="225" w:lineRule="exact"/>
        <w:rPr>
          <w:rFonts w:ascii="Arial" w:cs="Arial" w:eastAsia="Arial" w:hAnsi="Arial"/>
          <w:sz w:val="18"/>
          <w:szCs w:val="18"/>
          <w:color w:val="auto"/>
        </w:rPr>
      </w:pPr>
    </w:p>
    <w:p>
      <w:pPr>
        <w:ind w:left="1060" w:hanging="542"/>
        <w:spacing w:after="0"/>
        <w:tabs>
          <w:tab w:leader="none" w:pos="10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the Charter; and</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is free of any other charter commitment which would require approval under the Finance Documents.</w:t>
      </w:r>
    </w:p>
    <w:p>
      <w:pPr>
        <w:spacing w:after="0" w:line="203" w:lineRule="exact"/>
        <w:rPr>
          <w:sz w:val="20"/>
          <w:szCs w:val="20"/>
          <w:color w:val="auto"/>
        </w:rPr>
      </w:pPr>
    </w:p>
    <w:p>
      <w:pPr>
        <w:ind w:left="500" w:hanging="492"/>
        <w:spacing w:after="0"/>
        <w:tabs>
          <w:tab w:leader="none" w:pos="50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Registration</w:t>
      </w:r>
    </w:p>
    <w:p>
      <w:pPr>
        <w:spacing w:after="0" w:line="23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Evidence that the relevant first Mortgage has been registered against the Ship as a first priority mortgage through the Registry under the laws and flag of its Flag 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ind w:left="520" w:right="9440" w:hanging="512"/>
        <w:spacing w:after="0" w:line="516" w:lineRule="auto"/>
        <w:tabs>
          <w:tab w:leader="none" w:pos="492"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Bank Accounts </w:t>
      </w:r>
      <w:r>
        <w:rPr>
          <w:rFonts w:ascii="Arial" w:cs="Arial" w:eastAsia="Arial" w:hAnsi="Arial"/>
          <w:sz w:val="17"/>
          <w:szCs w:val="17"/>
          <w:color w:val="auto"/>
        </w:rPr>
        <w:t>Evidence that:</w:t>
      </w:r>
    </w:p>
    <w:p>
      <w:pPr>
        <w:ind w:left="1020" w:hanging="502"/>
        <w:spacing w:after="0" w:line="267" w:lineRule="auto"/>
        <w:tabs>
          <w:tab w:leader="none" w:pos="1116"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Account required to be established 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has been opened and established with the Account Bank;</w:t>
      </w:r>
    </w:p>
    <w:p>
      <w:pPr>
        <w:spacing w:after="0" w:line="178" w:lineRule="exact"/>
        <w:rPr>
          <w:rFonts w:ascii="Arial" w:cs="Arial" w:eastAsia="Arial" w:hAnsi="Arial"/>
          <w:sz w:val="18"/>
          <w:szCs w:val="18"/>
          <w:color w:val="auto"/>
        </w:rPr>
      </w:pPr>
    </w:p>
    <w:p>
      <w:pPr>
        <w:jc w:val="both"/>
        <w:ind w:left="1020" w:right="20" w:hanging="502"/>
        <w:spacing w:after="0"/>
        <w:tabs>
          <w:tab w:leader="none" w:pos="99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Account Bank has received all documents required by it in relation to the opening of the Accounts (including disclosure of the ultimate beneficial ownership of each Borrower and any other documents required for the purpose of completing the “know your customer” process);</w:t>
      </w:r>
    </w:p>
    <w:p>
      <w:pPr>
        <w:spacing w:after="0" w:line="202" w:lineRule="exact"/>
        <w:rPr>
          <w:rFonts w:ascii="Arial" w:cs="Arial" w:eastAsia="Arial" w:hAnsi="Arial"/>
          <w:sz w:val="18"/>
          <w:szCs w:val="18"/>
          <w:color w:val="auto"/>
        </w:rPr>
      </w:pPr>
    </w:p>
    <w:p>
      <w:pPr>
        <w:ind w:left="1020" w:right="20" w:hanging="502"/>
        <w:spacing w:after="0" w:line="246" w:lineRule="auto"/>
        <w:tabs>
          <w:tab w:leader="none" w:pos="1174"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Account Security in respect of each such Account has been executed and delivered by the Borrowers in favour of the Security Agent and/or any other Finance Parties; and</w:t>
      </w:r>
    </w:p>
    <w:p>
      <w:pPr>
        <w:spacing w:after="0" w:line="196" w:lineRule="exact"/>
        <w:rPr>
          <w:rFonts w:ascii="Arial" w:cs="Arial" w:eastAsia="Arial" w:hAnsi="Arial"/>
          <w:sz w:val="18"/>
          <w:szCs w:val="18"/>
          <w:color w:val="auto"/>
        </w:rPr>
      </w:pPr>
    </w:p>
    <w:p>
      <w:pPr>
        <w:ind w:left="1020" w:right="20" w:hanging="502"/>
        <w:spacing w:after="0" w:line="246" w:lineRule="auto"/>
        <w:tabs>
          <w:tab w:leader="none" w:pos="99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that any notice required to be given to an Account Bank under that Account Security has been given to it and acknowledged by it in the manner required by that Account Security and that an amount has been credited to it.</w:t>
      </w:r>
    </w:p>
    <w:p>
      <w:pPr>
        <w:spacing w:after="0" w:line="175" w:lineRule="exact"/>
        <w:rPr>
          <w:sz w:val="20"/>
          <w:szCs w:val="20"/>
          <w:color w:val="auto"/>
        </w:rPr>
      </w:pPr>
    </w:p>
    <w:p>
      <w:pPr>
        <w:ind w:left="500" w:hanging="492"/>
        <w:spacing w:after="0"/>
        <w:tabs>
          <w:tab w:leader="none" w:pos="5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relation to the relevant Ship’s Insurances:</w:t>
      </w:r>
    </w:p>
    <w:p>
      <w:pPr>
        <w:spacing w:after="0" w:line="212" w:lineRule="exact"/>
        <w:rPr>
          <w:sz w:val="20"/>
          <w:szCs w:val="20"/>
          <w:color w:val="auto"/>
        </w:rPr>
      </w:pPr>
    </w:p>
    <w:p>
      <w:pPr>
        <w:ind w:left="1040" w:hanging="522"/>
        <w:spacing w:after="0"/>
        <w:tabs>
          <w:tab w:leader="none" w:pos="10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193" w:lineRule="exact"/>
        <w:rPr>
          <w:rFonts w:ascii="Arial" w:cs="Arial" w:eastAsia="Arial" w:hAnsi="Arial"/>
          <w:sz w:val="18"/>
          <w:szCs w:val="18"/>
          <w:color w:val="auto"/>
        </w:rPr>
      </w:pPr>
    </w:p>
    <w:p>
      <w:pPr>
        <w:ind w:left="1000" w:hanging="482"/>
        <w:spacing w:after="0"/>
        <w:tabs>
          <w:tab w:leader="none" w:pos="10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20" w:hanging="502"/>
        <w:spacing w:after="0" w:line="246" w:lineRule="auto"/>
        <w:tabs>
          <w:tab w:leader="none" w:pos="113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75" w:lineRule="exact"/>
        <w:rPr>
          <w:sz w:val="20"/>
          <w:szCs w:val="20"/>
          <w:color w:val="auto"/>
        </w:rPr>
      </w:pPr>
    </w:p>
    <w:p>
      <w:pPr>
        <w:ind w:left="520" w:right="9100" w:hanging="512"/>
        <w:spacing w:after="0" w:line="498" w:lineRule="auto"/>
        <w:tabs>
          <w:tab w:leader="none" w:pos="492"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ind w:left="1020" w:hanging="502"/>
        <w:spacing w:after="0" w:line="246" w:lineRule="auto"/>
        <w:tabs>
          <w:tab w:leader="none" w:pos="106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relevant Ship for the purposes of that code;</w:t>
      </w:r>
    </w:p>
    <w:p>
      <w:pPr>
        <w:spacing w:after="0" w:line="196" w:lineRule="exact"/>
        <w:rPr>
          <w:rFonts w:ascii="Arial" w:cs="Arial" w:eastAsia="Arial" w:hAnsi="Arial"/>
          <w:sz w:val="18"/>
          <w:szCs w:val="18"/>
          <w:color w:val="auto"/>
        </w:rPr>
      </w:pPr>
    </w:p>
    <w:p>
      <w:pPr>
        <w:ind w:left="1000" w:hanging="482"/>
        <w:spacing w:after="0"/>
        <w:tabs>
          <w:tab w:leader="none" w:pos="100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safety management certificate in respect of such Ship issued in accordance with the ISM Code;</w:t>
      </w:r>
    </w:p>
    <w:p>
      <w:pPr>
        <w:spacing w:after="0" w:line="211" w:lineRule="exact"/>
        <w:rPr>
          <w:rFonts w:ascii="Arial" w:cs="Arial" w:eastAsia="Arial" w:hAnsi="Arial"/>
          <w:sz w:val="18"/>
          <w:szCs w:val="18"/>
          <w:color w:val="auto"/>
        </w:rPr>
      </w:pPr>
    </w:p>
    <w:p>
      <w:pPr>
        <w:ind w:left="1040" w:hanging="522"/>
        <w:spacing w:after="0"/>
        <w:tabs>
          <w:tab w:leader="none" w:pos="10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such Ship issued under the ISPS Code; and</w:t>
      </w:r>
    </w:p>
    <w:p>
      <w:pPr>
        <w:spacing w:after="0" w:line="211" w:lineRule="exact"/>
        <w:rPr>
          <w:rFonts w:ascii="Arial" w:cs="Arial" w:eastAsia="Arial" w:hAnsi="Arial"/>
          <w:sz w:val="18"/>
          <w:szCs w:val="18"/>
          <w:color w:val="auto"/>
        </w:rPr>
      </w:pPr>
    </w:p>
    <w:p>
      <w:pPr>
        <w:ind w:left="1020" w:hanging="502"/>
        <w:spacing w:after="0" w:line="246" w:lineRule="auto"/>
        <w:tabs>
          <w:tab w:leader="none" w:pos="101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such Ship or in relation to its operation under any applicable law.</w:t>
      </w:r>
    </w:p>
    <w:p>
      <w:pPr>
        <w:spacing w:after="0" w:line="175" w:lineRule="exact"/>
        <w:rPr>
          <w:sz w:val="20"/>
          <w:szCs w:val="20"/>
          <w:color w:val="auto"/>
        </w:rPr>
      </w:pPr>
    </w:p>
    <w:p>
      <w:pPr>
        <w:ind w:left="500" w:hanging="492"/>
        <w:spacing w:after="0"/>
        <w:tabs>
          <w:tab w:leader="none" w:pos="50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Valuations of the relevant Ship obtained (not more than six (6) weeks before the relevant Utilisation Date)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showing that the Security Value of that Ship will be not less than the Minimum Value in respect of the Advance for that Ship after the proposed Utilisation.</w:t>
      </w:r>
    </w:p>
    <w:p>
      <w:pPr>
        <w:spacing w:after="0" w:line="181" w:lineRule="exact"/>
        <w:rPr>
          <w:sz w:val="20"/>
          <w:szCs w:val="20"/>
          <w:color w:val="auto"/>
        </w:rPr>
      </w:pPr>
    </w:p>
    <w:p>
      <w:pPr>
        <w:ind w:left="500" w:hanging="492"/>
        <w:spacing w:after="0"/>
        <w:tabs>
          <w:tab w:leader="none" w:pos="50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16" w:lineRule="exact"/>
        <w:rPr>
          <w:sz w:val="20"/>
          <w:szCs w:val="20"/>
          <w:color w:val="auto"/>
        </w:rPr>
      </w:pPr>
    </w:p>
    <w:p>
      <w:pPr>
        <w:ind w:left="520" w:right="20"/>
        <w:spacing w:after="0" w:line="267" w:lineRule="auto"/>
        <w:rPr>
          <w:sz w:val="20"/>
          <w:szCs w:val="20"/>
          <w:color w:val="auto"/>
        </w:rPr>
      </w:pPr>
      <w:r>
        <w:rPr>
          <w:rFonts w:ascii="Arial" w:cs="Arial" w:eastAsia="Arial" w:hAnsi="Arial"/>
          <w:sz w:val="18"/>
          <w:szCs w:val="18"/>
          <w:color w:val="auto"/>
        </w:rPr>
        <w:t>Evidence that the fees, commissions, costs and expenses that are due from the Borrowers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relevant Utilisation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8" w:name="page159"/>
    <w:bookmarkEnd w:id="158"/>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33" w:lineRule="exact"/>
        <w:rPr>
          <w:rFonts w:ascii="Arial" w:cs="Arial" w:eastAsia="Arial" w:hAnsi="Arial"/>
          <w:sz w:val="18"/>
          <w:szCs w:val="18"/>
          <w:b w:val="1"/>
          <w:bCs w:val="1"/>
          <w:color w:val="auto"/>
        </w:rPr>
      </w:pPr>
    </w:p>
    <w:p>
      <w:pPr>
        <w:jc w:val="both"/>
        <w:ind w:left="1012" w:right="20" w:hanging="502"/>
        <w:spacing w:after="0"/>
        <w:tabs>
          <w:tab w:leader="none" w:pos="1016" w:val="left"/>
        </w:tabs>
        <w:numPr>
          <w:ilvl w:val="1"/>
          <w:numId w:val="418"/>
        </w:numPr>
        <w:rPr>
          <w:rFonts w:ascii="Arial" w:cs="Arial" w:eastAsia="Arial" w:hAnsi="Arial"/>
          <w:sz w:val="18"/>
          <w:szCs w:val="18"/>
          <w:color w:val="auto"/>
        </w:rPr>
      </w:pPr>
      <w:r>
        <w:rPr>
          <w:rFonts w:ascii="Arial" w:cs="Arial" w:eastAsia="Arial" w:hAnsi="Arial"/>
          <w:sz w:val="18"/>
          <w:szCs w:val="18"/>
          <w:color w:val="auto"/>
        </w:rPr>
        <w:t>(Promptly as of the Utilisation Date) copies of the relevant Ship’s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spacing w:after="0" w:line="202" w:lineRule="exact"/>
        <w:rPr>
          <w:rFonts w:ascii="Arial" w:cs="Arial" w:eastAsia="Arial" w:hAnsi="Arial"/>
          <w:sz w:val="18"/>
          <w:szCs w:val="18"/>
          <w:color w:val="auto"/>
        </w:rPr>
      </w:pPr>
    </w:p>
    <w:p>
      <w:pPr>
        <w:ind w:left="992" w:hanging="482"/>
        <w:spacing w:after="0"/>
        <w:tabs>
          <w:tab w:leader="none" w:pos="99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 copy of the relevant Ship’s Inventory of Hazardous Materials.</w:t>
      </w:r>
    </w:p>
    <w:p>
      <w:pPr>
        <w:spacing w:after="0" w:line="189" w:lineRule="exact"/>
        <w:rPr>
          <w:rFonts w:ascii="Arial" w:cs="Arial" w:eastAsia="Arial" w:hAnsi="Arial"/>
          <w:sz w:val="18"/>
          <w:szCs w:val="18"/>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w:t>
      </w:r>
    </w:p>
    <w:p>
      <w:pPr>
        <w:spacing w:after="0" w:line="233" w:lineRule="exact"/>
        <w:rPr>
          <w:rFonts w:ascii="Arial" w:cs="Arial" w:eastAsia="Arial" w:hAnsi="Arial"/>
          <w:sz w:val="18"/>
          <w:szCs w:val="18"/>
          <w:b w:val="1"/>
          <w:bCs w:val="1"/>
          <w:color w:val="auto"/>
        </w:rPr>
      </w:pPr>
    </w:p>
    <w:p>
      <w:pPr>
        <w:ind w:left="512"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If relevant, assurance that any withholding tax will be paid or application to the tax authorities in any Relevant Jurisdiction is or will be sent.</w:t>
      </w:r>
    </w:p>
    <w:p>
      <w:pPr>
        <w:spacing w:after="0" w:line="174" w:lineRule="exact"/>
        <w:rPr>
          <w:rFonts w:ascii="Arial" w:cs="Arial" w:eastAsia="Arial" w:hAnsi="Arial"/>
          <w:sz w:val="18"/>
          <w:szCs w:val="18"/>
          <w:b w:val="1"/>
          <w:bCs w:val="1"/>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233" w:lineRule="exact"/>
        <w:rPr>
          <w:rFonts w:ascii="Arial" w:cs="Arial" w:eastAsia="Arial" w:hAnsi="Arial"/>
          <w:sz w:val="18"/>
          <w:szCs w:val="18"/>
          <w:b w:val="1"/>
          <w:bCs w:val="1"/>
          <w:color w:val="auto"/>
        </w:rPr>
      </w:pPr>
    </w:p>
    <w:p>
      <w:pPr>
        <w:ind w:left="512"/>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Evidence that any consents required in connection with the delivery of the relevant Ship, the registration of title to the relevant Ship, the registration of the Mortgage over the relevant Ship and the assignment of the Ship’s Charter have been obtained.</w:t>
      </w:r>
    </w:p>
    <w:p>
      <w:pPr>
        <w:spacing w:after="0" w:line="174" w:lineRule="exact"/>
        <w:rPr>
          <w:rFonts w:ascii="Arial" w:cs="Arial" w:eastAsia="Arial" w:hAnsi="Arial"/>
          <w:sz w:val="18"/>
          <w:szCs w:val="18"/>
          <w:b w:val="1"/>
          <w:bCs w:val="1"/>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15" w:lineRule="exact"/>
        <w:rPr>
          <w:rFonts w:ascii="Arial" w:cs="Arial" w:eastAsia="Arial" w:hAnsi="Arial"/>
          <w:sz w:val="18"/>
          <w:szCs w:val="18"/>
          <w:b w:val="1"/>
          <w:bCs w:val="1"/>
          <w:color w:val="auto"/>
        </w:rPr>
      </w:pPr>
    </w:p>
    <w:p>
      <w:pPr>
        <w:jc w:val="both"/>
        <w:ind w:left="512"/>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Where a manager has been approved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 a copy, certified by an approved person to be a true and complete copy, of the agreement between the relevant Owner and such Manager, relating to the appointment of each Manager and the management services to be provided by it to the relevant Owner in respect of the relevant Ship.</w:t>
      </w:r>
    </w:p>
    <w:p>
      <w:pPr>
        <w:spacing w:after="0" w:line="172" w:lineRule="exact"/>
        <w:rPr>
          <w:rFonts w:ascii="Arial" w:cs="Arial" w:eastAsia="Arial" w:hAnsi="Arial"/>
          <w:sz w:val="18"/>
          <w:szCs w:val="18"/>
          <w:b w:val="1"/>
          <w:bCs w:val="1"/>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33" w:lineRule="exact"/>
        <w:rPr>
          <w:rFonts w:ascii="Arial" w:cs="Arial" w:eastAsia="Arial" w:hAnsi="Arial"/>
          <w:sz w:val="18"/>
          <w:szCs w:val="18"/>
          <w:b w:val="1"/>
          <w:bCs w:val="1"/>
          <w:color w:val="auto"/>
        </w:rPr>
      </w:pPr>
    </w:p>
    <w:p>
      <w:pPr>
        <w:ind w:left="1012" w:hanging="502"/>
        <w:spacing w:after="0" w:line="246" w:lineRule="auto"/>
        <w:tabs>
          <w:tab w:leader="none" w:pos="1041"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addressed to the Arrangers, the Security Agent and the Agent and for the benefit of all the Finance Parties on matters of English law, substantially in the form approved by the Agent.</w:t>
      </w:r>
    </w:p>
    <w:p>
      <w:pPr>
        <w:spacing w:after="0" w:line="196" w:lineRule="exact"/>
        <w:rPr>
          <w:rFonts w:ascii="Arial" w:cs="Arial" w:eastAsia="Arial" w:hAnsi="Arial"/>
          <w:sz w:val="18"/>
          <w:szCs w:val="18"/>
          <w:color w:val="auto"/>
        </w:rPr>
      </w:pPr>
    </w:p>
    <w:p>
      <w:pPr>
        <w:jc w:val="both"/>
        <w:ind w:left="1012" w:hanging="502"/>
        <w:spacing w:after="0"/>
        <w:tabs>
          <w:tab w:leader="none" w:pos="989"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the Security Agent and the Agent in each jurisdiction in which an Obligor is incorporated and/or which is or is to be the Flag State of the Ship, or which governs any assets which are to be the subject of a Security Interest for the benefit of all the Finance Parties substantially in the form approved by the Agent.</w:t>
      </w:r>
    </w:p>
    <w:p>
      <w:pPr>
        <w:spacing w:after="0" w:line="180" w:lineRule="exact"/>
        <w:rPr>
          <w:rFonts w:ascii="Arial" w:cs="Arial" w:eastAsia="Arial" w:hAnsi="Arial"/>
          <w:sz w:val="18"/>
          <w:szCs w:val="18"/>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33" w:lineRule="exact"/>
        <w:rPr>
          <w:rFonts w:ascii="Arial" w:cs="Arial" w:eastAsia="Arial" w:hAnsi="Arial"/>
          <w:sz w:val="18"/>
          <w:szCs w:val="18"/>
          <w:b w:val="1"/>
          <w:bCs w:val="1"/>
          <w:color w:val="auto"/>
        </w:rPr>
      </w:pPr>
    </w:p>
    <w:p>
      <w:pPr>
        <w:ind w:left="512"/>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Evidence that the Existing Indebtedness relating to the relevant Ship has been or will be repaid in full and cancelled on the Utilisation Date.</w:t>
      </w:r>
    </w:p>
    <w:p>
      <w:pPr>
        <w:spacing w:after="0" w:line="174" w:lineRule="exact"/>
        <w:rPr>
          <w:rFonts w:ascii="Arial" w:cs="Arial" w:eastAsia="Arial" w:hAnsi="Arial"/>
          <w:sz w:val="18"/>
          <w:szCs w:val="18"/>
          <w:b w:val="1"/>
          <w:bCs w:val="1"/>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15" w:lineRule="exact"/>
        <w:rPr>
          <w:rFonts w:ascii="Arial" w:cs="Arial" w:eastAsia="Arial" w:hAnsi="Arial"/>
          <w:sz w:val="18"/>
          <w:szCs w:val="18"/>
          <w:b w:val="1"/>
          <w:bCs w:val="1"/>
          <w:color w:val="auto"/>
        </w:rPr>
      </w:pPr>
    </w:p>
    <w:p>
      <w:pPr>
        <w:ind w:left="512"/>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Evidence that the minimum balance required to be paid to the Earnings Account of each Borrower pursuant to clause 19.11 (</w:t>
      </w:r>
      <w:r>
        <w:rPr>
          <w:rFonts w:ascii="Arial" w:cs="Arial" w:eastAsia="Arial" w:hAnsi="Arial"/>
          <w:sz w:val="18"/>
          <w:szCs w:val="18"/>
          <w:i w:val="1"/>
          <w:iCs w:val="1"/>
          <w:color w:val="auto"/>
        </w:rPr>
        <w:t>Liquidity</w:t>
      </w:r>
      <w:r>
        <w:rPr>
          <w:rFonts w:ascii="Arial" w:cs="Arial" w:eastAsia="Arial" w:hAnsi="Arial"/>
          <w:sz w:val="18"/>
          <w:szCs w:val="18"/>
          <w:color w:val="auto"/>
        </w:rPr>
        <w:t>) in respect of each Ship shall be paid to the relevant Earnings Account upon the relevant Utilisation.</w:t>
      </w:r>
    </w:p>
    <w:p>
      <w:pPr>
        <w:spacing w:after="0" w:line="156" w:lineRule="exact"/>
        <w:rPr>
          <w:rFonts w:ascii="Arial" w:cs="Arial" w:eastAsia="Arial" w:hAnsi="Arial"/>
          <w:sz w:val="18"/>
          <w:szCs w:val="18"/>
          <w:b w:val="1"/>
          <w:bCs w:val="1"/>
          <w:color w:val="auto"/>
        </w:rPr>
      </w:pPr>
    </w:p>
    <w:p>
      <w:pPr>
        <w:ind w:left="512" w:hanging="512"/>
        <w:spacing w:after="0"/>
        <w:tabs>
          <w:tab w:leader="none" w:pos="51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w:t>
      </w:r>
    </w:p>
    <w:p>
      <w:pPr>
        <w:spacing w:after="0" w:line="23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Any other document, authorisation, opinion or assurance required by the Agent.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auto"/>
        </w:rPr>
        <w:t>Schedule 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Utilisation Request</w:t>
      </w:r>
    </w:p>
    <w:p>
      <w:pPr>
        <w:spacing w:after="0" w:line="1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Gas-twenty Ltd.</w:t>
      </w:r>
    </w:p>
    <w:p>
      <w:pPr>
        <w:spacing w:after="0" w:line="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Gas-seven Ltd.</w:t>
      </w:r>
    </w:p>
    <w:p>
      <w:pPr>
        <w:ind w:left="1040"/>
        <w:spacing w:after="0"/>
        <w:rPr>
          <w:sz w:val="20"/>
          <w:szCs w:val="20"/>
          <w:color w:val="auto"/>
        </w:rPr>
      </w:pPr>
      <w:r>
        <w:rPr>
          <w:rFonts w:ascii="Arial" w:cs="Arial" w:eastAsia="Arial" w:hAnsi="Arial"/>
          <w:sz w:val="18"/>
          <w:szCs w:val="18"/>
          <w:b w:val="1"/>
          <w:bCs w:val="1"/>
          <w:color w:val="auto"/>
        </w:rPr>
        <w:t>Gas-eight Ltd.</w:t>
      </w:r>
    </w:p>
    <w:p>
      <w:pPr>
        <w:spacing w:after="0" w:line="1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$260,331,250 Facilities Agreement dated [</w:t>
      </w:r>
      <w:r>
        <w:rPr>
          <w:rFonts w:ascii="Arial" w:cs="Arial" w:eastAsia="Arial" w:hAnsi="Arial"/>
          <w:sz w:val="18"/>
          <w:szCs w:val="18"/>
          <w:color w:val="auto"/>
        </w:rPr>
        <w:t>·</w:t>
      </w:r>
      <w:r>
        <w:rPr>
          <w:rFonts w:ascii="Arial" w:cs="Arial" w:eastAsia="Arial" w:hAnsi="Arial"/>
          <w:sz w:val="18"/>
          <w:szCs w:val="18"/>
          <w:b w:val="1"/>
          <w:bCs w:val="1"/>
          <w:color w:val="auto"/>
        </w:rPr>
        <w:t>] 2020 (the “Agreement”)</w:t>
      </w:r>
    </w:p>
    <w:p>
      <w:pPr>
        <w:spacing w:after="0" w:line="247" w:lineRule="exact"/>
        <w:rPr>
          <w:sz w:val="20"/>
          <w:szCs w:val="20"/>
          <w:color w:val="auto"/>
        </w:rPr>
      </w:pPr>
    </w:p>
    <w:p>
      <w:pPr>
        <w:ind w:left="520" w:hanging="512"/>
        <w:spacing w:after="0" w:line="246" w:lineRule="auto"/>
        <w:tabs>
          <w:tab w:leader="none" w:pos="61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We wish to borrow the Advances under the Ship Commitment for Ship A, Ship B and Ship C on the following terms:</w:t>
      </w:r>
    </w:p>
    <w:p>
      <w:pPr>
        <w:sectPr>
          <w:pgSz w:w="11900" w:h="16838" w:orient="portrait"/>
          <w:cols w:equalWidth="0" w:num="1">
            <w:col w:w="11240"/>
          </w:cols>
          <w:pgMar w:left="320" w:top="323" w:right="339" w:bottom="1440" w:gutter="0" w:footer="0" w:header="0"/>
        </w:sect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Proposed Utilisation 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(or, if that is not a Business Day, the next Business Day)</w:t>
      </w:r>
    </w:p>
    <w:p>
      <w:pPr>
        <w:spacing w:after="0" w:line="213" w:lineRule="exact"/>
        <w:rPr>
          <w:sz w:val="20"/>
          <w:szCs w:val="20"/>
          <w:color w:val="auto"/>
        </w:rPr>
      </w:pPr>
    </w:p>
    <w:p>
      <w:pPr>
        <w:sectPr>
          <w:pgSz w:w="11900" w:h="16838" w:orient="portrait"/>
          <w:cols w:equalWidth="0" w:num="2">
            <w:col w:w="2900" w:space="720"/>
            <w:col w:w="7620"/>
          </w:cols>
          <w:pgMar w:left="320" w:top="323" w:right="339" w:bottom="1440" w:gutter="0" w:footer="0" w:header="0"/>
          <w:type w:val="continuous"/>
        </w:sectPr>
      </w:pPr>
    </w:p>
    <w:p>
      <w:pPr>
        <w:spacing w:after="0" w:line="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[Ship A: $[·]</w:t>
      </w:r>
    </w:p>
    <w:p>
      <w:pPr>
        <w:spacing w:after="0" w:line="213" w:lineRule="exact"/>
        <w:rPr>
          <w:sz w:val="20"/>
          <w:szCs w:val="20"/>
          <w:color w:val="auto"/>
        </w:rPr>
      </w:pPr>
    </w:p>
    <w:p>
      <w:pPr>
        <w:sectPr>
          <w:pgSz w:w="11900" w:h="16838" w:orient="portrait"/>
          <w:cols w:equalWidth="0" w:num="2">
            <w:col w:w="2900" w:space="720"/>
            <w:col w:w="7620"/>
          </w:cols>
          <w:pgMar w:left="320" w:top="323" w:right="339" w:bottom="1440" w:gutter="0" w:footer="0" w:header="0"/>
          <w:type w:val="continuous"/>
        </w:sectPr>
      </w:pP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Ship B: $[·]</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Ship C: $[·]]</w:t>
      </w:r>
    </w:p>
    <w:p>
      <w:pPr>
        <w:sectPr>
          <w:pgSz w:w="11900" w:h="16838" w:orient="portrait"/>
          <w:cols w:equalWidth="0" w:num="1">
            <w:col w:w="11240"/>
          </w:cols>
          <w:pgMar w:left="320" w:top="323" w:right="339" w:bottom="1440" w:gutter="0" w:footer="0" w:header="0"/>
          <w:type w:val="continuous"/>
        </w:sectPr>
      </w:pPr>
    </w:p>
    <w:p>
      <w:pPr>
        <w:spacing w:after="0" w:line="232" w:lineRule="exact"/>
        <w:rPr>
          <w:sz w:val="20"/>
          <w:szCs w:val="20"/>
          <w:color w:val="auto"/>
        </w:rPr>
      </w:pPr>
    </w:p>
    <w:p>
      <w:pPr>
        <w:ind w:left="480" w:hanging="472"/>
        <w:spacing w:after="0"/>
        <w:tabs>
          <w:tab w:leader="none" w:pos="4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4.4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is satisfied on the date of this Utilisation Request.</w:t>
      </w:r>
    </w:p>
    <w:p>
      <w:pPr>
        <w:spacing w:after="0" w:line="229" w:lineRule="exact"/>
        <w:rPr>
          <w:rFonts w:ascii="Arial" w:cs="Arial" w:eastAsia="Arial" w:hAnsi="Arial"/>
          <w:sz w:val="18"/>
          <w:szCs w:val="18"/>
          <w:color w:val="auto"/>
        </w:rPr>
      </w:pPr>
    </w:p>
    <w:p>
      <w:pPr>
        <w:jc w:val="both"/>
        <w:ind w:left="520" w:hanging="512"/>
        <w:spacing w:after="0" w:line="238" w:lineRule="auto"/>
        <w:tabs>
          <w:tab w:leader="none" w:pos="56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purpose of these Advances is to repay the Existing Indebtedness in respect of each of Ship A, Ship B and Ship C, to credit the Earnings Accounts of the Borrowers with the amounts set out in paragraph (e) below, to pay the fees payable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of the Facility Agreement together with the following costs and expenses payable in connection with the Facility Agreement: [</w:t>
      </w:r>
      <w:r>
        <w:rPr>
          <w:rFonts w:ascii="Arial" w:cs="Arial" w:eastAsia="Arial" w:hAnsi="Arial"/>
          <w:sz w:val="18"/>
          <w:szCs w:val="18"/>
          <w:b w:val="1"/>
          <w:bCs w:val="1"/>
          <w:i w:val="1"/>
          <w:iCs w:val="1"/>
          <w:color w:val="auto"/>
        </w:rPr>
        <w:t>list costs and expenses to be paid out of Utilisation proceeds</w:t>
      </w:r>
      <w:r>
        <w:rPr>
          <w:rFonts w:ascii="Arial" w:cs="Arial" w:eastAsia="Arial" w:hAnsi="Arial"/>
          <w:sz w:val="18"/>
          <w:szCs w:val="18"/>
          <w:color w:val="auto"/>
        </w:rPr>
        <w:t>], and the proceeds should be credited to [·].</w:t>
      </w:r>
    </w:p>
    <w:p>
      <w:pPr>
        <w:spacing w:after="0" w:line="218" w:lineRule="exact"/>
        <w:rPr>
          <w:rFonts w:ascii="Arial" w:cs="Arial" w:eastAsia="Arial" w:hAnsi="Arial"/>
          <w:sz w:val="18"/>
          <w:szCs w:val="18"/>
          <w:color w:val="auto"/>
        </w:rPr>
      </w:pPr>
    </w:p>
    <w:p>
      <w:pPr>
        <w:ind w:left="520" w:right="20" w:hanging="512"/>
        <w:spacing w:after="0" w:line="246" w:lineRule="auto"/>
        <w:tabs>
          <w:tab w:leader="none" w:pos="54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We confirm that we will use the proceeds of each Advance under the Ship Commitment for Ship A, Ship B and Ship C for our benefit and under our full responsibility and exclusively for the purposes specified in the Agreement.</w:t>
      </w:r>
    </w:p>
    <w:p>
      <w:pPr>
        <w:spacing w:after="0" w:line="196" w:lineRule="exact"/>
        <w:rPr>
          <w:rFonts w:ascii="Arial" w:cs="Arial" w:eastAsia="Arial" w:hAnsi="Arial"/>
          <w:sz w:val="18"/>
          <w:szCs w:val="18"/>
          <w:color w:val="auto"/>
        </w:rPr>
      </w:pPr>
    </w:p>
    <w:p>
      <w:pPr>
        <w:ind w:left="480" w:hanging="472"/>
        <w:spacing w:after="0"/>
        <w:tabs>
          <w:tab w:leader="none" w:pos="4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We request that the first Interest Period for the said Advance be six (6) months.</w:t>
      </w:r>
    </w:p>
    <w:p>
      <w:pPr>
        <w:spacing w:after="0" w:line="211" w:lineRule="exact"/>
        <w:rPr>
          <w:rFonts w:ascii="Arial" w:cs="Arial" w:eastAsia="Arial" w:hAnsi="Arial"/>
          <w:sz w:val="18"/>
          <w:szCs w:val="18"/>
          <w:color w:val="auto"/>
        </w:rPr>
      </w:pPr>
    </w:p>
    <w:p>
      <w:pPr>
        <w:ind w:left="500" w:hanging="492"/>
        <w:spacing w:after="0"/>
        <w:tabs>
          <w:tab w:leader="none" w:pos="5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This Utilisation Request is irrevocable and cannot be varied without the prior consent of the Majority Lenders.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authorised signatory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GAS-twenty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authorised signatory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GAS-seven Ltd.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authorised signatory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GAS-eight Ltd.</w:t>
      </w:r>
    </w:p>
    <w:p>
      <w:pPr>
        <w:spacing w:after="0" w:line="21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50"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Schedule 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From:</w:t>
        <w:tab/>
        <w:t>GasLog Partners LP</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tab/>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$260,331,250 Facilities Agreement dated [·] 2020 (the “Agreement”)</w:t>
      </w:r>
    </w:p>
    <w:p>
      <w:pPr>
        <w:spacing w:after="0" w:line="229" w:lineRule="exact"/>
        <w:rPr>
          <w:sz w:val="20"/>
          <w:szCs w:val="20"/>
          <w:color w:val="auto"/>
        </w:rPr>
      </w:pPr>
    </w:p>
    <w:p>
      <w:pPr>
        <w:jc w:val="both"/>
        <w:ind w:left="520" w:hanging="512"/>
        <w:spacing w:after="0" w:line="250" w:lineRule="auto"/>
        <w:tabs>
          <w:tab w:leader="none" w:pos="72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clause 20 (</w:t>
      </w:r>
      <w:r>
        <w:rPr>
          <w:rFonts w:ascii="Arial" w:cs="Arial" w:eastAsia="Arial" w:hAnsi="Arial"/>
          <w:sz w:val="18"/>
          <w:szCs w:val="18"/>
          <w:i w:val="1"/>
          <w:iCs w:val="1"/>
          <w:color w:val="auto"/>
        </w:rPr>
        <w:t>Financial definitions</w:t>
      </w:r>
      <w:r>
        <w:rPr>
          <w:rFonts w:ascii="Arial" w:cs="Arial" w:eastAsia="Arial" w:hAnsi="Arial"/>
          <w:sz w:val="18"/>
          <w:szCs w:val="18"/>
          <w:color w:val="auto"/>
        </w:rPr>
        <w:t>) and clause 20.1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the Agreement have the same meaning when used in this Compliance Certificate unless given a different meaning in this Compliance Certificate.</w:t>
      </w:r>
    </w:p>
    <w:p>
      <w:pPr>
        <w:spacing w:after="0" w:line="181" w:lineRule="exact"/>
        <w:rPr>
          <w:sz w:val="20"/>
          <w:szCs w:val="20"/>
          <w:color w:val="auto"/>
        </w:rPr>
      </w:pPr>
    </w:p>
    <w:p>
      <w:pPr>
        <w:ind w:left="520" w:hanging="512"/>
        <w:spacing w:after="0" w:line="277" w:lineRule="auto"/>
        <w:tabs>
          <w:tab w:leader="none" w:pos="62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We confirm that by reference to the [Semi-Annual][Annual] Financial Statements for the Group for the financial period ending on [·] attached hereto:</w:t>
      </w:r>
    </w:p>
    <w:p>
      <w:pPr>
        <w:spacing w:after="0" w:line="148" w:lineRule="exact"/>
        <w:rPr>
          <w:rFonts w:ascii="Arial" w:cs="Arial" w:eastAsia="Arial" w:hAnsi="Arial"/>
          <w:sz w:val="18"/>
          <w:szCs w:val="18"/>
          <w:color w:val="auto"/>
        </w:rPr>
      </w:pPr>
    </w:p>
    <w:p>
      <w:pPr>
        <w:ind w:left="1020" w:hanging="502"/>
        <w:spacing w:after="0" w:line="287" w:lineRule="auto"/>
        <w:tabs>
          <w:tab w:leader="none" w:pos="1056" w:val="left"/>
        </w:tabs>
        <w:numPr>
          <w:ilvl w:val="1"/>
          <w:numId w:val="422"/>
        </w:numPr>
        <w:rPr>
          <w:rFonts w:ascii="Arial" w:cs="Arial" w:eastAsia="Arial" w:hAnsi="Arial"/>
          <w:sz w:val="18"/>
          <w:szCs w:val="18"/>
          <w:color w:val="auto"/>
        </w:rPr>
      </w:pPr>
      <w:r>
        <w:rPr>
          <w:rFonts w:ascii="Arial" w:cs="Arial" w:eastAsia="Arial" w:hAnsi="Arial"/>
          <w:sz w:val="18"/>
          <w:szCs w:val="18"/>
          <w:b w:val="1"/>
          <w:bCs w:val="1"/>
          <w:color w:val="auto"/>
        </w:rPr>
        <w:t>Leverage</w:t>
      </w:r>
      <w:r>
        <w:rPr>
          <w:rFonts w:ascii="Arial" w:cs="Arial" w:eastAsia="Arial" w:hAnsi="Arial"/>
          <w:sz w:val="18"/>
          <w:szCs w:val="18"/>
          <w:color w:val="auto"/>
        </w:rPr>
        <w:t>: the Maximum Leverage is [·]% (being $[·] Total Indebtedness divided by $[·] Total Assets)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the Maximum Leverage shall be less than 65%</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000" w:hanging="482"/>
        <w:spacing w:after="0"/>
        <w:tabs>
          <w:tab w:leader="none" w:pos="1000" w:val="left"/>
        </w:tabs>
        <w:numPr>
          <w:ilvl w:val="1"/>
          <w:numId w:val="422"/>
        </w:numPr>
        <w:rPr>
          <w:rFonts w:ascii="Arial" w:cs="Arial" w:eastAsia="Arial" w:hAnsi="Arial"/>
          <w:sz w:val="18"/>
          <w:szCs w:val="18"/>
          <w:color w:val="auto"/>
        </w:rPr>
      </w:pPr>
      <w:r>
        <w:rPr>
          <w:rFonts w:ascii="Arial" w:cs="Arial" w:eastAsia="Arial" w:hAnsi="Arial"/>
          <w:sz w:val="18"/>
          <w:szCs w:val="18"/>
          <w:b w:val="1"/>
          <w:bCs w:val="1"/>
          <w:color w:val="auto"/>
        </w:rPr>
        <w:t>Free Liquidity</w:t>
      </w:r>
      <w:r>
        <w:rPr>
          <w:rFonts w:ascii="Arial" w:cs="Arial" w:eastAsia="Arial" w:hAnsi="Arial"/>
          <w:sz w:val="18"/>
          <w:szCs w:val="18"/>
          <w:color w:val="auto"/>
        </w:rPr>
        <w:t>: the Free Liquidity is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w:t>
      </w:r>
      <w:r>
        <w:rPr>
          <w:rFonts w:ascii="Arial" w:cs="Arial" w:eastAsia="Arial" w:hAnsi="Arial"/>
          <w:sz w:val="18"/>
          <w:szCs w:val="18"/>
          <w:b w:val="1"/>
          <w:bCs w:val="1"/>
          <w:color w:val="auto"/>
        </w:rPr>
        <w:t xml:space="preserve"> Group </w:t>
      </w:r>
      <w:r>
        <w:rPr>
          <w:rFonts w:ascii="Arial" w:cs="Arial" w:eastAsia="Arial" w:hAnsi="Arial"/>
          <w:sz w:val="18"/>
          <w:szCs w:val="18"/>
          <w:b w:val="1"/>
          <w:bCs w:val="1"/>
          <w:i w:val="1"/>
          <w:iCs w:val="1"/>
          <w:color w:val="auto"/>
        </w:rPr>
        <w:t>Free Liquidity shall be at least $45,000,000</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47" w:lineRule="exact"/>
        <w:rPr>
          <w:sz w:val="20"/>
          <w:szCs w:val="20"/>
          <w:color w:val="auto"/>
        </w:rPr>
      </w:pPr>
    </w:p>
    <w:p>
      <w:pPr>
        <w:ind w:left="500" w:hanging="492"/>
        <w:spacing w:after="0"/>
        <w:tabs>
          <w:tab w:leader="none" w:pos="5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In order to demonstrate our confirmations in paragraph 2, we attach:</w:t>
      </w:r>
    </w:p>
    <w:p>
      <w:pPr>
        <w:spacing w:after="0" w:line="193" w:lineRule="exact"/>
        <w:rPr>
          <w:rFonts w:ascii="Arial" w:cs="Arial" w:eastAsia="Arial" w:hAnsi="Arial"/>
          <w:sz w:val="18"/>
          <w:szCs w:val="18"/>
          <w:color w:val="auto"/>
        </w:rPr>
      </w:pPr>
    </w:p>
    <w:p>
      <w:pPr>
        <w:jc w:val="both"/>
        <w:ind w:left="1020" w:hanging="506"/>
        <w:spacing w:after="0" w:line="258" w:lineRule="auto"/>
        <w:tabs>
          <w:tab w:leader="none" w:pos="1123"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two valuations of all of the Fleet Vessels from [·] and [·], each being Approved Brokers referred to in clause 25.8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Brokers</w:t>
      </w:r>
      <w:r>
        <w:rPr>
          <w:rFonts w:ascii="Arial" w:cs="Arial" w:eastAsia="Arial" w:hAnsi="Arial"/>
          <w:sz w:val="18"/>
          <w:szCs w:val="18"/>
          <w:color w:val="auto"/>
        </w:rPr>
        <w:t>) of the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Agreement;</w:t>
      </w:r>
    </w:p>
    <w:p>
      <w:pPr>
        <w:spacing w:after="0" w:line="169" w:lineRule="exact"/>
        <w:rPr>
          <w:rFonts w:ascii="Arial" w:cs="Arial" w:eastAsia="Arial" w:hAnsi="Arial"/>
          <w:sz w:val="18"/>
          <w:szCs w:val="18"/>
          <w:color w:val="auto"/>
        </w:rPr>
      </w:pPr>
    </w:p>
    <w:p>
      <w:pPr>
        <w:ind w:left="1020" w:hanging="506"/>
        <w:spacing w:after="0" w:line="267" w:lineRule="auto"/>
        <w:tabs>
          <w:tab w:leader="none" w:pos="120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Group prepared in accordance with clause 25.4 (</w:t>
      </w:r>
      <w:r>
        <w:rPr>
          <w:rFonts w:ascii="Arial" w:cs="Arial" w:eastAsia="Arial" w:hAnsi="Arial"/>
          <w:sz w:val="18"/>
          <w:szCs w:val="18"/>
          <w:i w:val="1"/>
          <w:iCs w:val="1"/>
          <w:color w:val="auto"/>
        </w:rPr>
        <w:t>Valuations</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procedure</w:t>
      </w:r>
      <w:r>
        <w:rPr>
          <w:rFonts w:ascii="Arial" w:cs="Arial" w:eastAsia="Arial" w:hAnsi="Arial"/>
          <w:sz w:val="18"/>
          <w:szCs w:val="18"/>
          <w:color w:val="auto"/>
        </w:rPr>
        <w:t>) of the Agreement; [and]</w:t>
      </w:r>
    </w:p>
    <w:p>
      <w:pPr>
        <w:spacing w:after="0" w:line="178" w:lineRule="exact"/>
        <w:rPr>
          <w:rFonts w:ascii="Arial" w:cs="Arial" w:eastAsia="Arial" w:hAnsi="Arial"/>
          <w:sz w:val="18"/>
          <w:szCs w:val="18"/>
          <w:color w:val="auto"/>
        </w:rPr>
      </w:pPr>
    </w:p>
    <w:p>
      <w:pPr>
        <w:ind w:left="1020" w:hanging="506"/>
        <w:spacing w:after="0" w:line="246" w:lineRule="auto"/>
        <w:tabs>
          <w:tab w:leader="none" w:pos="103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96" w:lineRule="exact"/>
        <w:rPr>
          <w:rFonts w:ascii="Arial" w:cs="Arial" w:eastAsia="Arial" w:hAnsi="Arial"/>
          <w:sz w:val="18"/>
          <w:szCs w:val="18"/>
          <w:color w:val="auto"/>
        </w:rPr>
      </w:pPr>
    </w:p>
    <w:p>
      <w:pPr>
        <w:ind w:left="1020" w:hanging="506"/>
        <w:spacing w:after="0" w:line="246" w:lineRule="auto"/>
        <w:tabs>
          <w:tab w:leader="none" w:pos="104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marked-to-market valuations of all Treasury Transactions entered into by a member of the Group reconciled against the [Semi-Annual][Annual] Financial Statements.</w:t>
      </w:r>
    </w:p>
    <w:p>
      <w:pPr>
        <w:spacing w:after="0" w:line="175" w:lineRule="exact"/>
        <w:rPr>
          <w:sz w:val="20"/>
          <w:szCs w:val="20"/>
          <w:color w:val="auto"/>
        </w:rPr>
      </w:pPr>
    </w:p>
    <w:p>
      <w:pPr>
        <w:ind w:left="520" w:hanging="512"/>
        <w:spacing w:after="0" w:line="271" w:lineRule="auto"/>
        <w:tabs>
          <w:tab w:leader="none" w:pos="5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Default that is continuing and the steps, if any, being taken to remedy it</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For and 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GASLOG PARTNERS LP</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Schedule 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Transfer Certificate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The Existing Lender</w:t>
      </w:r>
      <w:r>
        <w:rPr>
          <w:rFonts w:ascii="Arial" w:cs="Arial" w:eastAsia="Arial" w:hAnsi="Arial"/>
          <w:sz w:val="17"/>
          <w:szCs w:val="17"/>
          <w:color w:val="auto"/>
        </w:rPr>
        <w:t xml:space="preserve">]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b w:val="1"/>
          <w:bCs w:val="1"/>
          <w:color w:val="auto"/>
        </w:rPr>
        <w:t>The New Lender</w:t>
      </w:r>
      <w:r>
        <w:rPr>
          <w:rFonts w:ascii="Arial" w:cs="Arial" w:eastAsia="Arial" w:hAnsi="Arial"/>
          <w:sz w:val="17"/>
          <w:szCs w:val="17"/>
          <w:color w:val="auto"/>
        </w:rPr>
        <w:t xml:space="preserve">]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$260,331,250 Facility Agreement dated [</w:t>
      </w:r>
      <w:r>
        <w:rPr>
          <w:rFonts w:ascii="Arial" w:cs="Arial" w:eastAsia="Arial" w:hAnsi="Arial"/>
          <w:sz w:val="18"/>
          <w:szCs w:val="18"/>
          <w:color w:val="auto"/>
        </w:rPr>
        <w:t>·</w:t>
      </w:r>
      <w:r>
        <w:rPr>
          <w:rFonts w:ascii="Arial" w:cs="Arial" w:eastAsia="Arial" w:hAnsi="Arial"/>
          <w:sz w:val="18"/>
          <w:szCs w:val="18"/>
          <w:b w:val="1"/>
          <w:bCs w:val="1"/>
          <w:color w:val="auto"/>
        </w:rPr>
        <w:t xml:space="preserve">] 2020 </w:t>
      </w: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w:t>
      </w:r>
    </w:p>
    <w:p>
      <w:pPr>
        <w:spacing w:after="0" w:line="247" w:lineRule="exact"/>
        <w:rPr>
          <w:sz w:val="20"/>
          <w:szCs w:val="20"/>
          <w:color w:val="auto"/>
        </w:rPr>
      </w:pPr>
    </w:p>
    <w:p>
      <w:pPr>
        <w:ind w:left="520" w:hanging="512"/>
        <w:spacing w:after="0" w:line="246" w:lineRule="auto"/>
        <w:tabs>
          <w:tab w:leader="none" w:pos="6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79" w:lineRule="exact"/>
        <w:rPr>
          <w:sz w:val="20"/>
          <w:szCs w:val="20"/>
          <w:color w:val="auto"/>
        </w:rPr>
      </w:pPr>
    </w:p>
    <w:p>
      <w:pPr>
        <w:ind w:left="500" w:hanging="492"/>
        <w:spacing w:after="0"/>
        <w:tabs>
          <w:tab w:leader="none" w:pos="5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We refer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020" w:hanging="502"/>
        <w:spacing w:after="0"/>
        <w:tabs>
          <w:tab w:leader="none" w:pos="1057"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Loan under the Agreement as specified in the Schedule.</w:t>
      </w:r>
    </w:p>
    <w:p>
      <w:pPr>
        <w:spacing w:after="0" w:line="202" w:lineRule="exact"/>
        <w:rPr>
          <w:rFonts w:ascii="Arial" w:cs="Arial" w:eastAsia="Arial" w:hAnsi="Arial"/>
          <w:sz w:val="18"/>
          <w:szCs w:val="18"/>
          <w:color w:val="auto"/>
        </w:rPr>
      </w:pPr>
    </w:p>
    <w:p>
      <w:pPr>
        <w:ind w:left="1020" w:right="20" w:hanging="502"/>
        <w:spacing w:after="0" w:line="246" w:lineRule="auto"/>
        <w:tabs>
          <w:tab w:leader="none" w:pos="1064"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96" w:lineRule="exact"/>
        <w:rPr>
          <w:rFonts w:ascii="Arial" w:cs="Arial" w:eastAsia="Arial" w:hAnsi="Arial"/>
          <w:sz w:val="18"/>
          <w:szCs w:val="18"/>
          <w:color w:val="auto"/>
        </w:rPr>
      </w:pPr>
    </w:p>
    <w:p>
      <w:pPr>
        <w:ind w:left="1020" w:right="20" w:hanging="502"/>
        <w:spacing w:after="0" w:line="246" w:lineRule="auto"/>
        <w:tabs>
          <w:tab w:leader="none" w:pos="106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83" w:lineRule="exact"/>
        <w:rPr>
          <w:rFonts w:ascii="Arial" w:cs="Arial" w:eastAsia="Arial" w:hAnsi="Arial"/>
          <w:sz w:val="18"/>
          <w:szCs w:val="18"/>
          <w:color w:val="auto"/>
        </w:rPr>
      </w:pPr>
    </w:p>
    <w:p>
      <w:pPr>
        <w:ind w:left="1000" w:hanging="482"/>
        <w:spacing w:after="0"/>
        <w:tabs>
          <w:tab w:leader="none" w:pos="100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38" w:lineRule="exact"/>
        <w:rPr>
          <w:rFonts w:ascii="Arial" w:cs="Arial" w:eastAsia="Arial" w:hAnsi="Arial"/>
          <w:sz w:val="18"/>
          <w:szCs w:val="18"/>
          <w:color w:val="auto"/>
        </w:rPr>
      </w:pPr>
    </w:p>
    <w:p>
      <w:pPr>
        <w:ind w:left="1020" w:hanging="502"/>
        <w:spacing w:after="0" w:line="246" w:lineRule="auto"/>
        <w:tabs>
          <w:tab w:leader="none" w:pos="117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Facility Office and address, email address and attention details for notices of the New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97" w:lineRule="exact"/>
        <w:rPr>
          <w:sz w:val="20"/>
          <w:szCs w:val="20"/>
          <w:color w:val="auto"/>
        </w:rPr>
      </w:pPr>
    </w:p>
    <w:p>
      <w:pPr>
        <w:ind w:left="520" w:right="20" w:hanging="512"/>
        <w:spacing w:after="0" w:line="246" w:lineRule="auto"/>
        <w:tabs>
          <w:tab w:leader="none" w:pos="81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sub-clause 30.4(c) of clause 30.4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w:t>
      </w:r>
    </w:p>
    <w:p>
      <w:pPr>
        <w:spacing w:after="0" w:line="197" w:lineRule="exact"/>
        <w:rPr>
          <w:sz w:val="20"/>
          <w:szCs w:val="20"/>
          <w:color w:val="auto"/>
        </w:rPr>
      </w:pPr>
    </w:p>
    <w:p>
      <w:pPr>
        <w:ind w:left="500" w:hanging="492"/>
        <w:spacing w:after="0"/>
        <w:tabs>
          <w:tab w:leader="none" w:pos="5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New Lender confirms that it is [not] a Group Member or an Affiliate of any Group Member.</w:t>
      </w:r>
    </w:p>
    <w:p>
      <w:pPr>
        <w:spacing w:after="0" w:line="212" w:lineRule="exact"/>
        <w:rPr>
          <w:sz w:val="20"/>
          <w:szCs w:val="20"/>
          <w:color w:val="auto"/>
        </w:rPr>
      </w:pPr>
    </w:p>
    <w:p>
      <w:pPr>
        <w:ind w:left="520" w:hanging="512"/>
        <w:spacing w:after="0" w:line="246" w:lineRule="auto"/>
        <w:tabs>
          <w:tab w:leader="none" w:pos="66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5" w:lineRule="exact"/>
        <w:rPr>
          <w:sz w:val="20"/>
          <w:szCs w:val="20"/>
          <w:color w:val="auto"/>
        </w:rPr>
      </w:pPr>
    </w:p>
    <w:p>
      <w:pPr>
        <w:ind w:left="620" w:hanging="612"/>
        <w:spacing w:after="0"/>
        <w:tabs>
          <w:tab w:leader="none" w:pos="6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 including reference to accession to an intercreditor agreement, mortgage or other Finance Documents to which</w:t>
      </w:r>
    </w:p>
    <w:p>
      <w:pPr>
        <w:spacing w:after="0" w:line="17" w:lineRule="exact"/>
        <w:rPr>
          <w:rFonts w:ascii="Arial" w:cs="Arial" w:eastAsia="Arial" w:hAnsi="Arial"/>
          <w:sz w:val="18"/>
          <w:szCs w:val="18"/>
          <w:color w:val="auto"/>
        </w:rPr>
      </w:pPr>
    </w:p>
    <w:p>
      <w:pPr>
        <w:ind w:left="520"/>
        <w:spacing w:after="0" w:line="246" w:lineRule="auto"/>
        <w:rPr>
          <w:rFonts w:ascii="Arial" w:cs="Arial" w:eastAsia="Arial" w:hAnsi="Arial"/>
          <w:sz w:val="18"/>
          <w:szCs w:val="18"/>
          <w:color w:val="auto"/>
        </w:rPr>
      </w:pPr>
      <w:r>
        <w:rPr>
          <w:rFonts w:ascii="Arial" w:cs="Arial" w:eastAsia="Arial" w:hAnsi="Arial"/>
          <w:sz w:val="18"/>
          <w:szCs w:val="18"/>
          <w:b w:val="1"/>
          <w:bCs w:val="1"/>
          <w:i w:val="1"/>
          <w:iCs w:val="1"/>
          <w:color w:val="auto"/>
        </w:rPr>
        <w:t>Lenders may need to be party and checklist of steps necessary for the New Lender to obtain the benefit of the Security Documents</w:t>
      </w:r>
      <w:r>
        <w:rPr>
          <w:rFonts w:ascii="Arial" w:cs="Arial" w:eastAsia="Arial" w:hAnsi="Arial"/>
          <w:sz w:val="18"/>
          <w:szCs w:val="18"/>
          <w:color w:val="auto"/>
        </w:rPr>
        <w:t>.]</w:t>
      </w:r>
    </w:p>
    <w:p>
      <w:pPr>
        <w:spacing w:after="0" w:line="197" w:lineRule="exact"/>
        <w:rPr>
          <w:sz w:val="20"/>
          <w:szCs w:val="20"/>
          <w:color w:val="auto"/>
        </w:rPr>
      </w:pPr>
    </w:p>
    <w:p>
      <w:pPr>
        <w:ind w:left="500" w:hanging="492"/>
        <w:spacing w:after="0"/>
        <w:tabs>
          <w:tab w:leader="none" w:pos="5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7"/>
          <w:szCs w:val="17"/>
          <w:color w:val="auto"/>
        </w:rPr>
        <w:t>This Transfer Certificate has been entered into on the date stated at the beginning of this Transfer Certificate.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3" w:name="page164"/>
    <w:bookmarkEnd w:id="163"/>
    <w:p>
      <w:pPr>
        <w:jc w:val="both"/>
        <w:spacing w:after="0" w:line="244" w:lineRule="auto"/>
        <w:rPr>
          <w:sz w:val="20"/>
          <w:szCs w:val="20"/>
          <w:color w:val="auto"/>
        </w:rPr>
      </w:pPr>
      <w:r>
        <w:rPr>
          <w:rFonts w:ascii="Arial" w:cs="Arial" w:eastAsia="Arial" w:hAnsi="Arial"/>
          <w:sz w:val="18"/>
          <w:szCs w:val="18"/>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The Schedule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[Facility Office address, email address and attention details for notices and account details for payments.]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Lender</w:t>
      </w: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Lender</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98" w:lineRule="exact"/>
        <w:rPr>
          <w:sz w:val="20"/>
          <w:szCs w:val="20"/>
          <w:color w:val="auto"/>
        </w:rPr>
      </w:pPr>
    </w:p>
    <w:p>
      <w:pPr>
        <w:sectPr>
          <w:pgSz w:w="11900" w:h="16838" w:orient="portrait"/>
          <w:cols w:equalWidth="0" w:num="2">
            <w:col w:w="1640" w:space="720"/>
            <w:col w:w="8880"/>
          </w:cols>
          <w:pgMar w:left="320" w:top="3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This is accepted by the Agent as a Transfer Certificate and the Transfer Date is confirmed as [·].</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5" w:name="page166"/>
    <w:bookmarkEnd w:id="165"/>
    <w:p>
      <w:pPr>
        <w:jc w:val="center"/>
        <w:ind w:right="40"/>
        <w:spacing w:after="0"/>
        <w:rPr>
          <w:sz w:val="20"/>
          <w:szCs w:val="20"/>
          <w:color w:val="auto"/>
        </w:rPr>
      </w:pPr>
      <w:r>
        <w:rPr>
          <w:rFonts w:ascii="Arial" w:cs="Arial" w:eastAsia="Arial" w:hAnsi="Arial"/>
          <w:sz w:val="22"/>
          <w:szCs w:val="22"/>
          <w:b w:val="1"/>
          <w:bCs w:val="1"/>
          <w:color w:val="auto"/>
        </w:rPr>
        <w:t>Schedule 7</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Forms of Notifiable Debt Purchase Transaction Notice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1</w:t>
      </w:r>
    </w:p>
    <w:p>
      <w:pPr>
        <w:spacing w:after="0" w:line="21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Form of Notice on Entering into Notifiable Debt Purchase Transaction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$260,331,250 Facility Agreement dated [·] 2020 (the Agreement)</w:t>
      </w:r>
    </w:p>
    <w:p>
      <w:pPr>
        <w:spacing w:after="0" w:line="247" w:lineRule="exact"/>
        <w:rPr>
          <w:sz w:val="20"/>
          <w:szCs w:val="20"/>
          <w:color w:val="auto"/>
        </w:rPr>
      </w:pPr>
    </w:p>
    <w:p>
      <w:pPr>
        <w:ind w:left="520" w:right="40" w:hanging="512"/>
        <w:spacing w:after="0" w:line="246" w:lineRule="auto"/>
        <w:tabs>
          <w:tab w:leader="none" w:pos="591"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We refer to clause 31.3(b) of the Agreement. Terms defined in the Agreement have the same meaning in this notice unless given a different meaning in this notice.</w:t>
      </w:r>
    </w:p>
    <w:p>
      <w:pPr>
        <w:spacing w:after="0" w:line="197" w:lineRule="exact"/>
        <w:rPr>
          <w:sz w:val="20"/>
          <w:szCs w:val="20"/>
          <w:color w:val="auto"/>
        </w:rPr>
      </w:pPr>
    </w:p>
    <w:p>
      <w:pPr>
        <w:ind w:left="540" w:hanging="532"/>
        <w:spacing w:after="0"/>
        <w:tabs>
          <w:tab w:leader="none" w:pos="5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We have entered into a Notifiable Debt Purchase Transaction.</w:t>
      </w:r>
    </w:p>
    <w:p>
      <w:pPr>
        <w:spacing w:after="0" w:line="212" w:lineRule="exact"/>
        <w:rPr>
          <w:sz w:val="20"/>
          <w:szCs w:val="20"/>
          <w:color w:val="auto"/>
        </w:rPr>
      </w:pPr>
    </w:p>
    <w:p>
      <w:pPr>
        <w:ind w:left="520" w:right="40" w:hanging="512"/>
        <w:spacing w:after="0" w:line="246" w:lineRule="auto"/>
        <w:tabs>
          <w:tab w:leader="none" w:pos="593"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Pr>
          <w:p>
            <w:pPr>
              <w:ind w:left="520"/>
              <w:spacing w:after="0"/>
              <w:rPr>
                <w:sz w:val="20"/>
                <w:szCs w:val="20"/>
                <w:color w:val="auto"/>
              </w:rPr>
            </w:pPr>
            <w:r>
              <w:rPr>
                <w:rFonts w:ascii="Arial" w:cs="Arial" w:eastAsia="Arial" w:hAnsi="Arial"/>
                <w:sz w:val="18"/>
                <w:szCs w:val="18"/>
                <w:b w:val="1"/>
                <w:bCs w:val="1"/>
                <w:color w:val="auto"/>
              </w:rPr>
              <w:t>Commitment</w:t>
            </w:r>
          </w:p>
        </w:tc>
        <w:tc>
          <w:tcPr>
            <w:tcW w:w="8400" w:type="dxa"/>
            <w:vAlign w:val="bottom"/>
          </w:tcPr>
          <w:p>
            <w:pPr>
              <w:ind w:left="126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w:t>
            </w:r>
          </w:p>
        </w:tc>
      </w:tr>
      <w:tr>
        <w:trPr>
          <w:trHeight w:val="373"/>
        </w:trPr>
        <w:tc>
          <w:tcPr>
            <w:tcW w:w="2880" w:type="dxa"/>
            <w:vAlign w:val="bottom"/>
          </w:tcPr>
          <w:p>
            <w:pPr>
              <w:ind w:left="520"/>
              <w:spacing w:after="0"/>
              <w:rPr>
                <w:sz w:val="20"/>
                <w:szCs w:val="20"/>
                <w:color w:val="auto"/>
              </w:rPr>
            </w:pPr>
            <w:r>
              <w:rPr>
                <w:rFonts w:ascii="Arial" w:cs="Arial" w:eastAsia="Arial" w:hAnsi="Arial"/>
                <w:sz w:val="18"/>
                <w:szCs w:val="18"/>
                <w:color w:val="auto"/>
              </w:rPr>
              <w:t>[·]</w:t>
            </w:r>
          </w:p>
        </w:tc>
        <w:tc>
          <w:tcPr>
            <w:tcW w:w="8400" w:type="dxa"/>
            <w:vAlign w:val="bottom"/>
          </w:tcPr>
          <w:p>
            <w:pPr>
              <w:ind w:left="126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w:t>
            </w:r>
          </w:p>
        </w:tc>
      </w:tr>
      <w:tr>
        <w:trPr>
          <w:trHeight w:val="235"/>
        </w:trPr>
        <w:tc>
          <w:tcPr>
            <w:tcW w:w="2880" w:type="dxa"/>
            <w:vAlign w:val="bottom"/>
          </w:tcPr>
          <w:p>
            <w:pPr>
              <w:spacing w:after="0"/>
              <w:rPr>
                <w:sz w:val="20"/>
                <w:szCs w:val="20"/>
                <w:color w:val="auto"/>
              </w:rPr>
            </w:pPr>
          </w:p>
        </w:tc>
        <w:tc>
          <w:tcPr>
            <w:tcW w:w="8400" w:type="dxa"/>
            <w:vAlign w:val="bottom"/>
          </w:tcPr>
          <w:p>
            <w:pPr>
              <w:ind w:left="1260"/>
              <w:spacing w:after="0"/>
              <w:rPr>
                <w:sz w:val="20"/>
                <w:szCs w:val="20"/>
                <w:color w:val="auto"/>
              </w:rPr>
            </w:pPr>
            <w:r>
              <w:rPr>
                <w:rFonts w:ascii="Arial" w:cs="Arial" w:eastAsia="Arial" w:hAnsi="Arial"/>
                <w:sz w:val="18"/>
                <w:szCs w:val="18"/>
                <w:i w:val="1"/>
                <w:iCs w:val="1"/>
                <w:color w:val="auto"/>
              </w:rPr>
              <w:t>applies]</w:t>
            </w:r>
          </w:p>
        </w:tc>
      </w:tr>
      <w:tr>
        <w:trPr>
          <w:trHeight w:val="634"/>
        </w:trPr>
        <w:tc>
          <w:tcPr>
            <w:tcW w:w="2880" w:type="dxa"/>
            <w:vAlign w:val="bottom"/>
          </w:tcPr>
          <w:p>
            <w:pPr>
              <w:spacing w:after="0"/>
              <w:rPr>
                <w:sz w:val="20"/>
                <w:szCs w:val="20"/>
                <w:color w:val="auto"/>
              </w:rPr>
            </w:pPr>
            <w:r>
              <w:rPr>
                <w:rFonts w:ascii="Arial" w:cs="Arial" w:eastAsia="Arial" w:hAnsi="Arial"/>
                <w:sz w:val="18"/>
                <w:szCs w:val="18"/>
                <w:color w:val="auto"/>
              </w:rPr>
              <w:t>[Lender]</w:t>
            </w:r>
          </w:p>
        </w:tc>
        <w:tc>
          <w:tcPr>
            <w:tcW w:w="8400" w:type="dxa"/>
            <w:vAlign w:val="bottom"/>
          </w:tcPr>
          <w:p>
            <w:pPr>
              <w:spacing w:after="0"/>
              <w:rPr>
                <w:sz w:val="24"/>
                <w:szCs w:val="24"/>
                <w:color w:val="auto"/>
              </w:rPr>
            </w:pPr>
          </w:p>
        </w:tc>
      </w:tr>
      <w:tr>
        <w:trPr>
          <w:trHeight w:val="419"/>
        </w:trPr>
        <w:tc>
          <w:tcPr>
            <w:tcW w:w="288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spacing w:after="0"/>
              <w:rPr>
                <w:sz w:val="24"/>
                <w:szCs w:val="24"/>
                <w:color w:val="auto"/>
              </w:rPr>
            </w:pPr>
          </w:p>
        </w:tc>
      </w:tr>
      <w:tr>
        <w:trPr>
          <w:trHeight w:val="418"/>
        </w:trPr>
        <w:tc>
          <w:tcPr>
            <w:tcW w:w="2880" w:type="dxa"/>
            <w:vAlign w:val="bottom"/>
          </w:tcPr>
          <w:p>
            <w:pPr>
              <w:spacing w:after="0"/>
              <w:rPr>
                <w:sz w:val="24"/>
                <w:szCs w:val="24"/>
                <w:color w:val="auto"/>
              </w:rPr>
            </w:pPr>
          </w:p>
        </w:tc>
        <w:tc>
          <w:tcPr>
            <w:tcW w:w="8400" w:type="dxa"/>
            <w:vAlign w:val="bottom"/>
          </w:tcPr>
          <w:p>
            <w:pPr>
              <w:jc w:val="right"/>
              <w:ind w:right="5410"/>
              <w:spacing w:after="0"/>
              <w:rPr>
                <w:sz w:val="20"/>
                <w:szCs w:val="20"/>
                <w:color w:val="auto"/>
              </w:rPr>
            </w:pPr>
            <w:r>
              <w:rPr>
                <w:rFonts w:ascii="Arial" w:cs="Arial" w:eastAsia="Arial" w:hAnsi="Arial"/>
                <w:sz w:val="18"/>
                <w:szCs w:val="18"/>
                <w:color w:val="auto"/>
              </w:rPr>
              <w:t>159</w:t>
            </w:r>
          </w:p>
        </w:tc>
      </w:tr>
      <w:tr>
        <w:trPr>
          <w:trHeight w:val="118"/>
        </w:trPr>
        <w:tc>
          <w:tcPr>
            <w:tcW w:w="2880" w:type="dxa"/>
            <w:vAlign w:val="bottom"/>
            <w:tcBorders>
              <w:bottom w:val="single" w:sz="8" w:color="808080"/>
            </w:tcBorders>
          </w:tcPr>
          <w:p>
            <w:pPr>
              <w:spacing w:after="0"/>
              <w:rPr>
                <w:sz w:val="10"/>
                <w:szCs w:val="10"/>
                <w:color w:val="auto"/>
              </w:rPr>
            </w:pPr>
          </w:p>
        </w:tc>
        <w:tc>
          <w:tcPr>
            <w:tcW w:w="8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3" w:right="299" w:bottom="1440" w:gutter="0" w:footer="0" w:header="0"/>
        </w:sectPr>
      </w:pPr>
    </w:p>
    <w:bookmarkStart w:id="166" w:name="page167"/>
    <w:bookmarkEnd w:id="166"/>
    <w:p>
      <w:pPr>
        <w:jc w:val="center"/>
        <w:ind w:right="40"/>
        <w:spacing w:after="0"/>
        <w:rPr>
          <w:sz w:val="20"/>
          <w:szCs w:val="20"/>
          <w:color w:val="auto"/>
        </w:rPr>
      </w:pPr>
      <w:r>
        <w:rPr>
          <w:rFonts w:ascii="Arial" w:cs="Arial" w:eastAsia="Arial" w:hAnsi="Arial"/>
          <w:sz w:val="18"/>
          <w:szCs w:val="18"/>
          <w:b w:val="1"/>
          <w:bCs w:val="1"/>
          <w:color w:val="auto"/>
        </w:rPr>
        <w:t>Part 2</w:t>
      </w:r>
    </w:p>
    <w:p>
      <w:pPr>
        <w:spacing w:after="0" w:line="212" w:lineRule="exact"/>
        <w:rPr>
          <w:sz w:val="20"/>
          <w:szCs w:val="20"/>
          <w:color w:val="auto"/>
        </w:rPr>
      </w:pPr>
    </w:p>
    <w:p>
      <w:pPr>
        <w:jc w:val="center"/>
        <w:ind w:right="40"/>
        <w:spacing w:after="0" w:line="271" w:lineRule="auto"/>
        <w:rPr>
          <w:sz w:val="20"/>
          <w:szCs w:val="20"/>
          <w:color w:val="auto"/>
        </w:rPr>
      </w:pPr>
      <w:r>
        <w:rPr>
          <w:rFonts w:ascii="Arial" w:cs="Arial" w:eastAsia="Arial" w:hAnsi="Arial"/>
          <w:sz w:val="18"/>
          <w:szCs w:val="18"/>
          <w:b w:val="1"/>
          <w:bCs w:val="1"/>
          <w:color w:val="auto"/>
        </w:rPr>
        <w:t>Form of Notice on Termination of Notifiable Debt Purchase Transaction / Notifiable Debt Purchase Transaction ceasing to be with a Parent Affiliate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$260,331,250 Facility Agreement dated [·] 2020 (the Agreement)</w:t>
      </w:r>
    </w:p>
    <w:p>
      <w:pPr>
        <w:spacing w:after="0" w:line="229" w:lineRule="exact"/>
        <w:rPr>
          <w:sz w:val="20"/>
          <w:szCs w:val="20"/>
          <w:color w:val="auto"/>
        </w:rPr>
      </w:pPr>
    </w:p>
    <w:p>
      <w:pPr>
        <w:ind w:left="500" w:right="60" w:hanging="492"/>
        <w:spacing w:after="0" w:line="267" w:lineRule="auto"/>
        <w:tabs>
          <w:tab w:leader="none" w:pos="53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We refer to clause 31.2 (</w:t>
      </w:r>
      <w:r>
        <w:rPr>
          <w:rFonts w:ascii="Arial" w:cs="Arial" w:eastAsia="Arial" w:hAnsi="Arial"/>
          <w:sz w:val="18"/>
          <w:szCs w:val="18"/>
          <w:i w:val="1"/>
          <w:iCs w:val="1"/>
          <w:color w:val="auto"/>
        </w:rPr>
        <w:t>Prohibition on Debt Purchase Transactions by the Group</w:t>
      </w:r>
      <w:r>
        <w:rPr>
          <w:rFonts w:ascii="Arial" w:cs="Arial" w:eastAsia="Arial" w:hAnsi="Arial"/>
          <w:sz w:val="18"/>
          <w:szCs w:val="18"/>
          <w:color w:val="auto"/>
        </w:rPr>
        <w:t>) of the Agreement. Terms defined in the Agreement have the same meaning in this notice unless given a different meaning in this notice.</w:t>
      </w:r>
    </w:p>
    <w:p>
      <w:pPr>
        <w:spacing w:after="0" w:line="165" w:lineRule="exact"/>
        <w:rPr>
          <w:sz w:val="20"/>
          <w:szCs w:val="20"/>
          <w:color w:val="auto"/>
        </w:rPr>
      </w:pPr>
    </w:p>
    <w:p>
      <w:pPr>
        <w:ind w:left="500" w:right="40" w:hanging="492"/>
        <w:spacing w:after="0" w:line="277" w:lineRule="auto"/>
        <w:tabs>
          <w:tab w:leader="none" w:pos="97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 Notifiable Debt Purchase Transaction which we entered into and which we notified you of in a notice dated [·] has [terminated]/[ceased to be with a Parent Affiliate].</w:t>
      </w:r>
    </w:p>
    <w:p>
      <w:pPr>
        <w:spacing w:after="0" w:line="170" w:lineRule="exact"/>
        <w:rPr>
          <w:sz w:val="20"/>
          <w:szCs w:val="20"/>
          <w:color w:val="auto"/>
        </w:rPr>
      </w:pPr>
    </w:p>
    <w:p>
      <w:pPr>
        <w:ind w:left="500" w:right="40" w:hanging="492"/>
        <w:spacing w:after="0" w:line="246" w:lineRule="auto"/>
        <w:tabs>
          <w:tab w:leader="none" w:pos="58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ind w:left="520"/>
              <w:spacing w:after="0"/>
              <w:rPr>
                <w:sz w:val="20"/>
                <w:szCs w:val="20"/>
                <w:color w:val="auto"/>
              </w:rPr>
            </w:pPr>
            <w:r>
              <w:rPr>
                <w:rFonts w:ascii="Arial" w:cs="Arial" w:eastAsia="Arial" w:hAnsi="Arial"/>
                <w:sz w:val="18"/>
                <w:szCs w:val="18"/>
                <w:b w:val="1"/>
                <w:bCs w:val="1"/>
                <w:color w:val="auto"/>
              </w:rPr>
              <w:t>Commitment</w:t>
            </w:r>
          </w:p>
        </w:tc>
        <w:tc>
          <w:tcPr>
            <w:tcW w:w="8400" w:type="dxa"/>
            <w:vAlign w:val="bottom"/>
          </w:tcPr>
          <w:p>
            <w:pPr>
              <w:ind w:left="126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w:t>
            </w:r>
          </w:p>
        </w:tc>
      </w:tr>
      <w:tr>
        <w:trPr>
          <w:trHeight w:val="239"/>
        </w:trPr>
        <w:tc>
          <w:tcPr>
            <w:tcW w:w="2880" w:type="dxa"/>
            <w:vAlign w:val="bottom"/>
          </w:tcPr>
          <w:p>
            <w:pPr>
              <w:spacing w:after="0"/>
              <w:rPr>
                <w:sz w:val="20"/>
                <w:szCs w:val="20"/>
                <w:color w:val="auto"/>
              </w:rPr>
            </w:pPr>
          </w:p>
        </w:tc>
        <w:tc>
          <w:tcPr>
            <w:tcW w:w="8400" w:type="dxa"/>
            <w:vAlign w:val="bottom"/>
          </w:tcPr>
          <w:p>
            <w:pPr>
              <w:ind w:left="1260"/>
              <w:spacing w:after="0"/>
              <w:rPr>
                <w:sz w:val="20"/>
                <w:szCs w:val="20"/>
                <w:color w:val="auto"/>
              </w:rPr>
            </w:pPr>
            <w:r>
              <w:rPr>
                <w:rFonts w:ascii="Arial" w:cs="Arial" w:eastAsia="Arial" w:hAnsi="Arial"/>
                <w:sz w:val="18"/>
                <w:szCs w:val="18"/>
                <w:b w:val="1"/>
                <w:bCs w:val="1"/>
                <w:color w:val="auto"/>
              </w:rPr>
              <w:t>(Base Currency)</w:t>
            </w:r>
          </w:p>
        </w:tc>
      </w:tr>
      <w:tr>
        <w:trPr>
          <w:trHeight w:val="373"/>
        </w:trPr>
        <w:tc>
          <w:tcPr>
            <w:tcW w:w="2880" w:type="dxa"/>
            <w:vAlign w:val="bottom"/>
          </w:tcPr>
          <w:p>
            <w:pPr>
              <w:ind w:left="520"/>
              <w:spacing w:after="0"/>
              <w:rPr>
                <w:sz w:val="20"/>
                <w:szCs w:val="20"/>
                <w:color w:val="auto"/>
              </w:rPr>
            </w:pPr>
            <w:r>
              <w:rPr>
                <w:rFonts w:ascii="Arial" w:cs="Arial" w:eastAsia="Arial" w:hAnsi="Arial"/>
                <w:sz w:val="18"/>
                <w:szCs w:val="18"/>
                <w:color w:val="auto"/>
              </w:rPr>
              <w:t>[·]</w:t>
            </w:r>
          </w:p>
        </w:tc>
        <w:tc>
          <w:tcPr>
            <w:tcW w:w="8400" w:type="dxa"/>
            <w:vAlign w:val="bottom"/>
          </w:tcPr>
          <w:p>
            <w:pPr>
              <w:ind w:left="126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w:t>
            </w:r>
          </w:p>
        </w:tc>
      </w:tr>
      <w:tr>
        <w:trPr>
          <w:trHeight w:val="235"/>
        </w:trPr>
        <w:tc>
          <w:tcPr>
            <w:tcW w:w="2880" w:type="dxa"/>
            <w:vAlign w:val="bottom"/>
          </w:tcPr>
          <w:p>
            <w:pPr>
              <w:spacing w:after="0"/>
              <w:rPr>
                <w:sz w:val="20"/>
                <w:szCs w:val="20"/>
                <w:color w:val="auto"/>
              </w:rPr>
            </w:pPr>
          </w:p>
        </w:tc>
        <w:tc>
          <w:tcPr>
            <w:tcW w:w="8400" w:type="dxa"/>
            <w:vAlign w:val="bottom"/>
          </w:tcPr>
          <w:p>
            <w:pPr>
              <w:ind w:left="1260"/>
              <w:spacing w:after="0"/>
              <w:rPr>
                <w:sz w:val="20"/>
                <w:szCs w:val="20"/>
                <w:color w:val="auto"/>
              </w:rPr>
            </w:pPr>
            <w:r>
              <w:rPr>
                <w:rFonts w:ascii="Arial" w:cs="Arial" w:eastAsia="Arial" w:hAnsi="Arial"/>
                <w:sz w:val="18"/>
                <w:szCs w:val="18"/>
                <w:i w:val="1"/>
                <w:iCs w:val="1"/>
                <w:color w:val="auto"/>
              </w:rPr>
              <w:t>applies]</w:t>
            </w:r>
          </w:p>
        </w:tc>
      </w:tr>
      <w:tr>
        <w:trPr>
          <w:trHeight w:val="634"/>
        </w:trPr>
        <w:tc>
          <w:tcPr>
            <w:tcW w:w="2880" w:type="dxa"/>
            <w:vAlign w:val="bottom"/>
          </w:tcPr>
          <w:p>
            <w:pPr>
              <w:spacing w:after="0"/>
              <w:rPr>
                <w:sz w:val="20"/>
                <w:szCs w:val="20"/>
                <w:color w:val="auto"/>
              </w:rPr>
            </w:pPr>
            <w:r>
              <w:rPr>
                <w:rFonts w:ascii="Arial" w:cs="Arial" w:eastAsia="Arial" w:hAnsi="Arial"/>
                <w:sz w:val="18"/>
                <w:szCs w:val="18"/>
                <w:color w:val="auto"/>
              </w:rPr>
              <w:t>[Lender]</w:t>
            </w:r>
          </w:p>
        </w:tc>
        <w:tc>
          <w:tcPr>
            <w:tcW w:w="8400" w:type="dxa"/>
            <w:vAlign w:val="bottom"/>
          </w:tcPr>
          <w:p>
            <w:pPr>
              <w:spacing w:after="0"/>
              <w:rPr>
                <w:sz w:val="24"/>
                <w:szCs w:val="24"/>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spacing w:after="0"/>
              <w:rPr>
                <w:sz w:val="24"/>
                <w:szCs w:val="24"/>
                <w:color w:val="auto"/>
              </w:rPr>
            </w:pPr>
          </w:p>
        </w:tc>
      </w:tr>
      <w:tr>
        <w:trPr>
          <w:trHeight w:val="419"/>
        </w:trPr>
        <w:tc>
          <w:tcPr>
            <w:tcW w:w="2880" w:type="dxa"/>
            <w:vAlign w:val="bottom"/>
          </w:tcPr>
          <w:p>
            <w:pPr>
              <w:spacing w:after="0"/>
              <w:rPr>
                <w:sz w:val="24"/>
                <w:szCs w:val="24"/>
                <w:color w:val="auto"/>
              </w:rPr>
            </w:pPr>
          </w:p>
        </w:tc>
        <w:tc>
          <w:tcPr>
            <w:tcW w:w="8400" w:type="dxa"/>
            <w:vAlign w:val="bottom"/>
          </w:tcPr>
          <w:p>
            <w:pPr>
              <w:ind w:left="2600"/>
              <w:spacing w:after="0"/>
              <w:rPr>
                <w:sz w:val="20"/>
                <w:szCs w:val="20"/>
                <w:color w:val="auto"/>
              </w:rPr>
            </w:pPr>
            <w:r>
              <w:rPr>
                <w:rFonts w:ascii="Arial" w:cs="Arial" w:eastAsia="Arial" w:hAnsi="Arial"/>
                <w:sz w:val="18"/>
                <w:szCs w:val="18"/>
                <w:color w:val="auto"/>
              </w:rPr>
              <w:t>160</w:t>
            </w:r>
          </w:p>
        </w:tc>
      </w:tr>
      <w:tr>
        <w:trPr>
          <w:trHeight w:val="118"/>
        </w:trPr>
        <w:tc>
          <w:tcPr>
            <w:tcW w:w="2880" w:type="dxa"/>
            <w:vAlign w:val="bottom"/>
            <w:tcBorders>
              <w:bottom w:val="single" w:sz="8" w:color="808080"/>
            </w:tcBorders>
          </w:tcPr>
          <w:p>
            <w:pPr>
              <w:spacing w:after="0"/>
              <w:rPr>
                <w:sz w:val="10"/>
                <w:szCs w:val="10"/>
                <w:color w:val="auto"/>
              </w:rPr>
            </w:pPr>
          </w:p>
        </w:tc>
        <w:tc>
          <w:tcPr>
            <w:tcW w:w="8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20" w:type="dxa"/>
            <w:vAlign w:val="bottom"/>
            <w:gridSpan w:val="3"/>
          </w:tcPr>
          <w:p>
            <w:pPr>
              <w:jc w:val="center"/>
              <w:ind w:right="3280"/>
              <w:spacing w:after="0"/>
              <w:rPr>
                <w:sz w:val="20"/>
                <w:szCs w:val="20"/>
                <w:color w:val="auto"/>
              </w:rPr>
            </w:pPr>
            <w:r>
              <w:rPr>
                <w:rFonts w:ascii="Arial" w:cs="Arial" w:eastAsia="Arial" w:hAnsi="Arial"/>
                <w:sz w:val="22"/>
                <w:szCs w:val="22"/>
                <w:b w:val="1"/>
                <w:bCs w:val="1"/>
                <w:color w:val="auto"/>
                <w:w w:val="98"/>
              </w:rPr>
              <w:t>Schedule 8</w:t>
            </w:r>
          </w:p>
        </w:tc>
        <w:tc>
          <w:tcPr>
            <w:tcW w:w="0" w:type="dxa"/>
            <w:vAlign w:val="bottom"/>
          </w:tcPr>
          <w:p>
            <w:pPr>
              <w:spacing w:after="0"/>
              <w:rPr>
                <w:sz w:val="1"/>
                <w:szCs w:val="1"/>
                <w:color w:val="auto"/>
              </w:rPr>
            </w:pPr>
          </w:p>
        </w:tc>
      </w:tr>
      <w:tr>
        <w:trPr>
          <w:trHeight w:val="285"/>
        </w:trPr>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3"/>
          </w:tcPr>
          <w:p>
            <w:pPr>
              <w:jc w:val="center"/>
              <w:ind w:right="3280"/>
              <w:spacing w:after="0"/>
              <w:rPr>
                <w:sz w:val="20"/>
                <w:szCs w:val="20"/>
                <w:color w:val="auto"/>
              </w:rPr>
            </w:pPr>
            <w:r>
              <w:rPr>
                <w:rFonts w:ascii="Arial" w:cs="Arial" w:eastAsia="Arial" w:hAnsi="Arial"/>
                <w:sz w:val="22"/>
                <w:szCs w:val="22"/>
                <w:b w:val="1"/>
                <w:bCs w:val="1"/>
                <w:color w:val="auto"/>
                <w:w w:val="97"/>
              </w:rPr>
              <w:t>Repayment Schedule</w:t>
            </w:r>
          </w:p>
        </w:tc>
        <w:tc>
          <w:tcPr>
            <w:tcW w:w="0" w:type="dxa"/>
            <w:vAlign w:val="bottom"/>
          </w:tcPr>
          <w:p>
            <w:pPr>
              <w:spacing w:after="0"/>
              <w:rPr>
                <w:sz w:val="1"/>
                <w:szCs w:val="1"/>
                <w:color w:val="auto"/>
              </w:rPr>
            </w:pPr>
          </w:p>
        </w:tc>
      </w:tr>
      <w:tr>
        <w:trPr>
          <w:trHeight w:val="422"/>
        </w:trPr>
        <w:tc>
          <w:tcPr>
            <w:tcW w:w="3260" w:type="dxa"/>
            <w:vAlign w:val="bottom"/>
            <w:gridSpan w:val="3"/>
          </w:tcPr>
          <w:p>
            <w:pPr>
              <w:spacing w:after="0"/>
              <w:rPr>
                <w:sz w:val="20"/>
                <w:szCs w:val="20"/>
                <w:color w:val="auto"/>
              </w:rPr>
            </w:pPr>
            <w:r>
              <w:rPr>
                <w:rFonts w:ascii="Arial" w:cs="Arial" w:eastAsia="Arial" w:hAnsi="Arial"/>
                <w:sz w:val="18"/>
                <w:szCs w:val="18"/>
                <w:color w:val="auto"/>
              </w:rPr>
              <w:t>For Ship A</w:t>
            </w: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7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Repayment Date</w:t>
            </w:r>
          </w:p>
        </w:tc>
        <w:tc>
          <w:tcPr>
            <w:tcW w:w="32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b w:val="1"/>
                <w:bCs w:val="1"/>
                <w:color w:val="auto"/>
              </w:rPr>
              <w:t>Amount ($)</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First</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Second</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Third</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Fourth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Fifth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Sixth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Seventh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Eighth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Ninth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w w:val="98"/>
              </w:rPr>
              <w:t>2,411,538.46</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5"/>
              </w:rPr>
              <w:t>Tenth</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rPr>
              <w:t>20,096,153.85</w:t>
            </w:r>
          </w:p>
        </w:tc>
        <w:tc>
          <w:tcPr>
            <w:tcW w:w="220" w:type="dxa"/>
            <w:vAlign w:val="bottom"/>
            <w:tcBorders>
              <w:right w:val="single" w:sz="8" w:color="auto"/>
            </w:tcBorders>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6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7"/>
              </w:rPr>
              <w:t>Total</w:t>
            </w:r>
          </w:p>
        </w:tc>
        <w:tc>
          <w:tcPr>
            <w:tcW w:w="3020" w:type="dxa"/>
            <w:vAlign w:val="bottom"/>
          </w:tcPr>
          <w:p>
            <w:pPr>
              <w:jc w:val="center"/>
              <w:ind w:left="89"/>
              <w:spacing w:after="0"/>
              <w:rPr>
                <w:sz w:val="20"/>
                <w:szCs w:val="20"/>
                <w:color w:val="auto"/>
              </w:rPr>
            </w:pPr>
            <w:r>
              <w:rPr>
                <w:rFonts w:ascii="Arial" w:cs="Arial" w:eastAsia="Arial" w:hAnsi="Arial"/>
                <w:sz w:val="18"/>
                <w:szCs w:val="18"/>
                <w:color w:val="auto"/>
              </w:rPr>
              <w:t>41,800,000.00</w:t>
            </w:r>
          </w:p>
        </w:tc>
        <w:tc>
          <w:tcPr>
            <w:tcW w:w="220" w:type="dxa"/>
            <w:vAlign w:val="bottom"/>
            <w:tcBorders>
              <w:right w:val="single" w:sz="8" w:color="auto"/>
            </w:tcBorders>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3260" w:type="dxa"/>
            <w:vAlign w:val="bottom"/>
            <w:gridSpan w:val="3"/>
          </w:tcPr>
          <w:p>
            <w:pPr>
              <w:spacing w:after="0"/>
              <w:rPr>
                <w:sz w:val="20"/>
                <w:szCs w:val="20"/>
                <w:color w:val="auto"/>
              </w:rPr>
            </w:pPr>
            <w:r>
              <w:rPr>
                <w:rFonts w:ascii="Arial" w:cs="Arial" w:eastAsia="Arial" w:hAnsi="Arial"/>
                <w:sz w:val="18"/>
                <w:szCs w:val="18"/>
                <w:color w:val="auto"/>
              </w:rPr>
              <w:t>For Ship B</w:t>
            </w: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500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Repayment Date</w:t>
            </w:r>
          </w:p>
        </w:tc>
        <w:tc>
          <w:tcPr>
            <w:tcW w:w="80" w:type="dxa"/>
            <w:vAlign w:val="bottom"/>
          </w:tcPr>
          <w:p>
            <w:pPr>
              <w:spacing w:after="0"/>
              <w:rPr>
                <w:sz w:val="20"/>
                <w:szCs w:val="20"/>
                <w:color w:val="auto"/>
              </w:rPr>
            </w:pPr>
          </w:p>
        </w:tc>
        <w:tc>
          <w:tcPr>
            <w:tcW w:w="3020" w:type="dxa"/>
            <w:vAlign w:val="bottom"/>
            <w:tcBorders>
              <w:right w:val="single" w:sz="8" w:color="auto"/>
            </w:tcBorders>
          </w:tcPr>
          <w:p>
            <w:pPr>
              <w:ind w:left="980"/>
              <w:spacing w:after="0"/>
              <w:rPr>
                <w:sz w:val="20"/>
                <w:szCs w:val="20"/>
                <w:color w:val="auto"/>
              </w:rPr>
            </w:pPr>
            <w:r>
              <w:rPr>
                <w:rFonts w:ascii="Arial" w:cs="Arial" w:eastAsia="Arial" w:hAnsi="Arial"/>
                <w:sz w:val="18"/>
                <w:szCs w:val="18"/>
                <w:b w:val="1"/>
                <w:bCs w:val="1"/>
                <w:color w:val="auto"/>
              </w:rPr>
              <w:t>Amount ($)</w:t>
            </w:r>
          </w:p>
        </w:tc>
        <w:tc>
          <w:tcPr>
            <w:tcW w:w="5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0" w:type="dxa"/>
            <w:vAlign w:val="bottom"/>
            <w:tcBorders>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First</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Third</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Fourth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Fifth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Sixth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Seventh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Eighth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Ninth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3,124,341.16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80" w:type="dxa"/>
            <w:vAlign w:val="bottom"/>
            <w:tcBorders>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Tenth</w:t>
            </w:r>
          </w:p>
        </w:tc>
        <w:tc>
          <w:tcPr>
            <w:tcW w:w="80" w:type="dxa"/>
            <w:vAlign w:val="bottom"/>
          </w:tcPr>
          <w:p>
            <w:pPr>
              <w:spacing w:after="0"/>
              <w:rPr>
                <w:sz w:val="18"/>
                <w:szCs w:val="18"/>
                <w:color w:val="auto"/>
              </w:rPr>
            </w:pPr>
          </w:p>
        </w:tc>
        <w:tc>
          <w:tcPr>
            <w:tcW w:w="3020" w:type="dxa"/>
            <w:vAlign w:val="bottom"/>
            <w:tcBorders>
              <w:right w:val="single" w:sz="8" w:color="auto"/>
            </w:tcBorders>
          </w:tcPr>
          <w:p>
            <w:pPr>
              <w:jc w:val="center"/>
              <w:ind w:right="9"/>
              <w:spacing w:after="0"/>
              <w:rPr>
                <w:sz w:val="20"/>
                <w:szCs w:val="20"/>
                <w:color w:val="auto"/>
              </w:rPr>
            </w:pPr>
            <w:r>
              <w:rPr>
                <w:rFonts w:ascii="Arial" w:cs="Arial" w:eastAsia="Arial" w:hAnsi="Arial"/>
                <w:sz w:val="18"/>
                <w:szCs w:val="18"/>
                <w:color w:val="auto"/>
              </w:rPr>
              <w:t>80,555,929.56</w:t>
            </w:r>
          </w:p>
        </w:tc>
        <w:tc>
          <w:tcPr>
            <w:tcW w:w="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80" w:type="dxa"/>
            <w:vAlign w:val="bottom"/>
            <w:tcBorders>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20"/>
                <w:szCs w:val="20"/>
                <w:color w:val="auto"/>
              </w:rPr>
            </w:pPr>
          </w:p>
        </w:tc>
        <w:tc>
          <w:tcPr>
            <w:tcW w:w="3020" w:type="dxa"/>
            <w:vAlign w:val="bottom"/>
            <w:tcBorders>
              <w:right w:val="single" w:sz="8" w:color="auto"/>
            </w:tcBorders>
          </w:tcPr>
          <w:p>
            <w:pPr>
              <w:jc w:val="center"/>
              <w:ind w:right="29"/>
              <w:spacing w:after="0"/>
              <w:rPr>
                <w:sz w:val="20"/>
                <w:szCs w:val="20"/>
                <w:color w:val="auto"/>
              </w:rPr>
            </w:pPr>
            <w:r>
              <w:rPr>
                <w:rFonts w:ascii="Arial" w:cs="Arial" w:eastAsia="Arial" w:hAnsi="Arial"/>
                <w:sz w:val="18"/>
                <w:szCs w:val="18"/>
                <w:color w:val="auto"/>
              </w:rPr>
              <w:t>108,675,000.00</w:t>
            </w:r>
          </w:p>
        </w:tc>
        <w:tc>
          <w:tcPr>
            <w:tcW w:w="2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20" w:type="dxa"/>
            <w:vAlign w:val="bottom"/>
            <w:tcBorders>
              <w:bottom w:val="single" w:sz="8" w:color="auto"/>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jc w:val="center"/>
              <w:ind w:left="1629"/>
              <w:spacing w:after="0"/>
              <w:rPr>
                <w:sz w:val="20"/>
                <w:szCs w:val="20"/>
                <w:color w:val="auto"/>
              </w:rPr>
            </w:pPr>
            <w:r>
              <w:rPr>
                <w:rFonts w:ascii="Arial" w:cs="Arial" w:eastAsia="Arial" w:hAnsi="Arial"/>
                <w:sz w:val="18"/>
                <w:szCs w:val="18"/>
                <w:color w:val="auto"/>
                <w:w w:val="99"/>
              </w:rPr>
              <w:t>161</w:t>
            </w:r>
          </w:p>
        </w:tc>
        <w:tc>
          <w:tcPr>
            <w:tcW w:w="2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8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3" w:right="2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For Ship C</w:t>
      </w:r>
    </w:p>
    <w:p>
      <w:pPr>
        <w:spacing w:after="0" w:line="192" w:lineRule="exact"/>
        <w:rPr>
          <w:sz w:val="20"/>
          <w:szCs w:val="20"/>
          <w:color w:val="auto"/>
        </w:rPr>
      </w:pPr>
    </w:p>
    <w:tbl>
      <w:tblPr>
        <w:tblLayout w:type="fixed"/>
        <w:tblInd w:w="670" w:type="dxa"/>
        <w:tblCellMar>
          <w:top w:w="0" w:type="dxa"/>
          <w:left w:w="0" w:type="dxa"/>
          <w:bottom w:w="0" w:type="dxa"/>
          <w:right w:w="0" w:type="dxa"/>
        </w:tblCellMar>
      </w:tblPr>
      <w:tr>
        <w:trPr>
          <w:trHeight w:val="252"/>
        </w:trPr>
        <w:tc>
          <w:tcPr>
            <w:tcW w:w="2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Repayment Date</w:t>
            </w:r>
          </w:p>
        </w:tc>
        <w:tc>
          <w:tcPr>
            <w:tcW w:w="32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Amount ($)</w:t>
            </w:r>
          </w:p>
        </w:tc>
      </w:tr>
      <w:tr>
        <w:trPr>
          <w:trHeight w:val="85"/>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First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Second</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Third</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Fourth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Fifth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Sixth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Seventh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Eighth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Ninth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3,061,010.06</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10"/>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Tenth</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82,307,159.44</w:t>
            </w:r>
          </w:p>
        </w:tc>
      </w:tr>
      <w:tr>
        <w:trPr>
          <w:trHeight w:val="107"/>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r>
      <w:tr>
        <w:trPr>
          <w:trHeight w:val="232"/>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109,856,250.00</w:t>
            </w:r>
          </w:p>
        </w:tc>
      </w:tr>
      <w:tr>
        <w:trPr>
          <w:trHeight w:val="85"/>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r>
    </w:tbl>
    <w:p>
      <w:pPr>
        <w:spacing w:after="0" w:line="21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380" w:type="dxa"/>
            <w:vAlign w:val="bottom"/>
          </w:tcPr>
          <w:p>
            <w:pPr>
              <w:jc w:val="right"/>
              <w:ind w:right="1210"/>
              <w:spacing w:after="0"/>
              <w:rPr>
                <w:sz w:val="20"/>
                <w:szCs w:val="20"/>
                <w:color w:val="auto"/>
              </w:rPr>
            </w:pPr>
            <w:r>
              <w:rPr>
                <w:rFonts w:ascii="Arial" w:cs="Arial" w:eastAsia="Arial" w:hAnsi="Arial"/>
                <w:sz w:val="18"/>
                <w:szCs w:val="18"/>
                <w:b w:val="1"/>
                <w:bCs w:val="1"/>
                <w:color w:val="auto"/>
              </w:rPr>
              <w:t>SIGNATURES</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THE BORROWERS</w:t>
            </w:r>
          </w:p>
        </w:tc>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9"/>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GAS-twenty Ltd.</w:t>
            </w:r>
          </w:p>
        </w:tc>
        <w:tc>
          <w:tcPr>
            <w:tcW w:w="2500" w:type="dxa"/>
            <w:vAlign w:val="bottom"/>
            <w:gridSpan w:val="2"/>
          </w:tcPr>
          <w:p>
            <w:pPr>
              <w:spacing w:after="0"/>
              <w:rPr>
                <w:sz w:val="24"/>
                <w:szCs w:val="24"/>
                <w:color w:val="auto"/>
              </w:rPr>
            </w:pP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59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GAS-seven Ltd.</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59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GAS-eight Ltd.</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Achilleas Tasioulas</w:t>
            </w:r>
          </w:p>
        </w:tc>
      </w:tr>
      <w:tr>
        <w:trPr>
          <w:trHeight w:val="426"/>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r>
      <w:tr>
        <w:trPr>
          <w:trHeight w:val="59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THE GUARANTORS</w:t>
            </w:r>
          </w:p>
        </w:tc>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398"/>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GASLOG PARTNERS LP</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59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GASLOG PARTNERS HOLDINGS LLC</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810"/>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THE ARRANGERS</w:t>
            </w:r>
          </w:p>
        </w:tc>
        <w:tc>
          <w:tcPr>
            <w:tcW w:w="254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8"/>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BNP PARIBAS</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Llian Williams</w:t>
            </w:r>
          </w:p>
        </w:tc>
      </w:tr>
      <w:tr>
        <w:trPr>
          <w:trHeight w:val="209"/>
        </w:trPr>
        <w:tc>
          <w:tcPr>
            <w:tcW w:w="4120" w:type="dxa"/>
            <w:vAlign w:val="bottom"/>
            <w:gridSpan w:val="4"/>
          </w:tcPr>
          <w:p>
            <w:pPr>
              <w:spacing w:after="0"/>
              <w:rPr>
                <w:sz w:val="20"/>
                <w:szCs w:val="20"/>
                <w:color w:val="auto"/>
              </w:rPr>
            </w:pPr>
            <w:r>
              <w:rPr>
                <w:rFonts w:ascii="Arial" w:cs="Arial" w:eastAsia="Arial" w:hAnsi="Arial"/>
                <w:sz w:val="18"/>
                <w:szCs w:val="18"/>
                <w:color w:val="auto"/>
              </w:rPr>
              <w:t>as Mandated Lead Arranger</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440" w:type="dxa"/>
            <w:vAlign w:val="bottom"/>
            <w:gridSpan w:val="2"/>
          </w:tcPr>
          <w:p>
            <w:pPr>
              <w:spacing w:after="0"/>
              <w:rPr>
                <w:sz w:val="18"/>
                <w:szCs w:val="18"/>
                <w:color w:val="auto"/>
              </w:rPr>
            </w:pPr>
          </w:p>
        </w:tc>
      </w:tr>
      <w:tr>
        <w:trPr>
          <w:trHeight w:val="217"/>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59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CREDIT SUISSE AG</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spacing w:after="0"/>
              <w:rPr>
                <w:sz w:val="20"/>
                <w:szCs w:val="20"/>
                <w:color w:val="auto"/>
              </w:rPr>
            </w:pPr>
            <w:r>
              <w:rPr>
                <w:rFonts w:ascii="Arial" w:cs="Arial" w:eastAsia="Arial" w:hAnsi="Arial"/>
                <w:sz w:val="18"/>
                <w:szCs w:val="18"/>
                <w:color w:val="auto"/>
              </w:rPr>
              <w:t>/s/ Llian Williams</w:t>
            </w:r>
          </w:p>
        </w:tc>
      </w:tr>
      <w:tr>
        <w:trPr>
          <w:trHeight w:val="209"/>
        </w:trPr>
        <w:tc>
          <w:tcPr>
            <w:tcW w:w="4120" w:type="dxa"/>
            <w:vAlign w:val="bottom"/>
            <w:gridSpan w:val="4"/>
          </w:tcPr>
          <w:p>
            <w:pPr>
              <w:spacing w:after="0"/>
              <w:rPr>
                <w:sz w:val="20"/>
                <w:szCs w:val="20"/>
                <w:color w:val="auto"/>
              </w:rPr>
            </w:pPr>
            <w:r>
              <w:rPr>
                <w:rFonts w:ascii="Arial" w:cs="Arial" w:eastAsia="Arial" w:hAnsi="Arial"/>
                <w:sz w:val="18"/>
                <w:szCs w:val="18"/>
                <w:color w:val="auto"/>
              </w:rPr>
              <w:t>as Mandated Lead Arranger</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440" w:type="dxa"/>
            <w:vAlign w:val="bottom"/>
            <w:gridSpan w:val="2"/>
          </w:tcPr>
          <w:p>
            <w:pPr>
              <w:spacing w:after="0"/>
              <w:rPr>
                <w:sz w:val="18"/>
                <w:szCs w:val="18"/>
                <w:color w:val="auto"/>
              </w:rPr>
            </w:pPr>
          </w:p>
        </w:tc>
      </w:tr>
      <w:tr>
        <w:trPr>
          <w:trHeight w:val="217"/>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3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80" w:type="dxa"/>
            <w:vAlign w:val="bottom"/>
          </w:tcPr>
          <w:p>
            <w:pPr>
              <w:jc w:val="right"/>
              <w:ind w:right="1630"/>
              <w:spacing w:after="0"/>
              <w:rPr>
                <w:sz w:val="20"/>
                <w:szCs w:val="20"/>
                <w:color w:val="auto"/>
              </w:rPr>
            </w:pPr>
            <w:r>
              <w:rPr>
                <w:rFonts w:ascii="Arial" w:cs="Arial" w:eastAsia="Arial" w:hAnsi="Arial"/>
                <w:sz w:val="18"/>
                <w:szCs w:val="18"/>
                <w:color w:val="auto"/>
              </w:rPr>
              <w:t>163</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8"/>
        </w:trPr>
        <w:tc>
          <w:tcPr>
            <w:tcW w:w="15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7"/>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THE ORIGINAL LENDERS</w:t>
            </w:r>
          </w:p>
        </w:tc>
        <w:tc>
          <w:tcPr>
            <w:tcW w:w="3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85"/>
        </w:trPr>
        <w:tc>
          <w:tcPr>
            <w:tcW w:w="220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BNP PARIBAS</w:t>
            </w:r>
          </w:p>
        </w:tc>
        <w:tc>
          <w:tcPr>
            <w:tcW w:w="1860" w:type="dxa"/>
            <w:vAlign w:val="bottom"/>
            <w:gridSpan w:val="2"/>
          </w:tcPr>
          <w:p>
            <w:pPr>
              <w:spacing w:after="0"/>
              <w:rPr>
                <w:sz w:val="24"/>
                <w:szCs w:val="24"/>
                <w:color w:val="auto"/>
              </w:rPr>
            </w:pP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567"/>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CREDIT SUISSE AG</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567"/>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ALPHA BANK S.A.</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769"/>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THE GLOBAL CO-ORDINATOR</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8"/>
        </w:trPr>
        <w:tc>
          <w:tcPr>
            <w:tcW w:w="262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BNP PARIBAS</w:t>
            </w:r>
          </w:p>
        </w:tc>
        <w:tc>
          <w:tcPr>
            <w:tcW w:w="1440" w:type="dxa"/>
            <w:vAlign w:val="bottom"/>
          </w:tcPr>
          <w:p>
            <w:pPr>
              <w:spacing w:after="0"/>
              <w:rPr>
                <w:sz w:val="24"/>
                <w:szCs w:val="24"/>
                <w:color w:val="auto"/>
              </w:rPr>
            </w:pP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567"/>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CREDIT SUISSE AG</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769"/>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THE BOOKRUNNERS</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8"/>
        </w:trPr>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BNP PARIBAS</w:t>
            </w:r>
          </w:p>
        </w:tc>
        <w:tc>
          <w:tcPr>
            <w:tcW w:w="2220" w:type="dxa"/>
            <w:vAlign w:val="bottom"/>
            <w:gridSpan w:val="4"/>
          </w:tcPr>
          <w:p>
            <w:pPr>
              <w:spacing w:after="0"/>
              <w:rPr>
                <w:sz w:val="24"/>
                <w:szCs w:val="24"/>
                <w:color w:val="auto"/>
              </w:rPr>
            </w:pP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567"/>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CREDIT SUISSE AG</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567"/>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THE AGENT</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98"/>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BNP PARIBAS</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540" w:type="dxa"/>
            <w:vAlign w:val="bottom"/>
          </w:tcPr>
          <w:p>
            <w:pPr>
              <w:spacing w:after="0"/>
              <w:rPr>
                <w:sz w:val="19"/>
                <w:szCs w:val="19"/>
                <w:color w:val="auto"/>
              </w:rPr>
            </w:pPr>
          </w:p>
        </w:tc>
      </w:tr>
      <w:tr>
        <w:trPr>
          <w:trHeight w:val="769"/>
        </w:trPr>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THE SECURITY AGENT</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9"/>
        </w:trPr>
        <w:tc>
          <w:tcPr>
            <w:tcW w:w="20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BNP PARIBAS</w:t>
            </w:r>
          </w:p>
        </w:tc>
        <w:tc>
          <w:tcPr>
            <w:tcW w:w="2060" w:type="dxa"/>
            <w:vAlign w:val="bottom"/>
            <w:gridSpan w:val="3"/>
          </w:tcPr>
          <w:p>
            <w:pPr>
              <w:spacing w:after="0"/>
              <w:rPr>
                <w:sz w:val="24"/>
                <w:szCs w:val="24"/>
                <w:color w:val="auto"/>
              </w:rPr>
            </w:pPr>
          </w:p>
        </w:tc>
        <w:tc>
          <w:tcPr>
            <w:tcW w:w="3340" w:type="dxa"/>
            <w:vAlign w:val="bottom"/>
          </w:tcPr>
          <w:p>
            <w:pPr>
              <w:ind w:left="298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0"/>
        </w:trPr>
        <w:tc>
          <w:tcPr>
            <w:tcW w:w="406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23"/>
        </w:trPr>
        <w:tc>
          <w:tcPr>
            <w:tcW w:w="4060" w:type="dxa"/>
            <w:vAlign w:val="bottom"/>
            <w:gridSpan w:val="6"/>
          </w:tcPr>
          <w:p>
            <w:pPr>
              <w:spacing w:after="0"/>
              <w:rPr>
                <w:sz w:val="20"/>
                <w:szCs w:val="20"/>
                <w:color w:val="auto"/>
              </w:rPr>
            </w:pPr>
            <w:r>
              <w:rPr>
                <w:rFonts w:ascii="Arial" w:cs="Arial" w:eastAsia="Arial" w:hAnsi="Arial"/>
                <w:sz w:val="18"/>
                <w:szCs w:val="18"/>
                <w:color w:val="auto"/>
              </w:rPr>
              <w:t>By:</w:t>
            </w:r>
          </w:p>
        </w:tc>
        <w:tc>
          <w:tcPr>
            <w:tcW w:w="7220" w:type="dxa"/>
            <w:vAlign w:val="bottom"/>
            <w:gridSpan w:val="3"/>
          </w:tcPr>
          <w:p>
            <w:pPr>
              <w:ind w:left="2980"/>
              <w:spacing w:after="0"/>
              <w:rPr>
                <w:sz w:val="20"/>
                <w:szCs w:val="20"/>
                <w:color w:val="auto"/>
              </w:rPr>
            </w:pPr>
            <w:r>
              <w:rPr>
                <w:rFonts w:ascii="Arial" w:cs="Arial" w:eastAsia="Arial" w:hAnsi="Arial"/>
                <w:sz w:val="18"/>
                <w:szCs w:val="18"/>
                <w:color w:val="auto"/>
              </w:rPr>
              <w:t>)   Attorney-in-fact</w:t>
            </w:r>
          </w:p>
        </w:tc>
      </w:tr>
      <w:tr>
        <w:trPr>
          <w:trHeight w:val="418"/>
        </w:trPr>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40" w:type="dxa"/>
            <w:vAlign w:val="bottom"/>
          </w:tcPr>
          <w:p>
            <w:pPr>
              <w:ind w:left="1420"/>
              <w:spacing w:after="0"/>
              <w:rPr>
                <w:sz w:val="20"/>
                <w:szCs w:val="20"/>
                <w:color w:val="auto"/>
              </w:rPr>
            </w:pPr>
            <w:r>
              <w:rPr>
                <w:rFonts w:ascii="Arial" w:cs="Arial" w:eastAsia="Arial" w:hAnsi="Arial"/>
                <w:sz w:val="18"/>
                <w:szCs w:val="18"/>
                <w:color w:val="auto"/>
              </w:rPr>
              <w:t>164</w:t>
            </w: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18"/>
        </w:trPr>
        <w:tc>
          <w:tcPr>
            <w:tcW w:w="10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171" w:name="page172"/>
    <w:bookmarkEnd w:id="171"/>
    <w:p>
      <w:pPr>
        <w:ind w:left="10300"/>
        <w:spacing w:after="0"/>
        <w:rPr>
          <w:sz w:val="20"/>
          <w:szCs w:val="20"/>
          <w:color w:val="auto"/>
        </w:rPr>
      </w:pPr>
      <w:r>
        <w:rPr>
          <w:rFonts w:ascii="Arial" w:cs="Arial" w:eastAsia="Arial" w:hAnsi="Arial"/>
          <w:sz w:val="17"/>
          <w:szCs w:val="17"/>
          <w:b w:val="1"/>
          <w:bCs w:val="1"/>
          <w:color w:val="auto"/>
        </w:rPr>
        <w:t>Exhibit 4.2.</w:t>
      </w:r>
    </w:p>
    <w:p>
      <w:pPr>
        <w:spacing w:after="0" w:line="244"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Private and Confidential</w:t>
      </w:r>
      <w:r>
        <w:rPr>
          <w:sz w:val="20"/>
          <w:szCs w:val="20"/>
          <w:color w:val="auto"/>
        </w:rPr>
        <w:tab/>
      </w:r>
      <w:r>
        <w:rPr>
          <w:rFonts w:ascii="Arial" w:cs="Arial" w:eastAsia="Arial" w:hAnsi="Arial"/>
          <w:sz w:val="17"/>
          <w:szCs w:val="17"/>
          <w:color w:val="auto"/>
        </w:rPr>
        <w:t>Execution version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16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71755</wp:posOffset>
            </wp:positionV>
            <wp:extent cx="3566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ENTITIES LISTED IN SCHEDULE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(UK)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 BANK N.V., LONDON BRANCH</w:t>
      </w:r>
    </w:p>
    <w:p>
      <w:pPr>
        <w:jc w:val="center"/>
        <w:spacing w:after="0" w:line="234" w:lineRule="auto"/>
        <w:rPr>
          <w:sz w:val="20"/>
          <w:szCs w:val="20"/>
          <w:color w:val="auto"/>
        </w:rPr>
      </w:pPr>
      <w:r>
        <w:rPr>
          <w:rFonts w:ascii="Arial" w:cs="Arial" w:eastAsia="Arial" w:hAnsi="Arial"/>
          <w:sz w:val="18"/>
          <w:szCs w:val="18"/>
          <w:b w:val="1"/>
          <w:bCs w:val="1"/>
          <w:color w:val="auto"/>
        </w:rPr>
        <w:t>as mandated lead arrangers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(together as Arrangers)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LONDON BRANCH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Agent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LONDON BRANCH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Security Agent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(UK)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 BANK N.V., LONDON BRANCH</w:t>
      </w:r>
    </w:p>
    <w:p>
      <w:pPr>
        <w:jc w:val="center"/>
        <w:spacing w:after="0"/>
        <w:rPr>
          <w:sz w:val="20"/>
          <w:szCs w:val="20"/>
          <w:color w:val="auto"/>
        </w:rPr>
      </w:pPr>
      <w:r>
        <w:rPr>
          <w:rFonts w:ascii="Arial" w:cs="Arial" w:eastAsia="Arial" w:hAnsi="Arial"/>
          <w:sz w:val="18"/>
          <w:szCs w:val="18"/>
          <w:b w:val="1"/>
          <w:bCs w:val="1"/>
          <w:color w:val="auto"/>
        </w:rPr>
        <w:t>as Bookrunners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 BANK N.V., LONDON BRANCH</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Structuring and Documentation Bank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guaranteed by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HOLDINGS LLC</w:t>
      </w: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CARRIERS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483235</wp:posOffset>
            </wp:positionV>
            <wp:extent cx="3566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jc w:val="center"/>
        <w:spacing w:after="0"/>
        <w:rPr>
          <w:sz w:val="20"/>
          <w:szCs w:val="20"/>
          <w:color w:val="auto"/>
        </w:rPr>
      </w:pPr>
      <w:r>
        <w:rPr>
          <w:rFonts w:ascii="Arial" w:cs="Arial" w:eastAsia="Arial" w:hAnsi="Arial"/>
          <w:sz w:val="18"/>
          <w:szCs w:val="18"/>
          <w:b w:val="1"/>
          <w:bCs w:val="1"/>
          <w:color w:val="auto"/>
        </w:rPr>
        <w:t>$200,000,000 Loan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254635</wp:posOffset>
            </wp:positionV>
            <wp:extent cx="3566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6207760</wp:posOffset>
            </wp:positionV>
            <wp:extent cx="71532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2694940</wp:posOffset>
            </wp:positionV>
            <wp:extent cx="7132320" cy="7029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85"/>
        </w:trPr>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900" w:type="dxa"/>
            <w:vAlign w:val="bottom"/>
          </w:tcPr>
          <w:p>
            <w:pPr>
              <w:jc w:val="right"/>
              <w:ind w:right="5089"/>
              <w:spacing w:after="0"/>
              <w:rPr>
                <w:sz w:val="20"/>
                <w:szCs w:val="20"/>
                <w:color w:val="auto"/>
              </w:rPr>
            </w:pPr>
            <w:r>
              <w:rPr>
                <w:rFonts w:ascii="Arial" w:cs="Arial" w:eastAsia="Arial" w:hAnsi="Arial"/>
                <w:sz w:val="22"/>
                <w:szCs w:val="22"/>
                <w:b w:val="1"/>
                <w:bCs w:val="1"/>
                <w:color w:val="auto"/>
              </w:rPr>
              <w:t>Contents</w:t>
            </w:r>
          </w:p>
        </w:tc>
      </w:tr>
      <w:tr>
        <w:trPr>
          <w:trHeight w:val="42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Clause</w:t>
            </w:r>
          </w:p>
        </w:tc>
        <w:tc>
          <w:tcPr>
            <w:tcW w:w="6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3980" w:type="dxa"/>
            <w:vAlign w:val="bottom"/>
          </w:tcPr>
          <w:p>
            <w:pPr>
              <w:ind w:left="180"/>
              <w:spacing w:after="0"/>
              <w:rPr>
                <w:sz w:val="20"/>
                <w:szCs w:val="20"/>
                <w:color w:val="auto"/>
              </w:rPr>
            </w:pPr>
            <w:r>
              <w:rPr>
                <w:rFonts w:ascii="Arial" w:cs="Arial" w:eastAsia="Arial" w:hAnsi="Arial"/>
                <w:sz w:val="18"/>
                <w:szCs w:val="18"/>
                <w:color w:val="auto"/>
              </w:rPr>
              <w:t>Definitions and interpretation</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3980" w:type="dxa"/>
            <w:vAlign w:val="bottom"/>
          </w:tcPr>
          <w:p>
            <w:pPr>
              <w:ind w:left="180"/>
              <w:spacing w:after="0"/>
              <w:rPr>
                <w:sz w:val="20"/>
                <w:szCs w:val="20"/>
                <w:color w:val="auto"/>
              </w:rPr>
            </w:pPr>
            <w:r>
              <w:rPr>
                <w:rFonts w:ascii="Arial" w:cs="Arial" w:eastAsia="Arial" w:hAnsi="Arial"/>
                <w:sz w:val="18"/>
                <w:szCs w:val="18"/>
                <w:color w:val="auto"/>
              </w:rPr>
              <w:t>The Facility</w:t>
            </w:r>
          </w:p>
        </w:tc>
        <w:tc>
          <w:tcPr>
            <w:tcW w:w="6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3980" w:type="dxa"/>
            <w:vAlign w:val="bottom"/>
          </w:tcPr>
          <w:p>
            <w:pPr>
              <w:ind w:left="180"/>
              <w:spacing w:after="0"/>
              <w:rPr>
                <w:sz w:val="20"/>
                <w:szCs w:val="20"/>
                <w:color w:val="auto"/>
              </w:rPr>
            </w:pPr>
            <w:r>
              <w:rPr>
                <w:rFonts w:ascii="Arial" w:cs="Arial" w:eastAsia="Arial" w:hAnsi="Arial"/>
                <w:sz w:val="18"/>
                <w:szCs w:val="18"/>
                <w:color w:val="auto"/>
              </w:rPr>
              <w:t>Purpose</w:t>
            </w:r>
          </w:p>
        </w:tc>
        <w:tc>
          <w:tcPr>
            <w:tcW w:w="6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3980" w:type="dxa"/>
            <w:vAlign w:val="bottom"/>
          </w:tcPr>
          <w:p>
            <w:pPr>
              <w:ind w:left="180"/>
              <w:spacing w:after="0"/>
              <w:rPr>
                <w:sz w:val="20"/>
                <w:szCs w:val="20"/>
                <w:color w:val="auto"/>
              </w:rPr>
            </w:pPr>
            <w:r>
              <w:rPr>
                <w:rFonts w:ascii="Arial" w:cs="Arial" w:eastAsia="Arial" w:hAnsi="Arial"/>
                <w:sz w:val="18"/>
                <w:szCs w:val="18"/>
                <w:color w:val="auto"/>
              </w:rPr>
              <w:t>Conditions of Utilisation</w:t>
            </w:r>
          </w:p>
        </w:tc>
        <w:tc>
          <w:tcPr>
            <w:tcW w:w="6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3980" w:type="dxa"/>
            <w:vAlign w:val="bottom"/>
          </w:tcPr>
          <w:p>
            <w:pPr>
              <w:ind w:left="180"/>
              <w:spacing w:after="0"/>
              <w:rPr>
                <w:sz w:val="20"/>
                <w:szCs w:val="20"/>
                <w:color w:val="auto"/>
              </w:rPr>
            </w:pPr>
            <w:r>
              <w:rPr>
                <w:rFonts w:ascii="Arial" w:cs="Arial" w:eastAsia="Arial" w:hAnsi="Arial"/>
                <w:sz w:val="18"/>
                <w:szCs w:val="18"/>
                <w:color w:val="auto"/>
              </w:rPr>
              <w:t>Utilisation</w:t>
            </w:r>
          </w:p>
        </w:tc>
        <w:tc>
          <w:tcPr>
            <w:tcW w:w="6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3980" w:type="dxa"/>
            <w:vAlign w:val="bottom"/>
          </w:tcPr>
          <w:p>
            <w:pPr>
              <w:ind w:left="180"/>
              <w:spacing w:after="0"/>
              <w:rPr>
                <w:sz w:val="20"/>
                <w:szCs w:val="20"/>
                <w:color w:val="auto"/>
              </w:rPr>
            </w:pPr>
            <w:r>
              <w:rPr>
                <w:rFonts w:ascii="Arial" w:cs="Arial" w:eastAsia="Arial" w:hAnsi="Arial"/>
                <w:sz w:val="18"/>
                <w:szCs w:val="18"/>
                <w:color w:val="auto"/>
              </w:rPr>
              <w:t>Repayment</w:t>
            </w:r>
          </w:p>
        </w:tc>
        <w:tc>
          <w:tcPr>
            <w:tcW w:w="6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3980" w:type="dxa"/>
            <w:vAlign w:val="bottom"/>
          </w:tcPr>
          <w:p>
            <w:pPr>
              <w:ind w:left="180"/>
              <w:spacing w:after="0"/>
              <w:rPr>
                <w:sz w:val="20"/>
                <w:szCs w:val="20"/>
                <w:color w:val="auto"/>
              </w:rPr>
            </w:pPr>
            <w:r>
              <w:rPr>
                <w:rFonts w:ascii="Arial" w:cs="Arial" w:eastAsia="Arial" w:hAnsi="Arial"/>
                <w:sz w:val="18"/>
                <w:szCs w:val="18"/>
                <w:color w:val="auto"/>
              </w:rPr>
              <w:t>Illegality, prepayment and cancellation</w:t>
            </w:r>
          </w:p>
        </w:tc>
        <w:tc>
          <w:tcPr>
            <w:tcW w:w="6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39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6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3980" w:type="dxa"/>
            <w:vAlign w:val="bottom"/>
          </w:tcPr>
          <w:p>
            <w:pPr>
              <w:ind w:left="180"/>
              <w:spacing w:after="0"/>
              <w:rPr>
                <w:sz w:val="20"/>
                <w:szCs w:val="20"/>
                <w:color w:val="auto"/>
              </w:rPr>
            </w:pPr>
            <w:r>
              <w:rPr>
                <w:rFonts w:ascii="Arial" w:cs="Arial" w:eastAsia="Arial" w:hAnsi="Arial"/>
                <w:sz w:val="18"/>
                <w:szCs w:val="18"/>
                <w:color w:val="auto"/>
              </w:rPr>
              <w:t>Interest Periods</w:t>
            </w:r>
          </w:p>
        </w:tc>
        <w:tc>
          <w:tcPr>
            <w:tcW w:w="6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3980" w:type="dxa"/>
            <w:vAlign w:val="bottom"/>
          </w:tcPr>
          <w:p>
            <w:pPr>
              <w:ind w:left="180"/>
              <w:spacing w:after="0"/>
              <w:rPr>
                <w:sz w:val="20"/>
                <w:szCs w:val="20"/>
                <w:color w:val="auto"/>
              </w:rPr>
            </w:pPr>
            <w:r>
              <w:rPr>
                <w:rFonts w:ascii="Arial" w:cs="Arial" w:eastAsia="Arial" w:hAnsi="Arial"/>
                <w:sz w:val="18"/>
                <w:szCs w:val="18"/>
                <w:color w:val="auto"/>
              </w:rPr>
              <w:t>Changes to the calculation of interest</w:t>
            </w:r>
          </w:p>
        </w:tc>
        <w:tc>
          <w:tcPr>
            <w:tcW w:w="6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3980" w:type="dxa"/>
            <w:vAlign w:val="bottom"/>
          </w:tcPr>
          <w:p>
            <w:pPr>
              <w:ind w:left="180"/>
              <w:spacing w:after="0"/>
              <w:rPr>
                <w:sz w:val="20"/>
                <w:szCs w:val="20"/>
                <w:color w:val="auto"/>
              </w:rPr>
            </w:pPr>
            <w:r>
              <w:rPr>
                <w:rFonts w:ascii="Arial" w:cs="Arial" w:eastAsia="Arial" w:hAnsi="Arial"/>
                <w:sz w:val="18"/>
                <w:szCs w:val="18"/>
                <w:color w:val="auto"/>
              </w:rPr>
              <w:t>Fees</w:t>
            </w:r>
          </w:p>
        </w:tc>
        <w:tc>
          <w:tcPr>
            <w:tcW w:w="6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3980" w:type="dxa"/>
            <w:vAlign w:val="bottom"/>
          </w:tcPr>
          <w:p>
            <w:pPr>
              <w:ind w:left="180"/>
              <w:spacing w:after="0"/>
              <w:rPr>
                <w:sz w:val="20"/>
                <w:szCs w:val="20"/>
                <w:color w:val="auto"/>
              </w:rPr>
            </w:pPr>
            <w:r>
              <w:rPr>
                <w:rFonts w:ascii="Arial" w:cs="Arial" w:eastAsia="Arial" w:hAnsi="Arial"/>
                <w:sz w:val="18"/>
                <w:szCs w:val="18"/>
                <w:color w:val="auto"/>
              </w:rPr>
              <w:t>Tax gross-up and indemnities</w:t>
            </w:r>
          </w:p>
        </w:tc>
        <w:tc>
          <w:tcPr>
            <w:tcW w:w="6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3980" w:type="dxa"/>
            <w:vAlign w:val="bottom"/>
          </w:tcPr>
          <w:p>
            <w:pPr>
              <w:ind w:left="180"/>
              <w:spacing w:after="0"/>
              <w:rPr>
                <w:sz w:val="20"/>
                <w:szCs w:val="20"/>
                <w:color w:val="auto"/>
              </w:rPr>
            </w:pPr>
            <w:r>
              <w:rPr>
                <w:rFonts w:ascii="Arial" w:cs="Arial" w:eastAsia="Arial" w:hAnsi="Arial"/>
                <w:sz w:val="18"/>
                <w:szCs w:val="18"/>
                <w:color w:val="auto"/>
              </w:rPr>
              <w:t>Increased Costs</w:t>
            </w:r>
          </w:p>
        </w:tc>
        <w:tc>
          <w:tcPr>
            <w:tcW w:w="6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3980" w:type="dxa"/>
            <w:vAlign w:val="bottom"/>
          </w:tcPr>
          <w:p>
            <w:pPr>
              <w:ind w:left="180"/>
              <w:spacing w:after="0"/>
              <w:rPr>
                <w:sz w:val="20"/>
                <w:szCs w:val="20"/>
                <w:color w:val="auto"/>
              </w:rPr>
            </w:pPr>
            <w:r>
              <w:rPr>
                <w:rFonts w:ascii="Arial" w:cs="Arial" w:eastAsia="Arial" w:hAnsi="Arial"/>
                <w:sz w:val="18"/>
                <w:szCs w:val="18"/>
                <w:color w:val="auto"/>
              </w:rPr>
              <w:t>Other indemnities</w:t>
            </w:r>
          </w:p>
        </w:tc>
        <w:tc>
          <w:tcPr>
            <w:tcW w:w="6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3980" w:type="dxa"/>
            <w:vAlign w:val="bottom"/>
          </w:tcPr>
          <w:p>
            <w:pPr>
              <w:ind w:left="180"/>
              <w:spacing w:after="0"/>
              <w:rPr>
                <w:sz w:val="20"/>
                <w:szCs w:val="20"/>
                <w:color w:val="auto"/>
              </w:rPr>
            </w:pPr>
            <w:r>
              <w:rPr>
                <w:rFonts w:ascii="Arial" w:cs="Arial" w:eastAsia="Arial" w:hAnsi="Arial"/>
                <w:sz w:val="18"/>
                <w:szCs w:val="18"/>
                <w:color w:val="auto"/>
              </w:rPr>
              <w:t>Mitigation by the Lenders</w:t>
            </w:r>
          </w:p>
        </w:tc>
        <w:tc>
          <w:tcPr>
            <w:tcW w:w="6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398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6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3980" w:type="dxa"/>
            <w:vAlign w:val="bottom"/>
          </w:tcPr>
          <w:p>
            <w:pPr>
              <w:ind w:left="180"/>
              <w:spacing w:after="0"/>
              <w:rPr>
                <w:sz w:val="20"/>
                <w:szCs w:val="20"/>
                <w:color w:val="auto"/>
              </w:rPr>
            </w:pPr>
            <w:r>
              <w:rPr>
                <w:rFonts w:ascii="Arial" w:cs="Arial" w:eastAsia="Arial" w:hAnsi="Arial"/>
                <w:sz w:val="18"/>
                <w:szCs w:val="18"/>
                <w:color w:val="auto"/>
              </w:rPr>
              <w:t>Guarantee and indemnity</w:t>
            </w:r>
          </w:p>
        </w:tc>
        <w:tc>
          <w:tcPr>
            <w:tcW w:w="6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3980" w:type="dxa"/>
            <w:vAlign w:val="bottom"/>
          </w:tcPr>
          <w:p>
            <w:pPr>
              <w:ind w:left="180"/>
              <w:spacing w:after="0"/>
              <w:rPr>
                <w:sz w:val="20"/>
                <w:szCs w:val="20"/>
                <w:color w:val="auto"/>
              </w:rPr>
            </w:pPr>
            <w:r>
              <w:rPr>
                <w:rFonts w:ascii="Arial" w:cs="Arial" w:eastAsia="Arial" w:hAnsi="Arial"/>
                <w:sz w:val="18"/>
                <w:szCs w:val="18"/>
                <w:color w:val="auto"/>
              </w:rPr>
              <w:t>Representations</w:t>
            </w:r>
          </w:p>
        </w:tc>
        <w:tc>
          <w:tcPr>
            <w:tcW w:w="6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19</w:t>
            </w:r>
          </w:p>
        </w:tc>
        <w:tc>
          <w:tcPr>
            <w:tcW w:w="3980" w:type="dxa"/>
            <w:vAlign w:val="bottom"/>
          </w:tcPr>
          <w:p>
            <w:pPr>
              <w:ind w:left="180"/>
              <w:spacing w:after="0"/>
              <w:rPr>
                <w:sz w:val="20"/>
                <w:szCs w:val="20"/>
                <w:color w:val="auto"/>
              </w:rPr>
            </w:pPr>
            <w:r>
              <w:rPr>
                <w:rFonts w:ascii="Arial" w:cs="Arial" w:eastAsia="Arial" w:hAnsi="Arial"/>
                <w:sz w:val="18"/>
                <w:szCs w:val="18"/>
                <w:color w:val="auto"/>
              </w:rPr>
              <w:t>Information undertakings</w:t>
            </w:r>
          </w:p>
        </w:tc>
        <w:tc>
          <w:tcPr>
            <w:tcW w:w="6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20</w:t>
            </w:r>
          </w:p>
        </w:tc>
        <w:tc>
          <w:tcPr>
            <w:tcW w:w="3980" w:type="dxa"/>
            <w:vAlign w:val="bottom"/>
          </w:tcPr>
          <w:p>
            <w:pPr>
              <w:ind w:left="180"/>
              <w:spacing w:after="0"/>
              <w:rPr>
                <w:sz w:val="20"/>
                <w:szCs w:val="20"/>
                <w:color w:val="auto"/>
              </w:rPr>
            </w:pPr>
            <w:r>
              <w:rPr>
                <w:rFonts w:ascii="Arial" w:cs="Arial" w:eastAsia="Arial" w:hAnsi="Arial"/>
                <w:sz w:val="18"/>
                <w:szCs w:val="18"/>
                <w:color w:val="auto"/>
              </w:rPr>
              <w:t>Financial covenants</w:t>
            </w:r>
          </w:p>
        </w:tc>
        <w:tc>
          <w:tcPr>
            <w:tcW w:w="6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3980" w:type="dxa"/>
            <w:vAlign w:val="bottom"/>
          </w:tcPr>
          <w:p>
            <w:pPr>
              <w:ind w:left="180"/>
              <w:spacing w:after="0"/>
              <w:rPr>
                <w:sz w:val="20"/>
                <w:szCs w:val="20"/>
                <w:color w:val="auto"/>
              </w:rPr>
            </w:pPr>
            <w:r>
              <w:rPr>
                <w:rFonts w:ascii="Arial" w:cs="Arial" w:eastAsia="Arial" w:hAnsi="Arial"/>
                <w:sz w:val="18"/>
                <w:szCs w:val="18"/>
                <w:color w:val="auto"/>
              </w:rPr>
              <w:t>General undertakings</w:t>
            </w:r>
          </w:p>
        </w:tc>
        <w:tc>
          <w:tcPr>
            <w:tcW w:w="6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3980" w:type="dxa"/>
            <w:vAlign w:val="bottom"/>
          </w:tcPr>
          <w:p>
            <w:pPr>
              <w:ind w:left="180"/>
              <w:spacing w:after="0"/>
              <w:rPr>
                <w:sz w:val="20"/>
                <w:szCs w:val="20"/>
                <w:color w:val="auto"/>
              </w:rPr>
            </w:pPr>
            <w:r>
              <w:rPr>
                <w:rFonts w:ascii="Arial" w:cs="Arial" w:eastAsia="Arial" w:hAnsi="Arial"/>
                <w:sz w:val="18"/>
                <w:szCs w:val="18"/>
                <w:color w:val="auto"/>
              </w:rPr>
              <w:t>Dealings with Ship</w:t>
            </w:r>
          </w:p>
        </w:tc>
        <w:tc>
          <w:tcPr>
            <w:tcW w:w="6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3980" w:type="dxa"/>
            <w:vAlign w:val="bottom"/>
          </w:tcPr>
          <w:p>
            <w:pPr>
              <w:ind w:left="180"/>
              <w:spacing w:after="0"/>
              <w:rPr>
                <w:sz w:val="20"/>
                <w:szCs w:val="20"/>
                <w:color w:val="auto"/>
              </w:rPr>
            </w:pPr>
            <w:r>
              <w:rPr>
                <w:rFonts w:ascii="Arial" w:cs="Arial" w:eastAsia="Arial" w:hAnsi="Arial"/>
                <w:sz w:val="18"/>
                <w:szCs w:val="18"/>
                <w:color w:val="auto"/>
              </w:rPr>
              <w:t>Condition and operation of Ship</w:t>
            </w:r>
          </w:p>
        </w:tc>
        <w:tc>
          <w:tcPr>
            <w:tcW w:w="6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398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6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3980" w:type="dxa"/>
            <w:vAlign w:val="bottom"/>
          </w:tcPr>
          <w:p>
            <w:pPr>
              <w:ind w:left="180"/>
              <w:spacing w:after="0"/>
              <w:rPr>
                <w:sz w:val="20"/>
                <w:szCs w:val="20"/>
                <w:color w:val="auto"/>
              </w:rPr>
            </w:pPr>
            <w:r>
              <w:rPr>
                <w:rFonts w:ascii="Arial" w:cs="Arial" w:eastAsia="Arial" w:hAnsi="Arial"/>
                <w:sz w:val="18"/>
                <w:szCs w:val="18"/>
                <w:color w:val="auto"/>
              </w:rPr>
              <w:t>Minimum security value</w:t>
            </w:r>
          </w:p>
        </w:tc>
        <w:tc>
          <w:tcPr>
            <w:tcW w:w="6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3980" w:type="dxa"/>
            <w:vAlign w:val="bottom"/>
          </w:tcPr>
          <w:p>
            <w:pPr>
              <w:ind w:left="180"/>
              <w:spacing w:after="0"/>
              <w:rPr>
                <w:sz w:val="20"/>
                <w:szCs w:val="20"/>
                <w:color w:val="auto"/>
              </w:rPr>
            </w:pPr>
            <w:r>
              <w:rPr>
                <w:rFonts w:ascii="Arial" w:cs="Arial" w:eastAsia="Arial" w:hAnsi="Arial"/>
                <w:sz w:val="18"/>
                <w:szCs w:val="18"/>
                <w:color w:val="auto"/>
              </w:rPr>
              <w:t>Chartering undertakings</w:t>
            </w:r>
          </w:p>
        </w:tc>
        <w:tc>
          <w:tcPr>
            <w:tcW w:w="69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3980" w:type="dxa"/>
            <w:vAlign w:val="bottom"/>
          </w:tcPr>
          <w:p>
            <w:pPr>
              <w:ind w:left="180"/>
              <w:spacing w:after="0"/>
              <w:rPr>
                <w:sz w:val="20"/>
                <w:szCs w:val="20"/>
                <w:color w:val="auto"/>
              </w:rPr>
            </w:pPr>
            <w:r>
              <w:rPr>
                <w:rFonts w:ascii="Arial" w:cs="Arial" w:eastAsia="Arial" w:hAnsi="Arial"/>
                <w:sz w:val="18"/>
                <w:szCs w:val="18"/>
                <w:color w:val="auto"/>
              </w:rPr>
              <w:t>Bank accounts</w:t>
            </w:r>
          </w:p>
        </w:tc>
        <w:tc>
          <w:tcPr>
            <w:tcW w:w="6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34"/>
        </w:trPr>
        <w:tc>
          <w:tcPr>
            <w:tcW w:w="40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3" w:right="2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8060" w:type="dxa"/>
            <w:vAlign w:val="bottom"/>
          </w:tcPr>
          <w:p>
            <w:pPr>
              <w:ind w:left="180"/>
              <w:spacing w:after="0"/>
              <w:rPr>
                <w:sz w:val="20"/>
                <w:szCs w:val="20"/>
                <w:color w:val="auto"/>
              </w:rPr>
            </w:pPr>
            <w:r>
              <w:rPr>
                <w:rFonts w:ascii="Arial" w:cs="Arial" w:eastAsia="Arial" w:hAnsi="Arial"/>
                <w:sz w:val="18"/>
                <w:szCs w:val="18"/>
                <w:color w:val="auto"/>
              </w:rPr>
              <w:t>Business restrictions</w:t>
            </w:r>
          </w:p>
        </w:tc>
        <w:tc>
          <w:tcPr>
            <w:tcW w:w="2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29</w:t>
            </w:r>
          </w:p>
        </w:tc>
        <w:tc>
          <w:tcPr>
            <w:tcW w:w="8060" w:type="dxa"/>
            <w:vAlign w:val="bottom"/>
          </w:tcPr>
          <w:p>
            <w:pPr>
              <w:ind w:left="180"/>
              <w:spacing w:after="0"/>
              <w:rPr>
                <w:sz w:val="20"/>
                <w:szCs w:val="20"/>
                <w:color w:val="auto"/>
              </w:rPr>
            </w:pPr>
            <w:r>
              <w:rPr>
                <w:rFonts w:ascii="Arial" w:cs="Arial" w:eastAsia="Arial" w:hAnsi="Arial"/>
                <w:sz w:val="18"/>
                <w:szCs w:val="18"/>
                <w:color w:val="auto"/>
              </w:rPr>
              <w:t>Hedging</w:t>
            </w:r>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30</w:t>
            </w:r>
          </w:p>
        </w:tc>
        <w:tc>
          <w:tcPr>
            <w:tcW w:w="806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8060" w:type="dxa"/>
            <w:vAlign w:val="bottom"/>
          </w:tcPr>
          <w:p>
            <w:pPr>
              <w:ind w:left="180"/>
              <w:spacing w:after="0"/>
              <w:rPr>
                <w:sz w:val="20"/>
                <w:szCs w:val="20"/>
                <w:color w:val="auto"/>
              </w:rPr>
            </w:pPr>
            <w:r>
              <w:rPr>
                <w:rFonts w:ascii="Arial" w:cs="Arial" w:eastAsia="Arial" w:hAnsi="Arial"/>
                <w:sz w:val="18"/>
                <w:szCs w:val="18"/>
                <w:color w:val="auto"/>
              </w:rPr>
              <w:t>Position of Hedging Provider</w:t>
            </w:r>
          </w:p>
        </w:tc>
        <w:tc>
          <w:tcPr>
            <w:tcW w:w="2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8060" w:type="dxa"/>
            <w:vAlign w:val="bottom"/>
          </w:tcPr>
          <w:p>
            <w:pPr>
              <w:ind w:left="180"/>
              <w:spacing w:after="0"/>
              <w:rPr>
                <w:sz w:val="20"/>
                <w:szCs w:val="20"/>
                <w:color w:val="auto"/>
              </w:rPr>
            </w:pPr>
            <w:r>
              <w:rPr>
                <w:rFonts w:ascii="Arial" w:cs="Arial" w:eastAsia="Arial" w:hAnsi="Arial"/>
                <w:sz w:val="18"/>
                <w:szCs w:val="18"/>
                <w:color w:val="auto"/>
              </w:rPr>
              <w:t>Changes to the Lenders</w:t>
            </w:r>
          </w:p>
        </w:tc>
        <w:tc>
          <w:tcPr>
            <w:tcW w:w="28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8060" w:type="dxa"/>
            <w:vAlign w:val="bottom"/>
          </w:tcPr>
          <w:p>
            <w:pPr>
              <w:ind w:left="180"/>
              <w:spacing w:after="0"/>
              <w:rPr>
                <w:sz w:val="20"/>
                <w:szCs w:val="20"/>
                <w:color w:val="auto"/>
              </w:rPr>
            </w:pPr>
            <w:r>
              <w:rPr>
                <w:rFonts w:ascii="Arial" w:cs="Arial" w:eastAsia="Arial" w:hAnsi="Arial"/>
                <w:sz w:val="18"/>
                <w:szCs w:val="18"/>
                <w:color w:val="auto"/>
              </w:rPr>
              <w:t>Changes to the Obligors/Restriction on Debt Purchase Transactions</w:t>
            </w:r>
          </w:p>
        </w:tc>
        <w:tc>
          <w:tcPr>
            <w:tcW w:w="28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8060" w:type="dxa"/>
            <w:vAlign w:val="bottom"/>
          </w:tcPr>
          <w:p>
            <w:pPr>
              <w:ind w:left="180"/>
              <w:spacing w:after="0"/>
              <w:rPr>
                <w:sz w:val="20"/>
                <w:szCs w:val="20"/>
                <w:color w:val="auto"/>
              </w:rPr>
            </w:pPr>
            <w:r>
              <w:rPr>
                <w:rFonts w:ascii="Arial" w:cs="Arial" w:eastAsia="Arial" w:hAnsi="Arial"/>
                <w:sz w:val="18"/>
                <w:szCs w:val="18"/>
                <w:color w:val="auto"/>
              </w:rPr>
              <w:t>Roles of Agent, Security Agent and Arrangers</w:t>
            </w:r>
          </w:p>
        </w:tc>
        <w:tc>
          <w:tcPr>
            <w:tcW w:w="28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8060" w:type="dxa"/>
            <w:vAlign w:val="bottom"/>
          </w:tcPr>
          <w:p>
            <w:pPr>
              <w:ind w:left="180"/>
              <w:spacing w:after="0"/>
              <w:rPr>
                <w:sz w:val="20"/>
                <w:szCs w:val="20"/>
                <w:color w:val="auto"/>
              </w:rPr>
            </w:pPr>
            <w:r>
              <w:rPr>
                <w:rFonts w:ascii="Arial" w:cs="Arial" w:eastAsia="Arial" w:hAnsi="Arial"/>
                <w:sz w:val="18"/>
                <w:szCs w:val="18"/>
                <w:color w:val="auto"/>
              </w:rPr>
              <w:t>Conduct of business by the Finance Parties</w:t>
            </w:r>
          </w:p>
        </w:tc>
        <w:tc>
          <w:tcPr>
            <w:tcW w:w="2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8060" w:type="dxa"/>
            <w:vAlign w:val="bottom"/>
          </w:tcPr>
          <w:p>
            <w:pPr>
              <w:ind w:left="180"/>
              <w:spacing w:after="0"/>
              <w:rPr>
                <w:sz w:val="20"/>
                <w:szCs w:val="20"/>
                <w:color w:val="auto"/>
              </w:rPr>
            </w:pPr>
            <w:r>
              <w:rPr>
                <w:rFonts w:ascii="Arial" w:cs="Arial" w:eastAsia="Arial" w:hAnsi="Arial"/>
                <w:sz w:val="18"/>
                <w:szCs w:val="18"/>
                <w:color w:val="auto"/>
              </w:rPr>
              <w:t>Sharing among the Finance Parties</w:t>
            </w:r>
          </w:p>
        </w:tc>
        <w:tc>
          <w:tcPr>
            <w:tcW w:w="28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8060" w:type="dxa"/>
            <w:vAlign w:val="bottom"/>
          </w:tcPr>
          <w:p>
            <w:pPr>
              <w:ind w:left="180"/>
              <w:spacing w:after="0"/>
              <w:rPr>
                <w:sz w:val="20"/>
                <w:szCs w:val="20"/>
                <w:color w:val="auto"/>
              </w:rPr>
            </w:pPr>
            <w:r>
              <w:rPr>
                <w:rFonts w:ascii="Arial" w:cs="Arial" w:eastAsia="Arial" w:hAnsi="Arial"/>
                <w:sz w:val="18"/>
                <w:szCs w:val="18"/>
                <w:color w:val="auto"/>
              </w:rPr>
              <w:t>Payment mechanics</w:t>
            </w:r>
          </w:p>
        </w:tc>
        <w:tc>
          <w:tcPr>
            <w:tcW w:w="28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8060" w:type="dxa"/>
            <w:vAlign w:val="bottom"/>
          </w:tcPr>
          <w:p>
            <w:pPr>
              <w:ind w:left="180"/>
              <w:spacing w:after="0"/>
              <w:rPr>
                <w:sz w:val="20"/>
                <w:szCs w:val="20"/>
                <w:color w:val="auto"/>
              </w:rPr>
            </w:pPr>
            <w:r>
              <w:rPr>
                <w:rFonts w:ascii="Arial" w:cs="Arial" w:eastAsia="Arial" w:hAnsi="Arial"/>
                <w:sz w:val="18"/>
                <w:szCs w:val="18"/>
                <w:color w:val="auto"/>
              </w:rPr>
              <w:t>Set-off</w:t>
            </w:r>
          </w:p>
        </w:tc>
        <w:tc>
          <w:tcPr>
            <w:tcW w:w="2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80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40</w:t>
            </w:r>
          </w:p>
        </w:tc>
        <w:tc>
          <w:tcPr>
            <w:tcW w:w="8060" w:type="dxa"/>
            <w:vAlign w:val="bottom"/>
          </w:tcPr>
          <w:p>
            <w:pPr>
              <w:ind w:left="180"/>
              <w:spacing w:after="0"/>
              <w:rPr>
                <w:sz w:val="20"/>
                <w:szCs w:val="20"/>
                <w:color w:val="auto"/>
              </w:rPr>
            </w:pPr>
            <w:r>
              <w:rPr>
                <w:rFonts w:ascii="Arial" w:cs="Arial" w:eastAsia="Arial" w:hAnsi="Arial"/>
                <w:sz w:val="18"/>
                <w:szCs w:val="18"/>
                <w:color w:val="auto"/>
              </w:rPr>
              <w:t>Calculations and certificates</w:t>
            </w:r>
          </w:p>
        </w:tc>
        <w:tc>
          <w:tcPr>
            <w:tcW w:w="28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8060" w:type="dxa"/>
            <w:vAlign w:val="bottom"/>
          </w:tcPr>
          <w:p>
            <w:pPr>
              <w:ind w:left="180"/>
              <w:spacing w:after="0"/>
              <w:rPr>
                <w:sz w:val="20"/>
                <w:szCs w:val="20"/>
                <w:color w:val="auto"/>
              </w:rPr>
            </w:pPr>
            <w:r>
              <w:rPr>
                <w:rFonts w:ascii="Arial" w:cs="Arial" w:eastAsia="Arial" w:hAnsi="Arial"/>
                <w:sz w:val="18"/>
                <w:szCs w:val="18"/>
                <w:color w:val="auto"/>
              </w:rPr>
              <w:t>Partial invalidity</w:t>
            </w:r>
          </w:p>
        </w:tc>
        <w:tc>
          <w:tcPr>
            <w:tcW w:w="28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8060" w:type="dxa"/>
            <w:vAlign w:val="bottom"/>
          </w:tcPr>
          <w:p>
            <w:pPr>
              <w:ind w:left="180"/>
              <w:spacing w:after="0"/>
              <w:rPr>
                <w:sz w:val="20"/>
                <w:szCs w:val="20"/>
                <w:color w:val="auto"/>
              </w:rPr>
            </w:pPr>
            <w:r>
              <w:rPr>
                <w:rFonts w:ascii="Arial" w:cs="Arial" w:eastAsia="Arial" w:hAnsi="Arial"/>
                <w:sz w:val="18"/>
                <w:szCs w:val="18"/>
                <w:color w:val="auto"/>
              </w:rPr>
              <w:t>Remedies and waivers</w:t>
            </w:r>
          </w:p>
        </w:tc>
        <w:tc>
          <w:tcPr>
            <w:tcW w:w="28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8060" w:type="dxa"/>
            <w:vAlign w:val="bottom"/>
          </w:tcPr>
          <w:p>
            <w:pPr>
              <w:ind w:left="180"/>
              <w:spacing w:after="0"/>
              <w:rPr>
                <w:sz w:val="20"/>
                <w:szCs w:val="20"/>
                <w:color w:val="auto"/>
              </w:rPr>
            </w:pPr>
            <w:r>
              <w:rPr>
                <w:rFonts w:ascii="Arial" w:cs="Arial" w:eastAsia="Arial" w:hAnsi="Arial"/>
                <w:sz w:val="18"/>
                <w:szCs w:val="18"/>
                <w:color w:val="auto"/>
              </w:rPr>
              <w:t>Amendments and grant of waivers</w:t>
            </w:r>
          </w:p>
        </w:tc>
        <w:tc>
          <w:tcPr>
            <w:tcW w:w="28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80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806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rPr>
              <w:t>46</w:t>
            </w:r>
          </w:p>
        </w:tc>
        <w:tc>
          <w:tcPr>
            <w:tcW w:w="806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47</w:t>
            </w:r>
          </w:p>
        </w:tc>
        <w:tc>
          <w:tcPr>
            <w:tcW w:w="8060" w:type="dxa"/>
            <w:vAlign w:val="bottom"/>
          </w:tcPr>
          <w:p>
            <w:pPr>
              <w:ind w:left="180"/>
              <w:spacing w:after="0"/>
              <w:rPr>
                <w:sz w:val="20"/>
                <w:szCs w:val="20"/>
                <w:color w:val="auto"/>
              </w:rPr>
            </w:pPr>
            <w:r>
              <w:rPr>
                <w:rFonts w:ascii="Arial" w:cs="Arial" w:eastAsia="Arial" w:hAnsi="Arial"/>
                <w:sz w:val="18"/>
                <w:szCs w:val="18"/>
                <w:color w:val="auto"/>
              </w:rPr>
              <w:t>Enforcement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28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419"/>
        </w:trPr>
        <w:tc>
          <w:tcPr>
            <w:tcW w:w="846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2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28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419"/>
        </w:trPr>
        <w:tc>
          <w:tcPr>
            <w:tcW w:w="8460" w:type="dxa"/>
            <w:vAlign w:val="bottom"/>
            <w:gridSpan w:val="2"/>
          </w:tcPr>
          <w:p>
            <w:pPr>
              <w:spacing w:after="0"/>
              <w:rPr>
                <w:sz w:val="20"/>
                <w:szCs w:val="20"/>
                <w:color w:val="auto"/>
              </w:rPr>
            </w:pPr>
            <w:r>
              <w:rPr>
                <w:rFonts w:ascii="Arial" w:cs="Arial" w:eastAsia="Arial" w:hAnsi="Arial"/>
                <w:sz w:val="18"/>
                <w:szCs w:val="18"/>
                <w:color w:val="auto"/>
              </w:rPr>
              <w:t>Schedule 5 Form of Compliance Certificate</w:t>
            </w:r>
          </w:p>
        </w:tc>
        <w:tc>
          <w:tcPr>
            <w:tcW w:w="28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color w:val="auto"/>
              </w:rPr>
              <w:t>Schedule 6 Form of Transfer Certificate</w:t>
            </w:r>
          </w:p>
        </w:tc>
        <w:tc>
          <w:tcPr>
            <w:tcW w:w="28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color w:val="auto"/>
              </w:rPr>
              <w:t>Schedule 7 Forms of Notifiable Debt Purchase Transaction Notice</w:t>
            </w:r>
          </w:p>
        </w:tc>
        <w:tc>
          <w:tcPr>
            <w:tcW w:w="28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18"/>
        </w:trPr>
        <w:tc>
          <w:tcPr>
            <w:tcW w:w="8460" w:type="dxa"/>
            <w:vAlign w:val="bottom"/>
            <w:gridSpan w:val="2"/>
          </w:tcPr>
          <w:p>
            <w:pPr>
              <w:spacing w:after="0"/>
              <w:rPr>
                <w:sz w:val="20"/>
                <w:szCs w:val="20"/>
                <w:color w:val="auto"/>
              </w:rPr>
            </w:pPr>
            <w:r>
              <w:rPr>
                <w:rFonts w:ascii="Arial" w:cs="Arial" w:eastAsia="Arial" w:hAnsi="Arial"/>
                <w:sz w:val="18"/>
                <w:szCs w:val="18"/>
                <w:color w:val="auto"/>
              </w:rPr>
              <w:t>Schedule 8 Repayment Schedule</w:t>
            </w:r>
          </w:p>
        </w:tc>
        <w:tc>
          <w:tcPr>
            <w:tcW w:w="28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334"/>
        </w:trPr>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5" w:right="2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16 July 2020, and made between:</w:t>
      </w:r>
    </w:p>
    <w:p>
      <w:pPr>
        <w:spacing w:after="0" w:line="198" w:lineRule="exact"/>
        <w:rPr>
          <w:sz w:val="20"/>
          <w:szCs w:val="20"/>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borrowers (the</w:t>
      </w:r>
      <w:r>
        <w:rPr>
          <w:rFonts w:ascii="Arial" w:cs="Arial" w:eastAsia="Arial" w:hAnsi="Arial"/>
          <w:sz w:val="18"/>
          <w:szCs w:val="18"/>
          <w:b w:val="1"/>
          <w:bCs w:val="1"/>
          <w:color w:val="auto"/>
        </w:rPr>
        <w:t xml:space="preserve"> Borrowers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LP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HOLDINGS LLC </w:t>
      </w:r>
      <w:r>
        <w:rPr>
          <w:rFonts w:ascii="Arial" w:cs="Arial" w:eastAsia="Arial" w:hAnsi="Arial"/>
          <w:sz w:val="18"/>
          <w:szCs w:val="18"/>
          <w:color w:val="auto"/>
        </w:rPr>
        <w:t>(</w:t>
      </w:r>
      <w:r>
        <w:rPr>
          <w:rFonts w:ascii="Arial" w:cs="Arial" w:eastAsia="Arial" w:hAnsi="Arial"/>
          <w:sz w:val="18"/>
          <w:szCs w:val="18"/>
          <w:b w:val="1"/>
          <w:bCs w:val="1"/>
          <w:color w:val="auto"/>
        </w:rPr>
        <w:t>GasLog Holdings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GASLOG LTD. </w:t>
      </w:r>
      <w:r>
        <w:rPr>
          <w:rFonts w:ascii="Arial" w:cs="Arial" w:eastAsia="Arial" w:hAnsi="Arial"/>
          <w:sz w:val="18"/>
          <w:szCs w:val="18"/>
          <w:color w:val="auto"/>
        </w:rPr>
        <w:t>(</w:t>
      </w:r>
      <w:r>
        <w:rPr>
          <w:rFonts w:ascii="Arial" w:cs="Arial" w:eastAsia="Arial" w:hAnsi="Arial"/>
          <w:sz w:val="18"/>
          <w:szCs w:val="18"/>
          <w:b w:val="1"/>
          <w:bCs w:val="1"/>
          <w:color w:val="auto"/>
        </w:rPr>
        <w:t>GasLog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GASLOG CARRIERS LTD. </w:t>
      </w:r>
      <w:r>
        <w:rPr>
          <w:rFonts w:ascii="Arial" w:cs="Arial" w:eastAsia="Arial" w:hAnsi="Arial"/>
          <w:sz w:val="18"/>
          <w:szCs w:val="18"/>
          <w:color w:val="auto"/>
        </w:rPr>
        <w:t>(</w:t>
      </w:r>
      <w:r>
        <w:rPr>
          <w:rFonts w:ascii="Arial" w:cs="Arial" w:eastAsia="Arial" w:hAnsi="Arial"/>
          <w:sz w:val="18"/>
          <w:szCs w:val="18"/>
          <w:b w:val="1"/>
          <w:bCs w:val="1"/>
          <w:color w:val="auto"/>
        </w:rPr>
        <w:t>GasLog Carriers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780" w:hanging="517"/>
        <w:spacing w:after="0" w:line="271" w:lineRule="auto"/>
        <w:tabs>
          <w:tab w:leader="none" w:pos="813"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DNB (UK) LTD. </w:t>
      </w:r>
      <w:r>
        <w:rPr>
          <w:rFonts w:ascii="Arial" w:cs="Arial" w:eastAsia="Arial" w:hAnsi="Arial"/>
          <w:sz w:val="18"/>
          <w:szCs w:val="18"/>
          <w:color w:val="auto"/>
        </w:rPr>
        <w:t>and</w:t>
      </w:r>
      <w:r>
        <w:rPr>
          <w:rFonts w:ascii="Arial" w:cs="Arial" w:eastAsia="Arial" w:hAnsi="Arial"/>
          <w:sz w:val="18"/>
          <w:szCs w:val="18"/>
          <w:b w:val="1"/>
          <w:bCs w:val="1"/>
          <w:color w:val="auto"/>
        </w:rPr>
        <w:t xml:space="preserve"> ING BANK N.V., LONDON BRANCH </w:t>
      </w:r>
      <w:r>
        <w:rPr>
          <w:rFonts w:ascii="Arial" w:cs="Arial" w:eastAsia="Arial" w:hAnsi="Arial"/>
          <w:sz w:val="18"/>
          <w:szCs w:val="18"/>
          <w:color w:val="auto"/>
        </w:rPr>
        <w:t>as mandated lead arrangers (whether acting individually or together, the</w:t>
      </w:r>
      <w:r>
        <w:rPr>
          <w:rFonts w:ascii="Arial" w:cs="Arial" w:eastAsia="Arial" w:hAnsi="Arial"/>
          <w:sz w:val="18"/>
          <w:szCs w:val="18"/>
          <w:b w:val="1"/>
          <w:bCs w:val="1"/>
          <w:color w:val="auto"/>
        </w:rPr>
        <w:t xml:space="preserve"> Arrangers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780" w:hanging="517"/>
        <w:spacing w:after="0" w:line="271" w:lineRule="auto"/>
        <w:tabs>
          <w:tab w:leader="none" w:pos="1407"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DNB (UK) LTD. </w:t>
      </w:r>
      <w:r>
        <w:rPr>
          <w:rFonts w:ascii="Arial" w:cs="Arial" w:eastAsia="Arial" w:hAnsi="Arial"/>
          <w:sz w:val="18"/>
          <w:szCs w:val="18"/>
          <w:color w:val="auto"/>
        </w:rPr>
        <w:t>and</w:t>
      </w:r>
      <w:r>
        <w:rPr>
          <w:rFonts w:ascii="Arial" w:cs="Arial" w:eastAsia="Arial" w:hAnsi="Arial"/>
          <w:sz w:val="18"/>
          <w:szCs w:val="18"/>
          <w:b w:val="1"/>
          <w:bCs w:val="1"/>
          <w:color w:val="auto"/>
        </w:rPr>
        <w:t xml:space="preserve"> ING BANK N.V., LONDON BRANCH </w:t>
      </w:r>
      <w:r>
        <w:rPr>
          <w:rFonts w:ascii="Arial" w:cs="Arial" w:eastAsia="Arial" w:hAnsi="Arial"/>
          <w:sz w:val="18"/>
          <w:szCs w:val="18"/>
          <w:color w:val="auto"/>
        </w:rPr>
        <w:t>as bookrunners (whether acting individually or together, the</w:t>
      </w:r>
      <w:r>
        <w:rPr>
          <w:rFonts w:ascii="Arial" w:cs="Arial" w:eastAsia="Arial" w:hAnsi="Arial"/>
          <w:sz w:val="18"/>
          <w:szCs w:val="18"/>
          <w:b w:val="1"/>
          <w:bCs w:val="1"/>
          <w:color w:val="auto"/>
        </w:rPr>
        <w:t xml:space="preserve"> Bookrunner</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ING BANK N.V., LONDON BRANCH </w:t>
      </w:r>
      <w:r>
        <w:rPr>
          <w:rFonts w:ascii="Arial" w:cs="Arial" w:eastAsia="Arial" w:hAnsi="Arial"/>
          <w:sz w:val="18"/>
          <w:szCs w:val="18"/>
          <w:color w:val="auto"/>
        </w:rPr>
        <w:t>as structuring and documentation bank (the</w:t>
      </w:r>
      <w:r>
        <w:rPr>
          <w:rFonts w:ascii="Arial" w:cs="Arial" w:eastAsia="Arial" w:hAnsi="Arial"/>
          <w:sz w:val="18"/>
          <w:szCs w:val="18"/>
          <w:b w:val="1"/>
          <w:bCs w:val="1"/>
          <w:color w:val="auto"/>
        </w:rPr>
        <w:t xml:space="preserve"> Structuring and Documentation Bank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Account Bank;</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(the</w:t>
      </w:r>
      <w:r>
        <w:rPr>
          <w:rFonts w:ascii="Arial" w:cs="Arial" w:eastAsia="Arial" w:hAnsi="Arial"/>
          <w:sz w:val="18"/>
          <w:szCs w:val="18"/>
          <w:b w:val="1"/>
          <w:bCs w:val="1"/>
          <w:color w:val="auto"/>
        </w:rPr>
        <w:t xml:space="preserve"> Hedging Providers</w:t>
      </w:r>
      <w:r>
        <w:rPr>
          <w:rFonts w:ascii="Arial" w:cs="Arial" w:eastAsia="Arial" w:hAnsi="Arial"/>
          <w:sz w:val="18"/>
          <w:szCs w:val="18"/>
          <w:color w:val="auto"/>
        </w:rPr>
        <w:t>) as hedging providers;</w:t>
      </w:r>
    </w:p>
    <w:p>
      <w:pPr>
        <w:spacing w:after="0" w:line="198" w:lineRule="exact"/>
        <w:rPr>
          <w:rFonts w:ascii="Arial" w:cs="Arial" w:eastAsia="Arial" w:hAnsi="Arial"/>
          <w:sz w:val="18"/>
          <w:szCs w:val="18"/>
          <w:color w:val="auto"/>
        </w:rPr>
      </w:pPr>
    </w:p>
    <w:p>
      <w:pPr>
        <w:ind w:left="800" w:hanging="537"/>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780" w:right="20" w:hanging="517"/>
        <w:spacing w:after="0" w:line="271" w:lineRule="auto"/>
        <w:tabs>
          <w:tab w:leader="none" w:pos="886"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security agent and trustee for and on behalf of the other Finance Parties (the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88" w:lineRule="exact"/>
        <w:rPr>
          <w:sz w:val="20"/>
          <w:szCs w:val="20"/>
          <w:color w:val="auto"/>
        </w:rPr>
      </w:pPr>
    </w:p>
    <w:p>
      <w:pPr>
        <w:ind w:left="520" w:hanging="370"/>
        <w:spacing w:after="0"/>
        <w:tabs>
          <w:tab w:leader="none" w:pos="520" w:val="left"/>
        </w:tabs>
        <w:numPr>
          <w:ilvl w:val="0"/>
          <w:numId w:val="43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Definitions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20" w:lineRule="exact"/>
        <w:rPr>
          <w:sz w:val="20"/>
          <w:szCs w:val="20"/>
          <w:color w:val="auto"/>
        </w:rPr>
      </w:pPr>
    </w:p>
    <w:p>
      <w:pPr>
        <w:jc w:val="both"/>
        <w:ind w:left="1020" w:hanging="502"/>
        <w:spacing w:after="0"/>
        <w:tabs>
          <w:tab w:leader="none" w:pos="109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non-credit enhanced debt obligations of “A-” or higher by Standard &amp; Poor’s Rating Services or Fitch Ratings Ltd or “Baa1” or higher by Moody’s Investor Services Limited or a comparable rating from another internationally recognised credit rating agency; or</w:t>
      </w:r>
    </w:p>
    <w:p>
      <w:pPr>
        <w:spacing w:after="0" w:line="189" w:lineRule="exact"/>
        <w:rPr>
          <w:rFonts w:ascii="Arial" w:cs="Arial" w:eastAsia="Arial" w:hAnsi="Arial"/>
          <w:sz w:val="18"/>
          <w:szCs w:val="18"/>
          <w:color w:val="auto"/>
        </w:rPr>
      </w:pPr>
    </w:p>
    <w:p>
      <w:pPr>
        <w:ind w:left="1040" w:hanging="522"/>
        <w:spacing w:after="0"/>
        <w:tabs>
          <w:tab w:leader="none" w:pos="10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which is approved by the Borrowers.</w:t>
      </w:r>
    </w:p>
    <w:p>
      <w:pPr>
        <w:spacing w:after="0" w:line="176" w:lineRule="exact"/>
        <w:rPr>
          <w:sz w:val="20"/>
          <w:szCs w:val="20"/>
          <w:color w:val="auto"/>
        </w:rPr>
      </w:pPr>
    </w:p>
    <w:p>
      <w:pPr>
        <w:ind w:left="520" w:right="20"/>
        <w:spacing w:after="0" w:line="271" w:lineRule="auto"/>
        <w:rPr>
          <w:sz w:val="20"/>
          <w:szCs w:val="20"/>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means any bank account, deposit or certificate of deposit opened, made or established in accordance with clause 27 (</w:t>
      </w:r>
      <w:r>
        <w:rPr>
          <w:rFonts w:ascii="Arial" w:cs="Arial" w:eastAsia="Arial" w:hAnsi="Arial"/>
          <w:sz w:val="18"/>
          <w:szCs w:val="18"/>
          <w:i w:val="1"/>
          <w:iCs w:val="1"/>
          <w:color w:val="auto"/>
        </w:rPr>
        <w:t>Bank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4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DNB Bank ASA, London Branch, acting through its office at 8</w:t>
      </w:r>
      <w:r>
        <w:rPr>
          <w:rFonts w:ascii="Arial" w:cs="Arial" w:eastAsia="Arial" w:hAnsi="Arial"/>
          <w:sz w:val="18"/>
          <w:szCs w:val="18"/>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The Walbrook</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25 Walbrook, London EC4N 8AF (or any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its Affiliates) or another bank or financial institution approved by the Majority Lenders at the request of the Borrowers.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Security Agent and/or any other Finance Parties in an agreed form conferring a Security Interest over that 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Active Guarantor </w:t>
      </w:r>
      <w:r>
        <w:rPr>
          <w:rFonts w:ascii="Arial" w:cs="Arial" w:eastAsia="Arial" w:hAnsi="Arial"/>
          <w:sz w:val="18"/>
          <w:szCs w:val="18"/>
          <w:color w:val="auto"/>
        </w:rPr>
        <w:t>means, at any relevant time, a Guarantor who is at that time liable under the Guarantee for amounts owing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in relation to, at least one Advance (having regard for that purpose to the provisions of clauses 17.11 (</w:t>
      </w:r>
      <w:r>
        <w:rPr>
          <w:rFonts w:ascii="Arial" w:cs="Arial" w:eastAsia="Arial" w:hAnsi="Arial"/>
          <w:sz w:val="18"/>
          <w:szCs w:val="18"/>
          <w:i w:val="1"/>
          <w:iCs w:val="1"/>
          <w:color w:val="auto"/>
        </w:rPr>
        <w:t>Limited recourse</w:t>
      </w:r>
      <w:r>
        <w:rPr>
          <w:rFonts w:ascii="Arial" w:cs="Arial" w:eastAsia="Arial" w:hAnsi="Arial"/>
          <w:sz w:val="18"/>
          <w:szCs w:val="18"/>
          <w:color w:val="auto"/>
        </w:rPr>
        <w:t>) and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Advance A </w:t>
      </w:r>
      <w:r>
        <w:rPr>
          <w:rFonts w:ascii="Arial" w:cs="Arial" w:eastAsia="Arial" w:hAnsi="Arial"/>
          <w:sz w:val="18"/>
          <w:szCs w:val="18"/>
          <w:color w:val="auto"/>
        </w:rPr>
        <w:t>means an advance of the Total Commitments in respect of Ship A up to the lesser of (a) $112,000,000 and (b) 67.5 per</w:t>
      </w:r>
      <w:r>
        <w:rPr>
          <w:rFonts w:ascii="Arial" w:cs="Arial" w:eastAsia="Arial" w:hAnsi="Arial"/>
          <w:sz w:val="18"/>
          <w:szCs w:val="18"/>
          <w:b w:val="1"/>
          <w:bCs w:val="1"/>
          <w:color w:val="auto"/>
        </w:rPr>
        <w:t xml:space="preserve"> </w:t>
      </w:r>
      <w:r>
        <w:rPr>
          <w:rFonts w:ascii="Arial" w:cs="Arial" w:eastAsia="Arial" w:hAnsi="Arial"/>
          <w:sz w:val="18"/>
          <w:szCs w:val="18"/>
          <w:color w:val="auto"/>
        </w:rPr>
        <w:t>cent of the market value of Ship A, as determined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Advance B </w:t>
      </w:r>
      <w:r>
        <w:rPr>
          <w:rFonts w:ascii="Arial" w:cs="Arial" w:eastAsia="Arial" w:hAnsi="Arial"/>
          <w:sz w:val="18"/>
          <w:szCs w:val="18"/>
          <w:color w:val="auto"/>
        </w:rPr>
        <w:t>means an advance of the Total Commitments in respect of Ship B up to the lesser of (a) $44,000,000 and (b) 55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market value of Ship B, as determined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Advance C </w:t>
      </w:r>
      <w:r>
        <w:rPr>
          <w:rFonts w:ascii="Arial" w:cs="Arial" w:eastAsia="Arial" w:hAnsi="Arial"/>
          <w:sz w:val="18"/>
          <w:szCs w:val="18"/>
          <w:color w:val="auto"/>
        </w:rPr>
        <w:t>means an advance of the Total Commitments in respect of Ship C up to the lesser of (a) $44,000,000 and (b) 55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market value of Ship C, as determined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Advances </w:t>
      </w:r>
      <w:r>
        <w:rPr>
          <w:rFonts w:ascii="Arial" w:cs="Arial" w:eastAsia="Arial" w:hAnsi="Arial"/>
          <w:sz w:val="18"/>
          <w:szCs w:val="18"/>
          <w:color w:val="auto"/>
        </w:rPr>
        <w:t>means Advance A, Advance B and Advance C and</w:t>
      </w:r>
      <w:r>
        <w:rPr>
          <w:rFonts w:ascii="Arial" w:cs="Arial" w:eastAsia="Arial" w:hAnsi="Arial"/>
          <w:sz w:val="18"/>
          <w:szCs w:val="18"/>
          <w:b w:val="1"/>
          <w:bCs w:val="1"/>
          <w:color w:val="auto"/>
        </w:rPr>
        <w:t xml:space="preserve"> Advance </w:t>
      </w:r>
      <w:r>
        <w:rPr>
          <w:rFonts w:ascii="Arial" w:cs="Arial" w:eastAsia="Arial" w:hAnsi="Arial"/>
          <w:sz w:val="18"/>
          <w:szCs w:val="18"/>
          <w:color w:val="auto"/>
        </w:rPr>
        <w:t>means any of them.</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Holding Company.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34.12 (</w:t>
      </w:r>
      <w:r>
        <w:rPr>
          <w:rFonts w:ascii="Arial" w:cs="Arial" w:eastAsia="Arial" w:hAnsi="Arial"/>
          <w:sz w:val="18"/>
          <w:szCs w:val="18"/>
          <w:i w:val="1"/>
          <w:iCs w:val="1"/>
          <w:color w:val="auto"/>
        </w:rPr>
        <w:t>Resignation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or any other provision of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Clarksons, Braemar Seascope Ltd, Fearnleys AS, Simpson, Spence &amp; Young Ltd, Affinity LNG</w:t>
      </w:r>
      <w:r>
        <w:rPr>
          <w:rFonts w:ascii="Arial" w:cs="Arial" w:eastAsia="Arial" w:hAnsi="Arial"/>
          <w:sz w:val="18"/>
          <w:szCs w:val="18"/>
          <w:b w:val="1"/>
          <w:bCs w:val="1"/>
          <w:color w:val="auto"/>
        </w:rPr>
        <w:t xml:space="preserve"> </w:t>
      </w:r>
      <w:r>
        <w:rPr>
          <w:rFonts w:ascii="Arial" w:cs="Arial" w:eastAsia="Arial" w:hAnsi="Arial"/>
          <w:sz w:val="18"/>
          <w:szCs w:val="18"/>
          <w:color w:val="auto"/>
        </w:rPr>
        <w:t>LLP and Poten &amp; Partners or any other independent firm of shipbrokers agreed in writing from time to time between the Borrowers and the Agent (acting on the instructions of the Majority Lenders), unless any such person is a or becomes a Prohibited Person or otherwise is in breach of Sanctions.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national stock exchange acceptable to the Majority Lenders.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Cyprus, Hellenic Republic, Hong Kong, Malta, Marshall Islands, Singapore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Kingdom.</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Auditors </w:t>
      </w:r>
      <w:r>
        <w:rPr>
          <w:rFonts w:ascii="Arial" w:cs="Arial" w:eastAsia="Arial" w:hAnsi="Arial"/>
          <w:sz w:val="18"/>
          <w:szCs w:val="18"/>
          <w:color w:val="auto"/>
        </w:rPr>
        <w:t>means one of PricewaterhouseCoopers, Ernst &amp; Young, KPMG or Deloitte &amp; Touche or another firm proposed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and 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64135</wp:posOffset>
            </wp:positionV>
            <wp:extent cx="71532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0"/>
          </w:cols>
          <w:pgMar w:left="840" w:top="341" w:right="339" w:bottom="1440" w:gutter="0" w:footer="0" w:header="0"/>
        </w:sectPr>
      </w:pPr>
    </w:p>
    <w:bookmarkStart w:id="177" w:name="page178"/>
    <w:bookmarkEnd w:id="177"/>
    <w:p>
      <w:pPr>
        <w:jc w:val="both"/>
        <w:ind w:left="20"/>
        <w:spacing w:after="0" w:line="253" w:lineRule="auto"/>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at any relevant time, such part of the Total Commitments (drawn and undrawn) which is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under 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Commitments is not cancelled or reduced under this Agreement.</w:t>
      </w:r>
    </w:p>
    <w:p>
      <w:pPr>
        <w:spacing w:after="0" w:line="15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by the Basel Committee on Banking Supervision in June 2004 as updated prior to, and in the form existing on, the date of this Agreement, excluding any amendment thereto arising out of the Basel III Accord or Reformed Basel III.</w:t>
      </w:r>
    </w:p>
    <w:p>
      <w:pPr>
        <w:spacing w:after="0" w:line="15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(each as defined in the Basel II Regulations applicable to such Finance Party) adopted by that Finance Party (or any of its Affiliates) for the purposes of implementing or complying with the Basel II Accord.</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20" w:lineRule="exact"/>
        <w:rPr>
          <w:sz w:val="20"/>
          <w:szCs w:val="20"/>
          <w:color w:val="auto"/>
        </w:rPr>
      </w:pPr>
    </w:p>
    <w:p>
      <w:pPr>
        <w:jc w:val="both"/>
        <w:ind w:left="520" w:hanging="502"/>
        <w:spacing w:after="0"/>
        <w:tabs>
          <w:tab w:leader="none" w:pos="63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189" w:lineRule="exact"/>
        <w:rPr>
          <w:rFonts w:ascii="Arial" w:cs="Arial" w:eastAsia="Arial" w:hAnsi="Arial"/>
          <w:sz w:val="18"/>
          <w:szCs w:val="18"/>
          <w:color w:val="auto"/>
        </w:rPr>
      </w:pPr>
    </w:p>
    <w:p>
      <w:pPr>
        <w:ind w:left="540" w:hanging="522"/>
        <w:spacing w:after="0"/>
        <w:tabs>
          <w:tab w:leader="none" w:pos="5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20" w:lineRule="exact"/>
        <w:rPr>
          <w:sz w:val="20"/>
          <w:szCs w:val="20"/>
          <w:color w:val="auto"/>
        </w:rPr>
      </w:pPr>
    </w:p>
    <w:p>
      <w:pPr>
        <w:jc w:val="both"/>
        <w:ind w:left="520" w:hanging="512"/>
        <w:spacing w:after="0" w:line="238" w:lineRule="auto"/>
        <w:tabs>
          <w:tab w:leader="none" w:pos="800" w:val="left"/>
        </w:tabs>
        <w:numPr>
          <w:ilvl w:val="0"/>
          <w:numId w:val="442"/>
        </w:numPr>
        <w:rPr>
          <w:rFonts w:ascii="Arial" w:cs="Arial" w:eastAsia="Arial" w:hAnsi="Arial"/>
          <w:sz w:val="18"/>
          <w:szCs w:val="18"/>
          <w:i w:val="1"/>
          <w:iCs w:val="1"/>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on or before the date of this Agreement;</w:t>
      </w:r>
    </w:p>
    <w:p>
      <w:pPr>
        <w:spacing w:after="0" w:line="188" w:lineRule="exact"/>
        <w:rPr>
          <w:rFonts w:ascii="Arial" w:cs="Arial" w:eastAsia="Arial" w:hAnsi="Arial"/>
          <w:sz w:val="18"/>
          <w:szCs w:val="18"/>
          <w:i w:val="1"/>
          <w:iCs w:val="1"/>
          <w:color w:val="auto"/>
        </w:rPr>
      </w:pPr>
    </w:p>
    <w:p>
      <w:pPr>
        <w:jc w:val="both"/>
        <w:ind w:left="520" w:hanging="512"/>
        <w:spacing w:after="0"/>
        <w:tabs>
          <w:tab w:leader="none" w:pos="679" w:val="left"/>
        </w:tabs>
        <w:numPr>
          <w:ilvl w:val="0"/>
          <w:numId w:val="442"/>
        </w:numPr>
        <w:rPr>
          <w:rFonts w:ascii="Arial" w:cs="Arial" w:eastAsia="Arial" w:hAnsi="Arial"/>
          <w:sz w:val="18"/>
          <w:szCs w:val="18"/>
          <w:i w:val="1"/>
          <w:iCs w:val="1"/>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on or before the date of this Agreement; and</w:t>
      </w:r>
    </w:p>
    <w:p>
      <w:pPr>
        <w:spacing w:after="0" w:line="189" w:lineRule="exact"/>
        <w:rPr>
          <w:rFonts w:ascii="Arial" w:cs="Arial" w:eastAsia="Arial" w:hAnsi="Arial"/>
          <w:sz w:val="18"/>
          <w:szCs w:val="18"/>
          <w:i w:val="1"/>
          <w:iCs w:val="1"/>
          <w:color w:val="auto"/>
        </w:rPr>
      </w:pPr>
    </w:p>
    <w:p>
      <w:pPr>
        <w:ind w:left="520" w:hanging="512"/>
        <w:spacing w:after="0" w:line="246" w:lineRule="auto"/>
        <w:tabs>
          <w:tab w:leader="none" w:pos="614" w:val="left"/>
        </w:tabs>
        <w:numPr>
          <w:ilvl w:val="0"/>
          <w:numId w:val="442"/>
        </w:numPr>
        <w:rPr>
          <w:rFonts w:ascii="Arial" w:cs="Arial" w:eastAsia="Arial" w:hAnsi="Arial"/>
          <w:sz w:val="18"/>
          <w:szCs w:val="18"/>
          <w:i w:val="1"/>
          <w:iCs w:val="1"/>
          <w:color w:val="auto"/>
        </w:rPr>
      </w:pPr>
      <w:r>
        <w:rPr>
          <w:rFonts w:ascii="Arial" w:cs="Arial" w:eastAsia="Arial" w:hAnsi="Arial"/>
          <w:sz w:val="18"/>
          <w:szCs w:val="18"/>
          <w:color w:val="auto"/>
        </w:rPr>
        <w:t>any further guidance or standards published by the Basel Committee on Banking Supervision relating to “Basel III on or before the date of this Agreement”.</w:t>
      </w:r>
    </w:p>
    <w:p>
      <w:pPr>
        <w:spacing w:after="0" w:line="16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Basel III Increased Cost </w:t>
      </w:r>
      <w:r>
        <w:rPr>
          <w:rFonts w:ascii="Arial" w:cs="Arial" w:eastAsia="Arial" w:hAnsi="Arial"/>
          <w:sz w:val="18"/>
          <w:szCs w:val="18"/>
          <w:color w:val="auto"/>
        </w:rPr>
        <w:t>means an Increased Cost which is attributable to the implementation or application of or compliance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Basel III Regulation (whether such implementation, application or compliance is by a government, regulator, Finance Party or any of its Affiliates).</w:t>
      </w:r>
    </w:p>
    <w:p>
      <w:pPr>
        <w:spacing w:after="0" w:line="15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Basel III Regulation </w:t>
      </w:r>
      <w:r>
        <w:rPr>
          <w:rFonts w:ascii="Arial" w:cs="Arial" w:eastAsia="Arial" w:hAnsi="Arial"/>
          <w:sz w:val="18"/>
          <w:szCs w:val="18"/>
          <w:color w:val="auto"/>
        </w:rPr>
        <w:t>means any law or regulation implementing the Basel III Accord (including the relevant provisions of CRD IV and</w:t>
      </w:r>
      <w:r>
        <w:rPr>
          <w:rFonts w:ascii="Arial" w:cs="Arial" w:eastAsia="Arial" w:hAnsi="Arial"/>
          <w:sz w:val="18"/>
          <w:szCs w:val="18"/>
          <w:b w:val="1"/>
          <w:bCs w:val="1"/>
          <w:color w:val="auto"/>
        </w:rPr>
        <w:t xml:space="preserve"> </w:t>
      </w:r>
      <w:r>
        <w:rPr>
          <w:rFonts w:ascii="Arial" w:cs="Arial" w:eastAsia="Arial" w:hAnsi="Arial"/>
          <w:sz w:val="18"/>
          <w:szCs w:val="18"/>
          <w:color w:val="auto"/>
        </w:rPr>
        <w:t>CRR) save to the extent that such law or regulation re-enacts a Basel II Regulation and excluding any such law or regulation which implements Reformed Basel III.</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0" w:lineRule="exact"/>
        <w:rPr>
          <w:sz w:val="20"/>
          <w:szCs w:val="20"/>
          <w:color w:val="auto"/>
        </w:rPr>
      </w:pPr>
    </w:p>
    <w:p>
      <w:pPr>
        <w:jc w:val="both"/>
        <w:ind w:left="520" w:hanging="512"/>
        <w:spacing w:after="0"/>
        <w:tabs>
          <w:tab w:leader="none" w:pos="58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exceeds:</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78" w:name="page179"/>
    <w:bookmarkEnd w:id="178"/>
    <w:p>
      <w:pPr>
        <w:jc w:val="both"/>
        <w:ind w:left="520" w:hanging="512"/>
        <w:spacing w:after="0"/>
        <w:tabs>
          <w:tab w:leader="none" w:pos="81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6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 Athens and</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any date for payment or purchase of dollars) New York.</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20" w:lineRule="exact"/>
        <w:rPr>
          <w:sz w:val="20"/>
          <w:szCs w:val="20"/>
          <w:color w:val="auto"/>
        </w:rPr>
      </w:pPr>
    </w:p>
    <w:p>
      <w:pPr>
        <w:jc w:val="both"/>
        <w:ind w:left="520" w:hanging="512"/>
        <w:spacing w:after="0"/>
        <w:tabs>
          <w:tab w:leader="none" w:pos="63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person or persons, acting in concert (other than the Permitted Holders or any of them) have or acquire the right or the ability to control, either directly or indirectly, the affairs or composition of the majority of the board of directors (or equivalent) of GasLog;</w:t>
      </w:r>
    </w:p>
    <w:p>
      <w:pPr>
        <w:spacing w:after="0" w:line="189" w:lineRule="exact"/>
        <w:rPr>
          <w:rFonts w:ascii="Arial" w:cs="Arial" w:eastAsia="Arial" w:hAnsi="Arial"/>
          <w:sz w:val="18"/>
          <w:szCs w:val="18"/>
          <w:color w:val="auto"/>
        </w:rPr>
      </w:pPr>
    </w:p>
    <w:p>
      <w:pPr>
        <w:ind w:left="520" w:hanging="512"/>
        <w:spacing w:after="0" w:line="246" w:lineRule="auto"/>
        <w:tabs>
          <w:tab w:leader="none" w:pos="65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GasLog ceases to control, directly or indirectly, the affairs or the composition of the board of directors (or equivalent) of any of the Parent, GasLog Holdings or the Holding Company of any of the Borrowers;</w:t>
      </w:r>
    </w:p>
    <w:p>
      <w:pPr>
        <w:spacing w:after="0" w:line="183" w:lineRule="exact"/>
        <w:rPr>
          <w:rFonts w:ascii="Arial" w:cs="Arial" w:eastAsia="Arial" w:hAnsi="Arial"/>
          <w:sz w:val="18"/>
          <w:szCs w:val="18"/>
          <w:color w:val="auto"/>
        </w:rPr>
      </w:pPr>
    </w:p>
    <w:p>
      <w:pPr>
        <w:jc w:val="both"/>
        <w:ind w:left="520" w:hanging="512"/>
        <w:spacing w:after="0" w:line="238" w:lineRule="auto"/>
        <w:tabs>
          <w:tab w:leader="none" w:pos="81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GasLog Holdings ceases to control, directly or indirectly, any Borrower unless (following a Reverse Dropdown relating to a Borrower and provided no Dropdown has occurred relating to the same Borrower) all of the issued and outstanding shares (including the voting shares) of such Borrower are legally and beneficially (directly or indirectly through GasLog Carriers) owned by GasLog;</w:t>
      </w:r>
    </w:p>
    <w:p>
      <w:pPr>
        <w:spacing w:after="0" w:line="191" w:lineRule="exact"/>
        <w:rPr>
          <w:rFonts w:ascii="Arial" w:cs="Arial" w:eastAsia="Arial" w:hAnsi="Arial"/>
          <w:sz w:val="18"/>
          <w:szCs w:val="18"/>
          <w:color w:val="auto"/>
        </w:rPr>
      </w:pPr>
    </w:p>
    <w:p>
      <w:pPr>
        <w:jc w:val="both"/>
        <w:ind w:left="520" w:hanging="512"/>
        <w:spacing w:after="0" w:line="238" w:lineRule="auto"/>
        <w:tabs>
          <w:tab w:leader="none" w:pos="78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any Borrower cease to be legally and beneficially owned by the Parent or GasLog Holdings unless (following a Reverse Dropdown relating to a Borrower and provided no Dropdown has occurred relating to the same Borrower) all of the issued and outstanding shares (including the voting shares) of such Borrower are legally and beneficially (directly or indirectly through GasLog Carriers) owned by GasLog;</w:t>
      </w:r>
    </w:p>
    <w:p>
      <w:pPr>
        <w:spacing w:after="0" w:line="191" w:lineRule="exact"/>
        <w:rPr>
          <w:rFonts w:ascii="Arial" w:cs="Arial" w:eastAsia="Arial" w:hAnsi="Arial"/>
          <w:sz w:val="18"/>
          <w:szCs w:val="18"/>
          <w:color w:val="auto"/>
        </w:rPr>
      </w:pPr>
    </w:p>
    <w:p>
      <w:pPr>
        <w:ind w:left="560" w:hanging="552"/>
        <w:spacing w:after="0"/>
        <w:tabs>
          <w:tab w:leader="none" w:pos="5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GasLog Holdings ceases to be a wholly-owned subsidiary of the Parent;</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GasLog Carriers ceases to be a wholly-owned subsidiary of GasLog;</w:t>
      </w:r>
    </w:p>
    <w:p>
      <w:pPr>
        <w:spacing w:after="0" w:line="198" w:lineRule="exact"/>
        <w:rPr>
          <w:rFonts w:ascii="Arial" w:cs="Arial" w:eastAsia="Arial" w:hAnsi="Arial"/>
          <w:sz w:val="18"/>
          <w:szCs w:val="18"/>
          <w:color w:val="auto"/>
        </w:rPr>
      </w:pPr>
    </w:p>
    <w:p>
      <w:pPr>
        <w:ind w:left="520" w:right="20" w:hanging="512"/>
        <w:spacing w:after="0" w:line="246" w:lineRule="auto"/>
        <w:tabs>
          <w:tab w:leader="none" w:pos="571"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GP LLC cease to be legally and beneficially owned by GasLog or GP LLC ceases to be the general partner of the Parent,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any case without the prior written consent of the Agent (acting on the instructions of the Majority Lenders).</w:t>
      </w:r>
    </w:p>
    <w:p>
      <w:pPr>
        <w:spacing w:after="0" w:line="17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Security Documents.</w:t>
      </w:r>
    </w:p>
    <w:p>
      <w:pPr>
        <w:spacing w:after="0" w:line="14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the Ship A Charter and the charter commitment (if any) for each other Ship details of which are provided in 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40"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Ship and its Charter Documents, an assignment by the relevant Owner of its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Charter Documents in favour of the Security Agent in the agreed form.</w:t>
      </w:r>
    </w:p>
    <w:p>
      <w:pPr>
        <w:spacing w:after="0" w:line="14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the Ship A Charter Documents and the Charter (if any) for each other Ship together with any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supplementing it and any guarantee or security given by any person to the relevant Owner for the relevant Charterer’s obligations under it.</w:t>
      </w:r>
    </w:p>
    <w:p>
      <w:pPr>
        <w:spacing w:after="0" w:line="15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the Ship A Charterer and the charterer for each other Ship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Ship.</w:t>
      </w:r>
    </w:p>
    <w:p>
      <w:pPr>
        <w:spacing w:after="0" w:line="16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79" w:name="page180"/>
    <w:bookmarkEnd w:id="179"/>
    <w:p>
      <w:pPr>
        <w:jc w:val="both"/>
        <w:ind w:left="20"/>
        <w:spacing w:after="0" w:line="253"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in relation to a Ship, the classification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Classification Society or another classification approved by the Majority Lenders as its classification (such approval not to be unreasonably withheld), at the request of the relevant Owner.</w:t>
      </w:r>
    </w:p>
    <w:p>
      <w:pPr>
        <w:spacing w:after="0" w:line="155"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b w:val="1"/>
          <w:bCs w:val="1"/>
          <w:color w:val="auto"/>
        </w:rPr>
        <w:t xml:space="preserve">Classification Society </w:t>
      </w:r>
      <w:r>
        <w:rPr>
          <w:rFonts w:ascii="Arial" w:cs="Arial" w:eastAsia="Arial" w:hAnsi="Arial"/>
          <w:sz w:val="18"/>
          <w:szCs w:val="18"/>
          <w:color w:val="auto"/>
        </w:rPr>
        <w:t>means, in relation to a Ship, the classification society specified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DNV GL, American Bureau of Shipping and Lloyd’s Register of Shipping or another classification society being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relevant Owner.</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in relation to a Ship, GasLog or another manager appointed as the commercial manager of that Ship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20" w:lineRule="exact"/>
        <w:rPr>
          <w:sz w:val="20"/>
          <w:szCs w:val="20"/>
          <w:color w:val="auto"/>
        </w:rPr>
      </w:pPr>
    </w:p>
    <w:p>
      <w:pPr>
        <w:ind w:left="520" w:right="20" w:hanging="512"/>
        <w:spacing w:after="0" w:line="246" w:lineRule="auto"/>
        <w:tabs>
          <w:tab w:leader="none" w:pos="74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under its name opposite the heading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Commitment transferred to it under this Agreement;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7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approved.</w:t>
      </w:r>
    </w:p>
    <w:p>
      <w:pPr>
        <w:spacing w:after="0" w:line="140"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an Obligor, the Group and/or the Parent Group, the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Charter Documents or any other charter commitments (to the extent such information relating to such other charter commitments is confidential as a matter of law or contract) for each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85" w:lineRule="exact"/>
        <w:rPr>
          <w:sz w:val="20"/>
          <w:szCs w:val="20"/>
          <w:color w:val="auto"/>
        </w:rPr>
      </w:pPr>
    </w:p>
    <w:p>
      <w:pPr>
        <w:ind w:left="560" w:hanging="552"/>
        <w:spacing w:after="0"/>
        <w:tabs>
          <w:tab w:leader="none" w:pos="5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any Group Member and/or any Parent Group Member or any of its advisers; or</w:t>
      </w:r>
    </w:p>
    <w:p>
      <w:pPr>
        <w:spacing w:after="0" w:line="198" w:lineRule="exact"/>
        <w:rPr>
          <w:rFonts w:ascii="Arial" w:cs="Arial" w:eastAsia="Arial" w:hAnsi="Arial"/>
          <w:sz w:val="18"/>
          <w:szCs w:val="18"/>
          <w:color w:val="auto"/>
        </w:rPr>
      </w:pPr>
    </w:p>
    <w:p>
      <w:pPr>
        <w:ind w:left="520" w:hanging="512"/>
        <w:spacing w:after="0" w:line="246" w:lineRule="auto"/>
        <w:tabs>
          <w:tab w:leader="none" w:pos="841"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and/or any Parent Group Member or any of its advisers,</w:t>
      </w:r>
    </w:p>
    <w:p>
      <w:pPr>
        <w:spacing w:after="0" w:line="183"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83" w:lineRule="exact"/>
        <w:rPr>
          <w:sz w:val="20"/>
          <w:szCs w:val="20"/>
          <w:color w:val="auto"/>
        </w:rPr>
      </w:pPr>
    </w:p>
    <w:p>
      <w:pPr>
        <w:ind w:left="1040" w:hanging="511"/>
        <w:spacing w:after="0" w:line="246" w:lineRule="auto"/>
        <w:tabs>
          <w:tab w:leader="none" w:pos="1121"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45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040" w:hanging="511"/>
        <w:spacing w:after="0" w:line="246" w:lineRule="auto"/>
        <w:tabs>
          <w:tab w:leader="none" w:pos="1121"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and/or any Parent Group Member or any of its advisers; or</w:t>
      </w:r>
    </w:p>
    <w:p>
      <w:pPr>
        <w:spacing w:after="0" w:line="178" w:lineRule="exact"/>
        <w:rPr>
          <w:rFonts w:ascii="Arial" w:cs="Arial" w:eastAsia="Arial" w:hAnsi="Arial"/>
          <w:sz w:val="18"/>
          <w:szCs w:val="18"/>
          <w:color w:val="auto"/>
        </w:rPr>
      </w:pPr>
    </w:p>
    <w:p>
      <w:pPr>
        <w:ind w:left="1260" w:hanging="731"/>
        <w:spacing w:after="0"/>
        <w:tabs>
          <w:tab w:leader="none" w:pos="12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w:t>
      </w:r>
    </w:p>
    <w:p>
      <w:pPr>
        <w:ind w:left="1040" w:hanging="1"/>
        <w:spacing w:after="0" w:line="246" w:lineRule="auto"/>
        <w:tabs>
          <w:tab w:leader="none" w:pos="1313"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above or is lawfully obtained by that Finance Party after that date, from a source which is, as far as that Finance Party is aware, unconnected with the Group and/or the Parent Group and which, in either case, as</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80" w:name="page181"/>
    <w:bookmarkEnd w:id="180"/>
    <w:p>
      <w:pPr>
        <w:ind w:left="1042"/>
        <w:spacing w:after="0" w:line="246" w:lineRule="auto"/>
        <w:rPr>
          <w:sz w:val="20"/>
          <w:szCs w:val="20"/>
          <w:color w:val="auto"/>
        </w:rPr>
      </w:pPr>
      <w:r>
        <w:rPr>
          <w:rFonts w:ascii="Arial" w:cs="Arial" w:eastAsia="Arial" w:hAnsi="Arial"/>
          <w:sz w:val="18"/>
          <w:szCs w:val="18"/>
          <w:color w:val="auto"/>
        </w:rPr>
        <w:t>far as that Finance Party is aware, has not been obtained in breach of, and is not otherwise subject to, any obligation of confidentiality.</w:t>
      </w:r>
    </w:p>
    <w:p>
      <w:pPr>
        <w:spacing w:after="0" w:line="161"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Confirmation </w:t>
      </w:r>
      <w:r>
        <w:rPr>
          <w:rFonts w:ascii="Arial" w:cs="Arial" w:eastAsia="Arial" w:hAnsi="Arial"/>
          <w:sz w:val="18"/>
          <w:szCs w:val="18"/>
          <w:color w:val="auto"/>
        </w:rPr>
        <w:t>shall have, in relation to any Hedging Transaction, the meaning given to that term in the relevant Hedging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Constitutional Documents </w:t>
      </w:r>
      <w:r>
        <w:rPr>
          <w:rFonts w:ascii="Arial" w:cs="Arial" w:eastAsia="Arial" w:hAnsi="Arial"/>
          <w:sz w:val="18"/>
          <w:szCs w:val="18"/>
          <w:color w:val="auto"/>
        </w:rPr>
        <w:t>means, in respect of an Obligor or a Manager, such Obligor’s or Manager’s memorandum and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by-laws or other constitutional documents including as referred to in any certificate relating to an Obligor or a Manager delivered pursuant to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5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credit institutions and investment firms.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0" w:lineRule="exact"/>
        <w:rPr>
          <w:sz w:val="20"/>
          <w:szCs w:val="20"/>
          <w:color w:val="auto"/>
        </w:rPr>
      </w:pPr>
    </w:p>
    <w:p>
      <w:pPr>
        <w:ind w:left="522" w:hanging="522"/>
        <w:spacing w:after="0"/>
        <w:tabs>
          <w:tab w:leader="none" w:pos="52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198" w:lineRule="exact"/>
        <w:rPr>
          <w:rFonts w:ascii="Arial" w:cs="Arial" w:eastAsia="Arial" w:hAnsi="Arial"/>
          <w:sz w:val="18"/>
          <w:szCs w:val="18"/>
          <w:color w:val="auto"/>
        </w:rPr>
      </w:pPr>
    </w:p>
    <w:p>
      <w:pPr>
        <w:ind w:left="502" w:hanging="502"/>
        <w:spacing w:after="0" w:line="246" w:lineRule="auto"/>
        <w:tabs>
          <w:tab w:leader="none" w:pos="55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176"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Deed of Covenant </w:t>
      </w:r>
      <w:r>
        <w:rPr>
          <w:rFonts w:ascii="Arial" w:cs="Arial" w:eastAsia="Arial" w:hAnsi="Arial"/>
          <w:sz w:val="18"/>
          <w:szCs w:val="18"/>
          <w:color w:val="auto"/>
        </w:rPr>
        <w:t>means, in relation to a Ship, a first deed of covenant (including a first assignment of its interest in the Ship’s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Insurances, Earnings and Requisition Compensation) in respect of such Ship by the relevant Owner in favour of the Security Agent in the agreed form.</w:t>
      </w:r>
    </w:p>
    <w:p>
      <w:pPr>
        <w:spacing w:after="0" w:line="155"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making of any determination under the Finance Documents or any combination of them) be an Event of Default.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0" w:lineRule="exact"/>
        <w:rPr>
          <w:sz w:val="20"/>
          <w:szCs w:val="20"/>
          <w:color w:val="auto"/>
        </w:rPr>
      </w:pPr>
    </w:p>
    <w:p>
      <w:pPr>
        <w:ind w:left="502" w:hanging="502"/>
        <w:spacing w:after="0" w:line="246" w:lineRule="auto"/>
        <w:tabs>
          <w:tab w:leader="none" w:pos="61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which has failed to make its participation in an Advance available or has notified the Agent that it will not make its participation in an Advance available by the Utilisation Date of that Advance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198" w:lineRule="exact"/>
        <w:rPr>
          <w:sz w:val="20"/>
          <w:szCs w:val="20"/>
          <w:color w:val="auto"/>
        </w:rPr>
      </w:pPr>
    </w:p>
    <w:p>
      <w:pPr>
        <w:ind w:left="1042" w:hanging="531"/>
        <w:spacing w:after="0"/>
        <w:tabs>
          <w:tab w:leader="none" w:pos="104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542" w:hanging="521"/>
        <w:spacing w:after="0"/>
        <w:tabs>
          <w:tab w:leader="none" w:pos="154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542" w:hanging="521"/>
        <w:spacing w:after="0"/>
        <w:tabs>
          <w:tab w:leader="none" w:pos="154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198"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198" w:lineRule="exact"/>
        <w:rPr>
          <w:sz w:val="20"/>
          <w:szCs w:val="20"/>
          <w:color w:val="auto"/>
        </w:rPr>
      </w:pPr>
    </w:p>
    <w:p>
      <w:pPr>
        <w:ind w:left="1042" w:hanging="531"/>
        <w:spacing w:after="0"/>
        <w:tabs>
          <w:tab w:leader="none" w:pos="104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198" w:lineRule="exact"/>
        <w:rPr>
          <w:rFonts w:ascii="Arial" w:cs="Arial" w:eastAsia="Arial" w:hAnsi="Arial"/>
          <w:sz w:val="18"/>
          <w:szCs w:val="18"/>
          <w:color w:val="auto"/>
        </w:rPr>
      </w:pPr>
    </w:p>
    <w:p>
      <w:pPr>
        <w:ind w:left="5062"/>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81" w:name="page182"/>
    <w:bookmarkEnd w:id="181"/>
    <w:p>
      <w:pPr>
        <w:ind w:left="2"/>
        <w:spacing w:after="0" w:line="271"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any Finance Document.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20" w:lineRule="exact"/>
        <w:rPr>
          <w:sz w:val="20"/>
          <w:szCs w:val="20"/>
          <w:color w:val="auto"/>
        </w:rPr>
      </w:pPr>
    </w:p>
    <w:p>
      <w:pPr>
        <w:ind w:left="522" w:hanging="522"/>
        <w:spacing w:after="0"/>
        <w:tabs>
          <w:tab w:leader="none" w:pos="52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 Total Loss of a Mortgaged Ship, the applicable Total Loss Repayment Date; or</w:t>
      </w:r>
    </w:p>
    <w:p>
      <w:pPr>
        <w:spacing w:after="0" w:line="198" w:lineRule="exact"/>
        <w:rPr>
          <w:rFonts w:ascii="Arial" w:cs="Arial" w:eastAsia="Arial" w:hAnsi="Arial"/>
          <w:sz w:val="18"/>
          <w:szCs w:val="18"/>
          <w:color w:val="auto"/>
        </w:rPr>
      </w:pPr>
    </w:p>
    <w:p>
      <w:pPr>
        <w:jc w:val="both"/>
        <w:ind w:left="502" w:right="20" w:hanging="502"/>
        <w:spacing w:after="0"/>
        <w:tabs>
          <w:tab w:leader="none" w:pos="711"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 sale of a Mortgaged Ship by the relevant Owner, the date upon which such sale is completed by the transfer of title to the purchaser in exchange for payment of all or part of the relevant purchase price (and upon or immediately prior to such completion).</w:t>
      </w:r>
    </w:p>
    <w:p>
      <w:pPr>
        <w:spacing w:after="0" w:line="167"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Dropdown </w:t>
      </w:r>
      <w:r>
        <w:rPr>
          <w:rFonts w:ascii="Arial" w:cs="Arial" w:eastAsia="Arial" w:hAnsi="Arial"/>
          <w:sz w:val="18"/>
          <w:szCs w:val="18"/>
          <w:color w:val="auto"/>
        </w:rPr>
        <w:t>means, in respect of any Borrower which is owned by GasLog or GasLog Carriers (directly or indirectly) following a</w:t>
      </w:r>
      <w:r>
        <w:rPr>
          <w:rFonts w:ascii="Arial" w:cs="Arial" w:eastAsia="Arial" w:hAnsi="Arial"/>
          <w:sz w:val="18"/>
          <w:szCs w:val="18"/>
          <w:b w:val="1"/>
          <w:bCs w:val="1"/>
          <w:color w:val="auto"/>
        </w:rPr>
        <w:t xml:space="preserve"> </w:t>
      </w:r>
      <w:r>
        <w:rPr>
          <w:rFonts w:ascii="Arial" w:cs="Arial" w:eastAsia="Arial" w:hAnsi="Arial"/>
          <w:sz w:val="18"/>
          <w:szCs w:val="18"/>
          <w:color w:val="auto"/>
        </w:rPr>
        <w:t>Reverse Dropdown, a transfer of its shares to the Parent or GasLog Holdings in accordance with the provisions of paragraph (c) of clause 21.5 (</w:t>
      </w:r>
      <w:r>
        <w:rPr>
          <w:rFonts w:ascii="Arial" w:cs="Arial" w:eastAsia="Arial" w:hAnsi="Arial"/>
          <w:sz w:val="18"/>
          <w:szCs w:val="18"/>
          <w:i w:val="1"/>
          <w:iCs w:val="1"/>
          <w:color w:val="auto"/>
        </w:rPr>
        <w:t>Change of business or ownership</w:t>
      </w:r>
      <w:r>
        <w:rPr>
          <w:rFonts w:ascii="Arial" w:cs="Arial" w:eastAsia="Arial" w:hAnsi="Arial"/>
          <w:sz w:val="18"/>
          <w:szCs w:val="18"/>
          <w:color w:val="auto"/>
        </w:rPr>
        <w:t>).</w:t>
      </w:r>
    </w:p>
    <w:p>
      <w:pPr>
        <w:spacing w:after="0" w:line="155"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a Ship and a person, all money at any time payable to that person for or in relation to the use or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such Ship 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63"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each of the interest bearing dollar accounts of a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and</w:t>
      </w:r>
      <w:r>
        <w:rPr>
          <w:rFonts w:ascii="Arial" w:cs="Arial" w:eastAsia="Arial" w:hAnsi="Arial"/>
          <w:sz w:val="18"/>
          <w:szCs w:val="18"/>
          <w:b w:val="1"/>
          <w:bCs w:val="1"/>
          <w:color w:val="auto"/>
        </w:rPr>
        <w:t xml:space="preserve"> Earnings Accounts </w:t>
      </w:r>
      <w:r>
        <w:rPr>
          <w:rFonts w:ascii="Arial" w:cs="Arial" w:eastAsia="Arial" w:hAnsi="Arial"/>
          <w:sz w:val="18"/>
          <w:szCs w:val="18"/>
          <w:color w:val="auto"/>
        </w:rPr>
        <w:t>means all of them.</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20" w:lineRule="exact"/>
        <w:rPr>
          <w:sz w:val="20"/>
          <w:szCs w:val="20"/>
          <w:color w:val="auto"/>
        </w:rPr>
      </w:pPr>
    </w:p>
    <w:p>
      <w:pPr>
        <w:ind w:left="502" w:hanging="502"/>
        <w:spacing w:after="0" w:line="246" w:lineRule="auto"/>
        <w:tabs>
          <w:tab w:leader="none" w:pos="68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20" w:lineRule="exact"/>
        <w:rPr>
          <w:sz w:val="20"/>
          <w:szCs w:val="20"/>
          <w:color w:val="auto"/>
        </w:rPr>
      </w:pPr>
    </w:p>
    <w:p>
      <w:pPr>
        <w:ind w:left="502" w:right="20" w:hanging="502"/>
        <w:spacing w:after="0" w:line="246" w:lineRule="auto"/>
        <w:tabs>
          <w:tab w:leader="none" w:pos="72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176"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all laws, regulations and conventions concerning pollution or protection of human health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30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at any relevant time, the aggregate principal amounts owing by the Borrowers or any of them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on the Ships or any of them by way of first priority ship mortgage or mortgages, under the facility agreement dated 18 February 2016 made between, among others, (a) the Borrowers, GAS-eighteen Ltd. and GAS-twenty Ltd. as joint and several borrowers, (b) DNB Bank ASA, London Branch as agent and security agent, (c) ABN AMRO Bank N.V., DNB (UK) Ltd. and DVB Bank America N.V. as arrangers and (d) the financial institutions listed in Schedule 1 therein as lenders, as disclosed by or on behalf of the Borrowers to the Lenders prior to the date of this Agreement, together with interest thereon and any other amounts owing thereunder or in connection therewith.</w:t>
      </w:r>
    </w:p>
    <w:p>
      <w:pPr>
        <w:spacing w:after="0" w:line="193"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182" w:name="page183"/>
    <w:bookmarkEnd w:id="182"/>
    <w:p>
      <w:pPr>
        <w:ind w:left="20" w:right="580"/>
        <w:spacing w:after="0" w:line="478" w:lineRule="auto"/>
        <w:rPr>
          <w:sz w:val="20"/>
          <w:szCs w:val="20"/>
          <w:color w:val="auto"/>
        </w:rPr>
      </w:pPr>
      <w:r>
        <w:rPr>
          <w:rFonts w:ascii="Arial" w:cs="Arial" w:eastAsia="Arial" w:hAnsi="Arial"/>
          <w:sz w:val="18"/>
          <w:szCs w:val="18"/>
          <w:b w:val="1"/>
          <w:bCs w:val="1"/>
          <w:color w:val="auto"/>
        </w:rPr>
        <w:t xml:space="preserve">Existing Indebtedness Lender </w:t>
      </w:r>
      <w:r>
        <w:rPr>
          <w:rFonts w:ascii="Arial" w:cs="Arial" w:eastAsia="Arial" w:hAnsi="Arial"/>
          <w:sz w:val="18"/>
          <w:szCs w:val="18"/>
          <w:color w:val="auto"/>
        </w:rPr>
        <w:t>means any bank, financial institution or other person, who is a lender of Existing Indebtedness.</w:t>
      </w:r>
      <w:r>
        <w:rPr>
          <w:rFonts w:ascii="Arial" w:cs="Arial" w:eastAsia="Arial" w:hAnsi="Arial"/>
          <w:sz w:val="18"/>
          <w:szCs w:val="18"/>
          <w:b w:val="1"/>
          <w:bCs w:val="1"/>
          <w:color w:val="auto"/>
        </w:rPr>
        <w:t xml:space="preserve"> Facility </w:t>
      </w:r>
      <w:r>
        <w:rPr>
          <w:rFonts w:ascii="Arial" w:cs="Arial" w:eastAsia="Arial" w:hAnsi="Arial"/>
          <w:sz w:val="18"/>
          <w:szCs w:val="18"/>
          <w:color w:val="auto"/>
        </w:rPr>
        <w:t>means the term loan facility made available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r>
        <w:rPr>
          <w:rFonts w:ascii="Arial" w:cs="Arial" w:eastAsia="Arial" w:hAnsi="Arial"/>
          <w:sz w:val="18"/>
          <w:szCs w:val="18"/>
          <w:b w:val="1"/>
          <w:bCs w:val="1"/>
          <w:color w:val="auto"/>
        </w:rPr>
        <w:t xml:space="preserve"> Facility Office </w:t>
      </w:r>
      <w:r>
        <w:rPr>
          <w:rFonts w:ascii="Arial" w:cs="Arial" w:eastAsia="Arial" w:hAnsi="Arial"/>
          <w:sz w:val="18"/>
          <w:szCs w:val="18"/>
          <w:color w:val="auto"/>
        </w:rPr>
        <w:t>means:</w:t>
      </w:r>
    </w:p>
    <w:p>
      <w:pPr>
        <w:jc w:val="both"/>
        <w:ind w:left="520" w:hanging="512"/>
        <w:spacing w:after="0"/>
        <w:tabs>
          <w:tab w:leader="none" w:pos="7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7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have reduced to zero and all indebtedness of the Obligors under the Finance Documents has been irrevocably and unconditionally paid and discharged in full.</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0" w:lineRule="exact"/>
        <w:rPr>
          <w:sz w:val="20"/>
          <w:szCs w:val="20"/>
          <w:color w:val="auto"/>
        </w:rPr>
      </w:pPr>
    </w:p>
    <w:p>
      <w:pPr>
        <w:ind w:left="560" w:hanging="552"/>
        <w:spacing w:after="0"/>
        <w:tabs>
          <w:tab w:leader="none" w:pos="5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98" w:lineRule="exact"/>
        <w:rPr>
          <w:rFonts w:ascii="Arial" w:cs="Arial" w:eastAsia="Arial" w:hAnsi="Arial"/>
          <w:sz w:val="18"/>
          <w:szCs w:val="18"/>
          <w:color w:val="auto"/>
        </w:rPr>
      </w:pPr>
    </w:p>
    <w:p>
      <w:pPr>
        <w:jc w:val="both"/>
        <w:ind w:left="520" w:hanging="512"/>
        <w:spacing w:after="0"/>
        <w:tabs>
          <w:tab w:leader="none" w:pos="62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treaty, law or a regulation of any other jurisdiction, or relating to an intergovernmental agreement between the US and any other jurisdiction, which (in either case) facilitates the implementation of any law or regulation referred to in paragraph (a) above; or</w:t>
      </w:r>
    </w:p>
    <w:p>
      <w:pPr>
        <w:spacing w:after="0" w:line="189" w:lineRule="exact"/>
        <w:rPr>
          <w:rFonts w:ascii="Arial" w:cs="Arial" w:eastAsia="Arial" w:hAnsi="Arial"/>
          <w:sz w:val="18"/>
          <w:szCs w:val="18"/>
          <w:color w:val="auto"/>
        </w:rPr>
      </w:pPr>
    </w:p>
    <w:p>
      <w:pPr>
        <w:ind w:left="520" w:right="20" w:hanging="512"/>
        <w:spacing w:after="0" w:line="246" w:lineRule="auto"/>
        <w:tabs>
          <w:tab w:leader="none" w:pos="54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0" w:lineRule="exact"/>
        <w:rPr>
          <w:sz w:val="20"/>
          <w:szCs w:val="20"/>
          <w:color w:val="auto"/>
        </w:rPr>
      </w:pPr>
    </w:p>
    <w:p>
      <w:pPr>
        <w:ind w:left="520" w:hanging="512"/>
        <w:spacing w:after="0" w:line="246" w:lineRule="auto"/>
        <w:tabs>
          <w:tab w:leader="none" w:pos="58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183" w:lineRule="exact"/>
        <w:rPr>
          <w:rFonts w:ascii="Arial" w:cs="Arial" w:eastAsia="Arial" w:hAnsi="Arial"/>
          <w:sz w:val="18"/>
          <w:szCs w:val="18"/>
          <w:color w:val="auto"/>
        </w:rPr>
      </w:pPr>
    </w:p>
    <w:p>
      <w:pPr>
        <w:ind w:left="520" w:right="20" w:hanging="512"/>
        <w:spacing w:after="0" w:line="246" w:lineRule="auto"/>
        <w:tabs>
          <w:tab w:leader="none" w:pos="62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date from which such payment may become subject to a deduction or withholding required by FATCA.</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relation to any fees 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40"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subject to clauses 7.10 (</w:t>
      </w:r>
      <w:r>
        <w:rPr>
          <w:rFonts w:ascii="Arial" w:cs="Arial" w:eastAsia="Arial" w:hAnsi="Arial"/>
          <w:sz w:val="18"/>
          <w:szCs w:val="18"/>
          <w:i w:val="1"/>
          <w:iCs w:val="1"/>
          <w:color w:val="auto"/>
        </w:rPr>
        <w:t>Margin Reset</w:t>
      </w:r>
      <w:r>
        <w:rPr>
          <w:rFonts w:ascii="Arial" w:cs="Arial" w:eastAsia="Arial" w:hAnsi="Arial"/>
          <w:sz w:val="18"/>
          <w:szCs w:val="18"/>
          <w:color w:val="auto"/>
        </w:rPr>
        <w:t>) and 37.7 (</w:t>
      </w:r>
      <w:r>
        <w:rPr>
          <w:rFonts w:ascii="Arial" w:cs="Arial" w:eastAsia="Arial" w:hAnsi="Arial"/>
          <w:sz w:val="18"/>
          <w:szCs w:val="18"/>
          <w:i w:val="1"/>
          <w:iCs w:val="1"/>
          <w:color w:val="auto"/>
        </w:rPr>
        <w:t>Business Days</w:t>
      </w:r>
      <w:r>
        <w:rPr>
          <w:rFonts w:ascii="Arial" w:cs="Arial" w:eastAsia="Arial" w:hAnsi="Arial"/>
          <w:sz w:val="18"/>
          <w:szCs w:val="18"/>
          <w:color w:val="auto"/>
        </w:rPr>
        <w:t>), the earlier of (a) the date falling five</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first Utilisation Date and (ii) 15 July 2025.</w:t>
      </w:r>
    </w:p>
    <w:p>
      <w:pPr>
        <w:spacing w:after="0" w:line="14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any Quiet Enjoyment Agreement, any Hedging Contracts, any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Master Agreement, the Security Documents, any Transfer Certificate and any other document designated as such by the Agent and the Borrowers.</w:t>
      </w:r>
    </w:p>
    <w:p>
      <w:pPr>
        <w:spacing w:after="0" w:line="17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83" w:name="page184"/>
    <w:bookmarkEnd w:id="183"/>
    <w:p>
      <w:pPr>
        <w:ind w:left="20"/>
        <w:spacing w:after="0" w:line="271" w:lineRule="auto"/>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the Bookrunners, the Structuring and Documentation Bank, the Account Bank (if</w:t>
      </w:r>
      <w:r>
        <w:rPr>
          <w:rFonts w:ascii="Arial" w:cs="Arial" w:eastAsia="Arial" w:hAnsi="Arial"/>
          <w:sz w:val="18"/>
          <w:szCs w:val="18"/>
          <w:b w:val="1"/>
          <w:bCs w:val="1"/>
          <w:color w:val="auto"/>
        </w:rPr>
        <w:t xml:space="preserve"> </w:t>
      </w:r>
      <w:r>
        <w:rPr>
          <w:rFonts w:ascii="Arial" w:cs="Arial" w:eastAsia="Arial" w:hAnsi="Arial"/>
          <w:sz w:val="18"/>
          <w:szCs w:val="18"/>
          <w:color w:val="auto"/>
        </w:rPr>
        <w:t>it is also a Lender or an Affiliate of a Lender), any Hedging Provider, any Arranger or a Lender.</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0" w:lineRule="exact"/>
        <w:rPr>
          <w:sz w:val="20"/>
          <w:szCs w:val="20"/>
          <w:color w:val="auto"/>
        </w:rPr>
      </w:pPr>
    </w:p>
    <w:p>
      <w:pPr>
        <w:ind w:left="560" w:hanging="552"/>
        <w:spacing w:after="0"/>
        <w:tabs>
          <w:tab w:leader="none" w:pos="5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198" w:lineRule="exact"/>
        <w:rPr>
          <w:rFonts w:ascii="Arial" w:cs="Arial" w:eastAsia="Arial" w:hAnsi="Arial"/>
          <w:sz w:val="18"/>
          <w:szCs w:val="18"/>
          <w:color w:val="auto"/>
        </w:rPr>
      </w:pPr>
    </w:p>
    <w:p>
      <w:pPr>
        <w:ind w:left="520" w:hanging="512"/>
        <w:spacing w:after="0" w:line="246" w:lineRule="auto"/>
        <w:tabs>
          <w:tab w:leader="none" w:pos="74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183" w:lineRule="exact"/>
        <w:rPr>
          <w:rFonts w:ascii="Arial" w:cs="Arial" w:eastAsia="Arial" w:hAnsi="Arial"/>
          <w:sz w:val="18"/>
          <w:szCs w:val="18"/>
          <w:color w:val="auto"/>
        </w:rPr>
      </w:pPr>
    </w:p>
    <w:p>
      <w:pPr>
        <w:ind w:left="520" w:hanging="512"/>
        <w:spacing w:after="0" w:line="246" w:lineRule="auto"/>
        <w:tabs>
          <w:tab w:leader="none" w:pos="63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83" w:lineRule="exact"/>
        <w:rPr>
          <w:rFonts w:ascii="Arial" w:cs="Arial" w:eastAsia="Arial" w:hAnsi="Arial"/>
          <w:sz w:val="18"/>
          <w:szCs w:val="18"/>
          <w:color w:val="auto"/>
        </w:rPr>
      </w:pPr>
    </w:p>
    <w:p>
      <w:pPr>
        <w:ind w:left="560" w:hanging="552"/>
        <w:spacing w:after="0"/>
        <w:tabs>
          <w:tab w:leader="none" w:pos="5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98" w:lineRule="exact"/>
        <w:rPr>
          <w:rFonts w:ascii="Arial" w:cs="Arial" w:eastAsia="Arial" w:hAnsi="Arial"/>
          <w:sz w:val="18"/>
          <w:szCs w:val="18"/>
          <w:color w:val="auto"/>
        </w:rPr>
      </w:pPr>
    </w:p>
    <w:p>
      <w:pPr>
        <w:jc w:val="both"/>
        <w:ind w:left="520" w:hanging="512"/>
        <w:spacing w:after="0"/>
        <w:tabs>
          <w:tab w:leader="none" w:pos="61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89" w:lineRule="exact"/>
        <w:rPr>
          <w:rFonts w:ascii="Arial" w:cs="Arial" w:eastAsia="Arial" w:hAnsi="Arial"/>
          <w:sz w:val="18"/>
          <w:szCs w:val="18"/>
          <w:color w:val="auto"/>
        </w:rPr>
      </w:pPr>
    </w:p>
    <w:p>
      <w:pPr>
        <w:ind w:left="520" w:hanging="512"/>
        <w:spacing w:after="0" w:line="246" w:lineRule="auto"/>
        <w:tabs>
          <w:tab w:leader="none" w:pos="5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83" w:lineRule="exact"/>
        <w:rPr>
          <w:rFonts w:ascii="Arial" w:cs="Arial" w:eastAsia="Arial" w:hAnsi="Arial"/>
          <w:sz w:val="18"/>
          <w:szCs w:val="18"/>
          <w:color w:val="auto"/>
        </w:rPr>
      </w:pPr>
    </w:p>
    <w:p>
      <w:pPr>
        <w:jc w:val="both"/>
        <w:ind w:left="520" w:hanging="512"/>
        <w:spacing w:after="0"/>
        <w:tabs>
          <w:tab w:leader="none" w:pos="59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one hundred and eighty (180) days after the date of supply;</w:t>
      </w:r>
    </w:p>
    <w:p>
      <w:pPr>
        <w:spacing w:after="0" w:line="189" w:lineRule="exact"/>
        <w:rPr>
          <w:rFonts w:ascii="Arial" w:cs="Arial" w:eastAsia="Arial" w:hAnsi="Arial"/>
          <w:sz w:val="18"/>
          <w:szCs w:val="18"/>
          <w:color w:val="auto"/>
        </w:rPr>
      </w:pPr>
    </w:p>
    <w:p>
      <w:pPr>
        <w:ind w:left="520" w:hanging="512"/>
        <w:spacing w:after="0" w:line="246" w:lineRule="auto"/>
        <w:tabs>
          <w:tab w:leader="none" w:pos="821"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17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in relation to each Advance, the date falling six months after the relevant Utilisation Date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subject in each case, to clause 37.7 (</w:t>
      </w:r>
      <w:r>
        <w:rPr>
          <w:rFonts w:ascii="Arial" w:cs="Arial" w:eastAsia="Arial" w:hAnsi="Arial"/>
          <w:sz w:val="18"/>
          <w:szCs w:val="18"/>
          <w:i w:val="1"/>
          <w:iCs w:val="1"/>
          <w:color w:val="auto"/>
        </w:rPr>
        <w:t>Business Days</w:t>
      </w:r>
      <w:r>
        <w:rPr>
          <w:rFonts w:ascii="Arial" w:cs="Arial" w:eastAsia="Arial" w:hAnsi="Arial"/>
          <w:sz w:val="18"/>
          <w:szCs w:val="18"/>
          <w:color w:val="auto"/>
        </w:rPr>
        <w:t>).</w:t>
      </w:r>
    </w:p>
    <w:p>
      <w:pPr>
        <w:spacing w:after="0" w:line="140"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Flag State </w:t>
      </w:r>
      <w:r>
        <w:rPr>
          <w:rFonts w:ascii="Arial" w:cs="Arial" w:eastAsia="Arial" w:hAnsi="Arial"/>
          <w:sz w:val="18"/>
          <w:szCs w:val="18"/>
          <w:color w:val="auto"/>
        </w:rPr>
        <w:t>means, in relation to a Ship, the country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Flag State (provided that the provisions of clause 22.1(b) (</w:t>
      </w:r>
      <w:r>
        <w:rPr>
          <w:rFonts w:ascii="Arial" w:cs="Arial" w:eastAsia="Arial" w:hAnsi="Arial"/>
          <w:sz w:val="18"/>
          <w:szCs w:val="18"/>
          <w:i w:val="1"/>
          <w:iCs w:val="1"/>
          <w:color w:val="auto"/>
        </w:rPr>
        <w:t>Ship’s name and registration</w:t>
      </w:r>
      <w:r>
        <w:rPr>
          <w:rFonts w:ascii="Arial" w:cs="Arial" w:eastAsia="Arial" w:hAnsi="Arial"/>
          <w:sz w:val="18"/>
          <w:szCs w:val="18"/>
          <w:color w:val="auto"/>
        </w:rPr>
        <w:t xml:space="preserve">) are complied with) or such other state or territory as may be approved by all the Lenders (acting reasonably), at the request of the relevant Owner, as being the </w:t>
      </w:r>
      <w:r>
        <w:rPr>
          <w:rFonts w:ascii="Arial" w:cs="Arial" w:eastAsia="Arial" w:hAnsi="Arial"/>
          <w:sz w:val="18"/>
          <w:szCs w:val="18"/>
          <w:b w:val="1"/>
          <w:bCs w:val="1"/>
          <w:color w:val="auto"/>
        </w:rPr>
        <w:t>Flag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State </w:t>
      </w:r>
      <w:r>
        <w:rPr>
          <w:rFonts w:ascii="Arial" w:cs="Arial" w:eastAsia="Arial" w:hAnsi="Arial"/>
          <w:sz w:val="18"/>
          <w:szCs w:val="18"/>
          <w:color w:val="auto"/>
        </w:rPr>
        <w:t>of such Ship for the purposes of the Finance Documents.</w:t>
      </w:r>
    </w:p>
    <w:p>
      <w:pPr>
        <w:spacing w:after="0" w:line="16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each Mortgaged Ship and any other vessel directly or indirectly owned, wholly or partly, by any Group Member</w:t>
      </w:r>
      <w:r>
        <w:rPr>
          <w:rFonts w:ascii="Arial" w:cs="Arial" w:eastAsia="Arial" w:hAnsi="Arial"/>
          <w:sz w:val="18"/>
          <w:szCs w:val="18"/>
          <w:b w:val="1"/>
          <w:bCs w:val="1"/>
          <w:color w:val="auto"/>
        </w:rPr>
        <w:t xml:space="preserve"> </w:t>
      </w:r>
      <w:r>
        <w:rPr>
          <w:rFonts w:ascii="Arial" w:cs="Arial" w:eastAsia="Arial" w:hAnsi="Arial"/>
          <w:sz w:val="18"/>
          <w:szCs w:val="18"/>
          <w:color w:val="auto"/>
        </w:rPr>
        <w:t>(for so long as GasLog is an Active Guarantor) or by any Parent Group Member (for as long as the Parent is an Active Guarantor).</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Funding Rate </w:t>
      </w:r>
      <w:r>
        <w:rPr>
          <w:rFonts w:ascii="Arial" w:cs="Arial" w:eastAsia="Arial" w:hAnsi="Arial"/>
          <w:sz w:val="18"/>
          <w:szCs w:val="18"/>
          <w:color w:val="auto"/>
        </w:rPr>
        <w:t>means any individual rate notified by a Lender to the Agent pursuant to paragraph (a)(ii) of clause 10.3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(Cost of funds)</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International Accounting Standards, International Financial Reporting Standards and related interpretations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issued or adopted from time to time by the International Accounting Standards Board to the extent applicable to the relevant financial statements.</w:t>
      </w:r>
    </w:p>
    <w:p>
      <w:pPr>
        <w:spacing w:after="0" w:line="17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84" w:name="page185"/>
    <w:bookmarkEnd w:id="184"/>
    <w:p>
      <w:pPr>
        <w:ind w:left="20"/>
        <w:spacing w:after="0"/>
        <w:rPr>
          <w:sz w:val="20"/>
          <w:szCs w:val="20"/>
          <w:color w:val="auto"/>
        </w:rPr>
      </w:pPr>
      <w:r>
        <w:rPr>
          <w:rFonts w:ascii="Arial" w:cs="Arial" w:eastAsia="Arial" w:hAnsi="Arial"/>
          <w:sz w:val="18"/>
          <w:szCs w:val="18"/>
          <w:b w:val="1"/>
          <w:bCs w:val="1"/>
          <w:color w:val="auto"/>
        </w:rPr>
        <w:t xml:space="preserve">GasLog </w:t>
      </w:r>
      <w:r>
        <w:rPr>
          <w:rFonts w:ascii="Arial" w:cs="Arial" w:eastAsia="Arial" w:hAnsi="Arial"/>
          <w:sz w:val="18"/>
          <w:szCs w:val="18"/>
          <w:color w:val="auto"/>
        </w:rPr>
        <w:t>means GasLog Ltd. of Clarendon House, 2 Church Street, Hamilton HM 11, Bermuda.</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GasLog Holdings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b w:val="1"/>
          <w:bCs w:val="1"/>
          <w:color w:val="auto"/>
        </w:rPr>
        <w:t xml:space="preserve">GasLog LNG Services </w:t>
      </w:r>
      <w:r>
        <w:rPr>
          <w:rFonts w:ascii="Arial" w:cs="Arial" w:eastAsia="Arial" w:hAnsi="Arial"/>
          <w:sz w:val="18"/>
          <w:szCs w:val="18"/>
          <w:color w:val="auto"/>
        </w:rPr>
        <w:t>means means GasLog LNG Services Ltd. of Clarendon House, 2 Church Street, Hamilton HM11, Bermuda</w:t>
      </w:r>
      <w:r>
        <w:rPr>
          <w:rFonts w:ascii="Arial" w:cs="Arial" w:eastAsia="Arial" w:hAnsi="Arial"/>
          <w:sz w:val="18"/>
          <w:szCs w:val="18"/>
          <w:b w:val="1"/>
          <w:bCs w:val="1"/>
          <w:color w:val="auto"/>
        </w:rPr>
        <w:t xml:space="preserve"> </w:t>
      </w:r>
      <w:r>
        <w:rPr>
          <w:rFonts w:ascii="Arial" w:cs="Arial" w:eastAsia="Arial" w:hAnsi="Arial"/>
          <w:sz w:val="18"/>
          <w:szCs w:val="18"/>
          <w:color w:val="auto"/>
        </w:rPr>
        <w:t>(being a wholly-owned subsidiary of GasLog).</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GasLog Relevant Borrower </w:t>
      </w:r>
      <w:r>
        <w:rPr>
          <w:rFonts w:ascii="Arial" w:cs="Arial" w:eastAsia="Arial" w:hAnsi="Arial"/>
          <w:sz w:val="18"/>
          <w:szCs w:val="18"/>
          <w:color w:val="auto"/>
        </w:rPr>
        <w:t>means, at any relevant time, a Borrower:</w:t>
      </w:r>
    </w:p>
    <w:p>
      <w:pPr>
        <w:spacing w:after="0" w:line="220" w:lineRule="exact"/>
        <w:rPr>
          <w:sz w:val="20"/>
          <w:szCs w:val="20"/>
          <w:color w:val="auto"/>
        </w:rPr>
      </w:pPr>
    </w:p>
    <w:p>
      <w:pPr>
        <w:ind w:left="560" w:hanging="552"/>
        <w:spacing w:after="0"/>
        <w:tabs>
          <w:tab w:leader="none" w:pos="5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controlled at such relevant time by GasLog and/or by GasLog Carriers; and/or</w:t>
      </w:r>
    </w:p>
    <w:p>
      <w:pPr>
        <w:spacing w:after="0" w:line="198" w:lineRule="exact"/>
        <w:rPr>
          <w:rFonts w:ascii="Arial" w:cs="Arial" w:eastAsia="Arial" w:hAnsi="Arial"/>
          <w:sz w:val="18"/>
          <w:szCs w:val="18"/>
          <w:color w:val="auto"/>
        </w:rPr>
      </w:pPr>
    </w:p>
    <w:p>
      <w:pPr>
        <w:ind w:left="520" w:right="20" w:hanging="512"/>
        <w:spacing w:after="0" w:line="246" w:lineRule="auto"/>
        <w:tabs>
          <w:tab w:leader="none" w:pos="53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majority of the voting share capital of which is owned (whether directly or indirectly) by GasLog and/or by GasLog Carriers at such relevant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and which is not a Parent Relevant Borrower at that time.</w:t>
      </w:r>
    </w:p>
    <w:p>
      <w:pPr>
        <w:spacing w:after="0" w:line="17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a Ship in respect of which the mortgage is not an account current form, a first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interest in the Ship’s Insurances, Earnings and Requisition Compensation by the relevant Owner in favour of the Security Agent and/or any of the other Finance Parties in the agreed form.</w:t>
      </w:r>
    </w:p>
    <w:p>
      <w:pPr>
        <w:spacing w:after="0" w:line="15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GP LLC </w:t>
      </w:r>
      <w:r>
        <w:rPr>
          <w:rFonts w:ascii="Arial" w:cs="Arial" w:eastAsia="Arial" w:hAnsi="Arial"/>
          <w:sz w:val="18"/>
          <w:szCs w:val="18"/>
          <w:color w:val="auto"/>
        </w:rPr>
        <w:t>means GasLog Partners GP LLC of Trust Company Complex, Ajeltake Road, Ajeltake Island, Majuro, Marshall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MH96960.</w:t>
      </w:r>
    </w:p>
    <w:p>
      <w:pPr>
        <w:spacing w:after="0" w:line="14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GasLog and its Subsidiaries for the time being (including the Parent Group) and, for the purposes of clause 19.1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Financial statements</w:t>
      </w:r>
      <w:r>
        <w:rPr>
          <w:rFonts w:ascii="Arial" w:cs="Arial" w:eastAsia="Arial" w:hAnsi="Arial"/>
          <w:sz w:val="18"/>
          <w:szCs w:val="18"/>
          <w:color w:val="auto"/>
        </w:rPr>
        <w:t>) and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any other entity required to be treated as a subsidiary in GasLog’s consolidated accounts in accordance with GAAP and/or any applicable law.</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Group.</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obligations of the Guarantors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the Parent, GasLog Holdings, GasLog and GasLog Carriers and</w:t>
      </w:r>
      <w:r>
        <w:rPr>
          <w:rFonts w:ascii="Arial" w:cs="Arial" w:eastAsia="Arial" w:hAnsi="Arial"/>
          <w:sz w:val="18"/>
          <w:szCs w:val="18"/>
          <w:b w:val="1"/>
          <w:bCs w:val="1"/>
          <w:color w:val="auto"/>
        </w:rPr>
        <w:t xml:space="preserve"> Guarantor </w:t>
      </w:r>
      <w:r>
        <w:rPr>
          <w:rFonts w:ascii="Arial" w:cs="Arial" w:eastAsia="Arial" w:hAnsi="Arial"/>
          <w:sz w:val="18"/>
          <w:szCs w:val="18"/>
          <w:color w:val="auto"/>
        </w:rPr>
        <w:t>means any of them.</w:t>
      </w:r>
    </w:p>
    <w:p>
      <w:pPr>
        <w:spacing w:after="0" w:line="19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Hedging Contract </w:t>
      </w:r>
      <w:r>
        <w:rPr>
          <w:rFonts w:ascii="Arial" w:cs="Arial" w:eastAsia="Arial" w:hAnsi="Arial"/>
          <w:sz w:val="18"/>
          <w:szCs w:val="18"/>
          <w:color w:val="auto"/>
        </w:rPr>
        <w:t>means any Hedging Transaction between one or more of the Borrowers and any Hedging Provider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Hedging Master Agreement and includes any Hedging Master Agreement and any Confirmations from time to time exchanged under it and governed by its terms relating to that Hedging Transaction and any contract in relation to such a Hedging Transaction constituted and/or evidenced by them and </w:t>
      </w:r>
      <w:r>
        <w:rPr>
          <w:rFonts w:ascii="Arial" w:cs="Arial" w:eastAsia="Arial" w:hAnsi="Arial"/>
          <w:sz w:val="18"/>
          <w:szCs w:val="18"/>
          <w:b w:val="1"/>
          <w:bCs w:val="1"/>
          <w:color w:val="auto"/>
        </w:rPr>
        <w:t>Hedging Contracts</w:t>
      </w:r>
      <w:r>
        <w:rPr>
          <w:rFonts w:ascii="Arial" w:cs="Arial" w:eastAsia="Arial" w:hAnsi="Arial"/>
          <w:sz w:val="18"/>
          <w:szCs w:val="18"/>
          <w:color w:val="auto"/>
        </w:rPr>
        <w:t xml:space="preserve"> means all of them.</w:t>
      </w:r>
    </w:p>
    <w:p>
      <w:pPr>
        <w:spacing w:after="0" w:line="16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Hedging Contract Security </w:t>
      </w:r>
      <w:r>
        <w:rPr>
          <w:rFonts w:ascii="Arial" w:cs="Arial" w:eastAsia="Arial" w:hAnsi="Arial"/>
          <w:sz w:val="18"/>
          <w:szCs w:val="18"/>
          <w:color w:val="auto"/>
        </w:rPr>
        <w:t>means a deed or other instrument by a Borrower in favour of the Security Agent in the agreed form</w:t>
      </w:r>
      <w:r>
        <w:rPr>
          <w:rFonts w:ascii="Arial" w:cs="Arial" w:eastAsia="Arial" w:hAnsi="Arial"/>
          <w:sz w:val="18"/>
          <w:szCs w:val="18"/>
          <w:b w:val="1"/>
          <w:bCs w:val="1"/>
          <w:color w:val="auto"/>
        </w:rPr>
        <w:t xml:space="preserve"> </w:t>
      </w:r>
      <w:r>
        <w:rPr>
          <w:rFonts w:ascii="Arial" w:cs="Arial" w:eastAsia="Arial" w:hAnsi="Arial"/>
          <w:sz w:val="18"/>
          <w:szCs w:val="18"/>
          <w:color w:val="auto"/>
        </w:rPr>
        <w:t>conferring a Security Interest over any Hedging Contracts.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Hedging Exposure </w:t>
      </w:r>
      <w:r>
        <w:rPr>
          <w:rFonts w:ascii="Arial" w:cs="Arial" w:eastAsia="Arial" w:hAnsi="Arial"/>
          <w:sz w:val="18"/>
          <w:szCs w:val="18"/>
          <w:color w:val="auto"/>
        </w:rPr>
        <w:t>means, at any relevant date and in relation to any Hedging Provider, the aggregate of the amount certified by that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Hedging Provider to the Agent to be the net amount in dollars:</w:t>
      </w:r>
    </w:p>
    <w:p>
      <w:pPr>
        <w:spacing w:after="0" w:line="198" w:lineRule="exact"/>
        <w:rPr>
          <w:sz w:val="20"/>
          <w:szCs w:val="20"/>
          <w:color w:val="auto"/>
        </w:rPr>
      </w:pPr>
    </w:p>
    <w:p>
      <w:pPr>
        <w:ind w:left="520" w:hanging="502"/>
        <w:spacing w:after="0" w:line="246" w:lineRule="auto"/>
        <w:tabs>
          <w:tab w:leader="none" w:pos="86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relation to all Hedging Contracts that have been closed out on or prior to the relevant date, that is due and owing by a Borrower to that Hedging Provider in respect of such Hedging Contracts on the relevant date; and</w:t>
      </w:r>
    </w:p>
    <w:p>
      <w:pPr>
        <w:spacing w:after="0" w:line="183" w:lineRule="exact"/>
        <w:rPr>
          <w:rFonts w:ascii="Arial" w:cs="Arial" w:eastAsia="Arial" w:hAnsi="Arial"/>
          <w:sz w:val="18"/>
          <w:szCs w:val="18"/>
          <w:color w:val="auto"/>
        </w:rPr>
      </w:pPr>
    </w:p>
    <w:p>
      <w:pPr>
        <w:jc w:val="both"/>
        <w:ind w:left="520" w:hanging="502"/>
        <w:spacing w:after="0" w:line="238"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relation to all Hedging Contracts with that Hedging Provider that are continuing on the relevant date, that would be payable by the Borrowers to that Hedging Provider under (and calculated in accordance with) the early termination provisions of such Hedging Contracts as if an Early Termination Date (as defined in the relevant Hedging Master Agreement) had occurred on the relevant date in relation to all such continuing Hedging Contracts, less any cash collateral that has been provided to that Hedging Provider specifically to secure the Borrowers’ obligations under the Hedging Contracts with that Hedging Provider.</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85" w:name="page186"/>
    <w:bookmarkEnd w:id="185"/>
    <w:p>
      <w:pPr>
        <w:ind w:left="20"/>
        <w:spacing w:after="0" w:line="271" w:lineRule="auto"/>
        <w:rPr>
          <w:sz w:val="20"/>
          <w:szCs w:val="20"/>
          <w:color w:val="auto"/>
        </w:rPr>
      </w:pPr>
      <w:r>
        <w:rPr>
          <w:rFonts w:ascii="Arial" w:cs="Arial" w:eastAsia="Arial" w:hAnsi="Arial"/>
          <w:sz w:val="18"/>
          <w:szCs w:val="18"/>
          <w:b w:val="1"/>
          <w:bCs w:val="1"/>
          <w:color w:val="auto"/>
        </w:rPr>
        <w:t xml:space="preserve">Hedging Master Agreement </w:t>
      </w:r>
      <w:r>
        <w:rPr>
          <w:rFonts w:ascii="Arial" w:cs="Arial" w:eastAsia="Arial" w:hAnsi="Arial"/>
          <w:sz w:val="18"/>
          <w:szCs w:val="18"/>
          <w:color w:val="auto"/>
        </w:rPr>
        <w:t>means any agreement made or (as the context may require) to be made between the Borrowers and a</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Provider comprising an ISDA Master Agreement and the Schedule thereto in the agreed form.</w:t>
      </w:r>
    </w:p>
    <w:p>
      <w:pPr>
        <w:spacing w:after="0" w:line="140"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Hedging Transaction </w:t>
      </w:r>
      <w:r>
        <w:rPr>
          <w:rFonts w:ascii="Arial" w:cs="Arial" w:eastAsia="Arial" w:hAnsi="Arial"/>
          <w:sz w:val="18"/>
          <w:szCs w:val="18"/>
          <w:color w:val="auto"/>
        </w:rPr>
        <w:t>has, in relation to any Hedging Master Agreement, the meaning given to the term “Transaction” in that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Master Agreement.</w:t>
      </w:r>
    </w:p>
    <w:p>
      <w:pPr>
        <w:spacing w:after="0" w:line="140"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which it is a Subsidiary.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0" w:lineRule="exact"/>
        <w:rPr>
          <w:sz w:val="20"/>
          <w:szCs w:val="20"/>
          <w:color w:val="auto"/>
        </w:rPr>
      </w:pPr>
    </w:p>
    <w:p>
      <w:pPr>
        <w:ind w:left="520" w:hanging="512"/>
        <w:spacing w:after="0" w:line="246" w:lineRule="auto"/>
        <w:tabs>
          <w:tab w:leader="none" w:pos="85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in the case of paragraph (a) above:</w:t>
      </w:r>
    </w:p>
    <w:p>
      <w:pPr>
        <w:spacing w:after="0" w:line="198" w:lineRule="exact"/>
        <w:rPr>
          <w:sz w:val="20"/>
          <w:szCs w:val="20"/>
          <w:color w:val="auto"/>
        </w:rPr>
      </w:pPr>
    </w:p>
    <w:p>
      <w:pPr>
        <w:ind w:left="1060" w:hanging="531"/>
        <w:spacing w:after="0"/>
        <w:tabs>
          <w:tab w:leader="none" w:pos="10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560" w:hanging="521"/>
        <w:spacing w:after="0"/>
        <w:tabs>
          <w:tab w:leader="none" w:pos="156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560" w:hanging="521"/>
        <w:spacing w:after="0"/>
        <w:tabs>
          <w:tab w:leader="none" w:pos="156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198" w:lineRule="exact"/>
        <w:rPr>
          <w:sz w:val="20"/>
          <w:szCs w:val="20"/>
          <w:color w:val="auto"/>
        </w:rPr>
      </w:pPr>
    </w:p>
    <w:p>
      <w:pPr>
        <w:ind w:left="1060" w:hanging="531"/>
        <w:spacing w:after="0"/>
        <w:tabs>
          <w:tab w:leader="none" w:pos="10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hanging="512"/>
        <w:spacing w:after="0" w:line="246" w:lineRule="auto"/>
        <w:tabs>
          <w:tab w:leader="none" w:pos="679"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each Finance Party, each Receiver, any Delegate and any other attorney, agent or other person appointed by them under the Finance Documents;</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hanging="552"/>
        <w:spacing w:after="0"/>
        <w:tabs>
          <w:tab w:leader="none" w:pos="5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98" w:lineRule="exact"/>
        <w:rPr>
          <w:rFonts w:ascii="Arial" w:cs="Arial" w:eastAsia="Arial" w:hAnsi="Arial"/>
          <w:sz w:val="18"/>
          <w:szCs w:val="18"/>
          <w:color w:val="auto"/>
        </w:rPr>
      </w:pPr>
    </w:p>
    <w:p>
      <w:pPr>
        <w:ind w:left="520" w:hanging="512"/>
        <w:spacing w:after="0" w:line="246" w:lineRule="auto"/>
        <w:tabs>
          <w:tab w:leader="none" w:pos="571" w:val="left"/>
        </w:tabs>
        <w:numPr>
          <w:ilvl w:val="0"/>
          <w:numId w:val="466"/>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86" w:name="page187"/>
    <w:bookmarkEnd w:id="186"/>
    <w:p>
      <w:pPr>
        <w:jc w:val="both"/>
        <w:ind w:left="520" w:hanging="512"/>
        <w:spacing w:after="0" w:line="238" w:lineRule="auto"/>
        <w:tabs>
          <w:tab w:leader="none" w:pos="74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88" w:lineRule="exact"/>
        <w:rPr>
          <w:rFonts w:ascii="Arial" w:cs="Arial" w:eastAsia="Arial" w:hAnsi="Arial"/>
          <w:sz w:val="18"/>
          <w:szCs w:val="18"/>
          <w:color w:val="auto"/>
        </w:rPr>
      </w:pPr>
    </w:p>
    <w:p>
      <w:pPr>
        <w:jc w:val="both"/>
        <w:ind w:left="520" w:hanging="512"/>
        <w:spacing w:after="0" w:line="238" w:lineRule="auto"/>
        <w:tabs>
          <w:tab w:leader="none" w:pos="65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91" w:lineRule="exact"/>
        <w:rPr>
          <w:rFonts w:ascii="Arial" w:cs="Arial" w:eastAsia="Arial" w:hAnsi="Arial"/>
          <w:sz w:val="18"/>
          <w:szCs w:val="18"/>
          <w:color w:val="auto"/>
        </w:rPr>
      </w:pPr>
    </w:p>
    <w:p>
      <w:pPr>
        <w:ind w:left="1040" w:hanging="511"/>
        <w:spacing w:after="0" w:line="246" w:lineRule="auto"/>
        <w:tabs>
          <w:tab w:leader="none" w:pos="1405" w:val="left"/>
        </w:tabs>
        <w:numPr>
          <w:ilvl w:val="1"/>
          <w:numId w:val="467"/>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83" w:lineRule="exact"/>
        <w:rPr>
          <w:rFonts w:ascii="Arial" w:cs="Arial" w:eastAsia="Arial" w:hAnsi="Arial"/>
          <w:sz w:val="18"/>
          <w:szCs w:val="18"/>
          <w:color w:val="auto"/>
        </w:rPr>
      </w:pPr>
    </w:p>
    <w:p>
      <w:pPr>
        <w:ind w:left="1060" w:hanging="531"/>
        <w:spacing w:after="0"/>
        <w:tabs>
          <w:tab w:leader="none" w:pos="10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198" w:lineRule="exact"/>
        <w:rPr>
          <w:rFonts w:ascii="Arial" w:cs="Arial" w:eastAsia="Arial" w:hAnsi="Arial"/>
          <w:sz w:val="18"/>
          <w:szCs w:val="18"/>
          <w:color w:val="auto"/>
        </w:rPr>
      </w:pPr>
    </w:p>
    <w:p>
      <w:pPr>
        <w:jc w:val="both"/>
        <w:ind w:left="520" w:hanging="512"/>
        <w:spacing w:after="0"/>
        <w:tabs>
          <w:tab w:leader="none" w:pos="75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89" w:lineRule="exact"/>
        <w:rPr>
          <w:rFonts w:ascii="Arial" w:cs="Arial" w:eastAsia="Arial" w:hAnsi="Arial"/>
          <w:sz w:val="18"/>
          <w:szCs w:val="18"/>
          <w:color w:val="auto"/>
        </w:rPr>
      </w:pPr>
    </w:p>
    <w:p>
      <w:pPr>
        <w:ind w:left="520" w:right="20" w:hanging="512"/>
        <w:spacing w:after="0" w:line="246" w:lineRule="auto"/>
        <w:tabs>
          <w:tab w:leader="none" w:pos="108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83" w:lineRule="exact"/>
        <w:rPr>
          <w:rFonts w:ascii="Arial" w:cs="Arial" w:eastAsia="Arial" w:hAnsi="Arial"/>
          <w:sz w:val="18"/>
          <w:szCs w:val="18"/>
          <w:color w:val="auto"/>
        </w:rPr>
      </w:pPr>
    </w:p>
    <w:p>
      <w:pPr>
        <w:ind w:left="520" w:right="20" w:hanging="512"/>
        <w:spacing w:after="0" w:line="246" w:lineRule="auto"/>
        <w:tabs>
          <w:tab w:leader="none" w:pos="557"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83" w:lineRule="exact"/>
        <w:rPr>
          <w:rFonts w:ascii="Arial" w:cs="Arial" w:eastAsia="Arial" w:hAnsi="Arial"/>
          <w:sz w:val="18"/>
          <w:szCs w:val="18"/>
          <w:color w:val="auto"/>
        </w:rPr>
      </w:pPr>
    </w:p>
    <w:p>
      <w:pPr>
        <w:jc w:val="both"/>
        <w:ind w:left="520" w:hanging="512"/>
        <w:spacing w:after="0"/>
        <w:tabs>
          <w:tab w:leader="none" w:pos="61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9" w:lineRule="exact"/>
        <w:rPr>
          <w:rFonts w:ascii="Arial" w:cs="Arial" w:eastAsia="Arial" w:hAnsi="Arial"/>
          <w:sz w:val="18"/>
          <w:szCs w:val="18"/>
          <w:color w:val="auto"/>
        </w:rPr>
      </w:pPr>
    </w:p>
    <w:p>
      <w:pPr>
        <w:ind w:left="520" w:right="20" w:hanging="512"/>
        <w:spacing w:after="0" w:line="246" w:lineRule="auto"/>
        <w:tabs>
          <w:tab w:leader="none" w:pos="61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76"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Insurance Notice </w:t>
      </w:r>
      <w:r>
        <w:rPr>
          <w:rFonts w:ascii="Arial" w:cs="Arial" w:eastAsia="Arial" w:hAnsi="Arial"/>
          <w:sz w:val="18"/>
          <w:szCs w:val="18"/>
          <w:color w:val="auto"/>
        </w:rPr>
        <w:t>means, in relation to a Ship, a notice of assignment in the form scheduled to that Ship’s General Assignment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Deed of Covenant or in another approved form.</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a Ship:</w:t>
      </w:r>
    </w:p>
    <w:p>
      <w:pPr>
        <w:spacing w:after="0" w:line="220" w:lineRule="exact"/>
        <w:rPr>
          <w:sz w:val="20"/>
          <w:szCs w:val="20"/>
          <w:color w:val="auto"/>
        </w:rPr>
      </w:pPr>
    </w:p>
    <w:p>
      <w:pPr>
        <w:ind w:left="540" w:hanging="522"/>
        <w:spacing w:after="0"/>
        <w:tabs>
          <w:tab w:leader="none" w:pos="5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198" w:lineRule="exact"/>
        <w:rPr>
          <w:rFonts w:ascii="Arial" w:cs="Arial" w:eastAsia="Arial" w:hAnsi="Arial"/>
          <w:sz w:val="18"/>
          <w:szCs w:val="18"/>
          <w:color w:val="auto"/>
        </w:rPr>
      </w:pPr>
    </w:p>
    <w:p>
      <w:pPr>
        <w:ind w:left="540" w:hanging="522"/>
        <w:spacing w:after="0"/>
        <w:tabs>
          <w:tab w:leader="none" w:pos="5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19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2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87" w:name="page188"/>
    <w:bookmarkEnd w:id="187"/>
    <w:p>
      <w:pPr>
        <w:jc w:val="both"/>
        <w:ind w:left="20"/>
        <w:spacing w:after="0" w:line="271"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an Advance,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4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Interpolated Screen Rate </w:t>
      </w:r>
      <w:r>
        <w:rPr>
          <w:rFonts w:ascii="Arial" w:cs="Arial" w:eastAsia="Arial" w:hAnsi="Arial"/>
          <w:sz w:val="18"/>
          <w:szCs w:val="18"/>
          <w:color w:val="auto"/>
        </w:rPr>
        <w:t>means, in relation to LIBOR for an Interest Period with respect to any Advance or any part of it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Unpaid Sum, the rate (rounded to the same number of decimal places as the two relevant Screen Rates) which results from interpolating on a linear basis between:</w:t>
      </w:r>
    </w:p>
    <w:p>
      <w:pPr>
        <w:spacing w:after="0" w:line="177" w:lineRule="exact"/>
        <w:rPr>
          <w:sz w:val="20"/>
          <w:szCs w:val="20"/>
          <w:color w:val="auto"/>
        </w:rPr>
      </w:pPr>
    </w:p>
    <w:p>
      <w:pPr>
        <w:ind w:left="520" w:hanging="502"/>
        <w:spacing w:after="0" w:line="246" w:lineRule="auto"/>
        <w:tabs>
          <w:tab w:leader="none" w:pos="86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that Advance or the relevant Unpaid Sum; and</w:t>
      </w:r>
    </w:p>
    <w:p>
      <w:pPr>
        <w:spacing w:after="0" w:line="183" w:lineRule="exact"/>
        <w:rPr>
          <w:rFonts w:ascii="Arial" w:cs="Arial" w:eastAsia="Arial" w:hAnsi="Arial"/>
          <w:sz w:val="18"/>
          <w:szCs w:val="18"/>
          <w:color w:val="auto"/>
        </w:rPr>
      </w:pPr>
    </w:p>
    <w:p>
      <w:pPr>
        <w:ind w:left="520" w:hanging="502"/>
        <w:spacing w:after="0" w:line="246" w:lineRule="auto"/>
        <w:tabs>
          <w:tab w:leader="none" w:pos="59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that Advance or the relevant Unpaid Sum,</w:t>
      </w:r>
    </w:p>
    <w:p>
      <w:pPr>
        <w:spacing w:after="0" w:line="183"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each as of 11:00 a.m. on the relevant Quotation Day, and if that applicable interpolated rate is less than zero (0), the Interpolated Screen Rate shall be deemed to be zero (0).</w:t>
      </w:r>
    </w:p>
    <w:p>
      <w:pPr>
        <w:spacing w:after="0" w:line="16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Inventory of Hazardous Materials </w:t>
      </w:r>
      <w:r>
        <w:rPr>
          <w:rFonts w:ascii="Arial" w:cs="Arial" w:eastAsia="Arial" w:hAnsi="Arial"/>
          <w:sz w:val="18"/>
          <w:szCs w:val="18"/>
          <w:color w:val="auto"/>
        </w:rPr>
        <w:t>means, in relation to a Mortgaged Ship, a document describing the materials present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Mortgaged Ship’s structure and equipment that may be hazardous to human health or the environment along with their respective location and approximate quantities.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 the earlier of (a) 31 August 2020 and (b) two (2) months from the date of this Agreement.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0" w:lineRule="exact"/>
        <w:rPr>
          <w:sz w:val="20"/>
          <w:szCs w:val="20"/>
          <w:color w:val="auto"/>
        </w:rPr>
      </w:pPr>
    </w:p>
    <w:p>
      <w:pPr>
        <w:ind w:left="520" w:hanging="512"/>
        <w:spacing w:after="0" w:line="246" w:lineRule="auto"/>
        <w:tabs>
          <w:tab w:leader="none" w:pos="59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83" w:lineRule="exact"/>
        <w:rPr>
          <w:rFonts w:ascii="Arial" w:cs="Arial" w:eastAsia="Arial" w:hAnsi="Arial"/>
          <w:sz w:val="18"/>
          <w:szCs w:val="18"/>
          <w:color w:val="auto"/>
        </w:rPr>
      </w:pPr>
    </w:p>
    <w:p>
      <w:pPr>
        <w:jc w:val="both"/>
        <w:ind w:left="520" w:hanging="512"/>
        <w:spacing w:after="0"/>
        <w:tabs>
          <w:tab w:leader="none" w:pos="949"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98" w:lineRule="exact"/>
        <w:rPr>
          <w:rFonts w:ascii="Arial" w:cs="Arial" w:eastAsia="Arial" w:hAnsi="Arial"/>
          <w:sz w:val="18"/>
          <w:szCs w:val="18"/>
          <w:color w:val="auto"/>
        </w:rPr>
      </w:pPr>
    </w:p>
    <w:p>
      <w:pPr>
        <w:ind w:left="520" w:right="20" w:hanging="512"/>
        <w:spacing w:after="0" w:line="246" w:lineRule="auto"/>
        <w:tabs>
          <w:tab w:leader="none" w:pos="85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 Legal Opinion.</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0" w:lineRule="exact"/>
        <w:rPr>
          <w:sz w:val="20"/>
          <w:szCs w:val="20"/>
          <w:color w:val="auto"/>
        </w:rPr>
      </w:pPr>
    </w:p>
    <w:p>
      <w:pPr>
        <w:ind w:left="560" w:hanging="552"/>
        <w:spacing w:after="0"/>
        <w:tabs>
          <w:tab w:leader="none" w:pos="5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198" w:lineRule="exact"/>
        <w:rPr>
          <w:rFonts w:ascii="Arial" w:cs="Arial" w:eastAsia="Arial" w:hAnsi="Arial"/>
          <w:sz w:val="18"/>
          <w:szCs w:val="18"/>
          <w:color w:val="auto"/>
        </w:rPr>
      </w:pPr>
    </w:p>
    <w:p>
      <w:pPr>
        <w:ind w:left="520" w:right="20" w:hanging="512"/>
        <w:spacing w:after="0" w:line="246" w:lineRule="auto"/>
        <w:tabs>
          <w:tab w:leader="none" w:pos="7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Advance or any part of it or any Unpaid Sum:</w:t>
      </w:r>
    </w:p>
    <w:p>
      <w:pPr>
        <w:spacing w:after="0" w:line="22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88" w:name="page189"/>
    <w:bookmarkEnd w:id="188"/>
    <w:p>
      <w:pPr>
        <w:ind w:left="512" w:hanging="512"/>
        <w:spacing w:after="0" w:line="246" w:lineRule="auto"/>
        <w:tabs>
          <w:tab w:leader="none" w:pos="53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applicable Screen Rate as of 11:00 a.m. on the relevant Quotation Day for the currency of that Advance for a period equal in length to the Interest Period for that Advance or relevant part of it or Unpaid Sum; or</w:t>
      </w:r>
    </w:p>
    <w:p>
      <w:pPr>
        <w:spacing w:after="0" w:line="165" w:lineRule="exact"/>
        <w:rPr>
          <w:rFonts w:ascii="Arial" w:cs="Arial" w:eastAsia="Arial" w:hAnsi="Arial"/>
          <w:sz w:val="18"/>
          <w:szCs w:val="18"/>
          <w:color w:val="auto"/>
        </w:rPr>
      </w:pPr>
    </w:p>
    <w:p>
      <w:pPr>
        <w:ind w:left="532" w:hanging="532"/>
        <w:spacing w:after="0"/>
        <w:tabs>
          <w:tab w:leader="none" w:pos="5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16" w:lineRule="exact"/>
        <w:rPr>
          <w:sz w:val="20"/>
          <w:szCs w:val="20"/>
          <w:color w:val="auto"/>
        </w:rPr>
      </w:pPr>
    </w:p>
    <w:p>
      <w:pPr>
        <w:ind w:left="12"/>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176" w:lineRule="exact"/>
        <w:rPr>
          <w:sz w:val="20"/>
          <w:szCs w:val="20"/>
          <w:color w:val="auto"/>
        </w:rPr>
      </w:pPr>
    </w:p>
    <w:p>
      <w:pPr>
        <w:ind w:left="12" w:right="20"/>
        <w:spacing w:after="0" w:line="271"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or to be made under the Facility or the aggregate principal amount of the Advances outstanding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being.</w:t>
      </w:r>
    </w:p>
    <w:p>
      <w:pPr>
        <w:spacing w:after="0" w:line="140" w:lineRule="exact"/>
        <w:rPr>
          <w:sz w:val="20"/>
          <w:szCs w:val="20"/>
          <w:color w:val="auto"/>
        </w:rPr>
      </w:pPr>
    </w:p>
    <w:p>
      <w:pPr>
        <w:ind w:left="12"/>
        <w:spacing w:after="0" w:line="271" w:lineRule="auto"/>
        <w:rPr>
          <w:sz w:val="20"/>
          <w:szCs w:val="20"/>
          <w:color w:val="auto"/>
        </w:rPr>
      </w:pPr>
      <w:r>
        <w:rPr>
          <w:rFonts w:ascii="Arial" w:cs="Arial" w:eastAsia="Arial" w:hAnsi="Arial"/>
          <w:sz w:val="18"/>
          <w:szCs w:val="18"/>
          <w:b w:val="1"/>
          <w:bCs w:val="1"/>
          <w:color w:val="auto"/>
        </w:rPr>
        <w:t xml:space="preserve">Loss Payable Clauses </w:t>
      </w:r>
      <w:r>
        <w:rPr>
          <w:rFonts w:ascii="Arial" w:cs="Arial" w:eastAsia="Arial" w:hAnsi="Arial"/>
          <w:sz w:val="18"/>
          <w:szCs w:val="18"/>
          <w:color w:val="auto"/>
        </w:rPr>
        <w:t>means, in relation to a Ship, the provisions concerning payment of claims under the Ship’s Insurances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scheduled to the Ship’s General Assignment or (as the case may be) Deed of Covenant or in another approved form.</w:t>
      </w:r>
    </w:p>
    <w:p>
      <w:pPr>
        <w:spacing w:after="0" w:line="140" w:lineRule="exact"/>
        <w:rPr>
          <w:sz w:val="20"/>
          <w:szCs w:val="20"/>
          <w:color w:val="auto"/>
        </w:rPr>
      </w:pPr>
    </w:p>
    <w:p>
      <w:pPr>
        <w:ind w:left="12" w:right="20"/>
        <w:spacing w:after="0" w:line="271"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VAT) claims, actions, proceedings, penalties, fines, damages, judgments, orders or other sanctions.</w:t>
      </w:r>
    </w:p>
    <w:p>
      <w:pPr>
        <w:spacing w:after="0" w:line="140" w:lineRule="exact"/>
        <w:rPr>
          <w:sz w:val="20"/>
          <w:szCs w:val="20"/>
          <w:color w:val="auto"/>
        </w:rPr>
      </w:pPr>
    </w:p>
    <w:p>
      <w:pPr>
        <w:ind w:left="12"/>
        <w:spacing w:after="0" w:line="271"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w:t>
      </w:r>
      <w:r>
        <w:rPr>
          <w:rFonts w:ascii="Arial" w:cs="Arial" w:eastAsia="Arial" w:hAnsi="Arial"/>
          <w:sz w:val="18"/>
          <w:szCs w:val="18"/>
          <w:b w:val="1"/>
          <w:bCs w:val="1"/>
          <w:color w:val="auto"/>
        </w:rPr>
        <w:t xml:space="preserve"> </w:t>
      </w:r>
      <w:r>
        <w:rPr>
          <w:rFonts w:ascii="Arial" w:cs="Arial" w:eastAsia="Arial" w:hAnsi="Arial"/>
          <w:sz w:val="18"/>
          <w:szCs w:val="18"/>
          <w:color w:val="auto"/>
        </w:rPr>
        <w:t>exceed the Major Casualty Amount.</w:t>
      </w:r>
    </w:p>
    <w:p>
      <w:pPr>
        <w:spacing w:after="0" w:line="140" w:lineRule="exact"/>
        <w:rPr>
          <w:sz w:val="20"/>
          <w:szCs w:val="20"/>
          <w:color w:val="auto"/>
        </w:rPr>
      </w:pPr>
    </w:p>
    <w:p>
      <w:pPr>
        <w:ind w:left="12"/>
        <w:spacing w:after="0" w:line="271" w:lineRule="auto"/>
        <w:rPr>
          <w:sz w:val="20"/>
          <w:szCs w:val="20"/>
          <w:color w:val="auto"/>
        </w:rPr>
      </w:pPr>
      <w:r>
        <w:rPr>
          <w:rFonts w:ascii="Arial" w:cs="Arial" w:eastAsia="Arial" w:hAnsi="Arial"/>
          <w:sz w:val="18"/>
          <w:szCs w:val="18"/>
          <w:b w:val="1"/>
          <w:bCs w:val="1"/>
          <w:color w:val="auto"/>
        </w:rPr>
        <w:t xml:space="preserve">Major Casualty Amount </w:t>
      </w:r>
      <w:r>
        <w:rPr>
          <w:rFonts w:ascii="Arial" w:cs="Arial" w:eastAsia="Arial" w:hAnsi="Arial"/>
          <w:sz w:val="18"/>
          <w:szCs w:val="18"/>
          <w:color w:val="auto"/>
        </w:rPr>
        <w:t>means, in relation to a Ship, the amount specified as such against the name of that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the equivalent in any other currency.</w:t>
      </w:r>
    </w:p>
    <w:p>
      <w:pPr>
        <w:spacing w:after="0" w:line="140"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20" w:lineRule="exact"/>
        <w:rPr>
          <w:sz w:val="20"/>
          <w:szCs w:val="20"/>
          <w:color w:val="auto"/>
        </w:rPr>
      </w:pPr>
    </w:p>
    <w:p>
      <w:pPr>
        <w:ind w:left="512" w:right="20" w:hanging="512"/>
        <w:spacing w:after="0" w:line="246" w:lineRule="auto"/>
        <w:tabs>
          <w:tab w:leader="none" w:pos="64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no part of the Loan is then outstanding, a Lender or Lenders whose Commitments aggregate more than 66.66% of the Total Commitments; or</w:t>
      </w:r>
    </w:p>
    <w:p>
      <w:pPr>
        <w:spacing w:after="0" w:line="183" w:lineRule="exact"/>
        <w:rPr>
          <w:rFonts w:ascii="Arial" w:cs="Arial" w:eastAsia="Arial" w:hAnsi="Arial"/>
          <w:sz w:val="18"/>
          <w:szCs w:val="18"/>
          <w:color w:val="auto"/>
        </w:rPr>
      </w:pPr>
    </w:p>
    <w:p>
      <w:pPr>
        <w:ind w:left="532" w:hanging="532"/>
        <w:spacing w:after="0"/>
        <w:tabs>
          <w:tab w:leader="none" w:pos="53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at any other time, a Lender or Lenders whose participations in the Loan aggregate more than 66.66% of the Loan.</w:t>
      </w:r>
    </w:p>
    <w:p>
      <w:pPr>
        <w:spacing w:after="0" w:line="176"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Management Agreement </w:t>
      </w:r>
      <w:r>
        <w:rPr>
          <w:rFonts w:ascii="Arial" w:cs="Arial" w:eastAsia="Arial" w:hAnsi="Arial"/>
          <w:sz w:val="18"/>
          <w:szCs w:val="18"/>
          <w:color w:val="auto"/>
        </w:rPr>
        <w:t>means any management agreement of a Ship approved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98" w:lineRule="exact"/>
        <w:rPr>
          <w:sz w:val="20"/>
          <w:szCs w:val="20"/>
          <w:color w:val="auto"/>
        </w:rPr>
      </w:pPr>
    </w:p>
    <w:p>
      <w:pPr>
        <w:ind w:left="12"/>
        <w:spacing w:after="0" w:line="271"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in relation to a Ship, the Commercial Manager or the Technical Manager for that Ship and</w:t>
      </w:r>
      <w:r>
        <w:rPr>
          <w:rFonts w:ascii="Arial" w:cs="Arial" w:eastAsia="Arial" w:hAnsi="Arial"/>
          <w:sz w:val="18"/>
          <w:szCs w:val="18"/>
          <w:b w:val="1"/>
          <w:bCs w:val="1"/>
          <w:color w:val="auto"/>
        </w:rPr>
        <w:t xml:space="preserve"> Managers </w:t>
      </w:r>
      <w:r>
        <w:rPr>
          <w:rFonts w:ascii="Arial" w:cs="Arial" w:eastAsia="Arial" w:hAnsi="Arial"/>
          <w:sz w:val="18"/>
          <w:szCs w:val="18"/>
          <w:color w:val="auto"/>
        </w:rPr>
        <w:t>means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them.</w:t>
      </w:r>
    </w:p>
    <w:p>
      <w:pPr>
        <w:spacing w:after="0" w:line="140" w:lineRule="exact"/>
        <w:rPr>
          <w:sz w:val="20"/>
          <w:szCs w:val="20"/>
          <w:color w:val="auto"/>
        </w:rPr>
      </w:pPr>
    </w:p>
    <w:p>
      <w:pPr>
        <w:ind w:left="12"/>
        <w:spacing w:after="0" w:line="271"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in relation to a Ship, an undertaking by any manager of the Ship to the Security Agent in the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form, including if required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w:t>
      </w:r>
    </w:p>
    <w:p>
      <w:pPr>
        <w:spacing w:after="0" w:line="220" w:lineRule="exact"/>
        <w:rPr>
          <w:sz w:val="20"/>
          <w:szCs w:val="20"/>
          <w:color w:val="auto"/>
        </w:rPr>
      </w:pPr>
    </w:p>
    <w:p>
      <w:pPr>
        <w:ind w:left="552" w:hanging="552"/>
        <w:spacing w:after="0"/>
        <w:tabs>
          <w:tab w:leader="none" w:pos="55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2.70 per cent per annum for the period up to and including the date falling two (2) years after the first Utilisation Date; and</w:t>
      </w:r>
    </w:p>
    <w:p>
      <w:pPr>
        <w:spacing w:after="0" w:line="198" w:lineRule="exact"/>
        <w:rPr>
          <w:rFonts w:ascii="Arial" w:cs="Arial" w:eastAsia="Arial" w:hAnsi="Arial"/>
          <w:sz w:val="18"/>
          <w:szCs w:val="18"/>
          <w:color w:val="auto"/>
        </w:rPr>
      </w:pPr>
    </w:p>
    <w:p>
      <w:pPr>
        <w:ind w:left="512" w:hanging="512"/>
        <w:spacing w:after="0" w:line="246" w:lineRule="auto"/>
        <w:tabs>
          <w:tab w:leader="none" w:pos="53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for the period thereafter and ending on the Final Repayment Date, such an amount to be agreed in writing by the Borrowers and the Agent (on behalf of the Lenders) in accordance with clause 7.10 (</w:t>
      </w:r>
      <w:r>
        <w:rPr>
          <w:rFonts w:ascii="Arial" w:cs="Arial" w:eastAsia="Arial" w:hAnsi="Arial"/>
          <w:sz w:val="18"/>
          <w:szCs w:val="18"/>
          <w:i w:val="1"/>
          <w:iCs w:val="1"/>
          <w:color w:val="auto"/>
        </w:rPr>
        <w:t>Margin Reset</w:t>
      </w:r>
      <w:r>
        <w:rPr>
          <w:rFonts w:ascii="Arial" w:cs="Arial" w:eastAsia="Arial" w:hAnsi="Arial"/>
          <w:sz w:val="18"/>
          <w:szCs w:val="18"/>
          <w:color w:val="auto"/>
        </w:rPr>
        <w:t>).</w:t>
      </w:r>
    </w:p>
    <w:p>
      <w:pPr>
        <w:spacing w:after="0" w:line="161"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0" w:lineRule="exact"/>
        <w:rPr>
          <w:sz w:val="20"/>
          <w:szCs w:val="20"/>
          <w:color w:val="auto"/>
        </w:rPr>
      </w:pPr>
    </w:p>
    <w:p>
      <w:pPr>
        <w:ind w:left="552" w:hanging="552"/>
        <w:spacing w:after="0"/>
        <w:tabs>
          <w:tab w:leader="none" w:pos="55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business, operations, property, financial condition or performance of:</w:t>
      </w:r>
    </w:p>
    <w:p>
      <w:pPr>
        <w:spacing w:after="0" w:line="198" w:lineRule="exact"/>
        <w:rPr>
          <w:rFonts w:ascii="Arial" w:cs="Arial" w:eastAsia="Arial" w:hAnsi="Arial"/>
          <w:sz w:val="18"/>
          <w:szCs w:val="18"/>
          <w:color w:val="auto"/>
        </w:rPr>
      </w:pPr>
    </w:p>
    <w:p>
      <w:pPr>
        <w:ind w:left="1052" w:hanging="531"/>
        <w:spacing w:after="0"/>
        <w:tabs>
          <w:tab w:leader="none" w:pos="1052"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Obligor; or</w:t>
      </w:r>
    </w:p>
    <w:p>
      <w:pPr>
        <w:spacing w:after="0" w:line="198" w:lineRule="exact"/>
        <w:rPr>
          <w:rFonts w:ascii="Arial" w:cs="Arial" w:eastAsia="Arial" w:hAnsi="Arial"/>
          <w:sz w:val="18"/>
          <w:szCs w:val="18"/>
          <w:color w:val="auto"/>
        </w:rPr>
      </w:pPr>
    </w:p>
    <w:p>
      <w:pPr>
        <w:ind w:left="5012" w:right="3260" w:hanging="4491"/>
        <w:spacing w:after="0" w:line="481" w:lineRule="auto"/>
        <w:tabs>
          <w:tab w:leader="none" w:pos="10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at any time when GasLog is an Active Guarantor, the Group taken as a whole; or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-73660</wp:posOffset>
            </wp:positionV>
            <wp:extent cx="71532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32"/>
          </w:cols>
          <w:pgMar w:left="828" w:top="341" w:right="339" w:bottom="1440" w:gutter="0" w:footer="0" w:header="0"/>
        </w:sectPr>
      </w:pPr>
    </w:p>
    <w:bookmarkStart w:id="189" w:name="page190"/>
    <w:bookmarkEnd w:id="189"/>
    <w:p>
      <w:pPr>
        <w:ind w:left="1060" w:hanging="531"/>
        <w:spacing w:after="0"/>
        <w:tabs>
          <w:tab w:leader="none" w:pos="106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at any time when the Parent is an Active Guarantor, the Parent Group taken as a whole;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any of the Finance Documents; or</w:t>
      </w:r>
    </w:p>
    <w:p>
      <w:pPr>
        <w:spacing w:after="0" w:line="198" w:lineRule="exact"/>
        <w:rPr>
          <w:rFonts w:ascii="Arial" w:cs="Arial" w:eastAsia="Arial" w:hAnsi="Arial"/>
          <w:sz w:val="18"/>
          <w:szCs w:val="18"/>
          <w:color w:val="auto"/>
        </w:rPr>
      </w:pPr>
    </w:p>
    <w:p>
      <w:pPr>
        <w:jc w:val="both"/>
        <w:ind w:left="520" w:hanging="512"/>
        <w:spacing w:after="0"/>
        <w:tabs>
          <w:tab w:leader="none" w:pos="85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the Finance Documents or any of the rights or remedies of any Finance Party under any of the Finance Documents.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in respect of an Advance and at any time, the amount in dollars which is 130% of the aggregate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principal of such Advance and (b) an amount of the Hedging Exposure calculated to be equal to the ratio that such Advance bears to the Loan.</w:t>
      </w:r>
    </w:p>
    <w:p>
      <w:pPr>
        <w:spacing w:after="0" w:line="15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in relation to a Ship, a first priority or (as the case may be) first preferred mortgage of the Ship in the agreed form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Owner in favour of the Security Agent and/or any of the other Finance Parties.</w:t>
      </w:r>
    </w:p>
    <w:p>
      <w:pPr>
        <w:spacing w:after="0" w:line="14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a Mortgaged Ship, the period from the date the Mortgage over that Ship is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until the date such Mortgage is released and discharged or, if earlier, its Total Loss Date.</w:t>
      </w:r>
    </w:p>
    <w:p>
      <w:pPr>
        <w:spacing w:after="0" w:line="14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Mortgaged Ship </w:t>
      </w:r>
      <w:r>
        <w:rPr>
          <w:rFonts w:ascii="Arial" w:cs="Arial" w:eastAsia="Arial" w:hAnsi="Arial"/>
          <w:sz w:val="18"/>
          <w:szCs w:val="18"/>
          <w:color w:val="auto"/>
        </w:rPr>
        <w:t>means, at any relevant time, any Ship which is subject to a Mortgage and/or whose Earnings, Insurances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Requisition Compensation are subject to a Security Interest under the Finance Documents.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Non-Acceptable Charterer </w:t>
      </w:r>
      <w:r>
        <w:rPr>
          <w:rFonts w:ascii="Arial" w:cs="Arial" w:eastAsia="Arial" w:hAnsi="Arial"/>
          <w:sz w:val="18"/>
          <w:szCs w:val="18"/>
          <w:color w:val="auto"/>
        </w:rPr>
        <w:t>means a charterer who:</w:t>
      </w:r>
    </w:p>
    <w:p>
      <w:pPr>
        <w:spacing w:after="0" w:line="220" w:lineRule="exact"/>
        <w:rPr>
          <w:sz w:val="20"/>
          <w:szCs w:val="20"/>
          <w:color w:val="auto"/>
        </w:rPr>
      </w:pPr>
    </w:p>
    <w:p>
      <w:pPr>
        <w:ind w:left="520" w:hanging="512"/>
        <w:spacing w:after="0" w:line="246" w:lineRule="auto"/>
        <w:tabs>
          <w:tab w:leader="none" w:pos="85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is subject to Sanctions or otherwise a Prohibited Person, other than any such charterer with whom the relevant chartering activity by an Owner is not in breach of Sanctions; or</w:t>
      </w:r>
    </w:p>
    <w:p>
      <w:pPr>
        <w:spacing w:after="0" w:line="183" w:lineRule="exact"/>
        <w:rPr>
          <w:rFonts w:ascii="Arial" w:cs="Arial" w:eastAsia="Arial" w:hAnsi="Arial"/>
          <w:sz w:val="18"/>
          <w:szCs w:val="18"/>
          <w:color w:val="auto"/>
        </w:rPr>
      </w:pPr>
    </w:p>
    <w:p>
      <w:pPr>
        <w:jc w:val="both"/>
        <w:ind w:left="520" w:hanging="512"/>
        <w:spacing w:after="0" w:line="238" w:lineRule="auto"/>
        <w:tabs>
          <w:tab w:leader="none" w:pos="62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the Borrowers’ knowledge) is subject to a final, non-appealable order or judgment of a court of competent jurisdiction being the outcome of proceedings regarding sanctions, anti-bribery, anti-corruption, securities or environmental laws violations, to the extent such order or judgment would reasonably be expected to have a material adverse effect on the standing and reputation of such charterer.</w:t>
      </w:r>
    </w:p>
    <w:p>
      <w:pPr>
        <w:spacing w:after="0" w:line="16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Nordea 2016 Facility </w:t>
      </w:r>
      <w:r>
        <w:rPr>
          <w:rFonts w:ascii="Arial" w:cs="Arial" w:eastAsia="Arial" w:hAnsi="Arial"/>
          <w:sz w:val="18"/>
          <w:szCs w:val="18"/>
          <w:color w:val="auto"/>
        </w:rPr>
        <w:t>means the facilities agreement dated 19 July 2016 made between, among others, (a) GAS-one Ltd., GAS-two</w:t>
      </w:r>
      <w:r>
        <w:rPr>
          <w:rFonts w:ascii="Arial" w:cs="Arial" w:eastAsia="Arial" w:hAnsi="Arial"/>
          <w:sz w:val="18"/>
          <w:szCs w:val="18"/>
          <w:b w:val="1"/>
          <w:bCs w:val="1"/>
          <w:color w:val="auto"/>
        </w:rPr>
        <w:t xml:space="preserve"> </w:t>
      </w:r>
      <w:r>
        <w:rPr>
          <w:rFonts w:ascii="Arial" w:cs="Arial" w:eastAsia="Arial" w:hAnsi="Arial"/>
          <w:sz w:val="18"/>
          <w:szCs w:val="18"/>
          <w:color w:val="auto"/>
        </w:rPr>
        <w:t>Ltd., GAS-six Ltd., GAS-seven Ltd., GAS-eight Ltd., GAS-nine Ltd., GAS-ten Ltd. and GAS-fifteen Ltd. and (b) Nordea Bank ABP, London Branch as agent and security trustee as amended, supplemented and restated from time to time.</w:t>
      </w:r>
    </w:p>
    <w:p>
      <w:pPr>
        <w:spacing w:after="0" w:line="15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Notifiable Debt Purchase Transaction </w:t>
      </w:r>
      <w:r>
        <w:rPr>
          <w:rFonts w:ascii="Arial" w:cs="Arial" w:eastAsia="Arial" w:hAnsi="Arial"/>
          <w:sz w:val="18"/>
          <w:szCs w:val="18"/>
          <w:color w:val="auto"/>
        </w:rPr>
        <w:t>has the meaning given to that term in clause 33.3(b) (</w:t>
      </w:r>
      <w:r>
        <w:rPr>
          <w:rFonts w:ascii="Arial" w:cs="Arial" w:eastAsia="Arial" w:hAnsi="Arial"/>
          <w:sz w:val="18"/>
          <w:szCs w:val="18"/>
          <w:i w:val="1"/>
          <w:iCs w:val="1"/>
          <w:color w:val="auto"/>
        </w:rPr>
        <w:t>Disenfranchisement of Debt Purchase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Transactions entered into by Affiliates</w:t>
      </w:r>
      <w:r>
        <w:rPr>
          <w:rFonts w:ascii="Arial" w:cs="Arial" w:eastAsia="Arial" w:hAnsi="Arial"/>
          <w:sz w:val="18"/>
          <w:szCs w:val="18"/>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together the Borrowers and the Guarantors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20" w:lineRule="exact"/>
        <w:rPr>
          <w:sz w:val="20"/>
          <w:szCs w:val="20"/>
          <w:color w:val="auto"/>
        </w:rPr>
      </w:pPr>
    </w:p>
    <w:p>
      <w:pPr>
        <w:ind w:left="540" w:hanging="522"/>
        <w:spacing w:after="0"/>
        <w:tabs>
          <w:tab w:leader="none" w:pos="5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GasLog for its financial year ended on 31 December 2019;</w:t>
      </w:r>
    </w:p>
    <w:p>
      <w:pPr>
        <w:spacing w:after="0" w:line="198" w:lineRule="exact"/>
        <w:rPr>
          <w:rFonts w:ascii="Arial" w:cs="Arial" w:eastAsia="Arial" w:hAnsi="Arial"/>
          <w:sz w:val="18"/>
          <w:szCs w:val="18"/>
          <w:color w:val="auto"/>
        </w:rPr>
      </w:pPr>
    </w:p>
    <w:p>
      <w:pPr>
        <w:ind w:left="500" w:hanging="482"/>
        <w:spacing w:after="0"/>
        <w:tabs>
          <w:tab w:leader="none" w:pos="5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GasLog Carriers for the financial year ended on 31 December 2019;</w:t>
      </w:r>
    </w:p>
    <w:p>
      <w:pPr>
        <w:spacing w:after="0" w:line="198" w:lineRule="exact"/>
        <w:rPr>
          <w:rFonts w:ascii="Arial" w:cs="Arial" w:eastAsia="Arial" w:hAnsi="Arial"/>
          <w:sz w:val="18"/>
          <w:szCs w:val="18"/>
          <w:color w:val="auto"/>
        </w:rPr>
      </w:pPr>
    </w:p>
    <w:p>
      <w:pPr>
        <w:ind w:left="500" w:hanging="486"/>
        <w:spacing w:after="0"/>
        <w:tabs>
          <w:tab w:leader="none" w:pos="5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its financial year ended on 31 December 2019; and</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90" w:name="page191"/>
    <w:bookmarkEnd w:id="190"/>
    <w:p>
      <w:pPr>
        <w:ind w:left="540" w:hanging="522"/>
        <w:spacing w:after="0"/>
        <w:tabs>
          <w:tab w:leader="none" w:pos="5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GasLog Holdings for the financial year ended on 31 December 2019.</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20" w:lineRule="exact"/>
        <w:rPr>
          <w:sz w:val="20"/>
          <w:szCs w:val="20"/>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198"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Deeds of Covenant in relation to each of the Ships in respect of which the Mortgage is in account current form;</w:t>
      </w:r>
    </w:p>
    <w:p>
      <w:pPr>
        <w:spacing w:after="0" w:line="198"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General Assignments in relation to each of the Ships in respect of which the Mortgage is in preferred form;</w:t>
      </w:r>
    </w:p>
    <w:p>
      <w:pPr>
        <w:spacing w:after="0" w:line="198"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Charter Assignment in relation to each Ship’s Charter Documents;</w:t>
      </w:r>
    </w:p>
    <w:p>
      <w:pPr>
        <w:spacing w:after="0" w:line="198"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198" w:lineRule="exact"/>
        <w:rPr>
          <w:rFonts w:ascii="Arial" w:cs="Arial" w:eastAsia="Arial" w:hAnsi="Arial"/>
          <w:sz w:val="18"/>
          <w:szCs w:val="18"/>
          <w:color w:val="auto"/>
        </w:rPr>
      </w:pPr>
    </w:p>
    <w:p>
      <w:pPr>
        <w:ind w:left="520" w:hanging="502"/>
        <w:spacing w:after="0"/>
        <w:tabs>
          <w:tab w:leader="none" w:pos="5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Share Security in relation to each Borrower;</w:t>
      </w:r>
    </w:p>
    <w:p>
      <w:pPr>
        <w:spacing w:after="0" w:line="198"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Hedging Contract Security;</w:t>
      </w:r>
    </w:p>
    <w:p>
      <w:pPr>
        <w:spacing w:after="0" w:line="180"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Manager’s Undertaking in relation to a Ship, including if required under clause 22.3 (</w:t>
      </w:r>
      <w:r>
        <w:rPr>
          <w:rFonts w:ascii="Arial" w:cs="Arial" w:eastAsia="Arial" w:hAnsi="Arial"/>
          <w:sz w:val="18"/>
          <w:szCs w:val="18"/>
          <w:i w:val="1"/>
          <w:iCs w:val="1"/>
          <w:color w:val="auto"/>
        </w:rPr>
        <w:t>Manager</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540" w:hanging="522"/>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Security Power of Attorney.</w:t>
      </w:r>
    </w:p>
    <w:p>
      <w:pPr>
        <w:spacing w:after="0" w:line="17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means, in relation to a Ship, the Borrower specified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Owners </w:t>
      </w:r>
      <w:r>
        <w:rPr>
          <w:rFonts w:ascii="Arial" w:cs="Arial" w:eastAsia="Arial" w:hAnsi="Arial"/>
          <w:sz w:val="18"/>
          <w:szCs w:val="18"/>
          <w:color w:val="auto"/>
        </w:rPr>
        <w:t>means all of them.</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Parent Affiliate </w:t>
      </w:r>
      <w:r>
        <w:rPr>
          <w:rFonts w:ascii="Arial" w:cs="Arial" w:eastAsia="Arial" w:hAnsi="Arial"/>
          <w:sz w:val="18"/>
          <w:szCs w:val="18"/>
          <w:color w:val="auto"/>
        </w:rPr>
        <w:t>means the Parent, each of its Affiliates, any trust of which the Parent or any of its Affiliates is a trustee,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of which the Parent or any of its Affiliates is a partner and any trust, fund or other entity which is managed by, or is under the control of, the Parent or any of its Affiliates.</w:t>
      </w:r>
    </w:p>
    <w:p>
      <w:pPr>
        <w:spacing w:after="0" w:line="15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Parent Group </w:t>
      </w:r>
      <w:r>
        <w:rPr>
          <w:rFonts w:ascii="Arial" w:cs="Arial" w:eastAsia="Arial" w:hAnsi="Arial"/>
          <w:sz w:val="18"/>
          <w:szCs w:val="18"/>
          <w:color w:val="auto"/>
        </w:rPr>
        <w:t>means the Parent and its Subsidiaries for the time being and, for the purposes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any other entity required to be treated as a subsidiary in the Parent’s consolidated accounts in accordance with GAAP and/or any applicable law.</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Parent Group Member </w:t>
      </w:r>
      <w:r>
        <w:rPr>
          <w:rFonts w:ascii="Arial" w:cs="Arial" w:eastAsia="Arial" w:hAnsi="Arial"/>
          <w:sz w:val="18"/>
          <w:szCs w:val="18"/>
          <w:color w:val="auto"/>
        </w:rPr>
        <w:t>means any entity which is part of the Parent Group.</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Parent Relevant Borrower </w:t>
      </w:r>
      <w:r>
        <w:rPr>
          <w:rFonts w:ascii="Arial" w:cs="Arial" w:eastAsia="Arial" w:hAnsi="Arial"/>
          <w:sz w:val="18"/>
          <w:szCs w:val="18"/>
          <w:color w:val="auto"/>
        </w:rPr>
        <w:t>means, at any relevant time, a Borrower:</w:t>
      </w:r>
    </w:p>
    <w:p>
      <w:pPr>
        <w:spacing w:after="0" w:line="220" w:lineRule="exact"/>
        <w:rPr>
          <w:sz w:val="20"/>
          <w:szCs w:val="20"/>
          <w:color w:val="auto"/>
        </w:rPr>
      </w:pPr>
    </w:p>
    <w:p>
      <w:pPr>
        <w:ind w:left="560" w:hanging="552"/>
        <w:spacing w:after="0"/>
        <w:tabs>
          <w:tab w:leader="none" w:pos="5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controlled at such relevant time by the Parent and/or GasLog Holdings; and/or</w:t>
      </w:r>
    </w:p>
    <w:p>
      <w:pPr>
        <w:spacing w:after="0" w:line="198" w:lineRule="exact"/>
        <w:rPr>
          <w:rFonts w:ascii="Arial" w:cs="Arial" w:eastAsia="Arial" w:hAnsi="Arial"/>
          <w:sz w:val="18"/>
          <w:szCs w:val="18"/>
          <w:color w:val="auto"/>
        </w:rPr>
      </w:pPr>
    </w:p>
    <w:p>
      <w:pPr>
        <w:ind w:left="520" w:right="20" w:hanging="512"/>
        <w:spacing w:after="0" w:line="246" w:lineRule="auto"/>
        <w:tabs>
          <w:tab w:leader="none" w:pos="89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majority of the voting share capital of which is owned (whether directly or indirectly) by the Parent and/or by GasLog Holdings at such relevant time,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which is not a GasLog Relevant Borrower at that time.</w:t>
      </w:r>
    </w:p>
    <w:p>
      <w:pPr>
        <w:spacing w:after="0" w:line="176"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legislation of the European Union relating to Economic and Monetary Union.</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2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91" w:name="page192"/>
    <w:bookmarkEnd w:id="191"/>
    <w:p>
      <w:pPr>
        <w:jc w:val="both"/>
        <w:ind w:left="502" w:hanging="502"/>
        <w:spacing w:after="0" w:line="238" w:lineRule="auto"/>
        <w:tabs>
          <w:tab w:leader="none" w:pos="84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91" w:lineRule="exact"/>
        <w:rPr>
          <w:rFonts w:ascii="Arial" w:cs="Arial" w:eastAsia="Arial" w:hAnsi="Arial"/>
          <w:sz w:val="18"/>
          <w:szCs w:val="18"/>
          <w:color w:val="auto"/>
        </w:rPr>
      </w:pPr>
    </w:p>
    <w:p>
      <w:pPr>
        <w:ind w:left="502" w:hanging="502"/>
        <w:spacing w:after="0" w:line="246" w:lineRule="auto"/>
        <w:tabs>
          <w:tab w:leader="none" w:pos="77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83" w:lineRule="exact"/>
        <w:rPr>
          <w:rFonts w:ascii="Arial" w:cs="Arial" w:eastAsia="Arial" w:hAnsi="Arial"/>
          <w:sz w:val="18"/>
          <w:szCs w:val="18"/>
          <w:color w:val="auto"/>
        </w:rPr>
      </w:pPr>
    </w:p>
    <w:p>
      <w:pPr>
        <w:ind w:left="1042" w:hanging="531"/>
        <w:spacing w:after="0"/>
        <w:tabs>
          <w:tab w:leader="none" w:pos="1042" w:val="left"/>
        </w:tabs>
        <w:numPr>
          <w:ilvl w:val="1"/>
          <w:numId w:val="483"/>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98" w:lineRule="exact"/>
        <w:rPr>
          <w:rFonts w:ascii="Arial" w:cs="Arial" w:eastAsia="Arial" w:hAnsi="Arial"/>
          <w:sz w:val="18"/>
          <w:szCs w:val="18"/>
          <w:color w:val="auto"/>
        </w:rPr>
      </w:pPr>
    </w:p>
    <w:p>
      <w:pPr>
        <w:ind w:left="1042" w:hanging="531"/>
        <w:spacing w:after="0"/>
        <w:tabs>
          <w:tab w:leader="none" w:pos="1042" w:val="left"/>
        </w:tabs>
        <w:numPr>
          <w:ilvl w:val="1"/>
          <w:numId w:val="483"/>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76"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Permitted Holders </w:t>
      </w:r>
      <w:r>
        <w:rPr>
          <w:rFonts w:ascii="Arial" w:cs="Arial" w:eastAsia="Arial" w:hAnsi="Arial"/>
          <w:sz w:val="18"/>
          <w:szCs w:val="18"/>
          <w:color w:val="auto"/>
        </w:rPr>
        <w:t>means the persons disclosed by the Obligors to the Lenders in the negotiation of this Agreement as the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the affairs and composition of the majority of the board of directors of GasLog (as such persons are set out in item 7 (headed “Major Shareholder and related party transactions”) of the form 20-F relevant to the annual report submitted to the United States Securities and Exchange Commission by GasLog for the financial year ended on 31 December 2019).</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a Ship:</w:t>
      </w:r>
    </w:p>
    <w:p>
      <w:pPr>
        <w:spacing w:after="0" w:line="220" w:lineRule="exact"/>
        <w:rPr>
          <w:sz w:val="20"/>
          <w:szCs w:val="20"/>
          <w:color w:val="auto"/>
        </w:rPr>
      </w:pPr>
    </w:p>
    <w:p>
      <w:pPr>
        <w:ind w:left="502" w:hanging="502"/>
        <w:spacing w:after="0" w:line="246" w:lineRule="auto"/>
        <w:tabs>
          <w:tab w:leader="none" w:pos="87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such Ship for an amount not exceeding the Major Casualty Amount for such Ship;</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lien on such Ship for master’s, officer’s or crew’s wages outstanding in the ordinary course of its trading;</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lien on such Ship for salvage; and</w:t>
      </w:r>
    </w:p>
    <w:p>
      <w:pPr>
        <w:spacing w:after="0" w:line="198" w:lineRule="exact"/>
        <w:rPr>
          <w:rFonts w:ascii="Arial" w:cs="Arial" w:eastAsia="Arial" w:hAnsi="Arial"/>
          <w:sz w:val="18"/>
          <w:szCs w:val="18"/>
          <w:color w:val="auto"/>
        </w:rPr>
      </w:pPr>
    </w:p>
    <w:p>
      <w:pPr>
        <w:ind w:left="502" w:hanging="502"/>
        <w:spacing w:after="0" w:line="246" w:lineRule="auto"/>
        <w:tabs>
          <w:tab w:leader="none" w:pos="53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such Ship,</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color w:val="auto"/>
        </w:rPr>
        <w:t>each securing obligations not more than thirty (30) days overdue.</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any Mortgaged Ship, any Security Interest over it which is:</w:t>
      </w:r>
    </w:p>
    <w:p>
      <w:pPr>
        <w:spacing w:after="0" w:line="220" w:lineRule="exact"/>
        <w:rPr>
          <w:sz w:val="20"/>
          <w:szCs w:val="20"/>
          <w:color w:val="auto"/>
        </w:rPr>
      </w:pPr>
    </w:p>
    <w:p>
      <w:pPr>
        <w:ind w:left="522" w:hanging="522"/>
        <w:spacing w:after="0"/>
        <w:tabs>
          <w:tab w:leader="none" w:pos="52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198" w:lineRule="exact"/>
        <w:rPr>
          <w:rFonts w:ascii="Arial" w:cs="Arial" w:eastAsia="Arial" w:hAnsi="Arial"/>
          <w:sz w:val="18"/>
          <w:szCs w:val="18"/>
          <w:color w:val="auto"/>
        </w:rPr>
      </w:pPr>
    </w:p>
    <w:p>
      <w:pPr>
        <w:ind w:left="502" w:hanging="502"/>
        <w:spacing w:after="0" w:line="246" w:lineRule="auto"/>
        <w:tabs>
          <w:tab w:leader="none" w:pos="79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83" w:lineRule="exact"/>
        <w:rPr>
          <w:rFonts w:ascii="Arial" w:cs="Arial" w:eastAsia="Arial" w:hAnsi="Arial"/>
          <w:sz w:val="18"/>
          <w:szCs w:val="18"/>
          <w:color w:val="auto"/>
        </w:rPr>
      </w:pPr>
    </w:p>
    <w:p>
      <w:pPr>
        <w:ind w:left="502" w:hanging="502"/>
        <w:spacing w:after="0" w:line="246" w:lineRule="auto"/>
        <w:tabs>
          <w:tab w:leader="none" w:pos="53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approved by the Majority Lenders; or</w:t>
      </w:r>
    </w:p>
    <w:p>
      <w:pPr>
        <w:spacing w:after="0" w:line="198" w:lineRule="exact"/>
        <w:rPr>
          <w:rFonts w:ascii="Arial" w:cs="Arial" w:eastAsia="Arial" w:hAnsi="Arial"/>
          <w:sz w:val="18"/>
          <w:szCs w:val="18"/>
          <w:color w:val="auto"/>
        </w:rPr>
      </w:pPr>
    </w:p>
    <w:p>
      <w:pPr>
        <w:ind w:left="502" w:hanging="502"/>
        <w:spacing w:after="0" w:line="246" w:lineRule="auto"/>
        <w:tabs>
          <w:tab w:leader="none" w:pos="6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created in connection with the Existing Indebtedness, until the Existing Indebtedness is discharged in full and in any event not later than the first Utilisation Date,</w:t>
      </w:r>
    </w:p>
    <w:p>
      <w:pPr>
        <w:spacing w:after="0" w:line="18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92" w:name="page193"/>
    <w:bookmarkEnd w:id="192"/>
    <w:p>
      <w:pPr>
        <w:jc w:val="both"/>
        <w:ind w:left="2"/>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67"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release into the environment is regulated or penalised by Environmental Laws.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 to such term in clause 21.11(g)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a Ship, a letter by the Security Agent addressed to, and acknowledged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Owner and Charterer (or other charterer) of that Ship in the agreed form (other than in respect of the Charters at the date of this Agreement, including being subject to compliance with Sanctions laws to the extent sanctions provisions acceptable to the Lenders, acting reasonably, are not included in the relevant Charter).</w:t>
      </w:r>
    </w:p>
    <w:p>
      <w:pPr>
        <w:spacing w:after="0" w:line="160"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business days on which banks are</w:t>
      </w:r>
      <w:r>
        <w:rPr>
          <w:rFonts w:ascii="Arial" w:cs="Arial" w:eastAsia="Arial" w:hAnsi="Arial"/>
          <w:sz w:val="18"/>
          <w:szCs w:val="18"/>
          <w:b w:val="1"/>
          <w:bCs w:val="1"/>
          <w:color w:val="auto"/>
        </w:rPr>
        <w:t xml:space="preserve"> </w:t>
      </w:r>
      <w:r>
        <w:rPr>
          <w:rFonts w:ascii="Arial" w:cs="Arial" w:eastAsia="Arial" w:hAnsi="Arial"/>
          <w:sz w:val="18"/>
          <w:szCs w:val="18"/>
          <w:color w:val="auto"/>
        </w:rPr>
        <w:t>open for general business in London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63"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Charged Property under any relevant Security Document.</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set out in the document entitled “Basel III: Finalising post-crisis reforms” published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Basel Committee on Banking Supervision in December 2017, as amended, supplemented or restated.</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Registry </w:t>
      </w:r>
      <w:r>
        <w:rPr>
          <w:rFonts w:ascii="Arial" w:cs="Arial" w:eastAsia="Arial" w:hAnsi="Arial"/>
          <w:sz w:val="18"/>
          <w:szCs w:val="18"/>
          <w:color w:val="auto"/>
        </w:rPr>
        <w:t>means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each Ship, such registrar, commissioner or representative of the relevant Flag State who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authorised and empowered to register the relevant Ship, the relevant Owner’s title to such Ship and the relevant Mortgage under the laws of its Flag State.</w:t>
      </w:r>
    </w:p>
    <w:p>
      <w:pPr>
        <w:spacing w:after="0" w:line="15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Related Fund </w:t>
      </w:r>
      <w:r>
        <w:rPr>
          <w:rFonts w:ascii="Arial" w:cs="Arial" w:eastAsia="Arial" w:hAnsi="Arial"/>
          <w:sz w:val="18"/>
          <w:szCs w:val="18"/>
          <w:color w:val="auto"/>
        </w:rPr>
        <w:t>means in relation to a fund (the</w:t>
      </w:r>
      <w:r>
        <w:rPr>
          <w:rFonts w:ascii="Arial" w:cs="Arial" w:eastAsia="Arial" w:hAnsi="Arial"/>
          <w:sz w:val="18"/>
          <w:szCs w:val="18"/>
          <w:b w:val="1"/>
          <w:bCs w:val="1"/>
          <w:color w:val="auto"/>
        </w:rPr>
        <w:t xml:space="preserve"> first fund</w:t>
      </w:r>
      <w:r>
        <w:rPr>
          <w:rFonts w:ascii="Arial" w:cs="Arial" w:eastAsia="Arial" w:hAnsi="Arial"/>
          <w:sz w:val="18"/>
          <w:szCs w:val="18"/>
          <w:color w:val="auto"/>
        </w:rPr>
        <w:t>), means a fund which is managed or advised by the same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20" w:lineRule="exact"/>
        <w:rPr>
          <w:sz w:val="20"/>
          <w:szCs w:val="20"/>
          <w:color w:val="auto"/>
        </w:rPr>
      </w:pPr>
    </w:p>
    <w:p>
      <w:pPr>
        <w:ind w:left="522" w:hanging="522"/>
        <w:spacing w:after="0"/>
        <w:tabs>
          <w:tab w:leader="none" w:pos="52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 in relation to each Advance:</w:t>
      </w:r>
    </w:p>
    <w:p>
      <w:pPr>
        <w:spacing w:after="0" w:line="220" w:lineRule="exact"/>
        <w:rPr>
          <w:sz w:val="20"/>
          <w:szCs w:val="20"/>
          <w:color w:val="auto"/>
        </w:rPr>
      </w:pPr>
    </w:p>
    <w:p>
      <w:pPr>
        <w:ind w:left="662" w:hanging="662"/>
        <w:spacing w:after="0"/>
        <w:tabs>
          <w:tab w:leader="none" w:pos="66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First Repayment Date for such Advance;</w:t>
      </w:r>
    </w:p>
    <w:p>
      <w:pPr>
        <w:spacing w:after="0" w:line="198" w:lineRule="exact"/>
        <w:rPr>
          <w:rFonts w:ascii="Arial" w:cs="Arial" w:eastAsia="Arial" w:hAnsi="Arial"/>
          <w:sz w:val="18"/>
          <w:szCs w:val="18"/>
          <w:color w:val="auto"/>
        </w:rPr>
      </w:pPr>
    </w:p>
    <w:p>
      <w:pPr>
        <w:ind w:left="662" w:hanging="662"/>
        <w:spacing w:after="0"/>
        <w:tabs>
          <w:tab w:leader="none" w:pos="66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each of the dates falling six monthly intervals thereafter up to but not including the Final Repayment Date; and</w:t>
      </w:r>
    </w:p>
    <w:p>
      <w:pPr>
        <w:spacing w:after="0" w:line="198" w:lineRule="exact"/>
        <w:rPr>
          <w:rFonts w:ascii="Arial" w:cs="Arial" w:eastAsia="Arial" w:hAnsi="Arial"/>
          <w:sz w:val="18"/>
          <w:szCs w:val="18"/>
          <w:color w:val="auto"/>
        </w:rPr>
      </w:pPr>
    </w:p>
    <w:p>
      <w:pPr>
        <w:ind w:left="662" w:hanging="662"/>
        <w:spacing w:after="0"/>
        <w:tabs>
          <w:tab w:leader="none" w:pos="66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Final Repayment Date.</w:t>
      </w:r>
    </w:p>
    <w:p>
      <w:pPr>
        <w:spacing w:after="0" w:line="198"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93" w:name="page194"/>
    <w:bookmarkEnd w:id="193"/>
    <w:p>
      <w:pPr>
        <w:jc w:val="both"/>
        <w:ind w:left="12"/>
        <w:spacing w:after="0" w:line="271" w:lineRule="auto"/>
        <w:rPr>
          <w:sz w:val="20"/>
          <w:szCs w:val="20"/>
          <w:color w:val="auto"/>
        </w:rPr>
      </w:pPr>
      <w:r>
        <w:rPr>
          <w:rFonts w:ascii="Arial" w:cs="Arial" w:eastAsia="Arial" w:hAnsi="Arial"/>
          <w:sz w:val="18"/>
          <w:szCs w:val="18"/>
          <w:b w:val="1"/>
          <w:bCs w:val="1"/>
          <w:color w:val="auto"/>
        </w:rPr>
        <w:t xml:space="preserve">Repayment Schedule </w:t>
      </w:r>
      <w:r>
        <w:rPr>
          <w:rFonts w:ascii="Arial" w:cs="Arial" w:eastAsia="Arial" w:hAnsi="Arial"/>
          <w:sz w:val="18"/>
          <w:szCs w:val="18"/>
          <w:color w:val="auto"/>
        </w:rPr>
        <w:t>means in relation to each Borrower, the repayment schedule for the Advance relating to that Borrower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in Schedule 8 (</w:t>
      </w:r>
      <w:r>
        <w:rPr>
          <w:rFonts w:ascii="Arial" w:cs="Arial" w:eastAsia="Arial" w:hAnsi="Arial"/>
          <w:sz w:val="18"/>
          <w:szCs w:val="18"/>
          <w:i w:val="1"/>
          <w:iCs w:val="1"/>
          <w:color w:val="auto"/>
        </w:rPr>
        <w:t>Repayment Schedule</w:t>
      </w:r>
      <w:r>
        <w:rPr>
          <w:rFonts w:ascii="Arial" w:cs="Arial" w:eastAsia="Arial" w:hAnsi="Arial"/>
          <w:sz w:val="18"/>
          <w:szCs w:val="18"/>
          <w:color w:val="auto"/>
        </w:rPr>
        <w:t>).</w:t>
      </w:r>
    </w:p>
    <w:p>
      <w:pPr>
        <w:spacing w:after="0" w:line="140" w:lineRule="exact"/>
        <w:rPr>
          <w:sz w:val="20"/>
          <w:szCs w:val="20"/>
          <w:color w:val="auto"/>
        </w:rPr>
      </w:pPr>
    </w:p>
    <w:p>
      <w:pPr>
        <w:jc w:val="both"/>
        <w:ind w:left="12"/>
        <w:spacing w:after="0" w:line="253"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and warranties set out in clauses 18.1 (</w:t>
      </w:r>
      <w:r>
        <w:rPr>
          <w:rFonts w:ascii="Arial" w:cs="Arial" w:eastAsia="Arial" w:hAnsi="Arial"/>
          <w:sz w:val="18"/>
          <w:szCs w:val="18"/>
          <w:i w:val="1"/>
          <w:iCs w:val="1"/>
          <w:color w:val="auto"/>
        </w:rPr>
        <w:t>Status</w:t>
      </w:r>
      <w:r>
        <w:rPr>
          <w:rFonts w:ascii="Arial" w:cs="Arial" w:eastAsia="Arial" w:hAnsi="Arial"/>
          <w:sz w:val="18"/>
          <w:szCs w:val="18"/>
          <w:color w:val="auto"/>
        </w:rPr>
        <w:t>) to 18.10 (</w:t>
      </w:r>
      <w:r>
        <w:rPr>
          <w:rFonts w:ascii="Arial" w:cs="Arial" w:eastAsia="Arial" w:hAnsi="Arial"/>
          <w:sz w:val="18"/>
          <w:szCs w:val="18"/>
          <w:i w:val="1"/>
          <w:iCs w:val="1"/>
          <w:color w:val="auto"/>
        </w:rPr>
        <w:t>Ranking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effectiveness of security</w:t>
      </w:r>
      <w:r>
        <w:rPr>
          <w:rFonts w:ascii="Arial" w:cs="Arial" w:eastAsia="Arial" w:hAnsi="Arial"/>
          <w:sz w:val="18"/>
          <w:szCs w:val="18"/>
          <w:color w:val="auto"/>
        </w:rPr>
        <w:t>), 18.16 (</w:t>
      </w:r>
      <w:r>
        <w:rPr>
          <w:rFonts w:ascii="Arial" w:cs="Arial" w:eastAsia="Arial" w:hAnsi="Arial"/>
          <w:sz w:val="18"/>
          <w:szCs w:val="18"/>
          <w:i w:val="1"/>
          <w:iCs w:val="1"/>
          <w:color w:val="auto"/>
        </w:rPr>
        <w:t>No breach of laws</w:t>
      </w:r>
      <w:r>
        <w:rPr>
          <w:rFonts w:ascii="Arial" w:cs="Arial" w:eastAsia="Arial" w:hAnsi="Arial"/>
          <w:sz w:val="18"/>
          <w:szCs w:val="18"/>
          <w:color w:val="auto"/>
        </w:rPr>
        <w:t>), 18.20 (</w:t>
      </w:r>
      <w:r>
        <w:rPr>
          <w:rFonts w:ascii="Arial" w:cs="Arial" w:eastAsia="Arial" w:hAnsi="Arial"/>
          <w:sz w:val="18"/>
          <w:szCs w:val="18"/>
          <w:i w:val="1"/>
          <w:iCs w:val="1"/>
          <w:color w:val="auto"/>
        </w:rPr>
        <w:t>Security and Financial Indebtedness</w:t>
      </w:r>
      <w:r>
        <w:rPr>
          <w:rFonts w:ascii="Arial" w:cs="Arial" w:eastAsia="Arial" w:hAnsi="Arial"/>
          <w:sz w:val="18"/>
          <w:szCs w:val="18"/>
          <w:color w:val="auto"/>
        </w:rPr>
        <w:t>), 18.22 (</w:t>
      </w:r>
      <w:r>
        <w:rPr>
          <w:rFonts w:ascii="Arial" w:cs="Arial" w:eastAsia="Arial" w:hAnsi="Arial"/>
          <w:sz w:val="18"/>
          <w:szCs w:val="18"/>
          <w:i w:val="1"/>
          <w:iCs w:val="1"/>
          <w:color w:val="auto"/>
        </w:rPr>
        <w:t>Shares</w:t>
      </w:r>
      <w:r>
        <w:rPr>
          <w:rFonts w:ascii="Arial" w:cs="Arial" w:eastAsia="Arial" w:hAnsi="Arial"/>
          <w:sz w:val="18"/>
          <w:szCs w:val="18"/>
          <w:color w:val="auto"/>
        </w:rPr>
        <w:t>), 18.24 (</w:t>
      </w:r>
      <w:r>
        <w:rPr>
          <w:rFonts w:ascii="Arial" w:cs="Arial" w:eastAsia="Arial" w:hAnsi="Arial"/>
          <w:sz w:val="18"/>
          <w:szCs w:val="18"/>
          <w:i w:val="1"/>
          <w:iCs w:val="1"/>
          <w:color w:val="auto"/>
        </w:rPr>
        <w:t>No adverse consequences</w:t>
      </w:r>
      <w:r>
        <w:rPr>
          <w:rFonts w:ascii="Arial" w:cs="Arial" w:eastAsia="Arial" w:hAnsi="Arial"/>
          <w:sz w:val="18"/>
          <w:szCs w:val="18"/>
          <w:color w:val="auto"/>
        </w:rPr>
        <w:t>), 18.25 (</w:t>
      </w:r>
      <w:r>
        <w:rPr>
          <w:rFonts w:ascii="Arial" w:cs="Arial" w:eastAsia="Arial" w:hAnsi="Arial"/>
          <w:sz w:val="18"/>
          <w:szCs w:val="18"/>
          <w:i w:val="1"/>
          <w:iCs w:val="1"/>
          <w:color w:val="auto"/>
        </w:rPr>
        <w:t>Copies of documents</w:t>
      </w:r>
      <w:r>
        <w:rPr>
          <w:rFonts w:ascii="Arial" w:cs="Arial" w:eastAsia="Arial" w:hAnsi="Arial"/>
          <w:sz w:val="18"/>
          <w:szCs w:val="18"/>
          <w:color w:val="auto"/>
        </w:rPr>
        <w:t>) and 18.27 (</w:t>
      </w:r>
      <w:r>
        <w:rPr>
          <w:rFonts w:ascii="Arial" w:cs="Arial" w:eastAsia="Arial" w:hAnsi="Arial"/>
          <w:sz w:val="18"/>
          <w:szCs w:val="18"/>
          <w:i w:val="1"/>
          <w:iCs w:val="1"/>
          <w:color w:val="auto"/>
        </w:rPr>
        <w:t>No immunity</w:t>
      </w:r>
      <w:r>
        <w:rPr>
          <w:rFonts w:ascii="Arial" w:cs="Arial" w:eastAsia="Arial" w:hAnsi="Arial"/>
          <w:sz w:val="18"/>
          <w:szCs w:val="18"/>
          <w:color w:val="auto"/>
        </w:rPr>
        <w:t>).</w:t>
      </w:r>
    </w:p>
    <w:p>
      <w:pPr>
        <w:spacing w:after="0" w:line="155" w:lineRule="exact"/>
        <w:rPr>
          <w:sz w:val="20"/>
          <w:szCs w:val="20"/>
          <w:color w:val="auto"/>
        </w:rPr>
      </w:pPr>
    </w:p>
    <w:p>
      <w:pPr>
        <w:jc w:val="both"/>
        <w:ind w:left="12"/>
        <w:spacing w:after="0" w:line="271"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in relation to a Ship, any compensation paid or payable by a government entity for the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title, confiscation or compulsory acquisition of such Ship.</w:t>
      </w:r>
    </w:p>
    <w:p>
      <w:pPr>
        <w:spacing w:after="0" w:line="140" w:lineRule="exact"/>
        <w:rPr>
          <w:sz w:val="20"/>
          <w:szCs w:val="20"/>
          <w:color w:val="auto"/>
        </w:rPr>
      </w:pPr>
    </w:p>
    <w:p>
      <w:pPr>
        <w:jc w:val="both"/>
        <w:ind w:left="12"/>
        <w:spacing w:after="0" w:line="253" w:lineRule="auto"/>
        <w:rPr>
          <w:sz w:val="20"/>
          <w:szCs w:val="20"/>
          <w:color w:val="auto"/>
        </w:rPr>
      </w:pPr>
      <w:r>
        <w:rPr>
          <w:rFonts w:ascii="Arial" w:cs="Arial" w:eastAsia="Arial" w:hAnsi="Arial"/>
          <w:sz w:val="18"/>
          <w:szCs w:val="18"/>
          <w:b w:val="1"/>
          <w:bCs w:val="1"/>
          <w:color w:val="auto"/>
        </w:rPr>
        <w:t xml:space="preserve">Reverse Dropdown </w:t>
      </w:r>
      <w:r>
        <w:rPr>
          <w:rFonts w:ascii="Arial" w:cs="Arial" w:eastAsia="Arial" w:hAnsi="Arial"/>
          <w:sz w:val="18"/>
          <w:szCs w:val="18"/>
          <w:color w:val="auto"/>
        </w:rPr>
        <w:t>means a transfer of the shares in one or more Borrowers from GasLog Holdings or the Parent to GasLog Carriers</w:t>
      </w:r>
      <w:r>
        <w:rPr>
          <w:rFonts w:ascii="Arial" w:cs="Arial" w:eastAsia="Arial" w:hAnsi="Arial"/>
          <w:sz w:val="18"/>
          <w:szCs w:val="18"/>
          <w:b w:val="1"/>
          <w:bCs w:val="1"/>
          <w:color w:val="auto"/>
        </w:rPr>
        <w:t xml:space="preserve"> </w:t>
      </w:r>
      <w:r>
        <w:rPr>
          <w:rFonts w:ascii="Arial" w:cs="Arial" w:eastAsia="Arial" w:hAnsi="Arial"/>
          <w:sz w:val="18"/>
          <w:szCs w:val="18"/>
          <w:color w:val="auto"/>
        </w:rPr>
        <w:t>or GasLog (whether directly or indirectly), in accordance with the provisions of paragraph (b) of clause 21.5 (</w:t>
      </w:r>
      <w:r>
        <w:rPr>
          <w:rFonts w:ascii="Arial" w:cs="Arial" w:eastAsia="Arial" w:hAnsi="Arial"/>
          <w:sz w:val="18"/>
          <w:szCs w:val="18"/>
          <w:i w:val="1"/>
          <w:iCs w:val="1"/>
          <w:color w:val="auto"/>
        </w:rPr>
        <w:t>Change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w:t>
      </w:r>
      <w:r>
        <w:rPr>
          <w:rFonts w:ascii="Arial" w:cs="Arial" w:eastAsia="Arial" w:hAnsi="Arial"/>
          <w:sz w:val="18"/>
          <w:szCs w:val="18"/>
          <w:color w:val="auto"/>
        </w:rPr>
        <w:t>).</w:t>
      </w:r>
    </w:p>
    <w:p>
      <w:pPr>
        <w:spacing w:after="0" w:line="155"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jc w:val="both"/>
        <w:ind w:left="12"/>
        <w:spacing w:after="0" w:line="242"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takes over 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Borrowers.</w:t>
      </w:r>
    </w:p>
    <w:p>
      <w:pPr>
        <w:spacing w:after="0" w:line="165" w:lineRule="exact"/>
        <w:rPr>
          <w:sz w:val="20"/>
          <w:szCs w:val="20"/>
          <w:color w:val="auto"/>
        </w:rPr>
      </w:pPr>
    </w:p>
    <w:p>
      <w:pPr>
        <w:jc w:val="both"/>
        <w:ind w:left="12"/>
        <w:spacing w:after="0" w:line="271"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Finance Documents.</w:t>
      </w:r>
    </w:p>
    <w:p>
      <w:pPr>
        <w:spacing w:after="0" w:line="140"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20" w:lineRule="exact"/>
        <w:rPr>
          <w:sz w:val="20"/>
          <w:szCs w:val="20"/>
          <w:color w:val="auto"/>
        </w:rPr>
      </w:pPr>
    </w:p>
    <w:p>
      <w:pPr>
        <w:ind w:left="552" w:hanging="552"/>
        <w:spacing w:after="0"/>
        <w:tabs>
          <w:tab w:leader="none" w:pos="552"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198" w:lineRule="exact"/>
        <w:rPr>
          <w:rFonts w:ascii="Arial" w:cs="Arial" w:eastAsia="Arial" w:hAnsi="Arial"/>
          <w:sz w:val="18"/>
          <w:szCs w:val="18"/>
          <w:color w:val="auto"/>
        </w:rPr>
      </w:pPr>
    </w:p>
    <w:p>
      <w:pPr>
        <w:ind w:left="512" w:hanging="512"/>
        <w:spacing w:after="0" w:line="246" w:lineRule="auto"/>
        <w:tabs>
          <w:tab w:leader="none" w:pos="792"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61" w:lineRule="exact"/>
        <w:rPr>
          <w:sz w:val="20"/>
          <w:szCs w:val="20"/>
          <w:color w:val="auto"/>
        </w:rPr>
      </w:pPr>
    </w:p>
    <w:p>
      <w:pPr>
        <w:jc w:val="both"/>
        <w:ind w:left="12"/>
        <w:spacing w:after="0" w:line="271"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any obligation of any person or any other agreement or arrangement having a similar effect.</w:t>
      </w:r>
    </w:p>
    <w:p>
      <w:pPr>
        <w:spacing w:after="0" w:line="140" w:lineRule="exact"/>
        <w:rPr>
          <w:sz w:val="20"/>
          <w:szCs w:val="20"/>
          <w:color w:val="auto"/>
        </w:rPr>
      </w:pPr>
    </w:p>
    <w:p>
      <w:pPr>
        <w:jc w:val="both"/>
        <w:ind w:left="12"/>
        <w:spacing w:after="0" w:line="271" w:lineRule="auto"/>
        <w:rPr>
          <w:sz w:val="20"/>
          <w:szCs w:val="20"/>
          <w:color w:val="auto"/>
        </w:rPr>
      </w:pPr>
      <w:r>
        <w:rPr>
          <w:rFonts w:ascii="Arial" w:cs="Arial" w:eastAsia="Arial" w:hAnsi="Arial"/>
          <w:sz w:val="18"/>
          <w:szCs w:val="18"/>
          <w:b w:val="1"/>
          <w:bCs w:val="1"/>
          <w:color w:val="auto"/>
        </w:rPr>
        <w:t xml:space="preserve">Security Power of Attorney </w:t>
      </w:r>
      <w:r>
        <w:rPr>
          <w:rFonts w:ascii="Arial" w:cs="Arial" w:eastAsia="Arial" w:hAnsi="Arial"/>
          <w:sz w:val="18"/>
          <w:szCs w:val="18"/>
          <w:color w:val="auto"/>
        </w:rPr>
        <w:t>means a power of attorney in the agreed form issued by an Obligor in favour of the Security Agent,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to certain Security Documents executed by that Obligor.</w:t>
      </w:r>
    </w:p>
    <w:p>
      <w:pPr>
        <w:spacing w:after="0" w:line="140" w:lineRule="exact"/>
        <w:rPr>
          <w:sz w:val="20"/>
          <w:szCs w:val="20"/>
          <w:color w:val="auto"/>
        </w:rPr>
      </w:pPr>
    </w:p>
    <w:p>
      <w:pPr>
        <w:jc w:val="both"/>
        <w:ind w:left="12"/>
        <w:spacing w:after="0" w:line="244"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in respect of an Advance and at any time, the amount in dollars which, at that time, is the aggregate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Mortgaged Ship relevant to that Advance which has not then become a Total Loss (or, if less, the maximum amount capable of being secured by such Mortgaged Ship) and (b) the value of any additional security then held by the Security Agent or any other Finance Party provided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 clause 30.21(a)(ii) (</w:t>
      </w:r>
      <w:r>
        <w:rPr>
          <w:rFonts w:ascii="Arial" w:cs="Arial" w:eastAsia="Arial" w:hAnsi="Arial"/>
          <w:sz w:val="18"/>
          <w:szCs w:val="18"/>
          <w:i w:val="1"/>
          <w:iCs w:val="1"/>
          <w:color w:val="auto"/>
        </w:rPr>
        <w:t>Ship A Charter</w:t>
      </w:r>
      <w:r>
        <w:rPr>
          <w:rFonts w:ascii="Arial" w:cs="Arial" w:eastAsia="Arial" w:hAnsi="Arial"/>
          <w:sz w:val="18"/>
          <w:szCs w:val="18"/>
          <w:color w:val="auto"/>
        </w:rPr>
        <w:t>) in respect of that Advance, in each case as most recently determined in accordance with this Agreement.</w:t>
      </w:r>
    </w:p>
    <w:p>
      <w:pPr>
        <w:spacing w:after="0" w:line="163"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Share Security </w:t>
      </w:r>
      <w:r>
        <w:rPr>
          <w:rFonts w:ascii="Arial" w:cs="Arial" w:eastAsia="Arial" w:hAnsi="Arial"/>
          <w:sz w:val="18"/>
          <w:szCs w:val="18"/>
          <w:color w:val="auto"/>
        </w:rPr>
        <w:t>means, in relation to each Borrower, the document constituting a first Security</w:t>
      </w:r>
    </w:p>
    <w:p>
      <w:pPr>
        <w:spacing w:after="0" w:line="220" w:lineRule="exact"/>
        <w:rPr>
          <w:sz w:val="20"/>
          <w:szCs w:val="20"/>
          <w:color w:val="auto"/>
        </w:rPr>
      </w:pPr>
    </w:p>
    <w:p>
      <w:pPr>
        <w:ind w:left="501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64135</wp:posOffset>
            </wp:positionV>
            <wp:extent cx="71532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32"/>
          </w:cols>
          <w:pgMar w:left="828" w:top="319" w:right="339" w:bottom="1440" w:gutter="0" w:footer="0" w:header="0"/>
        </w:sectPr>
      </w:pPr>
    </w:p>
    <w:bookmarkStart w:id="194" w:name="page195"/>
    <w:bookmarkEnd w:id="194"/>
    <w:p>
      <w:pPr>
        <w:jc w:val="both"/>
        <w:ind w:left="2" w:right="20"/>
        <w:spacing w:after="0" w:line="246" w:lineRule="auto"/>
        <w:rPr>
          <w:sz w:val="20"/>
          <w:szCs w:val="20"/>
          <w:color w:val="auto"/>
        </w:rPr>
      </w:pPr>
      <w:r>
        <w:rPr>
          <w:rFonts w:ascii="Arial" w:cs="Arial" w:eastAsia="Arial" w:hAnsi="Arial"/>
          <w:sz w:val="18"/>
          <w:szCs w:val="18"/>
          <w:color w:val="auto"/>
        </w:rPr>
        <w:t>Interest in respect of all the shares of such Borrower executed by GasLog Holdings or (as the case may be) GasLog Carriers, in favour of the Security Agent in the agreed form.</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A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Ship A Charter </w:t>
      </w:r>
      <w:r>
        <w:rPr>
          <w:rFonts w:ascii="Arial" w:cs="Arial" w:eastAsia="Arial" w:hAnsi="Arial"/>
          <w:sz w:val="18"/>
          <w:szCs w:val="18"/>
          <w:color w:val="auto"/>
        </w:rPr>
        <w:t>means the charter commitment for Ship A, details of which are provided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it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time-to-time be amended or replaced in the circumstances and as permitted in accordance with clause 30.21(a)(ii) (</w:t>
      </w:r>
      <w:r>
        <w:rPr>
          <w:rFonts w:ascii="Arial" w:cs="Arial" w:eastAsia="Arial" w:hAnsi="Arial"/>
          <w:sz w:val="18"/>
          <w:szCs w:val="18"/>
          <w:i w:val="1"/>
          <w:iCs w:val="1"/>
          <w:color w:val="auto"/>
        </w:rPr>
        <w:t>Ship A</w:t>
      </w:r>
      <w:r>
        <w:rPr>
          <w:rFonts w:ascii="Arial" w:cs="Arial" w:eastAsia="Arial" w:hAnsi="Arial"/>
          <w:sz w:val="18"/>
          <w:szCs w:val="18"/>
          <w:color w:val="auto"/>
        </w:rPr>
        <w:t xml:space="preserve"> </w:t>
      </w:r>
      <w:r>
        <w:rPr>
          <w:rFonts w:ascii="Arial" w:cs="Arial" w:eastAsia="Arial" w:hAnsi="Arial"/>
          <w:sz w:val="18"/>
          <w:szCs w:val="18"/>
          <w:i w:val="1"/>
          <w:iCs w:val="1"/>
          <w:color w:val="auto"/>
        </w:rPr>
        <w:t>Charter</w:t>
      </w:r>
      <w:r>
        <w:rPr>
          <w:rFonts w:ascii="Arial" w:cs="Arial" w:eastAsia="Arial" w:hAnsi="Arial"/>
          <w:sz w:val="18"/>
          <w:szCs w:val="18"/>
          <w:color w:val="auto"/>
        </w:rPr>
        <w:t>).</w:t>
      </w:r>
    </w:p>
    <w:p>
      <w:pPr>
        <w:spacing w:after="0" w:line="15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Ship A Charter Documents </w:t>
      </w:r>
      <w:r>
        <w:rPr>
          <w:rFonts w:ascii="Arial" w:cs="Arial" w:eastAsia="Arial" w:hAnsi="Arial"/>
          <w:sz w:val="18"/>
          <w:szCs w:val="18"/>
          <w:color w:val="auto"/>
        </w:rPr>
        <w:t>means, in relation to Ship A, the Ship A Charter and any documents supplementing it and any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or security given by any person to the relevant Owner for the Ship A Charterer’s obligations under it.</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Ship A Charterer </w:t>
      </w:r>
      <w:r>
        <w:rPr>
          <w:rFonts w:ascii="Arial" w:cs="Arial" w:eastAsia="Arial" w:hAnsi="Arial"/>
          <w:sz w:val="18"/>
          <w:szCs w:val="18"/>
          <w:color w:val="auto"/>
        </w:rPr>
        <w:t>means, in relation to Ship A, the charterer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 that Ship,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 charterer that is party to any Ship A Charter entered into in the circumstances and as permitted in accordance with clause 30.21(a)(ii) (</w:t>
      </w:r>
      <w:r>
        <w:rPr>
          <w:rFonts w:ascii="Arial" w:cs="Arial" w:eastAsia="Arial" w:hAnsi="Arial"/>
          <w:sz w:val="18"/>
          <w:szCs w:val="18"/>
          <w:i w:val="1"/>
          <w:iCs w:val="1"/>
          <w:color w:val="auto"/>
        </w:rPr>
        <w:t>Ship A Charter</w:t>
      </w:r>
      <w:r>
        <w:rPr>
          <w:rFonts w:ascii="Arial" w:cs="Arial" w:eastAsia="Arial" w:hAnsi="Arial"/>
          <w:sz w:val="18"/>
          <w:szCs w:val="18"/>
          <w:color w:val="auto"/>
        </w:rPr>
        <w:t>).</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B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C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Ship Commitment </w:t>
      </w:r>
      <w:r>
        <w:rPr>
          <w:rFonts w:ascii="Arial" w:cs="Arial" w:eastAsia="Arial" w:hAnsi="Arial"/>
          <w:sz w:val="18"/>
          <w:szCs w:val="18"/>
          <w:color w:val="auto"/>
        </w:rPr>
        <w:t>means, in relation to a Ship, the amount specified as such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being a part of the Total Commitments, as cancelled or reduced pursuant to any provision of this Agreement.</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Ship Representations </w:t>
      </w:r>
      <w:r>
        <w:rPr>
          <w:rFonts w:ascii="Arial" w:cs="Arial" w:eastAsia="Arial" w:hAnsi="Arial"/>
          <w:sz w:val="18"/>
          <w:szCs w:val="18"/>
          <w:color w:val="auto"/>
        </w:rPr>
        <w:t>means each of the representations and warranties set out in clauses 18.28 (</w:t>
      </w:r>
      <w:r>
        <w:rPr>
          <w:rFonts w:ascii="Arial" w:cs="Arial" w:eastAsia="Arial" w:hAnsi="Arial"/>
          <w:sz w:val="18"/>
          <w:szCs w:val="18"/>
          <w:i w:val="1"/>
          <w:iCs w:val="1"/>
          <w:color w:val="auto"/>
        </w:rPr>
        <w:t>Ship status</w:t>
      </w:r>
      <w:r>
        <w:rPr>
          <w:rFonts w:ascii="Arial" w:cs="Arial" w:eastAsia="Arial" w:hAnsi="Arial"/>
          <w:sz w:val="18"/>
          <w:szCs w:val="18"/>
          <w:color w:val="auto"/>
        </w:rPr>
        <w:t>) and 18.29 (</w:t>
      </w:r>
      <w:r>
        <w:rPr>
          <w:rFonts w:ascii="Arial" w:cs="Arial" w:eastAsia="Arial" w:hAnsi="Arial"/>
          <w:sz w:val="18"/>
          <w:szCs w:val="18"/>
          <w:i w:val="1"/>
          <w:iCs w:val="1"/>
          <w:color w:val="auto"/>
        </w:rPr>
        <w:t>Ship’s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employment</w:t>
      </w:r>
      <w:r>
        <w:rPr>
          <w:rFonts w:ascii="Arial" w:cs="Arial" w:eastAsia="Arial" w:hAnsi="Arial"/>
          <w:sz w:val="18"/>
          <w:szCs w:val="18"/>
          <w:color w:val="auto"/>
        </w:rPr>
        <w:t>).</w:t>
      </w:r>
    </w:p>
    <w:p>
      <w:pPr>
        <w:spacing w:after="0" w:line="140"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means each of the ships described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being each of Ship A, Ship B and Ship C and</w:t>
      </w:r>
      <w:r>
        <w:rPr>
          <w:rFonts w:ascii="Arial" w:cs="Arial" w:eastAsia="Arial" w:hAnsi="Arial"/>
          <w:sz w:val="18"/>
          <w:szCs w:val="18"/>
          <w:b w:val="1"/>
          <w:bCs w:val="1"/>
          <w:color w:val="auto"/>
        </w:rPr>
        <w:t xml:space="preserve"> Ship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them.</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20" w:lineRule="exact"/>
        <w:rPr>
          <w:sz w:val="20"/>
          <w:szCs w:val="20"/>
          <w:color w:val="auto"/>
        </w:rPr>
      </w:pPr>
    </w:p>
    <w:p>
      <w:pPr>
        <w:ind w:left="522" w:hanging="522"/>
        <w:spacing w:after="0"/>
        <w:tabs>
          <w:tab w:leader="none" w:pos="52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176" w:lineRule="exact"/>
        <w:rPr>
          <w:sz w:val="20"/>
          <w:szCs w:val="20"/>
          <w:color w:val="auto"/>
        </w:rPr>
      </w:pPr>
    </w:p>
    <w:p>
      <w:pPr>
        <w:ind w:left="2" w:right="20"/>
        <w:spacing w:after="0" w:line="271"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40" w:lineRule="exact"/>
        <w:rPr>
          <w:sz w:val="20"/>
          <w:szCs w:val="20"/>
          <w:color w:val="auto"/>
        </w:rPr>
      </w:pPr>
    </w:p>
    <w:p>
      <w:pPr>
        <w:ind w:left="2" w:right="20"/>
        <w:spacing w:after="0" w:line="271" w:lineRule="auto"/>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in relation to a Ship, GasLog LNG Services, GasLog, any wholly owned subsidiary of GasLog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appointed as the technical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$200,000,000 as at the date of this Agreement.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a vessel, its:</w:t>
      </w:r>
    </w:p>
    <w:p>
      <w:pPr>
        <w:spacing w:after="0" w:line="220" w:lineRule="exact"/>
        <w:rPr>
          <w:sz w:val="20"/>
          <w:szCs w:val="20"/>
          <w:color w:val="auto"/>
        </w:rPr>
      </w:pPr>
    </w:p>
    <w:p>
      <w:pPr>
        <w:ind w:left="522" w:hanging="522"/>
        <w:spacing w:after="0"/>
        <w:tabs>
          <w:tab w:leader="none" w:pos="52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thirty (30) days; or</w:t>
      </w:r>
    </w:p>
    <w:p>
      <w:pPr>
        <w:spacing w:after="0" w:line="198"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95" w:name="page196"/>
    <w:bookmarkEnd w:id="195"/>
    <w:p>
      <w:pPr>
        <w:ind w:left="522" w:hanging="522"/>
        <w:spacing w:after="0"/>
        <w:tabs>
          <w:tab w:leader="none" w:pos="52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hijacking, piracy or theft for more than sixty (60) days.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Date </w:t>
      </w:r>
      <w:r>
        <w:rPr>
          <w:rFonts w:ascii="Arial" w:cs="Arial" w:eastAsia="Arial" w:hAnsi="Arial"/>
          <w:sz w:val="18"/>
          <w:szCs w:val="18"/>
          <w:color w:val="auto"/>
        </w:rPr>
        <w:t>means, in relation to the Total Loss of a vessel:</w:t>
      </w:r>
    </w:p>
    <w:p>
      <w:pPr>
        <w:spacing w:after="0" w:line="220" w:lineRule="exact"/>
        <w:rPr>
          <w:sz w:val="20"/>
          <w:szCs w:val="20"/>
          <w:color w:val="auto"/>
        </w:rPr>
      </w:pPr>
    </w:p>
    <w:p>
      <w:pPr>
        <w:ind w:left="502" w:right="20" w:hanging="502"/>
        <w:spacing w:after="0" w:line="246" w:lineRule="auto"/>
        <w:tabs>
          <w:tab w:leader="none" w:pos="75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an actual total loss, the date it happened or, if such date is not known, the date on which the vessel was last reported;</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198" w:lineRule="exact"/>
        <w:rPr>
          <w:rFonts w:ascii="Arial" w:cs="Arial" w:eastAsia="Arial" w:hAnsi="Arial"/>
          <w:sz w:val="18"/>
          <w:szCs w:val="18"/>
          <w:color w:val="auto"/>
        </w:rPr>
      </w:pPr>
    </w:p>
    <w:p>
      <w:pPr>
        <w:ind w:left="1042" w:hanging="531"/>
        <w:spacing w:after="0"/>
        <w:tabs>
          <w:tab w:leader="none" w:pos="104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198" w:lineRule="exact"/>
        <w:rPr>
          <w:rFonts w:ascii="Arial" w:cs="Arial" w:eastAsia="Arial" w:hAnsi="Arial"/>
          <w:sz w:val="18"/>
          <w:szCs w:val="18"/>
          <w:color w:val="auto"/>
        </w:rPr>
      </w:pPr>
    </w:p>
    <w:p>
      <w:pPr>
        <w:ind w:left="1022" w:hanging="511"/>
        <w:spacing w:after="0" w:line="246" w:lineRule="auto"/>
        <w:tabs>
          <w:tab w:leader="none" w:pos="1089" w:val="left"/>
        </w:tabs>
        <w:numPr>
          <w:ilvl w:val="1"/>
          <w:numId w:val="492"/>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83" w:lineRule="exact"/>
        <w:rPr>
          <w:rFonts w:ascii="Arial" w:cs="Arial" w:eastAsia="Arial" w:hAnsi="Arial"/>
          <w:sz w:val="18"/>
          <w:szCs w:val="18"/>
          <w:color w:val="auto"/>
        </w:rPr>
      </w:pPr>
    </w:p>
    <w:p>
      <w:pPr>
        <w:ind w:left="1022" w:hanging="511"/>
        <w:spacing w:after="0" w:line="246" w:lineRule="auto"/>
        <w:tabs>
          <w:tab w:leader="none" w:pos="1183"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date upon which a binding agreement as to such compromised or arranged total loss has been entered into by the vessel’s insurers;</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Repayment Date </w:t>
      </w:r>
      <w:r>
        <w:rPr>
          <w:rFonts w:ascii="Arial" w:cs="Arial" w:eastAsia="Arial" w:hAnsi="Arial"/>
          <w:sz w:val="18"/>
          <w:szCs w:val="18"/>
          <w:color w:val="auto"/>
        </w:rPr>
        <w:t>means, where a Mortgaged Ship has become a Total Loss, the earlier of:</w:t>
      </w:r>
    </w:p>
    <w:p>
      <w:pPr>
        <w:spacing w:after="0" w:line="220" w:lineRule="exact"/>
        <w:rPr>
          <w:sz w:val="20"/>
          <w:szCs w:val="20"/>
          <w:color w:val="auto"/>
        </w:rPr>
      </w:pPr>
    </w:p>
    <w:p>
      <w:pPr>
        <w:ind w:left="522" w:hanging="522"/>
        <w:spacing w:after="0"/>
        <w:tabs>
          <w:tab w:leader="none" w:pos="522"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date falling one hundred and eighty (180) days after its Total Loss Date; and</w:t>
      </w:r>
    </w:p>
    <w:p>
      <w:pPr>
        <w:spacing w:after="0" w:line="198" w:lineRule="exact"/>
        <w:rPr>
          <w:rFonts w:ascii="Arial" w:cs="Arial" w:eastAsia="Arial" w:hAnsi="Arial"/>
          <w:sz w:val="18"/>
          <w:szCs w:val="18"/>
          <w:color w:val="auto"/>
        </w:rPr>
      </w:pPr>
    </w:p>
    <w:p>
      <w:pPr>
        <w:ind w:left="502" w:hanging="502"/>
        <w:spacing w:after="0" w:line="246" w:lineRule="auto"/>
        <w:tabs>
          <w:tab w:leader="none" w:pos="63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61"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6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between the Agent and the Borrowers or, at any time after the occurrence of an Event of Default, required by the Agent.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20" w:lineRule="exact"/>
        <w:rPr>
          <w:sz w:val="20"/>
          <w:szCs w:val="20"/>
          <w:color w:val="auto"/>
        </w:rPr>
      </w:pPr>
    </w:p>
    <w:p>
      <w:pPr>
        <w:ind w:left="522" w:hanging="522"/>
        <w:spacing w:after="0"/>
        <w:tabs>
          <w:tab w:leader="none" w:pos="52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176"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rate or price.</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20" w:lineRule="exact"/>
        <w:rPr>
          <w:sz w:val="20"/>
          <w:szCs w:val="20"/>
          <w:color w:val="auto"/>
        </w:rPr>
      </w:pPr>
    </w:p>
    <w:p>
      <w:pPr>
        <w:ind w:left="522" w:hanging="522"/>
        <w:spacing w:after="0"/>
        <w:tabs>
          <w:tab w:leader="none" w:pos="52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198" w:lineRule="exact"/>
        <w:rPr>
          <w:rFonts w:ascii="Arial" w:cs="Arial" w:eastAsia="Arial" w:hAnsi="Arial"/>
          <w:sz w:val="18"/>
          <w:szCs w:val="18"/>
          <w:color w:val="auto"/>
        </w:rPr>
      </w:pPr>
    </w:p>
    <w:p>
      <w:pPr>
        <w:jc w:val="both"/>
        <w:ind w:left="502" w:hanging="502"/>
        <w:spacing w:after="0"/>
        <w:tabs>
          <w:tab w:leader="none" w:pos="6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w:t>
      </w:r>
    </w:p>
    <w:p>
      <w:pPr>
        <w:spacing w:after="0" w:line="189"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96" w:name="page197"/>
    <w:bookmarkEnd w:id="196"/>
    <w:p>
      <w:pPr>
        <w:ind w:left="1020" w:right="20" w:hanging="502"/>
        <w:spacing w:after="0" w:line="246" w:lineRule="auto"/>
        <w:tabs>
          <w:tab w:leader="none" w:pos="1067"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83" w:lineRule="exact"/>
        <w:rPr>
          <w:rFonts w:ascii="Arial" w:cs="Arial" w:eastAsia="Arial" w:hAnsi="Arial"/>
          <w:sz w:val="18"/>
          <w:szCs w:val="18"/>
          <w:color w:val="auto"/>
        </w:rPr>
      </w:pPr>
    </w:p>
    <w:p>
      <w:pPr>
        <w:jc w:val="both"/>
        <w:ind w:left="1020" w:hanging="502"/>
        <w:spacing w:after="0"/>
        <w:tabs>
          <w:tab w:leader="none" w:pos="1269"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20" w:lineRule="exact"/>
        <w:rPr>
          <w:sz w:val="20"/>
          <w:szCs w:val="20"/>
          <w:color w:val="auto"/>
        </w:rPr>
      </w:pPr>
    </w:p>
    <w:p>
      <w:pPr>
        <w:ind w:left="1040" w:hanging="522"/>
        <w:spacing w:after="0"/>
        <w:tabs>
          <w:tab w:leader="none" w:pos="10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 Borrower if it is resident for tax purposes in the US; or</w:t>
      </w:r>
    </w:p>
    <w:p>
      <w:pPr>
        <w:spacing w:after="0" w:line="198" w:lineRule="exact"/>
        <w:rPr>
          <w:rFonts w:ascii="Arial" w:cs="Arial" w:eastAsia="Arial" w:hAnsi="Arial"/>
          <w:sz w:val="18"/>
          <w:szCs w:val="18"/>
          <w:color w:val="auto"/>
        </w:rPr>
      </w:pPr>
    </w:p>
    <w:p>
      <w:pPr>
        <w:ind w:left="1020" w:hanging="502"/>
        <w:spacing w:after="0" w:line="246" w:lineRule="auto"/>
        <w:tabs>
          <w:tab w:leader="none" w:pos="1067"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US for US federal income tax purposes.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an Advance.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a Utilisation is made.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20" w:lineRule="exact"/>
        <w:rPr>
          <w:sz w:val="20"/>
          <w:szCs w:val="20"/>
          <w:color w:val="auto"/>
        </w:rPr>
      </w:pPr>
    </w:p>
    <w:p>
      <w:pPr>
        <w:ind w:left="1020" w:hanging="502"/>
        <w:spacing w:after="0" w:line="246" w:lineRule="auto"/>
        <w:tabs>
          <w:tab w:leader="none" w:pos="10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83" w:lineRule="exact"/>
        <w:rPr>
          <w:rFonts w:ascii="Arial" w:cs="Arial" w:eastAsia="Arial" w:hAnsi="Arial"/>
          <w:sz w:val="18"/>
          <w:szCs w:val="18"/>
          <w:color w:val="auto"/>
        </w:rPr>
      </w:pPr>
    </w:p>
    <w:p>
      <w:pPr>
        <w:ind w:left="1020" w:hanging="502"/>
        <w:spacing w:after="0" w:line="246" w:lineRule="auto"/>
        <w:tabs>
          <w:tab w:leader="none" w:pos="126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w:t>
        <w:tab/>
        <w:t>Construction</w:t>
      </w:r>
    </w:p>
    <w:p>
      <w:pPr>
        <w:spacing w:after="0" w:line="220" w:lineRule="exact"/>
        <w:rPr>
          <w:sz w:val="20"/>
          <w:szCs w:val="20"/>
          <w:color w:val="auto"/>
        </w:rPr>
      </w:pPr>
    </w:p>
    <w:p>
      <w:pPr>
        <w:ind w:left="1060" w:hanging="552"/>
        <w:spacing w:after="0"/>
        <w:tabs>
          <w:tab w:leader="none" w:pos="10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198" w:lineRule="exact"/>
        <w:rPr>
          <w:rFonts w:ascii="Arial" w:cs="Arial" w:eastAsia="Arial" w:hAnsi="Arial"/>
          <w:sz w:val="18"/>
          <w:szCs w:val="18"/>
          <w:color w:val="auto"/>
        </w:rPr>
      </w:pPr>
    </w:p>
    <w:p>
      <w:pPr>
        <w:ind w:left="1660" w:hanging="631"/>
        <w:spacing w:after="0" w:line="246" w:lineRule="auto"/>
        <w:tabs>
          <w:tab w:leader="none" w:pos="237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ectPr>
          <w:pgSz w:w="11900" w:h="16838" w:orient="portrait"/>
          <w:cols w:equalWidth="0" w:num="1">
            <w:col w:w="11240"/>
          </w:cols>
          <w:pgMar w:left="320" w:top="341" w:right="339" w:bottom="1440" w:gutter="0" w:footer="0" w:header="0"/>
        </w:sectPr>
      </w:pPr>
    </w:p>
    <w:p>
      <w:pPr>
        <w:spacing w:after="0" w:line="161" w:lineRule="exact"/>
        <w:rPr>
          <w:sz w:val="20"/>
          <w:szCs w:val="20"/>
          <w:color w:val="auto"/>
        </w:rPr>
      </w:pPr>
    </w:p>
    <w:p>
      <w:pPr>
        <w:jc w:val="both"/>
        <w:ind w:left="1660" w:hanging="631"/>
        <w:spacing w:after="0" w:line="253" w:lineRule="auto"/>
        <w:tabs>
          <w:tab w:leader="none" w:pos="223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agreement or instrument as fundamentally;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spacing w:after="0" w:line="246" w:lineRule="auto"/>
        <w:rPr>
          <w:sz w:val="20"/>
          <w:szCs w:val="20"/>
          <w:color w:val="auto"/>
        </w:rPr>
      </w:pPr>
      <w:r>
        <w:rPr>
          <w:rFonts w:ascii="Arial" w:cs="Arial" w:eastAsia="Arial" w:hAnsi="Arial"/>
          <w:sz w:val="18"/>
          <w:szCs w:val="18"/>
          <w:color w:val="auto"/>
        </w:rPr>
        <w:t>or any other agreement or instrument is a reference to that Finance Document or other it may from time to time be amended, restated, novated or replaced, however</w:t>
      </w:r>
    </w:p>
    <w:p>
      <w:pPr>
        <w:spacing w:after="0" w:line="385" w:lineRule="exact"/>
        <w:rPr>
          <w:sz w:val="20"/>
          <w:szCs w:val="20"/>
          <w:color w:val="auto"/>
        </w:rPr>
      </w:pPr>
    </w:p>
    <w:p>
      <w:pPr>
        <w:sectPr>
          <w:pgSz w:w="11900" w:h="16838" w:orient="portrait"/>
          <w:cols w:equalWidth="0" w:num="2">
            <w:col w:w="4080" w:space="20"/>
            <w:col w:w="7140"/>
          </w:cols>
          <w:pgMar w:left="320" w:top="341" w:right="339" w:bottom="1440" w:gutter="0" w:footer="0" w:header="0"/>
          <w:type w:val="continuous"/>
        </w:sectPr>
      </w:pPr>
    </w:p>
    <w:p>
      <w:pPr>
        <w:ind w:left="1680" w:hanging="651"/>
        <w:spacing w:after="0"/>
        <w:tabs>
          <w:tab w:leader="none" w:pos="16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198" w:lineRule="exact"/>
        <w:rPr>
          <w:rFonts w:ascii="Arial" w:cs="Arial" w:eastAsia="Arial" w:hAnsi="Arial"/>
          <w:sz w:val="18"/>
          <w:szCs w:val="18"/>
          <w:color w:val="auto"/>
        </w:rPr>
      </w:pPr>
    </w:p>
    <w:p>
      <w:pPr>
        <w:ind w:left="1660" w:hanging="631"/>
        <w:spacing w:after="0"/>
        <w:tabs>
          <w:tab w:leader="none" w:pos="16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198" w:lineRule="exact"/>
        <w:rPr>
          <w:rFonts w:ascii="Arial" w:cs="Arial" w:eastAsia="Arial" w:hAnsi="Arial"/>
          <w:sz w:val="18"/>
          <w:szCs w:val="18"/>
          <w:color w:val="auto"/>
        </w:rPr>
      </w:pPr>
    </w:p>
    <w:p>
      <w:pPr>
        <w:ind w:left="1680" w:hanging="651"/>
        <w:spacing w:after="0"/>
        <w:tabs>
          <w:tab w:leader="none" w:pos="16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198" w:lineRule="exact"/>
        <w:rPr>
          <w:rFonts w:ascii="Arial" w:cs="Arial" w:eastAsia="Arial" w:hAnsi="Arial"/>
          <w:sz w:val="18"/>
          <w:szCs w:val="18"/>
          <w:color w:val="auto"/>
        </w:rPr>
      </w:pPr>
    </w:p>
    <w:p>
      <w:pPr>
        <w:ind w:left="1660" w:hanging="631"/>
        <w:spacing w:after="0" w:line="246" w:lineRule="auto"/>
        <w:tabs>
          <w:tab w:leader="none" w:pos="171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97" w:name="page198"/>
    <w:bookmarkEnd w:id="197"/>
    <w:p>
      <w:pPr>
        <w:jc w:val="both"/>
        <w:ind w:left="631" w:hanging="631"/>
        <w:spacing w:after="0" w:line="247" w:lineRule="auto"/>
        <w:tabs>
          <w:tab w:leader="none" w:pos="75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two or more persons are </w:t>
      </w:r>
      <w:r>
        <w:rPr>
          <w:rFonts w:ascii="Arial" w:cs="Arial" w:eastAsia="Arial" w:hAnsi="Arial"/>
          <w:sz w:val="18"/>
          <w:szCs w:val="18"/>
          <w:b w:val="1"/>
          <w:bCs w:val="1"/>
          <w:color w:val="auto"/>
        </w:rPr>
        <w:t>acting in concert</w:t>
      </w:r>
      <w:r>
        <w:rPr>
          <w:rFonts w:ascii="Arial" w:cs="Arial" w:eastAsia="Arial" w:hAnsi="Arial"/>
          <w:sz w:val="18"/>
          <w:szCs w:val="18"/>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60" w:lineRule="exact"/>
        <w:rPr>
          <w:rFonts w:ascii="Arial" w:cs="Arial" w:eastAsia="Arial" w:hAnsi="Arial"/>
          <w:sz w:val="18"/>
          <w:szCs w:val="18"/>
          <w:color w:val="auto"/>
        </w:rPr>
      </w:pPr>
    </w:p>
    <w:p>
      <w:pPr>
        <w:ind w:left="631" w:hanging="631"/>
        <w:spacing w:after="0"/>
        <w:tabs>
          <w:tab w:leader="none" w:pos="631"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20" w:lineRule="exact"/>
        <w:rPr>
          <w:rFonts w:ascii="Arial" w:cs="Arial" w:eastAsia="Arial" w:hAnsi="Arial"/>
          <w:sz w:val="18"/>
          <w:szCs w:val="18"/>
          <w:color w:val="auto"/>
        </w:rPr>
      </w:pPr>
    </w:p>
    <w:p>
      <w:pPr>
        <w:ind w:left="1011" w:hanging="373"/>
        <w:spacing w:after="0" w:line="246" w:lineRule="auto"/>
        <w:tabs>
          <w:tab w:leader="none" w:pos="1071" w:val="left"/>
        </w:tabs>
        <w:numPr>
          <w:ilvl w:val="1"/>
          <w:numId w:val="502"/>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 and</w:t>
      </w:r>
    </w:p>
    <w:p>
      <w:pPr>
        <w:spacing w:after="0" w:line="183" w:lineRule="exact"/>
        <w:rPr>
          <w:rFonts w:ascii="Arial" w:cs="Arial" w:eastAsia="Arial" w:hAnsi="Arial"/>
          <w:sz w:val="18"/>
          <w:szCs w:val="18"/>
          <w:color w:val="auto"/>
        </w:rPr>
      </w:pPr>
    </w:p>
    <w:p>
      <w:pPr>
        <w:jc w:val="both"/>
        <w:ind w:left="1011" w:hanging="373"/>
        <w:spacing w:after="0" w:line="238" w:lineRule="auto"/>
        <w:tabs>
          <w:tab w:leader="none" w:pos="116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Borrowers, whether before or after the date of this Agreement, as the form in which that Finance Document is to be executed or another form approved at the request of the Borrowers or, if not so agreed or approved, in the form reasonably required by the Agent;</w:t>
      </w:r>
    </w:p>
    <w:p>
      <w:pPr>
        <w:spacing w:after="0" w:line="169" w:lineRule="exact"/>
        <w:rPr>
          <w:rFonts w:ascii="Arial" w:cs="Arial" w:eastAsia="Arial" w:hAnsi="Arial"/>
          <w:sz w:val="18"/>
          <w:szCs w:val="18"/>
          <w:color w:val="auto"/>
        </w:rPr>
      </w:pPr>
    </w:p>
    <w:p>
      <w:pPr>
        <w:jc w:val="both"/>
        <w:ind w:left="631" w:hanging="631"/>
        <w:spacing w:after="0" w:line="244" w:lineRule="auto"/>
        <w:tabs>
          <w:tab w:leader="none" w:pos="635"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approved by the Majority Lenders </w:t>
      </w:r>
      <w:r>
        <w:rPr>
          <w:rFonts w:ascii="Arial" w:cs="Arial" w:eastAsia="Arial" w:hAnsi="Arial"/>
          <w:sz w:val="18"/>
          <w:szCs w:val="18"/>
          <w:color w:val="auto"/>
        </w:rPr>
        <w:t>or</w:t>
      </w:r>
      <w:r>
        <w:rPr>
          <w:rFonts w:ascii="Arial" w:cs="Arial" w:eastAsia="Arial" w:hAnsi="Arial"/>
          <w:sz w:val="18"/>
          <w:szCs w:val="18"/>
          <w:b w:val="1"/>
          <w:bCs w:val="1"/>
          <w:color w:val="auto"/>
        </w:rPr>
        <w:t xml:space="preserve"> approved by the Lenders </w:t>
      </w:r>
      <w:r>
        <w:rPr>
          <w:rFonts w:ascii="Arial" w:cs="Arial" w:eastAsia="Arial" w:hAnsi="Arial"/>
          <w:sz w:val="18"/>
          <w:szCs w:val="18"/>
          <w:color w:val="auto"/>
        </w:rPr>
        <w:t>means approved in writing by the Agent acting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of the Majority Lenders or, as the case may be, all of the Lenders (on such conditions as they may respectively impose) and otherwise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8"/>
          <w:szCs w:val="18"/>
          <w:b w:val="1"/>
          <w:bCs w:val="1"/>
          <w:color w:val="auto"/>
        </w:rPr>
        <w:t xml:space="preserve">approval </w:t>
      </w:r>
      <w:r>
        <w:rPr>
          <w:rFonts w:ascii="Arial" w:cs="Arial" w:eastAsia="Arial" w:hAnsi="Arial"/>
          <w:sz w:val="18"/>
          <w:szCs w:val="18"/>
          <w:color w:val="auto"/>
        </w:rPr>
        <w:t>and</w:t>
      </w:r>
      <w:r>
        <w:rPr>
          <w:rFonts w:ascii="Arial" w:cs="Arial" w:eastAsia="Arial" w:hAnsi="Arial"/>
          <w:sz w:val="18"/>
          <w:szCs w:val="18"/>
          <w:b w:val="1"/>
          <w:bCs w:val="1"/>
          <w:color w:val="auto"/>
        </w:rPr>
        <w:t xml:space="preserve"> approve </w:t>
      </w:r>
      <w:r>
        <w:rPr>
          <w:rFonts w:ascii="Arial" w:cs="Arial" w:eastAsia="Arial" w:hAnsi="Arial"/>
          <w:sz w:val="18"/>
          <w:szCs w:val="18"/>
          <w:color w:val="auto"/>
        </w:rPr>
        <w:t>shall be construed accordingly;</w:t>
      </w:r>
    </w:p>
    <w:p>
      <w:pPr>
        <w:spacing w:after="0" w:line="162" w:lineRule="exact"/>
        <w:rPr>
          <w:rFonts w:ascii="Arial" w:cs="Arial" w:eastAsia="Arial" w:hAnsi="Arial"/>
          <w:sz w:val="18"/>
          <w:szCs w:val="18"/>
          <w:color w:val="auto"/>
        </w:rPr>
      </w:pPr>
    </w:p>
    <w:p>
      <w:pPr>
        <w:ind w:left="651" w:hanging="651"/>
        <w:spacing w:after="0"/>
        <w:tabs>
          <w:tab w:leader="none" w:pos="651"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198" w:lineRule="exact"/>
        <w:rPr>
          <w:rFonts w:ascii="Arial" w:cs="Arial" w:eastAsia="Arial" w:hAnsi="Arial"/>
          <w:sz w:val="18"/>
          <w:szCs w:val="18"/>
          <w:color w:val="auto"/>
        </w:rPr>
      </w:pPr>
    </w:p>
    <w:p>
      <w:pPr>
        <w:ind w:left="631" w:right="20" w:hanging="631"/>
        <w:spacing w:after="0" w:line="271" w:lineRule="auto"/>
        <w:tabs>
          <w:tab w:leader="none" w:pos="1107"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40" w:lineRule="exact"/>
        <w:rPr>
          <w:rFonts w:ascii="Arial" w:cs="Arial" w:eastAsia="Arial" w:hAnsi="Arial"/>
          <w:sz w:val="18"/>
          <w:szCs w:val="18"/>
          <w:color w:val="auto"/>
        </w:rPr>
      </w:pPr>
    </w:p>
    <w:p>
      <w:pPr>
        <w:jc w:val="both"/>
        <w:ind w:left="631" w:hanging="631"/>
        <w:spacing w:after="0" w:line="253" w:lineRule="auto"/>
        <w:tabs>
          <w:tab w:leader="none" w:pos="634"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vessel or the carriage of people and/or cargo or the provision of services by or from it and includes any agreement for pooling or sharing income derived from any such charter or contract;</w:t>
      </w:r>
    </w:p>
    <w:p>
      <w:pPr>
        <w:spacing w:after="0" w:line="155" w:lineRule="exact"/>
        <w:rPr>
          <w:rFonts w:ascii="Arial" w:cs="Arial" w:eastAsia="Arial" w:hAnsi="Arial"/>
          <w:sz w:val="18"/>
          <w:szCs w:val="18"/>
          <w:color w:val="auto"/>
        </w:rPr>
      </w:pPr>
    </w:p>
    <w:p>
      <w:pPr>
        <w:ind w:left="631" w:hanging="631"/>
        <w:spacing w:after="0"/>
        <w:tabs>
          <w:tab w:leader="none" w:pos="631"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20" w:lineRule="exact"/>
        <w:rPr>
          <w:rFonts w:ascii="Arial" w:cs="Arial" w:eastAsia="Arial" w:hAnsi="Arial"/>
          <w:sz w:val="18"/>
          <w:szCs w:val="18"/>
          <w:color w:val="auto"/>
        </w:rPr>
      </w:pPr>
    </w:p>
    <w:p>
      <w:pPr>
        <w:ind w:left="1011" w:hanging="373"/>
        <w:spacing w:after="0" w:line="246" w:lineRule="auto"/>
        <w:tabs>
          <w:tab w:leader="none" w:pos="1058"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83" w:lineRule="exact"/>
        <w:rPr>
          <w:rFonts w:ascii="Arial" w:cs="Arial" w:eastAsia="Arial" w:hAnsi="Arial"/>
          <w:sz w:val="18"/>
          <w:szCs w:val="18"/>
          <w:color w:val="auto"/>
        </w:rPr>
      </w:pPr>
    </w:p>
    <w:p>
      <w:pPr>
        <w:ind w:left="1531" w:hanging="511"/>
        <w:spacing w:after="0" w:line="246" w:lineRule="auto"/>
        <w:tabs>
          <w:tab w:leader="none" w:pos="1835" w:val="left"/>
        </w:tabs>
        <w:numPr>
          <w:ilvl w:val="2"/>
          <w:numId w:val="502"/>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83" w:lineRule="exact"/>
        <w:rPr>
          <w:rFonts w:ascii="Arial" w:cs="Arial" w:eastAsia="Arial" w:hAnsi="Arial"/>
          <w:sz w:val="18"/>
          <w:szCs w:val="18"/>
          <w:color w:val="auto"/>
        </w:rPr>
      </w:pPr>
    </w:p>
    <w:p>
      <w:pPr>
        <w:ind w:left="1551" w:hanging="531"/>
        <w:spacing w:after="0"/>
        <w:tabs>
          <w:tab w:leader="none" w:pos="1551" w:val="left"/>
        </w:tabs>
        <w:numPr>
          <w:ilvl w:val="2"/>
          <w:numId w:val="502"/>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198" w:lineRule="exact"/>
        <w:rPr>
          <w:rFonts w:ascii="Arial" w:cs="Arial" w:eastAsia="Arial" w:hAnsi="Arial"/>
          <w:sz w:val="18"/>
          <w:szCs w:val="18"/>
          <w:color w:val="auto"/>
        </w:rPr>
      </w:pPr>
    </w:p>
    <w:p>
      <w:pPr>
        <w:ind w:left="1531" w:hanging="511"/>
        <w:spacing w:after="0" w:line="246" w:lineRule="auto"/>
        <w:tabs>
          <w:tab w:leader="none" w:pos="1741" w:val="left"/>
        </w:tabs>
        <w:numPr>
          <w:ilvl w:val="2"/>
          <w:numId w:val="502"/>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83" w:lineRule="exact"/>
        <w:rPr>
          <w:rFonts w:ascii="Arial" w:cs="Arial" w:eastAsia="Arial" w:hAnsi="Arial"/>
          <w:sz w:val="18"/>
          <w:szCs w:val="18"/>
          <w:color w:val="auto"/>
        </w:rPr>
      </w:pPr>
    </w:p>
    <w:p>
      <w:pPr>
        <w:jc w:val="both"/>
        <w:ind w:left="1011" w:hanging="373"/>
        <w:spacing w:after="0" w:line="238" w:lineRule="auto"/>
        <w:tabs>
          <w:tab w:leader="none" w:pos="104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w:t>
      </w:r>
    </w:p>
    <w:p>
      <w:pPr>
        <w:spacing w:after="0" w:line="191"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64135</wp:posOffset>
            </wp:positionV>
            <wp:extent cx="71532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11"/>
          </w:cols>
          <w:pgMar w:left="1349" w:top="319" w:right="339" w:bottom="1440" w:gutter="0" w:footer="0" w:header="0"/>
        </w:sectPr>
      </w:pPr>
    </w:p>
    <w:bookmarkStart w:id="198" w:name="page199"/>
    <w:bookmarkEnd w:id="198"/>
    <w:p>
      <w:pPr>
        <w:ind w:left="1040" w:right="20"/>
        <w:spacing w:after="0" w:line="246" w:lineRule="auto"/>
        <w:rPr>
          <w:sz w:val="20"/>
          <w:szCs w:val="20"/>
          <w:color w:val="auto"/>
        </w:rPr>
      </w:pPr>
      <w:r>
        <w:rPr>
          <w:rFonts w:ascii="Arial" w:cs="Arial" w:eastAsia="Arial" w:hAnsi="Arial"/>
          <w:sz w:val="18"/>
          <w:szCs w:val="18"/>
          <w:color w:val="auto"/>
        </w:rPr>
        <w:t>partnership interest or units or limited liability company interest shall be disregarded in determining the beneficial ownership of such share capital, partnership interest or units or limited liability company interest);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198" w:lineRule="exact"/>
        <w:rPr>
          <w:sz w:val="20"/>
          <w:szCs w:val="20"/>
          <w:color w:val="auto"/>
        </w:rPr>
      </w:pPr>
    </w:p>
    <w:p>
      <w:pPr>
        <w:jc w:val="both"/>
        <w:ind w:left="640" w:right="20" w:hanging="631"/>
        <w:spacing w:after="0" w:line="253" w:lineRule="auto"/>
        <w:tabs>
          <w:tab w:leader="none" w:pos="99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55" w:lineRule="exact"/>
        <w:rPr>
          <w:rFonts w:ascii="Arial" w:cs="Arial" w:eastAsia="Arial" w:hAnsi="Arial"/>
          <w:sz w:val="18"/>
          <w:szCs w:val="18"/>
          <w:color w:val="auto"/>
        </w:rPr>
      </w:pPr>
    </w:p>
    <w:p>
      <w:pPr>
        <w:ind w:left="640" w:hanging="631"/>
        <w:spacing w:after="0"/>
        <w:tabs>
          <w:tab w:leader="none" w:pos="640"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198" w:lineRule="exact"/>
        <w:rPr>
          <w:rFonts w:ascii="Arial" w:cs="Arial" w:eastAsia="Arial" w:hAnsi="Arial"/>
          <w:sz w:val="18"/>
          <w:szCs w:val="18"/>
          <w:color w:val="auto"/>
        </w:rPr>
      </w:pPr>
    </w:p>
    <w:p>
      <w:pPr>
        <w:jc w:val="both"/>
        <w:ind w:left="640" w:hanging="631"/>
        <w:spacing w:after="0" w:line="244" w:lineRule="auto"/>
        <w:tabs>
          <w:tab w:leader="none" w:pos="7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equivalent</w:t>
      </w:r>
      <w:r>
        <w:rPr>
          <w:rFonts w:ascii="Arial" w:cs="Arial" w:eastAsia="Arial" w:hAnsi="Arial"/>
          <w:sz w:val="18"/>
          <w:szCs w:val="18"/>
          <w:color w:val="auto"/>
        </w:rPr>
        <w:t xml:space="preserve"> of an amount specified in a particular currency (the </w:t>
      </w:r>
      <w:r>
        <w:rPr>
          <w:rFonts w:ascii="Arial" w:cs="Arial" w:eastAsia="Arial" w:hAnsi="Arial"/>
          <w:sz w:val="18"/>
          <w:szCs w:val="18"/>
          <w:b w:val="1"/>
          <w:bCs w:val="1"/>
          <w:color w:val="auto"/>
        </w:rPr>
        <w:t>specified currency amount</w:t>
      </w:r>
      <w:r>
        <w:rPr>
          <w:rFonts w:ascii="Arial" w:cs="Arial" w:eastAsia="Arial" w:hAnsi="Arial"/>
          <w:sz w:val="18"/>
          <w:szCs w:val="18"/>
          <w:color w:val="auto"/>
        </w:rPr>
        <w:t xml:space="preserve">) shall be construed as a reference to the amount of the other relevant currency which can be purchased with the specified currency amount in the London foreign exchange market at or about 11:00 a.m. on the date the calculation falls to be made for spot delivery, as conclusively determined by the Agent (with the relevant exchange rate of any such purchase being the </w:t>
      </w:r>
      <w:r>
        <w:rPr>
          <w:rFonts w:ascii="Arial" w:cs="Arial" w:eastAsia="Arial" w:hAnsi="Arial"/>
          <w:sz w:val="18"/>
          <w:szCs w:val="18"/>
          <w:b w:val="1"/>
          <w:bCs w:val="1"/>
          <w:color w:val="auto"/>
        </w:rPr>
        <w:t>Agent’s spot</w:t>
      </w:r>
      <w:r>
        <w:rPr>
          <w:rFonts w:ascii="Arial" w:cs="Arial" w:eastAsia="Arial" w:hAnsi="Arial"/>
          <w:sz w:val="18"/>
          <w:szCs w:val="18"/>
          <w:color w:val="auto"/>
        </w:rPr>
        <w:t xml:space="preserve"> </w:t>
      </w:r>
      <w:r>
        <w:rPr>
          <w:rFonts w:ascii="Arial" w:cs="Arial" w:eastAsia="Arial" w:hAnsi="Arial"/>
          <w:sz w:val="18"/>
          <w:szCs w:val="18"/>
          <w:b w:val="1"/>
          <w:bCs w:val="1"/>
          <w:color w:val="auto"/>
        </w:rPr>
        <w:t>rate of exchange</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640" w:hanging="631"/>
        <w:spacing w:after="0"/>
        <w:tabs>
          <w:tab w:leader="none" w:pos="6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198" w:lineRule="exact"/>
        <w:rPr>
          <w:rFonts w:ascii="Arial" w:cs="Arial" w:eastAsia="Arial" w:hAnsi="Arial"/>
          <w:sz w:val="18"/>
          <w:szCs w:val="18"/>
          <w:color w:val="auto"/>
        </w:rPr>
      </w:pPr>
    </w:p>
    <w:p>
      <w:pPr>
        <w:ind w:left="640" w:hanging="631"/>
        <w:spacing w:after="0"/>
        <w:tabs>
          <w:tab w:leader="none" w:pos="6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198" w:lineRule="exact"/>
        <w:rPr>
          <w:rFonts w:ascii="Arial" w:cs="Arial" w:eastAsia="Arial" w:hAnsi="Arial"/>
          <w:sz w:val="18"/>
          <w:szCs w:val="18"/>
          <w:color w:val="auto"/>
        </w:rPr>
      </w:pPr>
    </w:p>
    <w:p>
      <w:pPr>
        <w:jc w:val="both"/>
        <w:ind w:left="640" w:hanging="631"/>
        <w:spacing w:after="0" w:line="247" w:lineRule="auto"/>
        <w:tabs>
          <w:tab w:leader="none" w:pos="679"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60" w:lineRule="exact"/>
        <w:rPr>
          <w:rFonts w:ascii="Arial" w:cs="Arial" w:eastAsia="Arial" w:hAnsi="Arial"/>
          <w:sz w:val="18"/>
          <w:szCs w:val="18"/>
          <w:color w:val="auto"/>
        </w:rPr>
      </w:pPr>
    </w:p>
    <w:p>
      <w:pPr>
        <w:ind w:left="640" w:hanging="631"/>
        <w:spacing w:after="0" w:line="271" w:lineRule="auto"/>
        <w:tabs>
          <w:tab w:leader="none" w:pos="923"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money, whether present or future, actual or contingent;</w:t>
      </w:r>
    </w:p>
    <w:p>
      <w:pPr>
        <w:spacing w:after="0" w:line="140" w:lineRule="exact"/>
        <w:rPr>
          <w:rFonts w:ascii="Arial" w:cs="Arial" w:eastAsia="Arial" w:hAnsi="Arial"/>
          <w:sz w:val="18"/>
          <w:szCs w:val="18"/>
          <w:color w:val="auto"/>
        </w:rPr>
      </w:pPr>
    </w:p>
    <w:p>
      <w:pPr>
        <w:ind w:left="640" w:right="20" w:hanging="631"/>
        <w:spacing w:after="0" w:line="271" w:lineRule="auto"/>
        <w:tabs>
          <w:tab w:leader="none" w:pos="666"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calendar month or the calendar month in which it is to end, except that:</w:t>
      </w:r>
    </w:p>
    <w:p>
      <w:pPr>
        <w:spacing w:after="0" w:line="162" w:lineRule="exact"/>
        <w:rPr>
          <w:rFonts w:ascii="Arial" w:cs="Arial" w:eastAsia="Arial" w:hAnsi="Arial"/>
          <w:sz w:val="18"/>
          <w:szCs w:val="18"/>
          <w:color w:val="auto"/>
        </w:rPr>
      </w:pPr>
    </w:p>
    <w:p>
      <w:pPr>
        <w:ind w:left="1020" w:right="20" w:hanging="373"/>
        <w:spacing w:after="0" w:line="246" w:lineRule="auto"/>
        <w:tabs>
          <w:tab w:leader="none" w:pos="108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83" w:lineRule="exact"/>
        <w:rPr>
          <w:rFonts w:ascii="Arial" w:cs="Arial" w:eastAsia="Arial" w:hAnsi="Arial"/>
          <w:sz w:val="18"/>
          <w:szCs w:val="18"/>
          <w:color w:val="auto"/>
        </w:rPr>
      </w:pPr>
    </w:p>
    <w:p>
      <w:pPr>
        <w:ind w:left="1020" w:hanging="373"/>
        <w:spacing w:after="0" w:line="246" w:lineRule="auto"/>
        <w:tabs>
          <w:tab w:leader="none" w:pos="113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month, that period shall end on the last Business Day in that month,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176" w:lineRule="exact"/>
        <w:rPr>
          <w:sz w:val="20"/>
          <w:szCs w:val="20"/>
          <w:color w:val="auto"/>
        </w:rPr>
      </w:pPr>
    </w:p>
    <w:p>
      <w:pPr>
        <w:ind w:left="640" w:hanging="631"/>
        <w:spacing w:after="0"/>
        <w:tabs>
          <w:tab w:leader="none" w:pos="6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198" w:lineRule="exact"/>
        <w:rPr>
          <w:rFonts w:ascii="Arial" w:cs="Arial" w:eastAsia="Arial" w:hAnsi="Arial"/>
          <w:sz w:val="18"/>
          <w:szCs w:val="18"/>
          <w:color w:val="auto"/>
        </w:rPr>
      </w:pPr>
    </w:p>
    <w:p>
      <w:pPr>
        <w:jc w:val="both"/>
        <w:ind w:left="640" w:hanging="631"/>
        <w:spacing w:after="0" w:line="253" w:lineRule="auto"/>
        <w:tabs>
          <w:tab w:leader="none" w:pos="637"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55" w:lineRule="exact"/>
        <w:rPr>
          <w:rFonts w:ascii="Arial" w:cs="Arial" w:eastAsia="Arial" w:hAnsi="Arial"/>
          <w:sz w:val="18"/>
          <w:szCs w:val="18"/>
          <w:color w:val="auto"/>
        </w:rPr>
      </w:pPr>
    </w:p>
    <w:p>
      <w:pPr>
        <w:ind w:left="640" w:hanging="631"/>
        <w:spacing w:after="0" w:line="271" w:lineRule="auto"/>
        <w:tabs>
          <w:tab w:leader="none" w:pos="958"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pay</w:t>
      </w:r>
      <w:r>
        <w:rPr>
          <w:rFonts w:ascii="Arial" w:cs="Arial" w:eastAsia="Arial" w:hAnsi="Arial"/>
          <w:sz w:val="18"/>
          <w:szCs w:val="18"/>
          <w:color w:val="auto"/>
        </w:rPr>
        <w:t>,</w:t>
      </w:r>
      <w:r>
        <w:rPr>
          <w:rFonts w:ascii="Arial" w:cs="Arial" w:eastAsia="Arial" w:hAnsi="Arial"/>
          <w:sz w:val="18"/>
          <w:szCs w:val="18"/>
          <w:b w:val="1"/>
          <w:bCs w:val="1"/>
          <w:color w:val="auto"/>
        </w:rPr>
        <w:t xml:space="preserve"> prepay </w:t>
      </w:r>
      <w:r>
        <w:rPr>
          <w:rFonts w:ascii="Arial" w:cs="Arial" w:eastAsia="Arial" w:hAnsi="Arial"/>
          <w:sz w:val="18"/>
          <w:szCs w:val="18"/>
          <w:color w:val="auto"/>
        </w:rPr>
        <w:t>or</w:t>
      </w:r>
      <w:r>
        <w:rPr>
          <w:rFonts w:ascii="Arial" w:cs="Arial" w:eastAsia="Arial" w:hAnsi="Arial"/>
          <w:sz w:val="18"/>
          <w:szCs w:val="18"/>
          <w:b w:val="1"/>
          <w:bCs w:val="1"/>
          <w:color w:val="auto"/>
        </w:rPr>
        <w:t xml:space="preserve"> repay </w:t>
      </w:r>
      <w:r>
        <w:rPr>
          <w:rFonts w:ascii="Arial" w:cs="Arial" w:eastAsia="Arial" w:hAnsi="Arial"/>
          <w:sz w:val="18"/>
          <w:szCs w:val="18"/>
          <w:color w:val="auto"/>
        </w:rPr>
        <w:t>in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includes by way of set-off, combination of accounts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w:t>
      </w:r>
    </w:p>
    <w:p>
      <w:pPr>
        <w:spacing w:after="0" w:line="1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64135</wp:posOffset>
            </wp:positionV>
            <wp:extent cx="71532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20"/>
          </w:cols>
          <w:pgMar w:left="1340" w:top="341" w:right="339" w:bottom="1440" w:gutter="0" w:footer="0" w:header="0"/>
        </w:sectPr>
      </w:pPr>
    </w:p>
    <w:bookmarkStart w:id="199" w:name="page200"/>
    <w:bookmarkEnd w:id="199"/>
    <w:p>
      <w:pPr>
        <w:ind w:left="1660" w:hanging="631"/>
        <w:spacing w:after="0" w:line="271" w:lineRule="auto"/>
        <w:tabs>
          <w:tab w:leader="none" w:pos="173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40" w:lineRule="exact"/>
        <w:rPr>
          <w:rFonts w:ascii="Arial" w:cs="Arial" w:eastAsia="Arial" w:hAnsi="Arial"/>
          <w:sz w:val="18"/>
          <w:szCs w:val="18"/>
          <w:color w:val="auto"/>
        </w:rPr>
      </w:pPr>
    </w:p>
    <w:p>
      <w:pPr>
        <w:jc w:val="both"/>
        <w:ind w:left="1660" w:hanging="631"/>
        <w:spacing w:after="0" w:line="253" w:lineRule="auto"/>
        <w:tabs>
          <w:tab w:leader="none" w:pos="1695"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includes (without limitation) any Basel II Regulation or Basel III Regulation;</w:t>
      </w:r>
    </w:p>
    <w:p>
      <w:pPr>
        <w:spacing w:after="0" w:line="155" w:lineRule="exact"/>
        <w:rPr>
          <w:rFonts w:ascii="Arial" w:cs="Arial" w:eastAsia="Arial" w:hAnsi="Arial"/>
          <w:sz w:val="18"/>
          <w:szCs w:val="18"/>
          <w:color w:val="auto"/>
        </w:rPr>
      </w:pPr>
    </w:p>
    <w:p>
      <w:pPr>
        <w:ind w:left="1660" w:hanging="631"/>
        <w:spacing w:after="0" w:line="271" w:lineRule="auto"/>
        <w:tabs>
          <w:tab w:leader="none" w:pos="1667" w:val="left"/>
        </w:tabs>
        <w:numPr>
          <w:ilvl w:val="1"/>
          <w:numId w:val="505"/>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 whether actual or contingent, present or future, arising under contract or law, or in equity;</w:t>
      </w:r>
    </w:p>
    <w:p>
      <w:pPr>
        <w:spacing w:after="0" w:line="140" w:lineRule="exact"/>
        <w:rPr>
          <w:rFonts w:ascii="Arial" w:cs="Arial" w:eastAsia="Arial" w:hAnsi="Arial"/>
          <w:sz w:val="18"/>
          <w:szCs w:val="18"/>
          <w:color w:val="auto"/>
        </w:rPr>
      </w:pPr>
    </w:p>
    <w:p>
      <w:pPr>
        <w:ind w:left="1660" w:hanging="631"/>
        <w:spacing w:after="0"/>
        <w:tabs>
          <w:tab w:leader="none" w:pos="1660" w:val="left"/>
        </w:tabs>
        <w:numPr>
          <w:ilvl w:val="1"/>
          <w:numId w:val="505"/>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198" w:lineRule="exact"/>
        <w:rPr>
          <w:rFonts w:ascii="Arial" w:cs="Arial" w:eastAsia="Arial" w:hAnsi="Arial"/>
          <w:sz w:val="18"/>
          <w:szCs w:val="18"/>
          <w:color w:val="auto"/>
        </w:rPr>
      </w:pPr>
    </w:p>
    <w:p>
      <w:pPr>
        <w:jc w:val="both"/>
        <w:ind w:left="1660" w:hanging="631"/>
        <w:spacing w:after="0"/>
        <w:tabs>
          <w:tab w:leader="none" w:pos="1708"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(i)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winding up</w:t>
      </w:r>
      <w:r>
        <w:rPr>
          <w:rFonts w:ascii="Arial" w:cs="Arial" w:eastAsia="Arial" w:hAnsi="Arial"/>
          <w:sz w:val="18"/>
          <w:szCs w:val="18"/>
          <w:color w:val="auto"/>
        </w:rPr>
        <w:t xml:space="preserve">,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of person or (ii) 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in the context of insolvency proceedings or security enforcement actions in respect of a person shall be 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71" w:lineRule="exact"/>
        <w:rPr>
          <w:rFonts w:ascii="Arial" w:cs="Arial" w:eastAsia="Arial" w:hAnsi="Arial"/>
          <w:sz w:val="18"/>
          <w:szCs w:val="18"/>
          <w:color w:val="auto"/>
        </w:rPr>
      </w:pPr>
    </w:p>
    <w:p>
      <w:pPr>
        <w:ind w:left="1660" w:hanging="631"/>
        <w:spacing w:after="0"/>
        <w:tabs>
          <w:tab w:leader="none" w:pos="166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20" w:lineRule="exact"/>
        <w:rPr>
          <w:rFonts w:ascii="Arial" w:cs="Arial" w:eastAsia="Arial" w:hAnsi="Arial"/>
          <w:sz w:val="18"/>
          <w:szCs w:val="18"/>
          <w:color w:val="auto"/>
        </w:rPr>
      </w:pPr>
    </w:p>
    <w:p>
      <w:pPr>
        <w:ind w:left="1660" w:hanging="631"/>
        <w:spacing w:after="0"/>
        <w:tabs>
          <w:tab w:leader="none" w:pos="166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176" w:lineRule="exact"/>
        <w:rPr>
          <w:rFonts w:ascii="Arial" w:cs="Arial" w:eastAsia="Arial" w:hAnsi="Arial"/>
          <w:sz w:val="18"/>
          <w:szCs w:val="18"/>
          <w:color w:val="auto"/>
        </w:rPr>
      </w:pPr>
    </w:p>
    <w:p>
      <w:pPr>
        <w:ind w:left="1020" w:hanging="512"/>
        <w:spacing w:after="0" w:line="271" w:lineRule="auto"/>
        <w:tabs>
          <w:tab w:leader="none" w:pos="139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62" w:lineRule="exact"/>
        <w:rPr>
          <w:rFonts w:ascii="Arial" w:cs="Arial" w:eastAsia="Arial" w:hAnsi="Arial"/>
          <w:sz w:val="18"/>
          <w:szCs w:val="18"/>
          <w:color w:val="auto"/>
        </w:rPr>
      </w:pPr>
    </w:p>
    <w:p>
      <w:pPr>
        <w:jc w:val="both"/>
        <w:ind w:left="1020" w:hanging="512"/>
        <w:spacing w:after="0"/>
        <w:tabs>
          <w:tab w:leader="none" w:pos="1087" w:val="left"/>
        </w:tabs>
        <w:numPr>
          <w:ilvl w:val="0"/>
          <w:numId w:val="506"/>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98"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Arial" w:cs="Arial" w:eastAsia="Arial" w:hAnsi="Arial"/>
          <w:sz w:val="18"/>
          <w:szCs w:val="18"/>
          <w:color w:val="auto"/>
        </w:rPr>
      </w:pPr>
    </w:p>
    <w:p>
      <w:pPr>
        <w:ind w:left="1020" w:right="20" w:hanging="512"/>
        <w:spacing w:after="0" w:line="271" w:lineRule="auto"/>
        <w:tabs>
          <w:tab w:leader="none" w:pos="1358"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 xml:space="preserve">continuing </w:t>
      </w:r>
      <w:r>
        <w:rPr>
          <w:rFonts w:ascii="Arial" w:cs="Arial" w:eastAsia="Arial" w:hAnsi="Arial"/>
          <w:sz w:val="18"/>
          <w:szCs w:val="18"/>
          <w:color w:val="auto"/>
        </w:rPr>
        <w:t>if it has not been waived or remedied to the satisfaction of the Agent (acting on the instructions of all the Lenders).</w:t>
      </w:r>
    </w:p>
    <w:p>
      <w:pPr>
        <w:spacing w:after="0" w:line="162" w:lineRule="exact"/>
        <w:rPr>
          <w:rFonts w:ascii="Arial" w:cs="Arial" w:eastAsia="Arial" w:hAnsi="Arial"/>
          <w:sz w:val="18"/>
          <w:szCs w:val="18"/>
          <w:color w:val="auto"/>
        </w:rPr>
      </w:pPr>
    </w:p>
    <w:p>
      <w:pPr>
        <w:ind w:left="1020" w:hanging="512"/>
        <w:spacing w:after="0" w:line="246" w:lineRule="auto"/>
        <w:tabs>
          <w:tab w:leader="none" w:pos="115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220" w:lineRule="exact"/>
        <w:rPr>
          <w:sz w:val="20"/>
          <w:szCs w:val="20"/>
          <w:color w:val="auto"/>
        </w:rPr>
      </w:pPr>
    </w:p>
    <w:p>
      <w:pPr>
        <w:ind w:left="1020" w:hanging="512"/>
        <w:spacing w:after="0" w:line="246" w:lineRule="auto"/>
        <w:tabs>
          <w:tab w:leader="none" w:pos="13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Unless expressly provided to the contrary in a Finance Document for the benefit of a Finance Party or another Indemnified Person, a person who is not a party to a Finance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00" w:name="page201"/>
    <w:bookmarkEnd w:id="200"/>
    <w:p>
      <w:pPr>
        <w:ind w:left="1040" w:right="20"/>
        <w:spacing w:after="0" w:line="271" w:lineRule="auto"/>
        <w:rPr>
          <w:sz w:val="20"/>
          <w:szCs w:val="20"/>
          <w:color w:val="auto"/>
        </w:rPr>
      </w:pPr>
      <w:r>
        <w:rPr>
          <w:rFonts w:ascii="Arial" w:cs="Arial" w:eastAsia="Arial" w:hAnsi="Arial"/>
          <w:sz w:val="18"/>
          <w:szCs w:val="18"/>
          <w:color w:val="auto"/>
        </w:rPr>
        <w:t xml:space="preserve">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162" w:lineRule="exact"/>
        <w:rPr>
          <w:sz w:val="20"/>
          <w:szCs w:val="20"/>
          <w:color w:val="auto"/>
        </w:rPr>
      </w:pPr>
    </w:p>
    <w:p>
      <w:pPr>
        <w:ind w:left="1040" w:hanging="532"/>
        <w:spacing w:after="0"/>
        <w:tabs>
          <w:tab w:leader="none" w:pos="10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w:t>
      </w:r>
    </w:p>
    <w:p>
      <w:pPr>
        <w:spacing w:after="0" w:line="198" w:lineRule="exact"/>
        <w:rPr>
          <w:rFonts w:ascii="Arial" w:cs="Arial" w:eastAsia="Arial" w:hAnsi="Arial"/>
          <w:sz w:val="18"/>
          <w:szCs w:val="18"/>
          <w:color w:val="auto"/>
        </w:rPr>
      </w:pPr>
    </w:p>
    <w:p>
      <w:pPr>
        <w:ind w:left="1020" w:hanging="512"/>
        <w:spacing w:after="0" w:line="246" w:lineRule="auto"/>
        <w:tabs>
          <w:tab w:leader="none" w:pos="127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Finance Documents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Conflict of documents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57" w:lineRule="exact"/>
        <w:rPr>
          <w:sz w:val="20"/>
          <w:szCs w:val="20"/>
          <w:color w:val="auto"/>
        </w:rPr>
      </w:pPr>
    </w:p>
    <w:p>
      <w:pPr>
        <w:ind w:left="520" w:hanging="370"/>
        <w:spacing w:after="0"/>
        <w:tabs>
          <w:tab w:leader="none" w:pos="520" w:val="left"/>
        </w:tabs>
        <w:numPr>
          <w:ilvl w:val="0"/>
          <w:numId w:val="509"/>
        </w:numPr>
        <w:rPr>
          <w:rFonts w:ascii="Arial" w:cs="Arial" w:eastAsia="Arial" w:hAnsi="Arial"/>
          <w:sz w:val="22"/>
          <w:szCs w:val="22"/>
          <w:b w:val="1"/>
          <w:bCs w:val="1"/>
          <w:color w:val="auto"/>
        </w:rPr>
      </w:pPr>
      <w:r>
        <w:rPr>
          <w:rFonts w:ascii="Arial" w:cs="Arial" w:eastAsia="Arial" w:hAnsi="Arial"/>
          <w:sz w:val="22"/>
          <w:szCs w:val="22"/>
          <w:b w:val="1"/>
          <w:bCs w:val="1"/>
          <w:color w:val="auto"/>
        </w:rPr>
        <w:t>The Facility</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The Facility</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Subject to the terms of this Agreement, the Lenders make available to the Borrowers a term loan facility in an aggregate amount equal to the Total Commitments.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Finance Parties’ rights and obligations</w:t>
      </w:r>
    </w:p>
    <w:p>
      <w:pPr>
        <w:spacing w:after="0" w:line="220" w:lineRule="exact"/>
        <w:rPr>
          <w:sz w:val="20"/>
          <w:szCs w:val="20"/>
          <w:color w:val="auto"/>
        </w:rPr>
      </w:pPr>
    </w:p>
    <w:p>
      <w:pPr>
        <w:jc w:val="both"/>
        <w:ind w:left="1020" w:hanging="512"/>
        <w:spacing w:after="0"/>
        <w:tabs>
          <w:tab w:leader="none" w:pos="13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11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165" w:lineRule="exact"/>
        <w:rPr>
          <w:rFonts w:ascii="Arial" w:cs="Arial" w:eastAsia="Arial" w:hAnsi="Arial"/>
          <w:sz w:val="18"/>
          <w:szCs w:val="18"/>
          <w:color w:val="auto"/>
        </w:rPr>
      </w:pPr>
    </w:p>
    <w:p>
      <w:pPr>
        <w:jc w:val="both"/>
        <w:ind w:left="1020" w:hanging="512"/>
        <w:spacing w:after="0" w:line="250" w:lineRule="auto"/>
        <w:tabs>
          <w:tab w:leader="none" w:pos="1209"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 Finance Party may, except as otherwise stated in the Finance Documents (including clauses 34.30 (</w:t>
      </w:r>
      <w:r>
        <w:rPr>
          <w:rFonts w:ascii="Arial" w:cs="Arial" w:eastAsia="Arial" w:hAnsi="Arial"/>
          <w:sz w:val="18"/>
          <w:szCs w:val="18"/>
          <w:i w:val="1"/>
          <w:iCs w:val="1"/>
          <w:color w:val="auto"/>
        </w:rPr>
        <w:t>All enforcement action</w:t>
      </w:r>
      <w:r>
        <w:rPr>
          <w:rFonts w:ascii="Arial" w:cs="Arial" w:eastAsia="Arial" w:hAnsi="Arial"/>
          <w:sz w:val="18"/>
          <w:szCs w:val="18"/>
          <w:color w:val="auto"/>
        </w:rPr>
        <w:t xml:space="preserve"> </w:t>
      </w:r>
      <w:r>
        <w:rPr>
          <w:rFonts w:ascii="Arial" w:cs="Arial" w:eastAsia="Arial" w:hAnsi="Arial"/>
          <w:sz w:val="18"/>
          <w:szCs w:val="18"/>
          <w:i w:val="1"/>
          <w:iCs w:val="1"/>
          <w:color w:val="auto"/>
        </w:rPr>
        <w:t>through the Security Agent</w:t>
      </w:r>
      <w:r>
        <w:rPr>
          <w:rFonts w:ascii="Arial" w:cs="Arial" w:eastAsia="Arial" w:hAnsi="Arial"/>
          <w:sz w:val="18"/>
          <w:szCs w:val="18"/>
          <w:color w:val="auto"/>
        </w:rPr>
        <w:t>) and 35.2 (</w:t>
      </w:r>
      <w:r>
        <w:rPr>
          <w:rFonts w:ascii="Arial" w:cs="Arial" w:eastAsia="Arial" w:hAnsi="Arial"/>
          <w:sz w:val="18"/>
          <w:szCs w:val="18"/>
          <w:i w:val="1"/>
          <w:iCs w:val="1"/>
          <w:color w:val="auto"/>
        </w:rPr>
        <w:t>Finance Parties acting together</w:t>
      </w:r>
      <w:r>
        <w:rPr>
          <w:rFonts w:ascii="Arial" w:cs="Arial" w:eastAsia="Arial" w:hAnsi="Arial"/>
          <w:sz w:val="18"/>
          <w:szCs w:val="18"/>
          <w:color w:val="auto"/>
        </w:rPr>
        <w:t>)), separately enforce its rights under the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Borrowers’ rights and obligations</w:t>
      </w:r>
    </w:p>
    <w:p>
      <w:pPr>
        <w:spacing w:after="0" w:line="220" w:lineRule="exact"/>
        <w:rPr>
          <w:sz w:val="20"/>
          <w:szCs w:val="20"/>
          <w:color w:val="auto"/>
        </w:rPr>
      </w:pPr>
    </w:p>
    <w:p>
      <w:pPr>
        <w:ind w:left="1020" w:right="20" w:hanging="512"/>
        <w:spacing w:after="0" w:line="246" w:lineRule="auto"/>
        <w:tabs>
          <w:tab w:leader="none" w:pos="116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obligations of each Borrower under this Agreement are joint and several. Failure by a Borrower to perform its obligations under this Agreement shall constitute a failure by all of the Borrowers.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Each Borrower irrevocably and unconditionally jointly and severally with each other Borrower: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each other Borrower under this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01" w:name="page202"/>
    <w:bookmarkEnd w:id="201"/>
    <w:p>
      <w:pPr>
        <w:ind w:left="1040" w:hanging="511"/>
        <w:spacing w:after="0" w:line="246" w:lineRule="auto"/>
        <w:tabs>
          <w:tab w:leader="none" w:pos="1094"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Borrowers under this Agreement; and</w:t>
      </w:r>
    </w:p>
    <w:p>
      <w:pPr>
        <w:spacing w:after="0" w:line="183" w:lineRule="exact"/>
        <w:rPr>
          <w:rFonts w:ascii="Arial" w:cs="Arial" w:eastAsia="Arial" w:hAnsi="Arial"/>
          <w:sz w:val="18"/>
          <w:szCs w:val="18"/>
          <w:color w:val="auto"/>
        </w:rPr>
      </w:pPr>
    </w:p>
    <w:p>
      <w:pPr>
        <w:jc w:val="both"/>
        <w:ind w:left="1040" w:hanging="511"/>
        <w:spacing w:after="0" w:line="237" w:lineRule="auto"/>
        <w:tabs>
          <w:tab w:leader="none" w:pos="1539"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another Borrower under this Agreement is or becomes unenforceable, invalid or illegal for any reason it will, as an independent and primary obligation, indemnify that Finance Party immediately on demand against any and all Losses it incurs as a result of another Borrower not paying any amount which would, but for such unenforceability, invalidity or illegality, have been payable by that other Borrower under this Agreement. The amount payable under this indemnity shall be equal to the amount which that Finance Party would otherwise have been entitled to recover.</w:t>
      </w:r>
    </w:p>
    <w:p>
      <w:pPr>
        <w:spacing w:after="0" w:line="191" w:lineRule="exact"/>
        <w:rPr>
          <w:rFonts w:ascii="Arial" w:cs="Arial" w:eastAsia="Arial" w:hAnsi="Arial"/>
          <w:sz w:val="18"/>
          <w:szCs w:val="18"/>
          <w:color w:val="auto"/>
        </w:rPr>
      </w:pPr>
    </w:p>
    <w:p>
      <w:pPr>
        <w:jc w:val="both"/>
        <w:ind w:left="520" w:hanging="512"/>
        <w:spacing w:after="0"/>
        <w:tabs>
          <w:tab w:leader="none" w:pos="84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continue until all amounts which may be or become payable by the Borrowers under or in connection with the Finance Documents have been irrevocably and unconditionally paid or discharged in full, regardless of any intermediate payment or discharge in whole or in part.</w:t>
      </w:r>
    </w:p>
    <w:p>
      <w:pPr>
        <w:spacing w:after="0" w:line="189" w:lineRule="exact"/>
        <w:rPr>
          <w:rFonts w:ascii="Arial" w:cs="Arial" w:eastAsia="Arial" w:hAnsi="Arial"/>
          <w:sz w:val="18"/>
          <w:szCs w:val="18"/>
          <w:color w:val="auto"/>
        </w:rPr>
      </w:pPr>
    </w:p>
    <w:p>
      <w:pPr>
        <w:jc w:val="both"/>
        <w:ind w:left="520" w:hanging="512"/>
        <w:spacing w:after="0" w:line="238" w:lineRule="auto"/>
        <w:tabs>
          <w:tab w:leader="none" w:pos="1003" w:val="left"/>
        </w:tabs>
        <w:numPr>
          <w:ilvl w:val="0"/>
          <w:numId w:val="513"/>
        </w:numPr>
        <w:rPr>
          <w:rFonts w:ascii="Arial" w:cs="Arial" w:eastAsia="Arial" w:hAnsi="Arial"/>
          <w:sz w:val="18"/>
          <w:szCs w:val="18"/>
          <w:color w:val="auto"/>
        </w:rPr>
      </w:pPr>
      <w:r>
        <w:rPr>
          <w:rFonts w:ascii="Arial" w:cs="Arial" w:eastAsia="Arial" w:hAnsi="Arial"/>
          <w:sz w:val="18"/>
          <w:szCs w:val="18"/>
          <w:color w:val="auto"/>
        </w:rPr>
        <w:t>If any discharge, release or arrangement (whether in respect of the obligations of a Borrower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Borrowers under this Agreement will continue or be reinstated as if the discharge, release or arrangement had not occurred.</w:t>
      </w:r>
    </w:p>
    <w:p>
      <w:pPr>
        <w:spacing w:after="0" w:line="188" w:lineRule="exact"/>
        <w:rPr>
          <w:rFonts w:ascii="Arial" w:cs="Arial" w:eastAsia="Arial" w:hAnsi="Arial"/>
          <w:sz w:val="18"/>
          <w:szCs w:val="18"/>
          <w:color w:val="auto"/>
        </w:rPr>
      </w:pPr>
    </w:p>
    <w:p>
      <w:pPr>
        <w:jc w:val="both"/>
        <w:ind w:left="520" w:hanging="512"/>
        <w:spacing w:after="0"/>
        <w:tabs>
          <w:tab w:leader="none" w:pos="54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not be affected by an act, omission, matter or thing which, but for this clause (whether or not known to it or any Finance Party), would reduce, release or prejudice any of its obligations under the Finance Documents including:</w:t>
      </w:r>
    </w:p>
    <w:p>
      <w:pPr>
        <w:spacing w:after="0" w:line="189" w:lineRule="exact"/>
        <w:rPr>
          <w:rFonts w:ascii="Arial" w:cs="Arial" w:eastAsia="Arial" w:hAnsi="Arial"/>
          <w:sz w:val="18"/>
          <w:szCs w:val="18"/>
          <w:color w:val="auto"/>
        </w:rPr>
      </w:pPr>
    </w:p>
    <w:p>
      <w:pPr>
        <w:ind w:left="1060" w:hanging="531"/>
        <w:spacing w:after="0"/>
        <w:tabs>
          <w:tab w:leader="none" w:pos="106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98" w:lineRule="exact"/>
        <w:rPr>
          <w:rFonts w:ascii="Arial" w:cs="Arial" w:eastAsia="Arial" w:hAnsi="Arial"/>
          <w:sz w:val="18"/>
          <w:szCs w:val="18"/>
          <w:color w:val="auto"/>
        </w:rPr>
      </w:pPr>
    </w:p>
    <w:p>
      <w:pPr>
        <w:ind w:left="1040" w:hanging="511"/>
        <w:spacing w:after="0" w:line="246" w:lineRule="auto"/>
        <w:tabs>
          <w:tab w:leader="none" w:pos="108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83" w:lineRule="exact"/>
        <w:rPr>
          <w:rFonts w:ascii="Arial" w:cs="Arial" w:eastAsia="Arial" w:hAnsi="Arial"/>
          <w:sz w:val="18"/>
          <w:szCs w:val="18"/>
          <w:color w:val="auto"/>
        </w:rPr>
      </w:pPr>
    </w:p>
    <w:p>
      <w:pPr>
        <w:jc w:val="both"/>
        <w:ind w:left="1040" w:hanging="511"/>
        <w:spacing w:after="0"/>
        <w:tabs>
          <w:tab w:leader="none" w:pos="1201"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9" w:lineRule="exact"/>
        <w:rPr>
          <w:rFonts w:ascii="Arial" w:cs="Arial" w:eastAsia="Arial" w:hAnsi="Arial"/>
          <w:sz w:val="18"/>
          <w:szCs w:val="18"/>
          <w:color w:val="auto"/>
        </w:rPr>
      </w:pPr>
    </w:p>
    <w:p>
      <w:pPr>
        <w:ind w:left="1040" w:hanging="511"/>
        <w:spacing w:after="0" w:line="246" w:lineRule="auto"/>
        <w:tabs>
          <w:tab w:leader="none" w:pos="1171"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rFonts w:ascii="Arial" w:cs="Arial" w:eastAsia="Arial" w:hAnsi="Arial"/>
          <w:sz w:val="18"/>
          <w:szCs w:val="18"/>
          <w:color w:val="auto"/>
        </w:rPr>
      </w:pPr>
    </w:p>
    <w:p>
      <w:pPr>
        <w:ind w:left="1040" w:hanging="511"/>
        <w:spacing w:after="0" w:line="246" w:lineRule="auto"/>
        <w:tabs>
          <w:tab w:leader="none" w:pos="109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Finance Document or any other document or security;</w:t>
      </w:r>
    </w:p>
    <w:p>
      <w:pPr>
        <w:spacing w:after="0" w:line="183" w:lineRule="exact"/>
        <w:rPr>
          <w:rFonts w:ascii="Arial" w:cs="Arial" w:eastAsia="Arial" w:hAnsi="Arial"/>
          <w:sz w:val="18"/>
          <w:szCs w:val="18"/>
          <w:color w:val="auto"/>
        </w:rPr>
      </w:pPr>
    </w:p>
    <w:p>
      <w:pPr>
        <w:ind w:left="1040" w:hanging="511"/>
        <w:spacing w:after="0" w:line="246" w:lineRule="auto"/>
        <w:tabs>
          <w:tab w:leader="none" w:pos="1306"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83" w:lineRule="exact"/>
        <w:rPr>
          <w:rFonts w:ascii="Arial" w:cs="Arial" w:eastAsia="Arial" w:hAnsi="Arial"/>
          <w:sz w:val="18"/>
          <w:szCs w:val="18"/>
          <w:color w:val="auto"/>
        </w:rPr>
      </w:pPr>
    </w:p>
    <w:p>
      <w:pPr>
        <w:ind w:left="1040" w:hanging="511"/>
        <w:spacing w:after="0"/>
        <w:tabs>
          <w:tab w:leader="none" w:pos="10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98" w:lineRule="exact"/>
        <w:rPr>
          <w:rFonts w:ascii="Arial" w:cs="Arial" w:eastAsia="Arial" w:hAnsi="Arial"/>
          <w:sz w:val="18"/>
          <w:szCs w:val="18"/>
          <w:color w:val="auto"/>
        </w:rPr>
      </w:pPr>
    </w:p>
    <w:p>
      <w:pPr>
        <w:jc w:val="both"/>
        <w:ind w:left="520" w:hanging="512"/>
        <w:spacing w:after="0"/>
        <w:tabs>
          <w:tab w:leader="none" w:pos="521"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Each Borrower waives any right it may have of first requiring any Finance Party (or any trustee or agent on its behalf) to proceed against or enforce any other rights or security or claim payment from any person before claiming from that Borrower under any Finance Document. This waiver applies irrespective of any law or any provision of a Finance Document to the contrary.</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02" w:name="page203"/>
    <w:bookmarkEnd w:id="202"/>
    <w:p>
      <w:pPr>
        <w:ind w:left="1020" w:hanging="512"/>
        <w:spacing w:after="0" w:line="246" w:lineRule="auto"/>
        <w:tabs>
          <w:tab w:leader="none" w:pos="1179" w:val="left"/>
        </w:tabs>
        <w:numPr>
          <w:ilvl w:val="0"/>
          <w:numId w:val="514"/>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and unconditionally paid or discharged in full, each Finance Party (or any trustee or agent on its behalf) may:</w:t>
      </w:r>
    </w:p>
    <w:p>
      <w:pPr>
        <w:spacing w:after="0" w:line="183" w:lineRule="exact"/>
        <w:rPr>
          <w:rFonts w:ascii="Arial" w:cs="Arial" w:eastAsia="Arial" w:hAnsi="Arial"/>
          <w:sz w:val="18"/>
          <w:szCs w:val="18"/>
          <w:color w:val="auto"/>
        </w:rPr>
      </w:pPr>
    </w:p>
    <w:p>
      <w:pPr>
        <w:jc w:val="both"/>
        <w:ind w:left="1540" w:hanging="511"/>
        <w:spacing w:after="0"/>
        <w:tabs>
          <w:tab w:leader="none" w:pos="181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Borrower will be entitled to the benefit of the same; and</w:t>
      </w:r>
    </w:p>
    <w:p>
      <w:pPr>
        <w:spacing w:after="0" w:line="189" w:lineRule="exact"/>
        <w:rPr>
          <w:rFonts w:ascii="Arial" w:cs="Arial" w:eastAsia="Arial" w:hAnsi="Arial"/>
          <w:sz w:val="18"/>
          <w:szCs w:val="18"/>
          <w:color w:val="auto"/>
        </w:rPr>
      </w:pPr>
    </w:p>
    <w:p>
      <w:pPr>
        <w:ind w:left="1540" w:right="20" w:hanging="511"/>
        <w:spacing w:after="0" w:line="246" w:lineRule="auto"/>
        <w:tabs>
          <w:tab w:leader="none" w:pos="1742" w:val="left"/>
        </w:tabs>
        <w:numPr>
          <w:ilvl w:val="1"/>
          <w:numId w:val="514"/>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Borrower or on account of any Borrower’s liability under any Finance Document.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92" w:val="left"/>
        </w:tabs>
        <w:numPr>
          <w:ilvl w:val="0"/>
          <w:numId w:val="514"/>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(on such terms as it may require), no Borrower shall exercise any rights (including rights of set-off) which it may have by reason of performance by it of its obligations under the Finance Documents:</w:t>
      </w:r>
    </w:p>
    <w:p>
      <w:pPr>
        <w:spacing w:after="0" w:line="191" w:lineRule="exact"/>
        <w:rPr>
          <w:rFonts w:ascii="Arial" w:cs="Arial" w:eastAsia="Arial" w:hAnsi="Arial"/>
          <w:sz w:val="18"/>
          <w:szCs w:val="18"/>
          <w:color w:val="auto"/>
        </w:rPr>
      </w:pPr>
    </w:p>
    <w:p>
      <w:pPr>
        <w:ind w:left="1560" w:hanging="531"/>
        <w:spacing w:after="0"/>
        <w:tabs>
          <w:tab w:leader="none" w:pos="156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to be indemnified by another Obligor; and/or</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2026"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to claim any contribution from any other Obligor or any guarantor of any Obligor’s obligations under the Finance Documents; and/or</w:t>
      </w:r>
    </w:p>
    <w:p>
      <w:pPr>
        <w:spacing w:after="0" w:line="183" w:lineRule="exact"/>
        <w:rPr>
          <w:rFonts w:ascii="Arial" w:cs="Arial" w:eastAsia="Arial" w:hAnsi="Arial"/>
          <w:sz w:val="18"/>
          <w:szCs w:val="18"/>
          <w:color w:val="auto"/>
        </w:rPr>
      </w:pPr>
    </w:p>
    <w:p>
      <w:pPr>
        <w:jc w:val="both"/>
        <w:ind w:left="1540" w:hanging="511"/>
        <w:spacing w:after="0"/>
        <w:tabs>
          <w:tab w:leader="none" w:pos="1823"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guarantee or security taken pursuant to, or in connection with, the Finance Documents by any Finance Party; and/or</w:t>
      </w:r>
    </w:p>
    <w:p>
      <w:pPr>
        <w:spacing w:after="0" w:line="189" w:lineRule="exact"/>
        <w:rPr>
          <w:rFonts w:ascii="Arial" w:cs="Arial" w:eastAsia="Arial" w:hAnsi="Arial"/>
          <w:sz w:val="18"/>
          <w:szCs w:val="18"/>
          <w:color w:val="auto"/>
        </w:rPr>
      </w:pPr>
    </w:p>
    <w:p>
      <w:pPr>
        <w:ind w:left="1540" w:right="20" w:hanging="511"/>
        <w:spacing w:after="0" w:line="246" w:lineRule="auto"/>
        <w:tabs>
          <w:tab w:leader="none" w:pos="1617"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Borrower is liable under this Agreement or any of the other Finance Documents; and/or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If a Borrower receives any benefit, payment or distribution in relation to such rights it will promptly pay an equal amount to the Agent for application in accordance with clause 37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57" w:lineRule="exact"/>
        <w:rPr>
          <w:sz w:val="20"/>
          <w:szCs w:val="20"/>
          <w:color w:val="auto"/>
        </w:rPr>
      </w:pPr>
    </w:p>
    <w:p>
      <w:pPr>
        <w:ind w:left="520" w:hanging="370"/>
        <w:spacing w:after="0"/>
        <w:tabs>
          <w:tab w:leader="none" w:pos="520" w:val="left"/>
        </w:tabs>
        <w:numPr>
          <w:ilvl w:val="0"/>
          <w:numId w:val="515"/>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Purpose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apply all amounts borrowed under the Facility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Use</w:t>
      </w:r>
    </w:p>
    <w:p>
      <w:pPr>
        <w:spacing w:after="0" w:line="220" w:lineRule="exact"/>
        <w:rPr>
          <w:sz w:val="20"/>
          <w:szCs w:val="20"/>
          <w:color w:val="auto"/>
        </w:rPr>
      </w:pPr>
    </w:p>
    <w:p>
      <w:pPr>
        <w:ind w:left="520" w:hanging="9"/>
        <w:spacing w:after="0" w:line="246" w:lineRule="auto"/>
        <w:rPr>
          <w:sz w:val="20"/>
          <w:szCs w:val="20"/>
          <w:color w:val="auto"/>
        </w:rPr>
      </w:pPr>
      <w:r>
        <w:rPr>
          <w:rFonts w:ascii="Arial" w:cs="Arial" w:eastAsia="Arial" w:hAnsi="Arial"/>
          <w:sz w:val="18"/>
          <w:szCs w:val="18"/>
          <w:color w:val="auto"/>
        </w:rPr>
        <w:t>The Ship Commitment for each Ship shall be made available solely for the purpose of assisting the relevant Owner to refinance the Existing Indebtedness made available in respect of that Ship in full and for general corporate purposes.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Monitoring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3" w:name="page204"/>
    <w:bookmarkEnd w:id="203"/>
    <w:p>
      <w:pPr>
        <w:ind w:left="52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66" w:lineRule="exact"/>
        <w:rPr>
          <w:sz w:val="20"/>
          <w:szCs w:val="20"/>
          <w:color w:val="auto"/>
        </w:rPr>
      </w:pPr>
    </w:p>
    <w:p>
      <w:pPr>
        <w:ind w:left="520" w:hanging="370"/>
        <w:spacing w:after="0"/>
        <w:tabs>
          <w:tab w:leader="none" w:pos="520" w:val="left"/>
        </w:tabs>
        <w:numPr>
          <w:ilvl w:val="0"/>
          <w:numId w:val="51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of Utilisation</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Conditions precedent to the delivery of a Utilisation Request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may not deliver a Utilisation Request unless the Agent, or its duly authorised representative, has received all of the documents and the evidence listed in Schedule 3, Part 1 (</w:t>
      </w:r>
      <w:r>
        <w:rPr>
          <w:rFonts w:ascii="Arial" w:cs="Arial" w:eastAsia="Arial" w:hAnsi="Arial"/>
          <w:sz w:val="18"/>
          <w:szCs w:val="18"/>
          <w:i w:val="1"/>
          <w:iCs w:val="1"/>
          <w:color w:val="auto"/>
        </w:rPr>
        <w:t>Conditions precedent to any Utilisation</w:t>
      </w:r>
      <w:r>
        <w:rPr>
          <w:rFonts w:ascii="Arial" w:cs="Arial" w:eastAsia="Arial" w:hAnsi="Arial"/>
          <w:sz w:val="18"/>
          <w:szCs w:val="18"/>
          <w:color w:val="auto"/>
        </w:rPr>
        <w:t>) in form and substance satisfactory to the Agent.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Conditions precedent to Utilisation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Commitment in respect of each Ship may only be made available under this Agreement if, the Agent, or its duly authorised representative, has received all of the documents and evidence listed in Schedule 3, Part 2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in relation to such Ship in form and substance satisfactory to the Agent.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Notice to Lenders</w:t>
      </w:r>
    </w:p>
    <w:p>
      <w:pPr>
        <w:spacing w:after="0" w:line="220" w:lineRule="exact"/>
        <w:rPr>
          <w:sz w:val="20"/>
          <w:szCs w:val="20"/>
          <w:color w:val="auto"/>
        </w:rPr>
      </w:pPr>
    </w:p>
    <w:p>
      <w:pPr>
        <w:jc w:val="both"/>
        <w:ind w:left="520" w:right="20"/>
        <w:spacing w:after="0" w:line="238" w:lineRule="auto"/>
        <w:rPr>
          <w:sz w:val="20"/>
          <w:szCs w:val="20"/>
          <w:color w:val="auto"/>
        </w:rPr>
      </w:pPr>
      <w:r>
        <w:rPr>
          <w:rFonts w:ascii="Arial" w:cs="Arial" w:eastAsia="Arial" w:hAnsi="Arial"/>
          <w:sz w:val="18"/>
          <w:szCs w:val="18"/>
          <w:color w:val="auto"/>
        </w:rPr>
        <w:t>The Agent shall notify the Borrowers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Further conditions precedent</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w:t>
      </w:r>
    </w:p>
    <w:p>
      <w:pPr>
        <w:spacing w:after="0" w:line="216" w:lineRule="exact"/>
        <w:rPr>
          <w:sz w:val="20"/>
          <w:szCs w:val="20"/>
          <w:color w:val="auto"/>
        </w:rPr>
      </w:pPr>
    </w:p>
    <w:p>
      <w:pPr>
        <w:ind w:left="1060" w:hanging="552"/>
        <w:spacing w:after="0"/>
        <w:tabs>
          <w:tab w:leader="none" w:pos="10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341" w:val="left"/>
        </w:tabs>
        <w:numPr>
          <w:ilvl w:val="0"/>
          <w:numId w:val="517"/>
        </w:numPr>
        <w:rPr>
          <w:rFonts w:ascii="Arial" w:cs="Arial" w:eastAsia="Arial" w:hAnsi="Arial"/>
          <w:sz w:val="18"/>
          <w:szCs w:val="18"/>
          <w:color w:val="auto"/>
        </w:rPr>
      </w:pPr>
      <w:r>
        <w:rPr>
          <w:rFonts w:ascii="Arial" w:cs="Arial" w:eastAsia="Arial" w:hAnsi="Arial"/>
          <w:sz w:val="18"/>
          <w:szCs w:val="18"/>
          <w:color w:val="auto"/>
        </w:rPr>
        <w:t>on the date of the Utilisation Request and on the proposed Utilisation Date, all of the representations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(except the Ship Representations) are true;</w:t>
      </w:r>
    </w:p>
    <w:p>
      <w:pPr>
        <w:spacing w:after="0" w:line="183" w:lineRule="exact"/>
        <w:rPr>
          <w:rFonts w:ascii="Arial" w:cs="Arial" w:eastAsia="Arial" w:hAnsi="Arial"/>
          <w:sz w:val="18"/>
          <w:szCs w:val="18"/>
          <w:color w:val="auto"/>
        </w:rPr>
      </w:pPr>
    </w:p>
    <w:p>
      <w:pPr>
        <w:ind w:left="1020" w:hanging="512"/>
        <w:spacing w:after="0" w:line="246" w:lineRule="auto"/>
        <w:tabs>
          <w:tab w:leader="none" w:pos="1182" w:val="left"/>
        </w:tabs>
        <w:numPr>
          <w:ilvl w:val="0"/>
          <w:numId w:val="517"/>
        </w:numPr>
        <w:rPr>
          <w:rFonts w:ascii="Arial" w:cs="Arial" w:eastAsia="Arial" w:hAnsi="Arial"/>
          <w:sz w:val="18"/>
          <w:szCs w:val="18"/>
          <w:color w:val="auto"/>
        </w:rPr>
      </w:pPr>
      <w:r>
        <w:rPr>
          <w:rFonts w:ascii="Arial" w:cs="Arial" w:eastAsia="Arial" w:hAnsi="Arial"/>
          <w:sz w:val="18"/>
          <w:szCs w:val="18"/>
          <w:color w:val="auto"/>
        </w:rPr>
        <w:t>where the proposed Utilisation Date is to be the first day of the Mortgage Period for a Ship, the Ship Representations for that Ship are true on the proposed Utilisation Date;</w:t>
      </w:r>
    </w:p>
    <w:p>
      <w:pPr>
        <w:spacing w:after="0" w:line="183" w:lineRule="exact"/>
        <w:rPr>
          <w:rFonts w:ascii="Arial" w:cs="Arial" w:eastAsia="Arial" w:hAnsi="Arial"/>
          <w:sz w:val="18"/>
          <w:szCs w:val="18"/>
          <w:color w:val="auto"/>
        </w:rPr>
      </w:pPr>
    </w:p>
    <w:p>
      <w:pPr>
        <w:jc w:val="both"/>
        <w:ind w:left="1020" w:right="20" w:hanging="512"/>
        <w:spacing w:after="0"/>
        <w:tabs>
          <w:tab w:leader="none" w:pos="108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189" w:lineRule="exact"/>
        <w:rPr>
          <w:rFonts w:ascii="Arial" w:cs="Arial" w:eastAsia="Arial" w:hAnsi="Arial"/>
          <w:sz w:val="18"/>
          <w:szCs w:val="18"/>
          <w:color w:val="auto"/>
        </w:rPr>
      </w:pPr>
    </w:p>
    <w:p>
      <w:pPr>
        <w:ind w:left="1060" w:hanging="552"/>
        <w:spacing w:after="0"/>
        <w:tabs>
          <w:tab w:leader="none" w:pos="10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no Total Loss has occurred in relation to the applicable Ship;</w:t>
      </w:r>
    </w:p>
    <w:p>
      <w:pPr>
        <w:spacing w:after="0" w:line="198" w:lineRule="exact"/>
        <w:rPr>
          <w:rFonts w:ascii="Arial" w:cs="Arial" w:eastAsia="Arial" w:hAnsi="Arial"/>
          <w:sz w:val="18"/>
          <w:szCs w:val="18"/>
          <w:color w:val="auto"/>
        </w:rPr>
      </w:pPr>
    </w:p>
    <w:p>
      <w:pPr>
        <w:ind w:left="1020" w:hanging="512"/>
        <w:spacing w:after="0" w:line="246" w:lineRule="auto"/>
        <w:tabs>
          <w:tab w:leader="none" w:pos="1102"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Security Value in respect of an Advance would not be less than the Minimum Value for such Advance immediately after the proposed Utilisation; and</w:t>
      </w:r>
    </w:p>
    <w:p>
      <w:pPr>
        <w:spacing w:after="0" w:line="165" w:lineRule="exact"/>
        <w:rPr>
          <w:rFonts w:ascii="Arial" w:cs="Arial" w:eastAsia="Arial" w:hAnsi="Arial"/>
          <w:sz w:val="18"/>
          <w:szCs w:val="18"/>
          <w:color w:val="auto"/>
        </w:rPr>
      </w:pPr>
    </w:p>
    <w:p>
      <w:pPr>
        <w:ind w:left="1020" w:hanging="512"/>
        <w:spacing w:after="0" w:line="267" w:lineRule="auto"/>
        <w:tabs>
          <w:tab w:leader="none" w:pos="124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no prepayment or cancellation event has occurred under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Waiver of conditions precedent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 xml:space="preserve">The conditions in this clause 4 are inserted solely for the benefit of the Finance Parties and may be waived on their behalf in whole or in part and with or without conditions by the Agent acting on the instructions of the Majority Lenders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the conditions set out 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4" w:name="page205"/>
    <w:bookmarkEnd w:id="204"/>
    <w:p>
      <w:pPr>
        <w:ind w:left="520"/>
        <w:spacing w:after="0" w:line="267" w:lineRule="auto"/>
        <w:rPr>
          <w:sz w:val="20"/>
          <w:szCs w:val="20"/>
          <w:color w:val="auto"/>
        </w:rPr>
      </w:pPr>
      <w:r>
        <w:rPr>
          <w:rFonts w:ascii="Arial" w:cs="Arial" w:eastAsia="Arial" w:hAnsi="Arial"/>
          <w:sz w:val="18"/>
          <w:szCs w:val="18"/>
          <w:color w:val="auto"/>
        </w:rPr>
        <w:t>paragraphs 2, 3, 6, 7, 8, 9, 10 and 11of Part 2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may only be waived by the Agent, acting on the instructions of all the Lenders.</w:t>
      </w:r>
    </w:p>
    <w:p>
      <w:pPr>
        <w:spacing w:after="0" w:line="133" w:lineRule="exact"/>
        <w:rPr>
          <w:sz w:val="20"/>
          <w:szCs w:val="20"/>
          <w:color w:val="auto"/>
        </w:rPr>
      </w:pPr>
    </w:p>
    <w:p>
      <w:pPr>
        <w:ind w:left="500" w:hanging="492"/>
        <w:spacing w:after="0"/>
        <w:tabs>
          <w:tab w:leader="none" w:pos="500" w:val="left"/>
        </w:tabs>
        <w:numPr>
          <w:ilvl w:val="0"/>
          <w:numId w:val="518"/>
        </w:numPr>
        <w:rPr>
          <w:rFonts w:ascii="Arial" w:cs="Arial" w:eastAsia="Arial" w:hAnsi="Arial"/>
          <w:sz w:val="22"/>
          <w:szCs w:val="22"/>
          <w:b w:val="1"/>
          <w:bCs w:val="1"/>
          <w:color w:val="auto"/>
        </w:rPr>
      </w:pPr>
      <w:r>
        <w:rPr>
          <w:rFonts w:ascii="Arial" w:cs="Arial" w:eastAsia="Arial" w:hAnsi="Arial"/>
          <w:sz w:val="22"/>
          <w:szCs w:val="22"/>
          <w:b w:val="1"/>
          <w:bCs w:val="1"/>
          <w:color w:val="auto"/>
        </w:rPr>
        <w:t>Utilisation</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Delivery of a Utilisation Request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may utilise the Facility by delivery to the Agent of a duly completed Utilisation Request not later than 11:00 a.m. three</w:t>
      </w:r>
    </w:p>
    <w:p>
      <w:pPr>
        <w:ind w:left="520"/>
        <w:spacing w:after="0"/>
        <w:rPr>
          <w:sz w:val="20"/>
          <w:szCs w:val="20"/>
          <w:color w:val="auto"/>
        </w:rPr>
      </w:pPr>
      <w:r>
        <w:rPr>
          <w:rFonts w:ascii="Arial" w:cs="Arial" w:eastAsia="Arial" w:hAnsi="Arial"/>
          <w:sz w:val="18"/>
          <w:szCs w:val="18"/>
          <w:color w:val="auto"/>
        </w:rPr>
        <w:t>(3) Business Days before the proposed Utilisation Date.</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Completion of a Utilisation Request</w:t>
      </w:r>
    </w:p>
    <w:p>
      <w:pPr>
        <w:spacing w:after="0" w:line="220" w:lineRule="exact"/>
        <w:rPr>
          <w:sz w:val="20"/>
          <w:szCs w:val="20"/>
          <w:color w:val="auto"/>
        </w:rPr>
      </w:pPr>
    </w:p>
    <w:p>
      <w:pPr>
        <w:ind w:left="1060" w:hanging="552"/>
        <w:spacing w:after="0"/>
        <w:tabs>
          <w:tab w:leader="none" w:pos="10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proposed Utilisation Date is a Business Day falling not later than the Last Availability Date;</w:t>
      </w:r>
    </w:p>
    <w:p>
      <w:pPr>
        <w:spacing w:after="0" w:line="180" w:lineRule="exact"/>
        <w:rPr>
          <w:rFonts w:ascii="Arial" w:cs="Arial" w:eastAsia="Arial" w:hAnsi="Arial"/>
          <w:sz w:val="18"/>
          <w:szCs w:val="18"/>
          <w:color w:val="auto"/>
        </w:rPr>
      </w:pPr>
    </w:p>
    <w:p>
      <w:pPr>
        <w:ind w:left="1560" w:hanging="531"/>
        <w:spacing w:after="0"/>
        <w:tabs>
          <w:tab w:leader="none" w:pos="15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Up to three (3) Advances (one in respect of each Ship) may be requested in the Utilisation Request.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Currency and amount</w:t>
      </w:r>
    </w:p>
    <w:p>
      <w:pPr>
        <w:spacing w:after="0" w:line="220" w:lineRule="exact"/>
        <w:rPr>
          <w:sz w:val="20"/>
          <w:szCs w:val="20"/>
          <w:color w:val="auto"/>
        </w:rPr>
      </w:pPr>
    </w:p>
    <w:p>
      <w:pPr>
        <w:ind w:left="1060" w:hanging="552"/>
        <w:spacing w:after="0"/>
        <w:tabs>
          <w:tab w:leader="none" w:pos="10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198" w:lineRule="exact"/>
        <w:rPr>
          <w:rFonts w:ascii="Arial" w:cs="Arial" w:eastAsia="Arial" w:hAnsi="Arial"/>
          <w:sz w:val="18"/>
          <w:szCs w:val="18"/>
          <w:color w:val="auto"/>
        </w:rPr>
      </w:pPr>
    </w:p>
    <w:p>
      <w:pPr>
        <w:ind w:left="1020" w:hanging="512"/>
        <w:spacing w:after="0" w:line="246" w:lineRule="auto"/>
        <w:tabs>
          <w:tab w:leader="none" w:pos="143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Ship Commitment for a Ship shall not exceed that permitted by the definition of Advance for that Ship.</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Only one Utilisation may be made in respect of each Ship.</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Lenders’ participation</w:t>
      </w:r>
    </w:p>
    <w:p>
      <w:pPr>
        <w:spacing w:after="0" w:line="220" w:lineRule="exact"/>
        <w:rPr>
          <w:sz w:val="20"/>
          <w:szCs w:val="20"/>
          <w:color w:val="auto"/>
        </w:rPr>
      </w:pPr>
    </w:p>
    <w:p>
      <w:pPr>
        <w:jc w:val="both"/>
        <w:ind w:left="1020" w:hanging="512"/>
        <w:spacing w:after="0"/>
        <w:tabs>
          <w:tab w:leader="none" w:pos="104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each Advance available by providing funds or a copy of an irrevocable payment order to the Agent no later than 11:00 am London time on the Utilisation Date through its Facility Office.</w:t>
      </w:r>
    </w:p>
    <w:p>
      <w:pPr>
        <w:spacing w:after="0" w:line="189" w:lineRule="exact"/>
        <w:rPr>
          <w:rFonts w:ascii="Arial" w:cs="Arial" w:eastAsia="Arial" w:hAnsi="Arial"/>
          <w:sz w:val="18"/>
          <w:szCs w:val="18"/>
          <w:color w:val="auto"/>
        </w:rPr>
      </w:pPr>
    </w:p>
    <w:p>
      <w:pPr>
        <w:ind w:left="1020" w:hanging="512"/>
        <w:spacing w:after="0" w:line="246" w:lineRule="auto"/>
        <w:tabs>
          <w:tab w:leader="none" w:pos="116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amount of each Lender’s participation in an Advance will be equal to the proportion borne by its Commitment to the Total Commitments immediately prior to making the relevant Advance.</w:t>
      </w:r>
    </w:p>
    <w:p>
      <w:pPr>
        <w:spacing w:after="0" w:line="183" w:lineRule="exact"/>
        <w:rPr>
          <w:rFonts w:ascii="Arial" w:cs="Arial" w:eastAsia="Arial" w:hAnsi="Arial"/>
          <w:sz w:val="18"/>
          <w:szCs w:val="18"/>
          <w:color w:val="auto"/>
        </w:rPr>
      </w:pPr>
    </w:p>
    <w:p>
      <w:pPr>
        <w:ind w:left="1020" w:hanging="512"/>
        <w:spacing w:after="0" w:line="246" w:lineRule="auto"/>
        <w:tabs>
          <w:tab w:leader="none" w:pos="1047"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the Advance and the amount of its participation in the Advance, in each case by 11:00 am London time on the second Business Day before the proposed Utilisation Date.</w:t>
      </w:r>
    </w:p>
    <w:p>
      <w:pPr>
        <w:spacing w:after="0" w:line="183" w:lineRule="exact"/>
        <w:rPr>
          <w:rFonts w:ascii="Arial" w:cs="Arial" w:eastAsia="Arial" w:hAnsi="Arial"/>
          <w:sz w:val="18"/>
          <w:szCs w:val="18"/>
          <w:color w:val="auto"/>
        </w:rPr>
      </w:pPr>
    </w:p>
    <w:p>
      <w:pPr>
        <w:jc w:val="both"/>
        <w:ind w:left="1020" w:hanging="512"/>
        <w:spacing w:after="0"/>
        <w:tabs>
          <w:tab w:leader="none" w:pos="1449"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each Advance (and its own participation in it, if any) to the Borrowers or for the account of any of them or to any Existing Indebtedness Lender, in each case in accordance with the instructions contained in the relevant Utilisation Request.</w:t>
      </w:r>
    </w:p>
    <w:p>
      <w:pPr>
        <w:spacing w:after="0" w:line="157" w:lineRule="exact"/>
        <w:rPr>
          <w:sz w:val="20"/>
          <w:szCs w:val="20"/>
          <w:color w:val="auto"/>
        </w:rPr>
      </w:pPr>
    </w:p>
    <w:p>
      <w:pPr>
        <w:ind w:left="520" w:hanging="370"/>
        <w:spacing w:after="0"/>
        <w:tabs>
          <w:tab w:leader="none" w:pos="520" w:val="left"/>
        </w:tabs>
        <w:numPr>
          <w:ilvl w:val="0"/>
          <w:numId w:val="522"/>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05" w:name="page206"/>
    <w:bookmarkEnd w:id="205"/>
    <w:p>
      <w:pPr>
        <w:spacing w:after="0"/>
        <w:tabs>
          <w:tab w:leader="none" w:pos="5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Repayment of Facility</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Borrowers shall on each Repayment Date repay such part of the Loan as is required to be repaid on that Repayment Date by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Scheduled Repayment of Facility</w:t>
      </w:r>
    </w:p>
    <w:p>
      <w:pPr>
        <w:spacing w:after="0" w:line="202" w:lineRule="exact"/>
        <w:rPr>
          <w:sz w:val="20"/>
          <w:szCs w:val="20"/>
          <w:color w:val="auto"/>
        </w:rPr>
      </w:pPr>
    </w:p>
    <w:p>
      <w:pPr>
        <w:jc w:val="both"/>
        <w:ind w:left="1020" w:hanging="512"/>
        <w:spacing w:after="0" w:line="250" w:lineRule="auto"/>
        <w:tabs>
          <w:tab w:leader="none" w:pos="1057"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To the extent not previously reduced or prepaid, and subject to clause 7.10 (</w:t>
      </w:r>
      <w:r>
        <w:rPr>
          <w:rFonts w:ascii="Arial" w:cs="Arial" w:eastAsia="Arial" w:hAnsi="Arial"/>
          <w:sz w:val="18"/>
          <w:szCs w:val="18"/>
          <w:i w:val="1"/>
          <w:iCs w:val="1"/>
          <w:color w:val="auto"/>
        </w:rPr>
        <w:t>Margin Reset</w:t>
      </w:r>
      <w:r>
        <w:rPr>
          <w:rFonts w:ascii="Arial" w:cs="Arial" w:eastAsia="Arial" w:hAnsi="Arial"/>
          <w:sz w:val="18"/>
          <w:szCs w:val="18"/>
          <w:color w:val="auto"/>
        </w:rPr>
        <w:t>), the Advance in respect of each Ship shall be repaid by instalments on each Repayment Date in the amounts as specified in the Repayment Schedule for the relevant Advance.</w:t>
      </w:r>
    </w:p>
    <w:p>
      <w:pPr>
        <w:spacing w:after="0" w:line="181" w:lineRule="exact"/>
        <w:rPr>
          <w:rFonts w:ascii="Arial" w:cs="Arial" w:eastAsia="Arial" w:hAnsi="Arial"/>
          <w:sz w:val="18"/>
          <w:szCs w:val="18"/>
          <w:color w:val="auto"/>
        </w:rPr>
      </w:pPr>
    </w:p>
    <w:p>
      <w:pPr>
        <w:jc w:val="both"/>
        <w:ind w:left="1020" w:hanging="512"/>
        <w:spacing w:after="0"/>
        <w:tabs>
          <w:tab w:leader="none" w:pos="103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On the Final Repayment Date (without prejudice to any other provision of this Agreement), each Advance shall, to the extent not previously reduced be repaid in full together with all outstanding amounts under this Agreement and all other Finance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Adjustment of scheduled repayments</w:t>
      </w:r>
    </w:p>
    <w:p>
      <w:pPr>
        <w:spacing w:after="0" w:line="220" w:lineRule="exact"/>
        <w:rPr>
          <w:sz w:val="20"/>
          <w:szCs w:val="20"/>
          <w:color w:val="auto"/>
        </w:rPr>
      </w:pPr>
    </w:p>
    <w:p>
      <w:pPr>
        <w:jc w:val="both"/>
        <w:ind w:left="1020" w:hanging="512"/>
        <w:spacing w:after="0" w:line="238" w:lineRule="auto"/>
        <w:tabs>
          <w:tab w:leader="none" w:pos="1179"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If the Advance for a Ship has been partially reduced under this Agreement and/or any part of the relevant Advance is prepaid (other than under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 before any Repayment Date in respect of that Advance then, unless stated otherwise in this Agreement, the amount of the instalment by which the relevant Advance shall be repaid under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 on any such Repayment Date (as reduced by any earlier operation of this clause 6.3) shall be reduced pro rata to such reduction and/or prepayment of the relevant Advance.</w:t>
      </w:r>
    </w:p>
    <w:p>
      <w:pPr>
        <w:spacing w:after="0" w:line="188" w:lineRule="exact"/>
        <w:rPr>
          <w:rFonts w:ascii="Arial" w:cs="Arial" w:eastAsia="Arial" w:hAnsi="Arial"/>
          <w:sz w:val="18"/>
          <w:szCs w:val="18"/>
          <w:color w:val="auto"/>
        </w:rPr>
      </w:pPr>
    </w:p>
    <w:p>
      <w:pPr>
        <w:ind w:left="1020" w:hanging="512"/>
        <w:spacing w:after="0" w:line="246" w:lineRule="auto"/>
        <w:tabs>
          <w:tab w:leader="none" w:pos="119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If at any stage an Advance is reduced pursuant to this clause 6.3, the Agent shall issue a replacement Repayment Schedule which shall, in the absence of manifest error, be binding on all Parties.</w:t>
      </w:r>
    </w:p>
    <w:p>
      <w:pPr>
        <w:spacing w:after="0" w:line="152" w:lineRule="exact"/>
        <w:rPr>
          <w:sz w:val="20"/>
          <w:szCs w:val="20"/>
          <w:color w:val="auto"/>
        </w:rPr>
      </w:pPr>
    </w:p>
    <w:p>
      <w:pPr>
        <w:ind w:left="520" w:hanging="382"/>
        <w:spacing w:after="0"/>
        <w:tabs>
          <w:tab w:leader="none" w:pos="520" w:val="left"/>
        </w:tabs>
        <w:numPr>
          <w:ilvl w:val="0"/>
          <w:numId w:val="525"/>
        </w:numPr>
        <w:rPr>
          <w:rFonts w:ascii="Arial" w:cs="Arial" w:eastAsia="Arial" w:hAnsi="Arial"/>
          <w:sz w:val="22"/>
          <w:szCs w:val="22"/>
          <w:b w:val="1"/>
          <w:bCs w:val="1"/>
          <w:color w:val="auto"/>
        </w:rPr>
      </w:pPr>
      <w:r>
        <w:rPr>
          <w:rFonts w:ascii="Arial" w:cs="Arial" w:eastAsia="Arial" w:hAnsi="Arial"/>
          <w:sz w:val="22"/>
          <w:szCs w:val="22"/>
          <w:b w:val="1"/>
          <w:bCs w:val="1"/>
          <w:color w:val="auto"/>
        </w:rPr>
        <w:t>Illegality, prepayment and cancellation</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Illegality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the Loan or it becomes unlawful for any Affiliate of a Lender for that Lender to do so:</w:t>
      </w:r>
    </w:p>
    <w:p>
      <w:pPr>
        <w:spacing w:after="0" w:line="189" w:lineRule="exact"/>
        <w:rPr>
          <w:sz w:val="20"/>
          <w:szCs w:val="20"/>
          <w:color w:val="auto"/>
        </w:rPr>
      </w:pPr>
    </w:p>
    <w:p>
      <w:pPr>
        <w:ind w:left="1060" w:hanging="552"/>
        <w:spacing w:after="0"/>
        <w:tabs>
          <w:tab w:leader="none" w:pos="10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58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Commitments of that Lender will be immediately cancelled and the Total Commitments shall be reduced accordingly and the remaining Ship Commitments shall be reduced rateably; and</w:t>
      </w:r>
    </w:p>
    <w:p>
      <w:pPr>
        <w:spacing w:after="0" w:line="183" w:lineRule="exact"/>
        <w:rPr>
          <w:rFonts w:ascii="Arial" w:cs="Arial" w:eastAsia="Arial" w:hAnsi="Arial"/>
          <w:sz w:val="18"/>
          <w:szCs w:val="18"/>
          <w:color w:val="auto"/>
        </w:rPr>
      </w:pPr>
    </w:p>
    <w:p>
      <w:pPr>
        <w:jc w:val="both"/>
        <w:ind w:left="1020" w:hanging="512"/>
        <w:spacing w:after="0"/>
        <w:tabs>
          <w:tab w:leader="none" w:pos="110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Loan on the last day of the Interest Period occurring after the Agent has notified the Borrowers or, if earlier, the date specified by the Lender in the notice delivered to the Agent (being no earlier than the last day of any applicable grace period permitted by law).</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Change of Control; delisting</w:t>
      </w:r>
    </w:p>
    <w:p>
      <w:pPr>
        <w:spacing w:after="0" w:line="220" w:lineRule="exact"/>
        <w:rPr>
          <w:sz w:val="20"/>
          <w:szCs w:val="20"/>
          <w:color w:val="auto"/>
        </w:rPr>
      </w:pPr>
    </w:p>
    <w:p>
      <w:pPr>
        <w:ind w:left="1020" w:hanging="512"/>
        <w:spacing w:after="0" w:line="246" w:lineRule="auto"/>
        <w:tabs>
          <w:tab w:leader="none" w:pos="108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If there is a Change of Control, the Borrowers shall promptly notify the Agent upon any Obligor becoming aware of a Change of Control occurring.</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Upon becoming notified by any Party of:</w:t>
      </w:r>
    </w:p>
    <w:p>
      <w:pPr>
        <w:spacing w:after="0" w:line="198" w:lineRule="exact"/>
        <w:rPr>
          <w:sz w:val="20"/>
          <w:szCs w:val="20"/>
          <w:color w:val="auto"/>
        </w:rPr>
      </w:pPr>
    </w:p>
    <w:p>
      <w:pPr>
        <w:ind w:left="1540" w:right="20" w:hanging="511"/>
        <w:spacing w:after="0" w:line="246" w:lineRule="auto"/>
        <w:tabs>
          <w:tab w:leader="none" w:pos="1581"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 Change of Control in respect of the Parent, GasLog Holdings, GasLog or GasLog Carriers, the Agent shall, if instructed by the Majority Lenders, by notice to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06" w:name="page207"/>
    <w:bookmarkEnd w:id="206"/>
    <w:p>
      <w:pPr>
        <w:jc w:val="both"/>
        <w:ind w:left="1560"/>
        <w:spacing w:after="0" w:line="238" w:lineRule="auto"/>
        <w:rPr>
          <w:sz w:val="20"/>
          <w:szCs w:val="20"/>
          <w:color w:val="auto"/>
        </w:rPr>
      </w:pPr>
      <w:r>
        <w:rPr>
          <w:rFonts w:ascii="Arial" w:cs="Arial" w:eastAsia="Arial" w:hAnsi="Arial"/>
          <w:sz w:val="18"/>
          <w:szCs w:val="18"/>
          <w:color w:val="auto"/>
        </w:rPr>
        <w:t>Borrowers, cancel the Total Commitments immediately and declare the Advances to be payable within ten (10) Business Days from the date of such notice. Upon such notice being given, the Total Commitments shall be forthwith cancelled and the Borrowers shall, within such ten (10) Business Day period, prepay the Advances in full together with all other amounts owing under this Agreement or any of the other Finance Documents; and</w:t>
      </w:r>
    </w:p>
    <w:p>
      <w:pPr>
        <w:spacing w:after="0" w:line="173" w:lineRule="exact"/>
        <w:rPr>
          <w:sz w:val="20"/>
          <w:szCs w:val="20"/>
          <w:color w:val="auto"/>
        </w:rPr>
      </w:pPr>
    </w:p>
    <w:p>
      <w:pPr>
        <w:ind w:left="1540" w:hanging="511"/>
        <w:spacing w:after="0" w:line="267" w:lineRule="auto"/>
        <w:tabs>
          <w:tab w:leader="none" w:pos="194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 Change of Control in respect of a Borrower, clause 7.6 (</w:t>
      </w:r>
      <w:r>
        <w:rPr>
          <w:rFonts w:ascii="Arial" w:cs="Arial" w:eastAsia="Arial" w:hAnsi="Arial"/>
          <w:sz w:val="18"/>
          <w:szCs w:val="18"/>
          <w:i w:val="1"/>
          <w:iCs w:val="1"/>
          <w:color w:val="auto"/>
        </w:rPr>
        <w:t>Sale or Total Loss or Change of Control in respect of a</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w:t>
      </w:r>
      <w:r>
        <w:rPr>
          <w:rFonts w:ascii="Arial" w:cs="Arial" w:eastAsia="Arial" w:hAnsi="Arial"/>
          <w:sz w:val="18"/>
          <w:szCs w:val="18"/>
          <w:color w:val="auto"/>
        </w:rPr>
        <w:t>) shall apply.</w:t>
      </w:r>
    </w:p>
    <w:p>
      <w:pPr>
        <w:spacing w:after="0" w:line="164" w:lineRule="exact"/>
        <w:rPr>
          <w:rFonts w:ascii="Arial" w:cs="Arial" w:eastAsia="Arial" w:hAnsi="Arial"/>
          <w:sz w:val="18"/>
          <w:szCs w:val="18"/>
          <w:color w:val="auto"/>
        </w:rPr>
      </w:pPr>
    </w:p>
    <w:p>
      <w:pPr>
        <w:jc w:val="both"/>
        <w:ind w:left="1020" w:hanging="512"/>
        <w:spacing w:after="0" w:line="237" w:lineRule="auto"/>
        <w:tabs>
          <w:tab w:leader="none" w:pos="10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GasLog ceases to be listed on an Approved Exchange for any reason, without the prior consent of the Majority Lenders, other than as a result of a voluntary decision to delist taken by GasLog, the Borrowers shall notify the Agent of the same upon its occurrence, and the Agent, upon being notified shall, if instructed by the Majority Lenders, cancel the Total Commitments immediately and declare the Advances to be payable within ten (10) Business Days from the date of such notice. Upon such notice being given, the Total Commitments shall be immediately cancelled and the Borrowers shall, within such ten (10) Business Day period, prepay the Advances in full together with all other amounts owing under this Agreement or any of the other Finance Documents.</w:t>
      </w:r>
    </w:p>
    <w:p>
      <w:pPr>
        <w:spacing w:after="0" w:line="189" w:lineRule="exact"/>
        <w:rPr>
          <w:rFonts w:ascii="Arial" w:cs="Arial" w:eastAsia="Arial" w:hAnsi="Arial"/>
          <w:sz w:val="18"/>
          <w:szCs w:val="18"/>
          <w:color w:val="auto"/>
        </w:rPr>
      </w:pPr>
    </w:p>
    <w:p>
      <w:pPr>
        <w:jc w:val="both"/>
        <w:ind w:left="1020" w:hanging="512"/>
        <w:spacing w:after="0" w:line="236" w:lineRule="auto"/>
        <w:tabs>
          <w:tab w:leader="none" w:pos="1327" w:val="left"/>
        </w:tabs>
        <w:numPr>
          <w:ilvl w:val="0"/>
          <w:numId w:val="530"/>
        </w:numPr>
        <w:rPr>
          <w:rFonts w:ascii="Arial" w:cs="Arial" w:eastAsia="Arial" w:hAnsi="Arial"/>
          <w:sz w:val="18"/>
          <w:szCs w:val="18"/>
          <w:i w:val="1"/>
          <w:iCs w:val="1"/>
          <w:color w:val="auto"/>
        </w:rPr>
      </w:pPr>
      <w:r>
        <w:rPr>
          <w:rFonts w:ascii="Arial" w:cs="Arial" w:eastAsia="Arial" w:hAnsi="Arial"/>
          <w:sz w:val="18"/>
          <w:szCs w:val="18"/>
          <w:color w:val="auto"/>
        </w:rPr>
        <w:t>If GasLog ceases to be listed on an Approved Exchange as a result of a voluntary decision to delist taken by GasLog and GasLog is, at such time, an Active Guarantor, the Borrowers shall notify the Agent of the same upon its occurrence and the Agent upon being notified (or such delisting otherwise coming to its attention) shall, if instructed by the Majority Lenders, cancel the Total Commitments immediately and declare the Advances payable within ten (10) Business Days from the date of such notice. Upon such notice being given, the Total Commitments shall be immediately cancelled and the Borrowers shall, within such ten (10) Business Day period, prepay the Advances in full together with all other amounts owing under this Agreement or any of the other Finance Documents. Notwithstanding the foregoing, a cancellation of the Total Commitments and prepayment in full of the Advances shall not be required if the Borrowers provide the Agent with satisfactory evidence that, following such delisting, control of GasLog may only be exercised by the Permitted Holders and no other person.</w:t>
      </w:r>
    </w:p>
    <w:p>
      <w:pPr>
        <w:spacing w:after="0" w:line="193" w:lineRule="exact"/>
        <w:rPr>
          <w:rFonts w:ascii="Arial" w:cs="Arial" w:eastAsia="Arial" w:hAnsi="Arial"/>
          <w:sz w:val="18"/>
          <w:szCs w:val="18"/>
          <w:i w:val="1"/>
          <w:iCs w:val="1"/>
          <w:color w:val="auto"/>
        </w:rPr>
      </w:pPr>
    </w:p>
    <w:p>
      <w:pPr>
        <w:jc w:val="both"/>
        <w:ind w:left="1020" w:hanging="512"/>
        <w:spacing w:after="0" w:line="237" w:lineRule="auto"/>
        <w:tabs>
          <w:tab w:leader="none" w:pos="1206"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the Parent ceases to be listed on an Approved Exchange for any reason, without the prior consent of the Majority Lenders, other than as a result of a voluntary decision to delist taken by the Parent, the Borrowers shall notify the Agent of the same upon its occurrence, and the Agent, upon being notified shall, if instructed by the Majority Lenders, cancel the Total Commitments immediately and declare the Advances to be payable within ten (10) Business Days from the date of such notice. Upon such notice being given, the Total Commitments shall be immediately cancelled and the Borrowers shall, within such ten (10) Business Day period, prepay the Advances in full together with all other amounts owing under this Agreement or any of the other Finance Documents.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5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the Parent ceases to be listed on an Approved Exchange, the Borrowers shall notify the Agent of the same upon its occurrence. Immediately upon such event occurring,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xml:space="preserve"> shall apply and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shall be disapplied to the extent and as specified in such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in respect of GasLog and GasLog Carriers.</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Voluntary cancellation</w:t>
      </w:r>
    </w:p>
    <w:p>
      <w:pPr>
        <w:spacing w:after="0" w:line="220" w:lineRule="exact"/>
        <w:rPr>
          <w:sz w:val="20"/>
          <w:szCs w:val="20"/>
          <w:color w:val="auto"/>
        </w:rPr>
      </w:pPr>
    </w:p>
    <w:p>
      <w:pPr>
        <w:jc w:val="both"/>
        <w:ind w:left="520"/>
        <w:spacing w:after="0" w:line="243" w:lineRule="auto"/>
        <w:rPr>
          <w:sz w:val="20"/>
          <w:szCs w:val="20"/>
          <w:color w:val="auto"/>
        </w:rPr>
      </w:pPr>
      <w:r>
        <w:rPr>
          <w:rFonts w:ascii="Arial" w:cs="Arial" w:eastAsia="Arial" w:hAnsi="Arial"/>
          <w:sz w:val="18"/>
          <w:szCs w:val="18"/>
          <w:color w:val="auto"/>
        </w:rPr>
        <w:t>The Borrowers may, if they give the Agent not less than ten (10) Business Days’ (or such shorter period as the Majority Lenders may agree) prior notice, cancel the whole or any part (being a minimum amount of $5,000,000 and a multiple of $1,000,000) of any Ship Commitment which is undrawn at the proposed date of cancellation. Any cancellation under this clause 7.3 shall reduce the Commitments of the Lenders rateably.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Voluntary prepayment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7" w:name="page208"/>
    <w:bookmarkEnd w:id="207"/>
    <w:p>
      <w:pPr>
        <w:jc w:val="both"/>
        <w:ind w:left="1020" w:hanging="512"/>
        <w:spacing w:after="0" w:line="238" w:lineRule="auto"/>
        <w:tabs>
          <w:tab w:leader="none" w:pos="1084"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Borrowers may, if they give the Agent not less than ten (10) Business Days (or such shorter period as the Majority Lenders may agree) prior written notice, prepay the whole or any part of the Loan (being a minimum amount of $5,000,000 and a multiple of $1,000,000), on the last day of an Interest Period in respect of the amount to be prepaid (or any other date subject to payment of any Break Costs).</w:t>
      </w:r>
    </w:p>
    <w:p>
      <w:pPr>
        <w:spacing w:after="0" w:line="191" w:lineRule="exact"/>
        <w:rPr>
          <w:rFonts w:ascii="Arial" w:cs="Arial" w:eastAsia="Arial" w:hAnsi="Arial"/>
          <w:sz w:val="18"/>
          <w:szCs w:val="18"/>
          <w:color w:val="auto"/>
        </w:rPr>
      </w:pPr>
    </w:p>
    <w:p>
      <w:pPr>
        <w:jc w:val="both"/>
        <w:ind w:left="1020" w:hanging="512"/>
        <w:spacing w:after="0"/>
        <w:tabs>
          <w:tab w:leader="none" w:pos="116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Prepayments under clause 7.4(a) above (which shall not for the purposes of this clause 7.4(b) include voluntary prepayments made pursuant to clause 7.4(c)) shall be applied pro rata between the Advances in inverse order of maturity under each Advance.</w:t>
      </w:r>
    </w:p>
    <w:p>
      <w:pPr>
        <w:spacing w:after="0" w:line="189" w:lineRule="exact"/>
        <w:rPr>
          <w:rFonts w:ascii="Arial" w:cs="Arial" w:eastAsia="Arial" w:hAnsi="Arial"/>
          <w:sz w:val="18"/>
          <w:szCs w:val="18"/>
          <w:color w:val="auto"/>
        </w:rPr>
      </w:pPr>
    </w:p>
    <w:p>
      <w:pPr>
        <w:ind w:left="1020" w:hanging="512"/>
        <w:spacing w:after="0" w:line="246" w:lineRule="auto"/>
        <w:tabs>
          <w:tab w:leader="none" w:pos="1573"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Any election by the Borrowers to make a voluntary prepayment pursuant to clause 7.4(a) shall, where such voluntary prepayment is for the whole of an Advance, be subject to the following conditions:</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there being no Event of Default which has occurred and is continuing at the time such prepayment is made; and</w:t>
      </w:r>
    </w:p>
    <w:p>
      <w:pPr>
        <w:spacing w:after="0" w:line="180" w:lineRule="exact"/>
        <w:rPr>
          <w:rFonts w:ascii="Arial" w:cs="Arial" w:eastAsia="Arial" w:hAnsi="Arial"/>
          <w:sz w:val="18"/>
          <w:szCs w:val="18"/>
          <w:color w:val="auto"/>
        </w:rPr>
      </w:pPr>
    </w:p>
    <w:p>
      <w:pPr>
        <w:ind w:left="1540" w:hanging="511"/>
        <w:spacing w:after="0" w:line="267" w:lineRule="auto"/>
        <w:tabs>
          <w:tab w:leader="none" w:pos="1661"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 conditions in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xml:space="preserve">) have been complied with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as if set out in full herein.</w:t>
      </w:r>
    </w:p>
    <w:p>
      <w:pPr>
        <w:spacing w:after="0" w:line="146" w:lineRule="exact"/>
        <w:rPr>
          <w:rFonts w:ascii="Arial" w:cs="Arial" w:eastAsia="Arial" w:hAnsi="Arial"/>
          <w:sz w:val="18"/>
          <w:szCs w:val="18"/>
          <w:color w:val="auto"/>
        </w:rPr>
      </w:pPr>
    </w:p>
    <w:p>
      <w:pPr>
        <w:ind w:left="1020" w:hanging="512"/>
        <w:spacing w:after="0" w:line="267" w:lineRule="auto"/>
        <w:tabs>
          <w:tab w:leader="none" w:pos="120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Borrowers may prepay a part of any Advance in accordance with the terms of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 and such prepayment shall be applied pro rata across all instalments for such Advance, including that due on the Final Repayment Date.</w:t>
      </w:r>
    </w:p>
    <w:p>
      <w:pPr>
        <w:spacing w:after="0" w:line="146" w:lineRule="exact"/>
        <w:rPr>
          <w:rFonts w:ascii="Arial" w:cs="Arial" w:eastAsia="Arial" w:hAnsi="Arial"/>
          <w:sz w:val="18"/>
          <w:szCs w:val="18"/>
          <w:color w:val="auto"/>
        </w:rPr>
      </w:pPr>
    </w:p>
    <w:p>
      <w:pPr>
        <w:ind w:left="1060" w:hanging="552"/>
        <w:spacing w:after="0"/>
        <w:tabs>
          <w:tab w:leader="none" w:pos="10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Borrowers may prepay any part of Advance A in accordance with the terms of clause 30.21(a)(i)(</w:t>
      </w:r>
      <w:r>
        <w:rPr>
          <w:rFonts w:ascii="Arial" w:cs="Arial" w:eastAsia="Arial" w:hAnsi="Arial"/>
          <w:sz w:val="18"/>
          <w:szCs w:val="18"/>
          <w:i w:val="1"/>
          <w:iCs w:val="1"/>
          <w:color w:val="auto"/>
        </w:rPr>
        <w:t>Ship A Charter</w:t>
      </w:r>
      <w:r>
        <w:rPr>
          <w:rFonts w:ascii="Arial" w:cs="Arial" w:eastAsia="Arial" w:hAnsi="Arial"/>
          <w:sz w:val="18"/>
          <w:szCs w:val="18"/>
          <w:color w:val="auto"/>
        </w:rPr>
        <w:t>).</w:t>
      </w:r>
    </w:p>
    <w:p>
      <w:pPr>
        <w:spacing w:after="0" w:line="194" w:lineRule="exact"/>
        <w:rPr>
          <w:sz w:val="20"/>
          <w:szCs w:val="20"/>
          <w:color w:val="auto"/>
        </w:rPr>
      </w:pPr>
    </w:p>
    <w:p>
      <w:pPr>
        <w:ind w:left="520" w:right="20" w:hanging="505"/>
        <w:spacing w:after="0" w:line="271" w:lineRule="auto"/>
        <w:tabs>
          <w:tab w:leader="none" w:pos="500" w:val="left"/>
        </w:tabs>
        <w:rPr>
          <w:sz w:val="20"/>
          <w:szCs w:val="20"/>
          <w:color w:val="auto"/>
        </w:rPr>
      </w:pPr>
      <w:r>
        <w:rPr>
          <w:rFonts w:ascii="Arial" w:cs="Arial" w:eastAsia="Arial" w:hAnsi="Arial"/>
          <w:sz w:val="18"/>
          <w:szCs w:val="18"/>
          <w:b w:val="1"/>
          <w:bCs w:val="1"/>
          <w:color w:val="auto"/>
        </w:rPr>
        <w:t>7.5</w:t>
        <w:tab/>
        <w:t>Right of replacement or cancellation and prepayment in relation to a single Lender/Right of cancellation in relation to a Defaulting Lender</w:t>
      </w:r>
    </w:p>
    <w:p>
      <w:pPr>
        <w:spacing w:after="0" w:line="162" w:lineRule="exact"/>
        <w:rPr>
          <w:sz w:val="20"/>
          <w:szCs w:val="20"/>
          <w:color w:val="auto"/>
        </w:rPr>
      </w:pPr>
    </w:p>
    <w:p>
      <w:pPr>
        <w:ind w:left="1060" w:hanging="552"/>
        <w:spacing w:after="0"/>
        <w:tabs>
          <w:tab w:leader="none" w:pos="10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If:</w:t>
      </w:r>
    </w:p>
    <w:p>
      <w:pPr>
        <w:spacing w:after="0" w:line="180" w:lineRule="exact"/>
        <w:rPr>
          <w:rFonts w:ascii="Arial" w:cs="Arial" w:eastAsia="Arial" w:hAnsi="Arial"/>
          <w:sz w:val="18"/>
          <w:szCs w:val="18"/>
          <w:color w:val="auto"/>
        </w:rPr>
      </w:pPr>
    </w:p>
    <w:p>
      <w:pPr>
        <w:ind w:left="1560" w:hanging="531"/>
        <w:spacing w:after="0"/>
        <w:tabs>
          <w:tab w:leader="none" w:pos="15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ind w:left="1540" w:right="20" w:hanging="511"/>
        <w:spacing w:after="0" w:line="267" w:lineRule="auto"/>
        <w:tabs>
          <w:tab w:leader="none" w:pos="1891"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Borrowers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65"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the Borrowers may, whilst the circumstance giving rise to the requirement for that increase or indemnification continues, give the Agent notice of cancellation of the Commitments of that Lender and their intention to procure the repayment of that Lender’s participation in the Loan or give the Agent notice of their intention to replace that Lender in accordance with clause 7.5(d).</w:t>
      </w:r>
    </w:p>
    <w:p>
      <w:pPr>
        <w:spacing w:after="0" w:line="189" w:lineRule="exact"/>
        <w:rPr>
          <w:sz w:val="20"/>
          <w:szCs w:val="20"/>
          <w:color w:val="auto"/>
        </w:rPr>
      </w:pPr>
    </w:p>
    <w:p>
      <w:pPr>
        <w:jc w:val="both"/>
        <w:ind w:left="1020" w:hanging="512"/>
        <w:spacing w:after="0" w:line="238" w:lineRule="auto"/>
        <w:tabs>
          <w:tab w:leader="none" w:pos="1098" w:val="left"/>
        </w:tabs>
        <w:numPr>
          <w:ilvl w:val="0"/>
          <w:numId w:val="533"/>
        </w:numPr>
        <w:rPr>
          <w:rFonts w:ascii="Arial" w:cs="Arial" w:eastAsia="Arial" w:hAnsi="Arial"/>
          <w:sz w:val="18"/>
          <w:szCs w:val="18"/>
          <w:color w:val="auto"/>
        </w:rPr>
      </w:pPr>
      <w:r>
        <w:rPr>
          <w:rFonts w:ascii="Arial" w:cs="Arial" w:eastAsia="Arial" w:hAnsi="Arial"/>
          <w:sz w:val="18"/>
          <w:szCs w:val="18"/>
          <w:color w:val="auto"/>
        </w:rPr>
        <w:t>On receipt of a notice referred to in clause 7.5(a) above, the Commitments of that Lender shall immediately be reduced to zero and (unless the Commitments of the relevant Lender are replaced in accordance with clause 7.5(d)) the Total Commitments shall be reduced accordingly. The Agent shall as soon as practicable after receipt of a notice referred to in clause 7.5(a) above, notify all the Lenders.</w:t>
      </w:r>
    </w:p>
    <w:p>
      <w:pPr>
        <w:spacing w:after="0" w:line="191" w:lineRule="exact"/>
        <w:rPr>
          <w:rFonts w:ascii="Arial" w:cs="Arial" w:eastAsia="Arial" w:hAnsi="Arial"/>
          <w:sz w:val="18"/>
          <w:szCs w:val="18"/>
          <w:color w:val="auto"/>
        </w:rPr>
      </w:pPr>
    </w:p>
    <w:p>
      <w:pPr>
        <w:jc w:val="both"/>
        <w:ind w:left="1020" w:hanging="512"/>
        <w:spacing w:after="0"/>
        <w:tabs>
          <w:tab w:leader="none" w:pos="111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Borrowers have given notice under clause 7.5(a) above in relation to a Lender (or, if earlier, the date specified by the Borrowers in that notice), the Borrowers shall repay that Lender’s participation in the Loan.</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152"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Borrowers may, in the circumstances set out in clause 7.5(a), on fifteen (15) Business Days’ prior notice to the Agent and that Lender, replace that Lender by requiring that Lender to assign (and, to the extent permitted by law, that Lender shall assign) pursuant to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under this Agreement to a Lender or other bank, financial institution, trust, fund or other entity selected by the Borrowers which confirms its willingness to assume and does assume all the obligations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8" w:name="page209"/>
    <w:bookmarkEnd w:id="208"/>
    <w:p>
      <w:pPr>
        <w:ind w:left="1040"/>
        <w:spacing w:after="0" w:line="267" w:lineRule="auto"/>
        <w:rPr>
          <w:sz w:val="20"/>
          <w:szCs w:val="20"/>
          <w:color w:val="auto"/>
        </w:rPr>
      </w:pPr>
      <w:r>
        <w:rPr>
          <w:rFonts w:ascii="Arial" w:cs="Arial" w:eastAsia="Arial" w:hAnsi="Arial"/>
          <w:sz w:val="18"/>
          <w:szCs w:val="18"/>
          <w:color w:val="auto"/>
        </w:rPr>
        <w:t>the assigning Lender in accordance with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assignment equal to the aggregate of:</w:t>
      </w:r>
    </w:p>
    <w:p>
      <w:pPr>
        <w:spacing w:after="0" w:line="165" w:lineRule="exact"/>
        <w:rPr>
          <w:sz w:val="20"/>
          <w:szCs w:val="20"/>
          <w:color w:val="auto"/>
        </w:rPr>
      </w:pPr>
    </w:p>
    <w:p>
      <w:pPr>
        <w:ind w:left="1560" w:hanging="531"/>
        <w:spacing w:after="0"/>
        <w:tabs>
          <w:tab w:leader="none" w:pos="15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w:t>
      </w:r>
    </w:p>
    <w:p>
      <w:pPr>
        <w:spacing w:after="0" w:line="180" w:lineRule="exact"/>
        <w:rPr>
          <w:rFonts w:ascii="Arial" w:cs="Arial" w:eastAsia="Arial" w:hAnsi="Arial"/>
          <w:sz w:val="18"/>
          <w:szCs w:val="18"/>
          <w:color w:val="auto"/>
        </w:rPr>
      </w:pPr>
    </w:p>
    <w:p>
      <w:pPr>
        <w:ind w:left="1540" w:hanging="511"/>
        <w:spacing w:after="0" w:line="267" w:lineRule="auto"/>
        <w:tabs>
          <w:tab w:leader="none" w:pos="1634"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32.8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rata interest settlement</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1540" w:hanging="511"/>
        <w:spacing w:after="0" w:line="267" w:lineRule="auto"/>
        <w:tabs>
          <w:tab w:leader="none" w:pos="199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Borrowers prepaid in full that Lender’s participation in the Loan on the date of the assignment; and</w:t>
      </w:r>
    </w:p>
    <w:p>
      <w:pPr>
        <w:spacing w:after="0" w:line="164" w:lineRule="exact"/>
        <w:rPr>
          <w:rFonts w:ascii="Arial" w:cs="Arial" w:eastAsia="Arial" w:hAnsi="Arial"/>
          <w:sz w:val="18"/>
          <w:szCs w:val="18"/>
          <w:color w:val="auto"/>
        </w:rPr>
      </w:pPr>
    </w:p>
    <w:p>
      <w:pPr>
        <w:ind w:left="1540" w:hanging="511"/>
        <w:spacing w:after="0"/>
        <w:tabs>
          <w:tab w:leader="none" w:pos="15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198" w:lineRule="exact"/>
        <w:rPr>
          <w:rFonts w:ascii="Arial" w:cs="Arial" w:eastAsia="Arial" w:hAnsi="Arial"/>
          <w:sz w:val="18"/>
          <w:szCs w:val="18"/>
          <w:color w:val="auto"/>
        </w:rPr>
      </w:pPr>
    </w:p>
    <w:p>
      <w:pPr>
        <w:ind w:left="1060" w:hanging="552"/>
        <w:spacing w:after="0"/>
        <w:tabs>
          <w:tab w:leader="none" w:pos="10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198" w:lineRule="exact"/>
        <w:rPr>
          <w:rFonts w:ascii="Arial" w:cs="Arial" w:eastAsia="Arial" w:hAnsi="Arial"/>
          <w:sz w:val="18"/>
          <w:szCs w:val="18"/>
          <w:color w:val="auto"/>
        </w:rPr>
      </w:pPr>
    </w:p>
    <w:p>
      <w:pPr>
        <w:ind w:left="1540" w:hanging="511"/>
        <w:spacing w:after="0" w:line="246" w:lineRule="auto"/>
        <w:tabs>
          <w:tab w:leader="none" w:pos="1755" w:val="left"/>
        </w:tabs>
        <w:numPr>
          <w:ilvl w:val="1"/>
          <w:numId w:val="535"/>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83" w:lineRule="exact"/>
        <w:rPr>
          <w:rFonts w:ascii="Arial" w:cs="Arial" w:eastAsia="Arial" w:hAnsi="Arial"/>
          <w:sz w:val="18"/>
          <w:szCs w:val="18"/>
          <w:color w:val="auto"/>
        </w:rPr>
      </w:pPr>
    </w:p>
    <w:p>
      <w:pPr>
        <w:jc w:val="both"/>
        <w:ind w:left="1540" w:hanging="511"/>
        <w:spacing w:after="0"/>
        <w:tabs>
          <w:tab w:leader="none" w:pos="1549"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189" w:lineRule="exact"/>
        <w:rPr>
          <w:rFonts w:ascii="Arial" w:cs="Arial" w:eastAsia="Arial" w:hAnsi="Arial"/>
          <w:sz w:val="18"/>
          <w:szCs w:val="18"/>
          <w:color w:val="auto"/>
        </w:rPr>
      </w:pPr>
    </w:p>
    <w:p>
      <w:pPr>
        <w:jc w:val="both"/>
        <w:ind w:left="1020" w:hanging="512"/>
        <w:spacing w:after="0"/>
        <w:tabs>
          <w:tab w:leader="none" w:pos="1034"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 Lender shall perform the checks described in clause 7.5(e)(iv) above as soon as reasonably practicable following delivery of a notice referred to in clause 7.5(d) above and shall notify the Agent and the Borrowers when it is satisfied that it has complied with those checks.</w:t>
      </w:r>
    </w:p>
    <w:p>
      <w:pPr>
        <w:spacing w:after="0" w:line="189" w:lineRule="exact"/>
        <w:rPr>
          <w:rFonts w:ascii="Arial" w:cs="Arial" w:eastAsia="Arial" w:hAnsi="Arial"/>
          <w:sz w:val="18"/>
          <w:szCs w:val="18"/>
          <w:color w:val="auto"/>
        </w:rPr>
      </w:pPr>
    </w:p>
    <w:p>
      <w:pPr>
        <w:ind w:left="1020" w:hanging="512"/>
        <w:spacing w:after="0" w:line="246" w:lineRule="auto"/>
        <w:tabs>
          <w:tab w:leader="none" w:pos="1287"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Agent five (5) Business Days’ notice of cancellation of the undrawn Commitments of that Lender.</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6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On the notice referred to in clause 7.5(g) above becoming effective, the undrawn Commitments of the Defaulting Lender shall immediately be reduced to zero and (unless the Commitments of the relevant Lender are replaced in accordance with 43.5 (</w:t>
      </w:r>
      <w:r>
        <w:rPr>
          <w:rFonts w:ascii="Arial" w:cs="Arial" w:eastAsia="Arial" w:hAnsi="Arial"/>
          <w:sz w:val="18"/>
          <w:szCs w:val="18"/>
          <w:i w:val="1"/>
          <w:iCs w:val="1"/>
          <w:color w:val="auto"/>
        </w:rPr>
        <w:t>Replacement of a Defaulting Lender</w:t>
      </w:r>
      <w:r>
        <w:rPr>
          <w:rFonts w:ascii="Arial" w:cs="Arial" w:eastAsia="Arial" w:hAnsi="Arial"/>
          <w:sz w:val="18"/>
          <w:szCs w:val="18"/>
          <w:color w:val="auto"/>
        </w:rPr>
        <w:t>)) the remaining undrawn Ship Commitments shall each be reduced rateably and the Total Commitments shall be reduced accordingly, and the Agent shall as soon as practicable after receipt of such notice, notify all the Lenders.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Sale or Total Loss or Change of Control in respect of a Borrower</w:t>
      </w:r>
    </w:p>
    <w:p>
      <w:pPr>
        <w:spacing w:after="0" w:line="220" w:lineRule="exact"/>
        <w:rPr>
          <w:sz w:val="20"/>
          <w:szCs w:val="20"/>
          <w:color w:val="auto"/>
        </w:rPr>
      </w:pPr>
    </w:p>
    <w:p>
      <w:pPr>
        <w:ind w:left="1020" w:hanging="512"/>
        <w:spacing w:after="0" w:line="246" w:lineRule="auto"/>
        <w:tabs>
          <w:tab w:leader="none" w:pos="131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Subject to paragraph (b) below, on a Mortgaged Ship’s Disposal Repayment Date or upon the cancellation in full of a Ship Commitment pursuant to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upon a Change of Control in respect of a Borrower:</w:t>
      </w:r>
    </w:p>
    <w:p>
      <w:pPr>
        <w:spacing w:after="0" w:line="183" w:lineRule="exact"/>
        <w:rPr>
          <w:rFonts w:ascii="Arial" w:cs="Arial" w:eastAsia="Arial" w:hAnsi="Arial"/>
          <w:sz w:val="18"/>
          <w:szCs w:val="18"/>
          <w:color w:val="auto"/>
        </w:rPr>
      </w:pPr>
    </w:p>
    <w:p>
      <w:pPr>
        <w:ind w:left="1540" w:hanging="511"/>
        <w:spacing w:after="0" w:line="246" w:lineRule="auto"/>
        <w:tabs>
          <w:tab w:leader="none" w:pos="1662"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Borrowers shall prepay in full the Advance relevant to that Ship or, as relevant, the Ship owned by the Borrower, the subject of a Change of Control;</w:t>
      </w:r>
    </w:p>
    <w:p>
      <w:pPr>
        <w:spacing w:after="0" w:line="183" w:lineRule="exact"/>
        <w:rPr>
          <w:rFonts w:ascii="Arial" w:cs="Arial" w:eastAsia="Arial" w:hAnsi="Arial"/>
          <w:sz w:val="18"/>
          <w:szCs w:val="18"/>
          <w:color w:val="auto"/>
        </w:rPr>
      </w:pPr>
    </w:p>
    <w:p>
      <w:pPr>
        <w:jc w:val="both"/>
        <w:ind w:left="1540" w:hanging="511"/>
        <w:spacing w:after="0"/>
        <w:tabs>
          <w:tab w:leader="none" w:pos="1661"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Ship Commitment for that Ship or, as relevant, the Ship owned by the Borrower, the subject of a Change of Control, shall be reduced to zero, the Total Commitments shall be reduced accordingly and the Commitments shall be reduced pro rata;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09" w:name="page210"/>
    <w:bookmarkEnd w:id="209"/>
    <w:p>
      <w:pPr>
        <w:ind w:left="1540" w:hanging="511"/>
        <w:spacing w:after="0" w:line="246" w:lineRule="auto"/>
        <w:tabs>
          <w:tab w:leader="none" w:pos="1917"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Borrowers shall prepay such additional part of the other Advances as shall ensure that immediately after such prepayment, the Security Value for each other Advance shall not be less than the Minimum Value for such Advance.</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Paragraph (a) above shall not apply to Ship A in respect of which, if any of the following occurs: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Disposal Repayment Date in respect of Ship A;</w:t>
      </w:r>
    </w:p>
    <w:p>
      <w:pPr>
        <w:spacing w:after="0" w:line="180" w:lineRule="exact"/>
        <w:rPr>
          <w:sz w:val="20"/>
          <w:szCs w:val="20"/>
          <w:color w:val="auto"/>
        </w:rPr>
      </w:pPr>
    </w:p>
    <w:p>
      <w:pPr>
        <w:ind w:left="1560" w:hanging="531"/>
        <w:spacing w:after="0"/>
        <w:tabs>
          <w:tab w:leader="none" w:pos="15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cancellation in full of the Ship Commitment in respect of Ship A pursuant to clause 7.3(</w:t>
      </w:r>
      <w:r>
        <w:rPr>
          <w:rFonts w:ascii="Arial" w:cs="Arial" w:eastAsia="Arial" w:hAnsi="Arial"/>
          <w:sz w:val="18"/>
          <w:szCs w:val="18"/>
          <w:i w:val="1"/>
          <w:iCs w:val="1"/>
          <w:color w:val="auto"/>
        </w:rPr>
        <w:t>Voluntary cancellation</w:t>
      </w:r>
      <w:r>
        <w:rPr>
          <w:rFonts w:ascii="Arial" w:cs="Arial" w:eastAsia="Arial" w:hAnsi="Arial"/>
          <w:sz w:val="18"/>
          <w:szCs w:val="18"/>
          <w:color w:val="auto"/>
        </w:rPr>
        <w:t>); or</w:t>
      </w:r>
    </w:p>
    <w:p>
      <w:pPr>
        <w:spacing w:after="0" w:line="216" w:lineRule="exact"/>
        <w:rPr>
          <w:rFonts w:ascii="Arial" w:cs="Arial" w:eastAsia="Arial" w:hAnsi="Arial"/>
          <w:sz w:val="18"/>
          <w:szCs w:val="18"/>
          <w:color w:val="auto"/>
        </w:rPr>
      </w:pPr>
    </w:p>
    <w:p>
      <w:pPr>
        <w:ind w:left="1560" w:hanging="531"/>
        <w:spacing w:after="0"/>
        <w:tabs>
          <w:tab w:leader="none" w:pos="15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 Change of Control in respect of the Borrower which is the owner of Ship A,</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Borrowers shall prepay the Loan in full and the Ship Commitment for each Ship shall be reduced to zero.</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Automatic cancellation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part of the Total Commitments relating to the Facility which has not become available by, or which is undrawn on, the Last Availability Date applicable to it shall be automatically cancelled at close of business in London on the Last Availability Date applicable to it.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Restrictions</w:t>
      </w:r>
    </w:p>
    <w:p>
      <w:pPr>
        <w:spacing w:after="0" w:line="220" w:lineRule="exact"/>
        <w:rPr>
          <w:sz w:val="20"/>
          <w:szCs w:val="20"/>
          <w:color w:val="auto"/>
        </w:rPr>
      </w:pPr>
    </w:p>
    <w:p>
      <w:pPr>
        <w:jc w:val="both"/>
        <w:ind w:left="1020" w:hanging="512"/>
        <w:spacing w:after="0" w:line="238" w:lineRule="auto"/>
        <w:tabs>
          <w:tab w:leader="none" w:pos="1273"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under clause 7.3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 or 7.4(</w:t>
      </w:r>
      <w:r>
        <w:rPr>
          <w:rFonts w:ascii="Arial" w:cs="Arial" w:eastAsia="Arial" w:hAnsi="Arial"/>
          <w:sz w:val="18"/>
          <w:szCs w:val="18"/>
          <w:i w:val="1"/>
          <w:iCs w:val="1"/>
          <w:color w:val="auto"/>
        </w:rPr>
        <w:t>Voluntary prepayment</w:t>
      </w:r>
      <w:r>
        <w:rPr>
          <w:rFonts w:ascii="Arial" w:cs="Arial" w:eastAsia="Arial" w:hAnsi="Arial"/>
          <w:sz w:val="18"/>
          <w:szCs w:val="18"/>
          <w:color w:val="auto"/>
        </w:rPr>
        <w:t>), the Ship Commitment to be cancelled.</w:t>
      </w:r>
    </w:p>
    <w:p>
      <w:pPr>
        <w:spacing w:after="0" w:line="191"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Borrowers may not reborrow any part of the Facility which is repaid or prepaid.</w:t>
      </w:r>
    </w:p>
    <w:p>
      <w:pPr>
        <w:spacing w:after="0" w:line="198"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Advances or cancel all or any part of the Commitments except at the times and in the manner expressly provided for in this Agreement.</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198" w:lineRule="exact"/>
        <w:rPr>
          <w:rFonts w:ascii="Arial" w:cs="Arial" w:eastAsia="Arial" w:hAnsi="Arial"/>
          <w:sz w:val="18"/>
          <w:szCs w:val="18"/>
          <w:color w:val="auto"/>
        </w:rPr>
      </w:pPr>
    </w:p>
    <w:p>
      <w:pPr>
        <w:ind w:left="1020" w:hanging="512"/>
        <w:spacing w:after="0" w:line="246" w:lineRule="auto"/>
        <w:tabs>
          <w:tab w:leader="none" w:pos="119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affected Lender, as appropriate.</w:t>
      </w:r>
    </w:p>
    <w:p>
      <w:pPr>
        <w:spacing w:after="0" w:line="165" w:lineRule="exact"/>
        <w:rPr>
          <w:rFonts w:ascii="Arial" w:cs="Arial" w:eastAsia="Arial" w:hAnsi="Arial"/>
          <w:sz w:val="18"/>
          <w:szCs w:val="18"/>
          <w:color w:val="auto"/>
        </w:rPr>
      </w:pPr>
    </w:p>
    <w:p>
      <w:pPr>
        <w:jc w:val="both"/>
        <w:ind w:left="1020" w:hanging="512"/>
        <w:spacing w:after="0" w:line="245" w:lineRule="auto"/>
        <w:tabs>
          <w:tab w:leader="none" w:pos="12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If the Total Commitments are partially reduced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 of replacement or cancellation and prepayment in relation to a single Lender/Right of cancellation in relation to a</w:t>
      </w:r>
      <w:r>
        <w:rPr>
          <w:rFonts w:ascii="Arial" w:cs="Arial" w:eastAsia="Arial" w:hAnsi="Arial"/>
          <w:sz w:val="18"/>
          <w:szCs w:val="18"/>
          <w:color w:val="auto"/>
        </w:rPr>
        <w:t xml:space="preserve"> </w:t>
      </w:r>
      <w:r>
        <w:rPr>
          <w:rFonts w:ascii="Arial" w:cs="Arial" w:eastAsia="Arial" w:hAnsi="Arial"/>
          <w:sz w:val="18"/>
          <w:szCs w:val="18"/>
          <w:i w:val="1"/>
          <w:iCs w:val="1"/>
          <w:color w:val="auto"/>
        </w:rPr>
        <w:t>Defaulting Lender</w:t>
      </w:r>
      <w:r>
        <w:rPr>
          <w:rFonts w:ascii="Arial" w:cs="Arial" w:eastAsia="Arial" w:hAnsi="Arial"/>
          <w:sz w:val="18"/>
          <w:szCs w:val="18"/>
          <w:color w:val="auto"/>
        </w:rPr>
        <w:t>)), the Commitments of all the Lenders under the Facility shall be reduced pro rata (except where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specified in this Agreement).</w:t>
      </w:r>
    </w:p>
    <w:p>
      <w:pPr>
        <w:spacing w:after="0" w:line="185" w:lineRule="exact"/>
        <w:rPr>
          <w:rFonts w:ascii="Arial" w:cs="Arial" w:eastAsia="Arial" w:hAnsi="Arial"/>
          <w:sz w:val="18"/>
          <w:szCs w:val="18"/>
          <w:color w:val="auto"/>
        </w:rPr>
      </w:pPr>
    </w:p>
    <w:p>
      <w:pPr>
        <w:jc w:val="both"/>
        <w:ind w:left="1020" w:hanging="512"/>
        <w:spacing w:after="0" w:line="238" w:lineRule="auto"/>
        <w:tabs>
          <w:tab w:leader="none" w:pos="1098"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Ship Commitment for a Ship under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or where a Borrower has so selected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 except where otherwise expressly specified in this Agreement), the Ship Commitments for all Ships shall be reduced pro rata.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0" w:name="page211"/>
    <w:bookmarkEnd w:id="210"/>
    <w:p>
      <w:pPr>
        <w:jc w:val="both"/>
        <w:ind w:left="1020" w:hanging="512"/>
        <w:spacing w:after="0" w:line="245" w:lineRule="auto"/>
        <w:tabs>
          <w:tab w:leader="none" w:pos="1631"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If the Loan is partially prepaid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and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 / right of cancellation in relation to a Defaulting Lender</w:t>
      </w:r>
      <w:r>
        <w:rPr>
          <w:rFonts w:ascii="Arial" w:cs="Arial" w:eastAsia="Arial" w:hAnsi="Arial"/>
          <w:sz w:val="18"/>
          <w:szCs w:val="18"/>
          <w:color w:val="auto"/>
        </w:rPr>
        <w:t>)), the amount prepaid shall reduce the participation of all the Lenders in the Loan rateably (except where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specified in this Agreement).</w:t>
      </w:r>
    </w:p>
    <w:p>
      <w:pPr>
        <w:spacing w:after="0" w:line="185" w:lineRule="exact"/>
        <w:rPr>
          <w:rFonts w:ascii="Arial" w:cs="Arial" w:eastAsia="Arial" w:hAnsi="Arial"/>
          <w:sz w:val="18"/>
          <w:szCs w:val="18"/>
          <w:color w:val="auto"/>
        </w:rPr>
      </w:pPr>
    </w:p>
    <w:p>
      <w:pPr>
        <w:jc w:val="both"/>
        <w:ind w:left="1020" w:hanging="512"/>
        <w:spacing w:after="0" w:line="238" w:lineRule="auto"/>
        <w:tabs>
          <w:tab w:leader="none" w:pos="117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prepayment of the Loan for the account of all the Lenders shall be applied pro rata to each Lender’s participation in Loan (other than a prepayment under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or where a Borrower has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 prepayment will first be applied to the Advance in relation to the relevant Ship).</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7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payment to any Hedging Provider of any amount falling due to the relevant Hedging Provider under a Hedging Contract as a result of the termination or close out of that Hedging Contract or any Hedging Transaction under it in accordance with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 in relation to that prepayment.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color w:val="auto"/>
        </w:rPr>
        <w:t>Mandatory prepayment and cancellation following non-compliance with Sanctions</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If the Borrowers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 Finance Parties under this Agreement and the other Finance Documents:</w:t>
      </w:r>
    </w:p>
    <w:p>
      <w:pPr>
        <w:spacing w:after="0" w:line="181" w:lineRule="exact"/>
        <w:rPr>
          <w:sz w:val="20"/>
          <w:szCs w:val="20"/>
          <w:color w:val="auto"/>
        </w:rPr>
      </w:pPr>
    </w:p>
    <w:p>
      <w:pPr>
        <w:ind w:left="1060" w:hanging="552"/>
        <w:spacing w:after="0"/>
        <w:tabs>
          <w:tab w:leader="none" w:pos="10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Commitment of each Lender will be immediately cancelled; and</w:t>
      </w:r>
    </w:p>
    <w:p>
      <w:pPr>
        <w:spacing w:after="0" w:line="198" w:lineRule="exact"/>
        <w:rPr>
          <w:rFonts w:ascii="Arial" w:cs="Arial" w:eastAsia="Arial" w:hAnsi="Arial"/>
          <w:sz w:val="18"/>
          <w:szCs w:val="18"/>
          <w:color w:val="auto"/>
        </w:rPr>
      </w:pPr>
    </w:p>
    <w:p>
      <w:pPr>
        <w:jc w:val="both"/>
        <w:ind w:left="1020" w:hanging="512"/>
        <w:spacing w:after="0" w:line="238" w:lineRule="auto"/>
        <w:tabs>
          <w:tab w:leader="none" w:pos="12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Borrowers shall repay each Lender’s participation in the Advances on the earlier of (i) the date falling ten (10) Business Days after the Agent notifies the Borrowers of such non-compliance and (ii) the date falling ten (10) Business Days after the Borrowers become aware of such non-compliance and (iii) the last day of the Interest Period falling after the said non-compliance has occurred.</w:t>
      </w:r>
    </w:p>
    <w:p>
      <w:pPr>
        <w:spacing w:after="0" w:line="3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7.10</w:t>
        <w:tab/>
        <w:t>Margin Reset</w:t>
      </w:r>
    </w:p>
    <w:p>
      <w:pPr>
        <w:spacing w:after="0" w:line="220" w:lineRule="exact"/>
        <w:rPr>
          <w:sz w:val="20"/>
          <w:szCs w:val="20"/>
          <w:color w:val="auto"/>
        </w:rPr>
      </w:pPr>
    </w:p>
    <w:p>
      <w:pPr>
        <w:jc w:val="both"/>
        <w:ind w:left="1020" w:hanging="512"/>
        <w:spacing w:after="0" w:line="243" w:lineRule="auto"/>
        <w:tabs>
          <w:tab w:leader="none" w:pos="1071"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xml:space="preserve">Not later than 120 days prior to the date falling two (2) years after the first Utilisation Date (such date two (2) years after the first Utilisation Date being the </w:t>
      </w:r>
      <w:r>
        <w:rPr>
          <w:rFonts w:ascii="Arial" w:cs="Arial" w:eastAsia="Arial" w:hAnsi="Arial"/>
          <w:sz w:val="18"/>
          <w:szCs w:val="18"/>
          <w:b w:val="1"/>
          <w:bCs w:val="1"/>
          <w:color w:val="auto"/>
        </w:rPr>
        <w:t>Margin Reset Date</w:t>
      </w:r>
      <w:r>
        <w:rPr>
          <w:rFonts w:ascii="Arial" w:cs="Arial" w:eastAsia="Arial" w:hAnsi="Arial"/>
          <w:sz w:val="18"/>
          <w:szCs w:val="18"/>
          <w:color w:val="auto"/>
        </w:rPr>
        <w:t xml:space="preserve">) the Borrowers and the Agent (on behalf of all Lenders) shall enter into discussions to agree a new rate of Margin (or, as the case may be, a continuation of the then current Margin) to be applied from the Margin Reset Date up to and including the Final Repayment Date (the </w:t>
      </w:r>
      <w:r>
        <w:rPr>
          <w:rFonts w:ascii="Arial" w:cs="Arial" w:eastAsia="Arial" w:hAnsi="Arial"/>
          <w:sz w:val="18"/>
          <w:szCs w:val="18"/>
          <w:b w:val="1"/>
          <w:bCs w:val="1"/>
          <w:color w:val="auto"/>
        </w:rPr>
        <w:t>New Margin</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jc w:val="both"/>
        <w:ind w:left="1020" w:hanging="512"/>
        <w:spacing w:after="0" w:line="238" w:lineRule="auto"/>
        <w:tabs>
          <w:tab w:leader="none" w:pos="113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New Margin shall be agreed in writing by the Borrowers and Agent (acting on the instructions of all Lenders) no later than 60 days (or such later date agreed between the Borrowers and the Lenders, any such agreement being in the Lenders’ sole discretion) prior to the Margin Reset Date. The Borrowers undertake to execute (or procure the execution of) any documentation supplemental to this Agreement and any other Finance Document as the Agent may in its sole discretion require for the purposes of reflecting an amendment to the rate of Margin.</w:t>
      </w:r>
    </w:p>
    <w:p>
      <w:pPr>
        <w:spacing w:after="0" w:line="188" w:lineRule="exact"/>
        <w:rPr>
          <w:rFonts w:ascii="Arial" w:cs="Arial" w:eastAsia="Arial" w:hAnsi="Arial"/>
          <w:sz w:val="18"/>
          <w:szCs w:val="18"/>
          <w:color w:val="auto"/>
        </w:rPr>
      </w:pPr>
    </w:p>
    <w:p>
      <w:pPr>
        <w:jc w:val="both"/>
        <w:ind w:left="1020" w:hanging="512"/>
        <w:spacing w:after="0" w:line="238" w:lineRule="auto"/>
        <w:tabs>
          <w:tab w:leader="none" w:pos="1168"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If the Borrowers and Agent (acting on the instructions of all Lenders) do not agree the New Margin (or, as the case may be, a continuation of the then current Margin) by the date specified in paragraph (b) above (and neither the Agent nor the Lenders are under any obligation to agree or propose a rate (or, as the case may be, a continuation of the then current rate) in respect of the New Margin) the Total Commitments shall be automatically cancelled and the Loan (together with any accrued interest thereon, and all other amounts accrued under the Finance Documents) shall be payable in full on the Margin Reset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1" w:name="page212"/>
    <w:bookmarkEnd w:id="211"/>
    <w:p>
      <w:pPr>
        <w:ind w:left="500" w:hanging="492"/>
        <w:spacing w:after="0"/>
        <w:tabs>
          <w:tab w:leader="none" w:pos="500" w:val="left"/>
        </w:tabs>
        <w:numPr>
          <w:ilvl w:val="0"/>
          <w:numId w:val="544"/>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Calculation of interest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rate of interest on each Advance for its Interest Period is the percentage rate per annum which is the aggregate of the applicable:</w:t>
      </w:r>
    </w:p>
    <w:p>
      <w:pPr>
        <w:spacing w:after="0" w:line="198" w:lineRule="exact"/>
        <w:rPr>
          <w:sz w:val="20"/>
          <w:szCs w:val="20"/>
          <w:color w:val="auto"/>
        </w:rPr>
      </w:pPr>
    </w:p>
    <w:p>
      <w:pPr>
        <w:ind w:left="1060" w:hanging="552"/>
        <w:spacing w:after="0"/>
        <w:tabs>
          <w:tab w:leader="none" w:pos="10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LIBOR.</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Payment of interest</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Borrowers shall pay accrued interest on each Advance on the last day of each Interest Period for that Advance (and, if an Interest Period is longer than six (6) months, on the dates falling at six (6) monthly intervals after the first day of that Interest Period).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Default interest</w:t>
      </w:r>
    </w:p>
    <w:p>
      <w:pPr>
        <w:spacing w:after="0" w:line="220" w:lineRule="exact"/>
        <w:rPr>
          <w:sz w:val="20"/>
          <w:szCs w:val="20"/>
          <w:color w:val="auto"/>
        </w:rPr>
      </w:pPr>
    </w:p>
    <w:p>
      <w:pPr>
        <w:jc w:val="both"/>
        <w:ind w:left="1020" w:hanging="512"/>
        <w:spacing w:after="0" w:line="237" w:lineRule="auto"/>
        <w:tabs>
          <w:tab w:leader="none" w:pos="112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(other than a Hedging Contract)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an Advance for successive Interest Periods, each of a duration selected by the Agent (acting reasonably). Any interest accruing under this clause 8.3 shall be immediately payable by the Obligors on demand by the Agent.</w:t>
      </w:r>
    </w:p>
    <w:p>
      <w:pPr>
        <w:spacing w:after="0" w:line="191" w:lineRule="exact"/>
        <w:rPr>
          <w:rFonts w:ascii="Arial" w:cs="Arial" w:eastAsia="Arial" w:hAnsi="Arial"/>
          <w:sz w:val="18"/>
          <w:szCs w:val="18"/>
          <w:color w:val="auto"/>
        </w:rPr>
      </w:pPr>
    </w:p>
    <w:p>
      <w:pPr>
        <w:ind w:left="1020" w:right="20" w:hanging="512"/>
        <w:spacing w:after="0" w:line="246" w:lineRule="auto"/>
        <w:tabs>
          <w:tab w:leader="none" w:pos="131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an Advance which became due on a day which was not the last day of an Interest Period relating to such Advance or the relevant part of it:</w:t>
      </w:r>
    </w:p>
    <w:p>
      <w:pPr>
        <w:spacing w:after="0" w:line="183" w:lineRule="exact"/>
        <w:rPr>
          <w:rFonts w:ascii="Arial" w:cs="Arial" w:eastAsia="Arial" w:hAnsi="Arial"/>
          <w:sz w:val="18"/>
          <w:szCs w:val="18"/>
          <w:color w:val="auto"/>
        </w:rPr>
      </w:pPr>
    </w:p>
    <w:p>
      <w:pPr>
        <w:ind w:left="1540" w:hanging="511"/>
        <w:spacing w:after="0" w:line="246" w:lineRule="auto"/>
        <w:tabs>
          <w:tab w:leader="none" w:pos="155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such Advance; and</w:t>
      </w:r>
    </w:p>
    <w:p>
      <w:pPr>
        <w:spacing w:after="0" w:line="183"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83" w:lineRule="exact"/>
        <w:rPr>
          <w:rFonts w:ascii="Arial" w:cs="Arial" w:eastAsia="Arial" w:hAnsi="Arial"/>
          <w:sz w:val="18"/>
          <w:szCs w:val="18"/>
          <w:color w:val="auto"/>
        </w:rPr>
      </w:pPr>
    </w:p>
    <w:p>
      <w:pPr>
        <w:ind w:left="1020" w:hanging="512"/>
        <w:spacing w:after="0" w:line="246" w:lineRule="auto"/>
        <w:tabs>
          <w:tab w:leader="none" w:pos="133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Notification of rates of interest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notify the Lenders and the Borrowers of the determination of a rate of interest under this Agreement.</w:t>
      </w:r>
    </w:p>
    <w:p>
      <w:pPr>
        <w:spacing w:after="0" w:line="166" w:lineRule="exact"/>
        <w:rPr>
          <w:sz w:val="20"/>
          <w:szCs w:val="20"/>
          <w:color w:val="auto"/>
        </w:rPr>
      </w:pPr>
    </w:p>
    <w:p>
      <w:pPr>
        <w:ind w:left="520" w:hanging="382"/>
        <w:spacing w:after="0"/>
        <w:tabs>
          <w:tab w:leader="none" w:pos="520" w:val="left"/>
        </w:tabs>
        <w:numPr>
          <w:ilvl w:val="0"/>
          <w:numId w:val="547"/>
        </w:numPr>
        <w:rPr>
          <w:rFonts w:ascii="Arial" w:cs="Arial" w:eastAsia="Arial" w:hAnsi="Arial"/>
          <w:sz w:val="22"/>
          <w:szCs w:val="22"/>
          <w:b w:val="1"/>
          <w:bCs w:val="1"/>
          <w:color w:val="auto"/>
        </w:rPr>
      </w:pPr>
      <w:r>
        <w:rPr>
          <w:rFonts w:ascii="Arial" w:cs="Arial" w:eastAsia="Arial" w:hAnsi="Arial"/>
          <w:sz w:val="22"/>
          <w:szCs w:val="22"/>
          <w:b w:val="1"/>
          <w:bCs w:val="1"/>
          <w:color w:val="auto"/>
        </w:rPr>
        <w:t>Interest Periods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Interest Periods</w:t>
      </w:r>
    </w:p>
    <w:p>
      <w:pPr>
        <w:spacing w:after="0" w:line="220" w:lineRule="exact"/>
        <w:rPr>
          <w:sz w:val="20"/>
          <w:szCs w:val="20"/>
          <w:color w:val="auto"/>
        </w:rPr>
      </w:pPr>
    </w:p>
    <w:p>
      <w:pPr>
        <w:ind w:left="1020" w:hanging="512"/>
        <w:spacing w:after="0" w:line="246" w:lineRule="auto"/>
        <w:tabs>
          <w:tab w:leader="none" w:pos="113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Subject to this clause 9, the Interest Period for an Advance shall be six (6) months, unless otherwise agreed by the Borrowers and all Lenders. No Interest Period for any Advance shall extend beyond the Final Repayment Date.</w:t>
      </w:r>
    </w:p>
    <w:p>
      <w:pPr>
        <w:spacing w:after="0" w:line="183" w:lineRule="exact"/>
        <w:rPr>
          <w:rFonts w:ascii="Arial" w:cs="Arial" w:eastAsia="Arial" w:hAnsi="Arial"/>
          <w:sz w:val="18"/>
          <w:szCs w:val="18"/>
          <w:color w:val="auto"/>
        </w:rPr>
      </w:pPr>
    </w:p>
    <w:p>
      <w:pPr>
        <w:ind w:left="1020" w:right="420" w:hanging="512"/>
        <w:spacing w:after="0" w:line="246" w:lineRule="auto"/>
        <w:tabs>
          <w:tab w:leader="none" w:pos="1044" w:val="left"/>
        </w:tabs>
        <w:numPr>
          <w:ilvl w:val="0"/>
          <w:numId w:val="548"/>
        </w:numPr>
        <w:rPr>
          <w:rFonts w:ascii="Arial" w:cs="Arial" w:eastAsia="Arial" w:hAnsi="Arial"/>
          <w:sz w:val="18"/>
          <w:szCs w:val="18"/>
          <w:i w:val="1"/>
          <w:iCs w:val="1"/>
          <w:color w:val="auto"/>
        </w:rPr>
      </w:pPr>
      <w:r>
        <w:rPr>
          <w:rFonts w:ascii="Arial" w:cs="Arial" w:eastAsia="Arial" w:hAnsi="Arial"/>
          <w:sz w:val="18"/>
          <w:szCs w:val="18"/>
          <w:color w:val="auto"/>
        </w:rPr>
        <w:t>The first Interest Period for each Advance shall start on the relevant Utilisation Date for that Advance and each subsequent Interest Period for such Advance shall start on the last day of its preceding Interest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12" w:name="page213"/>
    <w:bookmarkEnd w:id="212"/>
    <w:p>
      <w:pPr>
        <w:jc w:val="both"/>
        <w:ind w:left="1020" w:hanging="512"/>
        <w:spacing w:after="0"/>
        <w:tabs>
          <w:tab w:leader="none" w:pos="111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first and subsequent Interest Period for each Advance (other than the first Advance to be drawn) will end on the same day as the current Interest Period for any other Advance. On the last day of those Interest Periods, those Advances will be consolidated and treated as one Loan.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Non-Business Days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10 Changes to the calculation of interest</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10.1</w:t>
        <w:tab/>
        <w:t>Unavailability of Screen Rate</w:t>
      </w:r>
    </w:p>
    <w:p>
      <w:pPr>
        <w:spacing w:after="0" w:line="220" w:lineRule="exact"/>
        <w:rPr>
          <w:sz w:val="20"/>
          <w:szCs w:val="20"/>
          <w:color w:val="auto"/>
        </w:rPr>
      </w:pPr>
    </w:p>
    <w:p>
      <w:pPr>
        <w:ind w:left="1020" w:hanging="512"/>
        <w:spacing w:after="0" w:line="246" w:lineRule="auto"/>
        <w:tabs>
          <w:tab w:leader="none" w:pos="112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LIBOR shall be the Interpolated Screen Rate for a period equal in length to that Interest Period.</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dollars;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relevant Interest Period and it is not possible to calculate the Interpolated Screen Rate,</w:t>
      </w:r>
    </w:p>
    <w:p>
      <w:pPr>
        <w:spacing w:after="0" w:line="180" w:lineRule="exact"/>
        <w:rPr>
          <w:rFonts w:ascii="Arial" w:cs="Arial" w:eastAsia="Arial" w:hAnsi="Arial"/>
          <w:sz w:val="18"/>
          <w:szCs w:val="18"/>
          <w:color w:val="auto"/>
        </w:rPr>
      </w:pPr>
    </w:p>
    <w:p>
      <w:pPr>
        <w:ind w:left="1560" w:hanging="531"/>
        <w:spacing w:after="0"/>
        <w:tabs>
          <w:tab w:leader="none" w:pos="156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there shall be no LIBOR for that Interest Period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for that Interest Period.</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Market disruption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before close of business in London on the Quotation Day for an Interest Period the Agent receives notifications from a Lender or Lenders (whose aggregate participations in the Total Commitments exceed 50 per cent of the Total Commitments) that the cost to it of funding its participation in the Loan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the Loan for the relevant Interest Period.</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Cost of funds</w:t>
      </w:r>
    </w:p>
    <w:p>
      <w:pPr>
        <w:spacing w:after="0" w:line="220" w:lineRule="exact"/>
        <w:rPr>
          <w:sz w:val="20"/>
          <w:szCs w:val="20"/>
          <w:color w:val="auto"/>
        </w:rPr>
      </w:pPr>
    </w:p>
    <w:p>
      <w:pPr>
        <w:ind w:left="1020" w:hanging="512"/>
        <w:spacing w:after="0" w:line="246" w:lineRule="auto"/>
        <w:tabs>
          <w:tab w:leader="none" w:pos="1057"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Loan for the Interest Period shall be the percentage rate per annum which is the sum of:</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742"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by close of business on the date falling ten (10) Business Days after the Quotation Day (or, if earlier, on the date falling ten Business Days before the date on which interest is due to be paid in respect of that Interest Period), to be that which expresses as a percentage rate per annum the cost to the relevant Lender of funding its participation in the Loan from whatever source it may reasonably select.</w:t>
      </w:r>
    </w:p>
    <w:p>
      <w:pPr>
        <w:spacing w:after="0" w:line="188" w:lineRule="exact"/>
        <w:rPr>
          <w:rFonts w:ascii="Arial" w:cs="Arial" w:eastAsia="Arial" w:hAnsi="Arial"/>
          <w:sz w:val="18"/>
          <w:szCs w:val="18"/>
          <w:color w:val="auto"/>
        </w:rPr>
      </w:pPr>
    </w:p>
    <w:p>
      <w:pPr>
        <w:jc w:val="both"/>
        <w:ind w:left="1020" w:hanging="512"/>
        <w:spacing w:after="0"/>
        <w:tabs>
          <w:tab w:leader="none" w:pos="1111"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If this clause 10.3 applies and the Agent or the Parent so requires, the Agent and the Parent shall enter into negotiations (for a period of not more than 30 days) with a view to agreeing a substitute basis for determining the rate of interest. If a substitute basis for determining the rate of interest is not agreed, paragraph (a) shall apply.</w:t>
      </w:r>
    </w:p>
    <w:p>
      <w:pPr>
        <w:spacing w:after="0" w:line="171" w:lineRule="exact"/>
        <w:rPr>
          <w:rFonts w:ascii="Arial" w:cs="Arial" w:eastAsia="Arial" w:hAnsi="Arial"/>
          <w:sz w:val="18"/>
          <w:szCs w:val="18"/>
          <w:color w:val="auto"/>
        </w:rPr>
      </w:pPr>
    </w:p>
    <w:p>
      <w:pPr>
        <w:ind w:left="1280" w:hanging="772"/>
        <w:spacing w:after="0"/>
        <w:tabs>
          <w:tab w:leader="none" w:pos="12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Subject to clause 43.8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any substitute or any alternative basis agreed pursuant to paragraph</w:t>
      </w:r>
    </w:p>
    <w:p>
      <w:pPr>
        <w:spacing w:after="0" w:line="1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(b) above shall, with the prior consent of all the Lenders and the Parent, be binding on all Parties.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3" w:name="page214"/>
    <w:bookmarkEnd w:id="213"/>
    <w:p>
      <w:pPr>
        <w:ind w:left="1040" w:hanging="532"/>
        <w:spacing w:after="0"/>
        <w:tabs>
          <w:tab w:leader="none" w:pos="10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560" w:hanging="531"/>
        <w:spacing w:after="0"/>
        <w:tabs>
          <w:tab w:leader="none" w:pos="156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198"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the cost to that Lender of funding its participation in the Loan for that Interest Period shall be deemed, for the purposes of paragraph (a) above, to be LIBOR.</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Notification to Parent</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Parent.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10.5</w:t>
        <w:tab/>
        <w:t>Break Costs</w:t>
      </w:r>
    </w:p>
    <w:p>
      <w:pPr>
        <w:spacing w:after="0" w:line="220" w:lineRule="exact"/>
        <w:rPr>
          <w:sz w:val="20"/>
          <w:szCs w:val="20"/>
          <w:color w:val="auto"/>
        </w:rPr>
      </w:pPr>
    </w:p>
    <w:p>
      <w:pPr>
        <w:jc w:val="both"/>
        <w:ind w:left="1020" w:hanging="512"/>
        <w:spacing w:after="0" w:line="238" w:lineRule="auto"/>
        <w:tabs>
          <w:tab w:leader="none" w:pos="1179"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Borrowers shall, within three (3) Business Days of demand by a Finance Party, pay to that Finance Party its Break Costs attributable to all or any part of an Advance or Unpaid Sum being paid by the Borrowers (or, if relevant, any Group Member or any Parent Group Member) on a day other than the last day of an Interest Period for that Advance or Unpaid Sum or relevant part of it.</w:t>
      </w:r>
    </w:p>
    <w:p>
      <w:pPr>
        <w:spacing w:after="0" w:line="191"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11 Fees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Commitment fee</w:t>
      </w:r>
    </w:p>
    <w:p>
      <w:pPr>
        <w:spacing w:after="0" w:line="220" w:lineRule="exact"/>
        <w:rPr>
          <w:sz w:val="20"/>
          <w:szCs w:val="20"/>
          <w:color w:val="auto"/>
        </w:rPr>
      </w:pPr>
    </w:p>
    <w:p>
      <w:pPr>
        <w:jc w:val="both"/>
        <w:ind w:left="1020" w:right="20" w:hanging="512"/>
        <w:spacing w:after="0"/>
        <w:tabs>
          <w:tab w:leader="none" w:pos="1111"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Borrowers shall pay to the Agent (for the account of each Lender) a fee in dollars on the undrawn and uncancelled portion of each Lender’s Commitment under the Facility, computed from 15 April 2020 at the rate per annum of one (1) per cent per annum calculated from the date of this Agreement.</w:t>
      </w:r>
    </w:p>
    <w:p>
      <w:pPr>
        <w:spacing w:after="0" w:line="189"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Borrowers shall pay the accrued commitment fee on the Utilisation Date, the Last Availability Date and, if cancelled in full, on the cancelled amount of the relevant Lender’s Commitment at the time the cancellation is effective.</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12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11.2</w:t>
        <w:tab/>
        <w:t>Other fees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any other fees set out in a Fee Letter in the amount and at the times agreed in the applicable Fee Letter.</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12 Tax gross-up and indemnities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Definitions</w:t>
      </w:r>
    </w:p>
    <w:p>
      <w:pPr>
        <w:spacing w:after="0" w:line="198" w:lineRule="exact"/>
        <w:rPr>
          <w:sz w:val="20"/>
          <w:szCs w:val="20"/>
          <w:color w:val="auto"/>
        </w:rPr>
      </w:pPr>
    </w:p>
    <w:p>
      <w:pPr>
        <w:ind w:left="1060" w:hanging="552"/>
        <w:spacing w:after="0"/>
        <w:tabs>
          <w:tab w:leader="none" w:pos="1060"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t>In this Agreement</w:t>
      </w:r>
      <w:r>
        <w:rPr>
          <w:rFonts w:ascii="Arial" w:cs="Arial" w:eastAsia="Arial" w:hAnsi="Arial"/>
          <w:sz w:val="18"/>
          <w:szCs w:val="18"/>
          <w:color w:val="auto"/>
        </w:rPr>
        <w:t>:</w:t>
      </w:r>
    </w:p>
    <w:p>
      <w:pPr>
        <w:spacing w:after="0" w:line="198" w:lineRule="exact"/>
        <w:rPr>
          <w:sz w:val="20"/>
          <w:szCs w:val="20"/>
          <w:color w:val="auto"/>
        </w:rPr>
      </w:pPr>
    </w:p>
    <w:p>
      <w:pPr>
        <w:jc w:val="both"/>
        <w:ind w:left="1020"/>
        <w:spacing w:after="0" w:line="244" w:lineRule="auto"/>
        <w:rPr>
          <w:sz w:val="20"/>
          <w:szCs w:val="20"/>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or, in relation to clause 14.4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(Indemnity concerning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clause 14.7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insofar as it relates to interest on any amount demanded by that Indemnified Person under clause 14.4 </w:t>
      </w:r>
      <w:r>
        <w:rPr>
          <w:rFonts w:ascii="Arial" w:cs="Arial" w:eastAsia="Arial" w:hAnsi="Arial"/>
          <w:sz w:val="18"/>
          <w:szCs w:val="18"/>
          <w:i w:val="1"/>
          <w:i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any Indemnified Person, which is or will be subject to any liability, or required to make any payment, for or on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Tax in relation to a sum received or receivable (or any sum deemed for the purposes of Tax to be received or receivable) under a Finance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4" w:name="page215"/>
    <w:bookmarkEnd w:id="214"/>
    <w:p>
      <w:pPr>
        <w:ind w:left="102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198"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 Hedging Contract), other than a FATCA Deduction.</w:t>
      </w:r>
    </w:p>
    <w:p>
      <w:pPr>
        <w:spacing w:after="0" w:line="140"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40" w:lineRule="exact"/>
        <w:rPr>
          <w:sz w:val="20"/>
          <w:szCs w:val="20"/>
          <w:color w:val="auto"/>
        </w:rPr>
      </w:pPr>
    </w:p>
    <w:p>
      <w:pPr>
        <w:ind w:left="1020" w:right="20" w:hanging="512"/>
        <w:spacing w:after="0" w:line="271" w:lineRule="auto"/>
        <w:tabs>
          <w:tab w:leader="none" w:pos="109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w:t>
      </w:r>
    </w:p>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Tax gross-up</w:t>
      </w:r>
    </w:p>
    <w:p>
      <w:pPr>
        <w:spacing w:after="0" w:line="220" w:lineRule="exact"/>
        <w:rPr>
          <w:sz w:val="20"/>
          <w:szCs w:val="20"/>
          <w:color w:val="auto"/>
        </w:rPr>
      </w:pPr>
    </w:p>
    <w:p>
      <w:pPr>
        <w:ind w:left="1020" w:right="20" w:hanging="512"/>
        <w:spacing w:after="0" w:line="246" w:lineRule="auto"/>
        <w:tabs>
          <w:tab w:leader="none" w:pos="113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5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Borrowers and that Obligor.</w:t>
      </w:r>
    </w:p>
    <w:p>
      <w:pPr>
        <w:spacing w:after="0" w:line="191" w:lineRule="exact"/>
        <w:rPr>
          <w:rFonts w:ascii="Arial" w:cs="Arial" w:eastAsia="Arial" w:hAnsi="Arial"/>
          <w:sz w:val="18"/>
          <w:szCs w:val="18"/>
          <w:color w:val="auto"/>
        </w:rPr>
      </w:pPr>
    </w:p>
    <w:p>
      <w:pPr>
        <w:jc w:val="both"/>
        <w:ind w:left="1020" w:hanging="512"/>
        <w:spacing w:after="0"/>
        <w:tabs>
          <w:tab w:leader="none" w:pos="1249"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189" w:lineRule="exact"/>
        <w:rPr>
          <w:rFonts w:ascii="Arial" w:cs="Arial" w:eastAsia="Arial" w:hAnsi="Arial"/>
          <w:sz w:val="18"/>
          <w:szCs w:val="18"/>
          <w:color w:val="auto"/>
        </w:rPr>
      </w:pPr>
    </w:p>
    <w:p>
      <w:pPr>
        <w:ind w:left="1020" w:hanging="512"/>
        <w:spacing w:after="0" w:line="246" w:lineRule="auto"/>
        <w:tabs>
          <w:tab w:leader="none" w:pos="1273"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26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Within thirty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91" w:lineRule="exact"/>
        <w:rPr>
          <w:rFonts w:ascii="Arial" w:cs="Arial" w:eastAsia="Arial" w:hAnsi="Arial"/>
          <w:sz w:val="18"/>
          <w:szCs w:val="18"/>
          <w:color w:val="auto"/>
        </w:rPr>
      </w:pPr>
    </w:p>
    <w:p>
      <w:pPr>
        <w:ind w:left="1020" w:right="20" w:hanging="512"/>
        <w:spacing w:after="0" w:line="246" w:lineRule="auto"/>
        <w:tabs>
          <w:tab w:leader="none" w:pos="1399" w:val="left"/>
        </w:tabs>
        <w:numPr>
          <w:ilvl w:val="0"/>
          <w:numId w:val="557"/>
        </w:numPr>
        <w:rPr>
          <w:rFonts w:ascii="Arial" w:cs="Arial" w:eastAsia="Arial" w:hAnsi="Arial"/>
          <w:sz w:val="18"/>
          <w:szCs w:val="18"/>
          <w:color w:val="auto"/>
        </w:rPr>
      </w:pPr>
      <w:r>
        <w:rPr>
          <w:rFonts w:ascii="Arial" w:cs="Arial" w:eastAsia="Arial" w:hAnsi="Arial"/>
          <w:sz w:val="18"/>
          <w:szCs w:val="18"/>
          <w:color w:val="auto"/>
        </w:rPr>
        <w:t>Paragraphs (a) to (e) above shall not apply in respect of any payments under any Hedging Contract, where the gross-up provisions of the relevant Hedging Master Agreement itself shall apply.</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Tax indemnity</w:t>
      </w:r>
    </w:p>
    <w:p>
      <w:pPr>
        <w:spacing w:after="0" w:line="220" w:lineRule="exact"/>
        <w:rPr>
          <w:sz w:val="20"/>
          <w:szCs w:val="20"/>
          <w:color w:val="auto"/>
        </w:rPr>
      </w:pPr>
    </w:p>
    <w:p>
      <w:pPr>
        <w:jc w:val="both"/>
        <w:ind w:left="1020" w:hanging="512"/>
        <w:spacing w:after="0"/>
        <w:tabs>
          <w:tab w:leader="none" w:pos="1192" w:val="left"/>
        </w:tabs>
        <w:numPr>
          <w:ilvl w:val="0"/>
          <w:numId w:val="558"/>
        </w:numPr>
        <w:rPr>
          <w:rFonts w:ascii="Arial" w:cs="Arial" w:eastAsia="Arial" w:hAnsi="Arial"/>
          <w:sz w:val="18"/>
          <w:szCs w:val="18"/>
          <w:color w:val="auto"/>
        </w:rPr>
      </w:pPr>
      <w:r>
        <w:rPr>
          <w:rFonts w:ascii="Arial" w:cs="Arial" w:eastAsia="Arial" w:hAnsi="Arial"/>
          <w:sz w:val="18"/>
          <w:szCs w:val="18"/>
          <w:color w:val="auto"/>
        </w:rPr>
        <w:t>Each Obligor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98" w:lineRule="exact"/>
        <w:rPr>
          <w:sz w:val="20"/>
          <w:szCs w:val="20"/>
          <w:color w:val="auto"/>
        </w:rPr>
      </w:pPr>
    </w:p>
    <w:p>
      <w:pPr>
        <w:ind w:left="2040" w:hanging="501"/>
        <w:spacing w:after="0" w:line="246" w:lineRule="auto"/>
        <w:tabs>
          <w:tab w:leader="none" w:pos="2391" w:val="left"/>
        </w:tabs>
        <w:numPr>
          <w:ilvl w:val="0"/>
          <w:numId w:val="559"/>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15" w:name="page216"/>
    <w:bookmarkEnd w:id="215"/>
    <w:p>
      <w:pPr>
        <w:ind w:left="2040" w:hanging="501"/>
        <w:spacing w:after="0" w:line="246" w:lineRule="auto"/>
        <w:tabs>
          <w:tab w:leader="none" w:pos="240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83"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65" w:lineRule="exact"/>
        <w:rPr>
          <w:sz w:val="20"/>
          <w:szCs w:val="20"/>
          <w:color w:val="auto"/>
        </w:rPr>
      </w:pPr>
    </w:p>
    <w:p>
      <w:pPr>
        <w:ind w:left="1540" w:hanging="511"/>
        <w:spacing w:after="0" w:line="267" w:lineRule="auto"/>
        <w:tabs>
          <w:tab w:leader="none" w:pos="1877" w:val="left"/>
        </w:tabs>
        <w:numPr>
          <w:ilvl w:val="1"/>
          <w:numId w:val="561"/>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 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1540" w:hanging="511"/>
        <w:spacing w:after="0" w:line="267" w:lineRule="auto"/>
        <w:tabs>
          <w:tab w:leader="none" w:pos="1634"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 payment under clause 12.4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146" w:lineRule="exact"/>
        <w:rPr>
          <w:rFonts w:ascii="Arial" w:cs="Arial" w:eastAsia="Arial" w:hAnsi="Arial"/>
          <w:sz w:val="18"/>
          <w:szCs w:val="18"/>
          <w:color w:val="auto"/>
        </w:rPr>
      </w:pPr>
    </w:p>
    <w:p>
      <w:pPr>
        <w:ind w:left="1540" w:hanging="511"/>
        <w:spacing w:after="0"/>
        <w:tabs>
          <w:tab w:leader="none" w:pos="154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16" w:lineRule="exact"/>
        <w:rPr>
          <w:rFonts w:ascii="Arial" w:cs="Arial" w:eastAsia="Arial" w:hAnsi="Arial"/>
          <w:sz w:val="18"/>
          <w:szCs w:val="18"/>
          <w:color w:val="auto"/>
        </w:rPr>
      </w:pPr>
    </w:p>
    <w:p>
      <w:pPr>
        <w:ind w:left="1020" w:hanging="512"/>
        <w:spacing w:after="0" w:line="246" w:lineRule="auto"/>
        <w:tabs>
          <w:tab w:leader="none" w:pos="1087"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 and the Guarantors.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Indemnities on after Tax basis</w:t>
      </w:r>
    </w:p>
    <w:p>
      <w:pPr>
        <w:spacing w:after="0" w:line="220" w:lineRule="exact"/>
        <w:rPr>
          <w:sz w:val="20"/>
          <w:szCs w:val="20"/>
          <w:color w:val="auto"/>
        </w:rPr>
      </w:pPr>
    </w:p>
    <w:p>
      <w:pPr>
        <w:jc w:val="both"/>
        <w:ind w:left="1020" w:hanging="512"/>
        <w:spacing w:after="0" w:line="238" w:lineRule="auto"/>
        <w:tabs>
          <w:tab w:leader="none" w:pos="128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If and to the extent that any sum payable to any Protected Party by the Borrowers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Borrowers shall pay that Protected Party such additional sum as (after taking into account any Tax suffered by that Protected Party on such additional sum) shall be required to make up the relevant deficit.</w:t>
      </w:r>
    </w:p>
    <w:p>
      <w:pPr>
        <w:spacing w:after="0" w:line="166" w:lineRule="exact"/>
        <w:rPr>
          <w:rFonts w:ascii="Arial" w:cs="Arial" w:eastAsia="Arial" w:hAnsi="Arial"/>
          <w:sz w:val="18"/>
          <w:szCs w:val="18"/>
          <w:color w:val="auto"/>
        </w:rPr>
      </w:pPr>
    </w:p>
    <w:p>
      <w:pPr>
        <w:jc w:val="both"/>
        <w:ind w:left="1020" w:hanging="512"/>
        <w:spacing w:after="0" w:line="244" w:lineRule="auto"/>
        <w:tabs>
          <w:tab w:leader="none" w:pos="103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If and to the extent that any sum (the </w:t>
      </w:r>
      <w:r>
        <w:rPr>
          <w:rFonts w:ascii="Arial" w:cs="Arial" w:eastAsia="Arial" w:hAnsi="Arial"/>
          <w:sz w:val="18"/>
          <w:szCs w:val="18"/>
          <w:b w:val="1"/>
          <w:bCs w:val="1"/>
          <w:color w:val="auto"/>
        </w:rPr>
        <w:t>Indemnity Sum</w:t>
      </w:r>
      <w:r>
        <w:rPr>
          <w:rFonts w:ascii="Arial" w:cs="Arial" w:eastAsia="Arial" w:hAnsi="Arial"/>
          <w:sz w:val="18"/>
          <w:szCs w:val="18"/>
          <w:color w:val="auto"/>
        </w:rPr>
        <w:t xml:space="preserve">) constituting (directly or indirectly) an indemnity to any Protected Party but paid by the Borrowers to any person other than that Protected Party, shall be treated as taxable in the hands of the Protected Party, the Borrowers shall pay to that Protected Party such sum (the </w:t>
      </w:r>
      <w:r>
        <w:rPr>
          <w:rFonts w:ascii="Arial" w:cs="Arial" w:eastAsia="Arial" w:hAnsi="Arial"/>
          <w:sz w:val="18"/>
          <w:szCs w:val="18"/>
          <w:b w:val="1"/>
          <w:bCs w:val="1"/>
          <w:color w:val="auto"/>
        </w:rPr>
        <w:t>Compensating Sum</w:t>
      </w:r>
      <w:r>
        <w:rPr>
          <w:rFonts w:ascii="Arial" w:cs="Arial" w:eastAsia="Arial" w:hAnsi="Arial"/>
          <w:sz w:val="18"/>
          <w:szCs w:val="18"/>
          <w:color w:val="auto"/>
        </w:rPr>
        <w:t>) as (after taking into account any Tax suffered by that Protected Party on the Compensating Sum) shall reimburse that Protected Party for any Tax suffered by it in respect of the Indemnity Sum.</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FATCA Information</w:t>
      </w:r>
    </w:p>
    <w:p>
      <w:pPr>
        <w:spacing w:after="0" w:line="220" w:lineRule="exact"/>
        <w:rPr>
          <w:sz w:val="20"/>
          <w:szCs w:val="20"/>
          <w:color w:val="auto"/>
        </w:rPr>
      </w:pPr>
    </w:p>
    <w:p>
      <w:pPr>
        <w:ind w:left="1060" w:hanging="552"/>
        <w:spacing w:after="0"/>
        <w:tabs>
          <w:tab w:leader="none" w:pos="10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98" w:lineRule="exact"/>
        <w:rPr>
          <w:rFonts w:ascii="Arial" w:cs="Arial" w:eastAsia="Arial" w:hAnsi="Arial"/>
          <w:sz w:val="18"/>
          <w:szCs w:val="18"/>
          <w:color w:val="auto"/>
        </w:rPr>
      </w:pPr>
    </w:p>
    <w:p>
      <w:pPr>
        <w:ind w:left="2060" w:hanging="521"/>
        <w:spacing w:after="0"/>
        <w:tabs>
          <w:tab w:leader="none" w:pos="2060" w:val="left"/>
        </w:tabs>
        <w:numPr>
          <w:ilvl w:val="2"/>
          <w:numId w:val="564"/>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98" w:lineRule="exact"/>
        <w:rPr>
          <w:rFonts w:ascii="Arial" w:cs="Arial" w:eastAsia="Arial" w:hAnsi="Arial"/>
          <w:sz w:val="18"/>
          <w:szCs w:val="18"/>
          <w:color w:val="auto"/>
        </w:rPr>
      </w:pPr>
    </w:p>
    <w:p>
      <w:pPr>
        <w:ind w:left="2060" w:hanging="521"/>
        <w:spacing w:after="0"/>
        <w:tabs>
          <w:tab w:leader="none" w:pos="2060" w:val="left"/>
        </w:tabs>
        <w:numPr>
          <w:ilvl w:val="2"/>
          <w:numId w:val="564"/>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98" w:lineRule="exact"/>
        <w:rPr>
          <w:rFonts w:ascii="Arial" w:cs="Arial" w:eastAsia="Arial" w:hAnsi="Arial"/>
          <w:sz w:val="18"/>
          <w:szCs w:val="18"/>
          <w:color w:val="auto"/>
        </w:rPr>
      </w:pPr>
    </w:p>
    <w:p>
      <w:pPr>
        <w:ind w:left="1540" w:hanging="511"/>
        <w:spacing w:after="0" w:line="246" w:lineRule="auto"/>
        <w:tabs>
          <w:tab w:leader="none" w:pos="1783" w:val="left"/>
        </w:tabs>
        <w:numPr>
          <w:ilvl w:val="1"/>
          <w:numId w:val="564"/>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6" w:name="page217"/>
    <w:bookmarkEnd w:id="216"/>
    <w:p>
      <w:pPr>
        <w:jc w:val="both"/>
        <w:ind w:left="1040" w:right="20" w:hanging="511"/>
        <w:spacing w:after="0"/>
        <w:tabs>
          <w:tab w:leader="none" w:pos="1377" w:val="left"/>
        </w:tabs>
        <w:numPr>
          <w:ilvl w:val="1"/>
          <w:numId w:val="565"/>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89" w:lineRule="exact"/>
        <w:rPr>
          <w:rFonts w:ascii="Arial" w:cs="Arial" w:eastAsia="Arial" w:hAnsi="Arial"/>
          <w:sz w:val="18"/>
          <w:szCs w:val="18"/>
          <w:color w:val="auto"/>
        </w:rPr>
      </w:pPr>
    </w:p>
    <w:p>
      <w:pPr>
        <w:jc w:val="both"/>
        <w:ind w:left="520" w:hanging="512"/>
        <w:spacing w:after="0"/>
        <w:tabs>
          <w:tab w:leader="none" w:pos="74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89" w:lineRule="exact"/>
        <w:rPr>
          <w:rFonts w:ascii="Arial" w:cs="Arial" w:eastAsia="Arial" w:hAnsi="Arial"/>
          <w:sz w:val="18"/>
          <w:szCs w:val="18"/>
          <w:color w:val="auto"/>
        </w:rPr>
      </w:pPr>
    </w:p>
    <w:p>
      <w:pPr>
        <w:ind w:left="520" w:hanging="512"/>
        <w:spacing w:after="0" w:line="246" w:lineRule="auto"/>
        <w:tabs>
          <w:tab w:leader="none" w:pos="601" w:val="left"/>
        </w:tabs>
        <w:numPr>
          <w:ilvl w:val="0"/>
          <w:numId w:val="566"/>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83" w:lineRule="exact"/>
        <w:rPr>
          <w:rFonts w:ascii="Arial" w:cs="Arial" w:eastAsia="Arial" w:hAnsi="Arial"/>
          <w:sz w:val="18"/>
          <w:szCs w:val="18"/>
          <w:color w:val="auto"/>
        </w:rPr>
      </w:pPr>
    </w:p>
    <w:p>
      <w:pPr>
        <w:ind w:left="1060" w:hanging="531"/>
        <w:spacing w:after="0"/>
        <w:tabs>
          <w:tab w:leader="none" w:pos="106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98" w:lineRule="exact"/>
        <w:rPr>
          <w:sz w:val="20"/>
          <w:szCs w:val="20"/>
          <w:color w:val="auto"/>
        </w:rPr>
      </w:pPr>
    </w:p>
    <w:p>
      <w:pPr>
        <w:ind w:left="1060" w:hanging="531"/>
        <w:spacing w:after="0"/>
        <w:tabs>
          <w:tab w:leader="none" w:pos="106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98" w:lineRule="exact"/>
        <w:rPr>
          <w:rFonts w:ascii="Arial" w:cs="Arial" w:eastAsia="Arial" w:hAnsi="Arial"/>
          <w:sz w:val="18"/>
          <w:szCs w:val="18"/>
          <w:color w:val="auto"/>
        </w:rPr>
      </w:pPr>
    </w:p>
    <w:p>
      <w:pPr>
        <w:ind w:left="1060" w:hanging="531"/>
        <w:spacing w:after="0"/>
        <w:tabs>
          <w:tab w:leader="none" w:pos="106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98" w:lineRule="exact"/>
        <w:rPr>
          <w:rFonts w:ascii="Arial" w:cs="Arial" w:eastAsia="Arial" w:hAnsi="Arial"/>
          <w:sz w:val="18"/>
          <w:szCs w:val="18"/>
          <w:color w:val="auto"/>
        </w:rPr>
      </w:pPr>
    </w:p>
    <w:p>
      <w:pPr>
        <w:jc w:val="both"/>
        <w:ind w:left="520" w:hanging="512"/>
        <w:spacing w:after="0" w:line="238" w:lineRule="auto"/>
        <w:tabs>
          <w:tab w:leader="none" w:pos="773"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88" w:lineRule="exact"/>
        <w:rPr>
          <w:rFonts w:ascii="Arial" w:cs="Arial" w:eastAsia="Arial" w:hAnsi="Arial"/>
          <w:sz w:val="18"/>
          <w:szCs w:val="18"/>
          <w:color w:val="auto"/>
        </w:rPr>
      </w:pPr>
    </w:p>
    <w:p>
      <w:pPr>
        <w:ind w:left="520" w:hanging="512"/>
        <w:spacing w:after="0" w:line="246" w:lineRule="auto"/>
        <w:tabs>
          <w:tab w:leader="none" w:pos="55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183" w:lineRule="exact"/>
        <w:rPr>
          <w:rFonts w:ascii="Arial" w:cs="Arial" w:eastAsia="Arial" w:hAnsi="Arial"/>
          <w:sz w:val="18"/>
          <w:szCs w:val="18"/>
          <w:color w:val="auto"/>
        </w:rPr>
      </w:pPr>
    </w:p>
    <w:p>
      <w:pPr>
        <w:ind w:left="1060" w:hanging="531"/>
        <w:spacing w:after="0"/>
        <w:tabs>
          <w:tab w:leader="none" w:pos="106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where a Borrower is a US Tax Obligor and the relevant Lender is an Original Lender, the date of this Agreement;</w:t>
      </w:r>
    </w:p>
    <w:p>
      <w:pPr>
        <w:spacing w:after="0" w:line="198" w:lineRule="exact"/>
        <w:rPr>
          <w:rFonts w:ascii="Arial" w:cs="Arial" w:eastAsia="Arial" w:hAnsi="Arial"/>
          <w:sz w:val="18"/>
          <w:szCs w:val="18"/>
          <w:color w:val="auto"/>
        </w:rPr>
      </w:pPr>
    </w:p>
    <w:p>
      <w:pPr>
        <w:ind w:left="1040" w:hanging="511"/>
        <w:spacing w:after="0" w:line="246" w:lineRule="auto"/>
        <w:tabs>
          <w:tab w:leader="none" w:pos="109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where a Borrower is a US Tax Obligor on a Transfer Date and the relevant Lender is a New Lender, the relevant Transfer Date; or</w:t>
      </w:r>
    </w:p>
    <w:p>
      <w:pPr>
        <w:spacing w:after="0" w:line="183" w:lineRule="exact"/>
        <w:rPr>
          <w:rFonts w:ascii="Arial" w:cs="Arial" w:eastAsia="Arial" w:hAnsi="Arial"/>
          <w:sz w:val="18"/>
          <w:szCs w:val="18"/>
          <w:color w:val="auto"/>
        </w:rPr>
      </w:pPr>
    </w:p>
    <w:p>
      <w:pPr>
        <w:ind w:left="1060" w:hanging="531"/>
        <w:spacing w:after="0"/>
        <w:tabs>
          <w:tab w:leader="none" w:pos="106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198" w:lineRule="exact"/>
        <w:rPr>
          <w:rFonts w:ascii="Arial" w:cs="Arial" w:eastAsia="Arial" w:hAnsi="Arial"/>
          <w:sz w:val="18"/>
          <w:szCs w:val="18"/>
          <w:color w:val="auto"/>
        </w:rPr>
      </w:pPr>
    </w:p>
    <w:p>
      <w:pPr>
        <w:ind w:left="1040" w:hanging="511"/>
        <w:spacing w:after="0"/>
        <w:tabs>
          <w:tab w:leader="none" w:pos="104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supply to the Agent:</w:t>
      </w:r>
    </w:p>
    <w:p>
      <w:pPr>
        <w:spacing w:after="0" w:line="198" w:lineRule="exact"/>
        <w:rPr>
          <w:sz w:val="20"/>
          <w:szCs w:val="20"/>
          <w:color w:val="auto"/>
        </w:rPr>
      </w:pPr>
    </w:p>
    <w:p>
      <w:pPr>
        <w:ind w:left="1560" w:hanging="521"/>
        <w:spacing w:after="0"/>
        <w:tabs>
          <w:tab w:leader="none" w:pos="156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198" w:lineRule="exact"/>
        <w:rPr>
          <w:rFonts w:ascii="Arial" w:cs="Arial" w:eastAsia="Arial" w:hAnsi="Arial"/>
          <w:sz w:val="18"/>
          <w:szCs w:val="18"/>
          <w:color w:val="auto"/>
        </w:rPr>
      </w:pPr>
    </w:p>
    <w:p>
      <w:pPr>
        <w:ind w:left="1540" w:right="20" w:hanging="501"/>
        <w:spacing w:after="0" w:line="246" w:lineRule="auto"/>
        <w:tabs>
          <w:tab w:leader="none" w:pos="1634"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83" w:lineRule="exact"/>
        <w:rPr>
          <w:rFonts w:ascii="Arial" w:cs="Arial" w:eastAsia="Arial" w:hAnsi="Arial"/>
          <w:sz w:val="18"/>
          <w:szCs w:val="18"/>
          <w:color w:val="auto"/>
        </w:rPr>
      </w:pPr>
    </w:p>
    <w:p>
      <w:pPr>
        <w:ind w:left="520" w:hanging="512"/>
        <w:spacing w:after="0" w:line="246" w:lineRule="auto"/>
        <w:tabs>
          <w:tab w:leader="none" w:pos="723"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Borrowers.</w:t>
      </w:r>
    </w:p>
    <w:p>
      <w:pPr>
        <w:spacing w:after="0" w:line="183" w:lineRule="exact"/>
        <w:rPr>
          <w:rFonts w:ascii="Arial" w:cs="Arial" w:eastAsia="Arial" w:hAnsi="Arial"/>
          <w:sz w:val="18"/>
          <w:szCs w:val="18"/>
          <w:color w:val="auto"/>
        </w:rPr>
      </w:pPr>
    </w:p>
    <w:p>
      <w:pPr>
        <w:jc w:val="both"/>
        <w:ind w:left="520" w:hanging="512"/>
        <w:spacing w:after="0" w:line="238" w:lineRule="auto"/>
        <w:tabs>
          <w:tab w:leader="none" w:pos="8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17" w:name="page218"/>
    <w:bookmarkEnd w:id="217"/>
    <w:p>
      <w:pPr>
        <w:jc w:val="both"/>
        <w:ind w:left="1020" w:hanging="512"/>
        <w:spacing w:after="0"/>
        <w:tabs>
          <w:tab w:leader="none" w:pos="1152"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FATCA Deduction</w:t>
      </w:r>
    </w:p>
    <w:p>
      <w:pPr>
        <w:spacing w:after="0" w:line="220" w:lineRule="exact"/>
        <w:rPr>
          <w:sz w:val="20"/>
          <w:szCs w:val="20"/>
          <w:color w:val="auto"/>
        </w:rPr>
      </w:pPr>
    </w:p>
    <w:p>
      <w:pPr>
        <w:jc w:val="both"/>
        <w:ind w:left="1020" w:hanging="512"/>
        <w:spacing w:after="0"/>
        <w:tabs>
          <w:tab w:leader="none" w:pos="104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9" w:lineRule="exact"/>
        <w:rPr>
          <w:rFonts w:ascii="Arial" w:cs="Arial" w:eastAsia="Arial" w:hAnsi="Arial"/>
          <w:sz w:val="18"/>
          <w:szCs w:val="18"/>
          <w:color w:val="auto"/>
        </w:rPr>
      </w:pPr>
    </w:p>
    <w:p>
      <w:pPr>
        <w:jc w:val="both"/>
        <w:ind w:left="1020" w:hanging="512"/>
        <w:spacing w:after="0"/>
        <w:tabs>
          <w:tab w:leader="none" w:pos="1111" w:val="left"/>
        </w:tabs>
        <w:numPr>
          <w:ilvl w:val="0"/>
          <w:numId w:val="57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Borrowers and the Agent and the Agent shall notify the other Finance Parties.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Stamp taxes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pay and, within three (3) Business Days of demand, indemnify each Finance Party against any cost, loss or liability that Finance Party incurs in relation to all stamp duty, registration and other similar Taxes payable in respect of any Finance Document provided that this clause 12.7 shall not apply in respect of any such stamp duty or Tax which is payable in respect of an assignment or transfer by a Finance Party of any of its rights and/or obligations under any Finance Document, except as such assignment or transfer is required by the terms of the Finance Documents, in terms of which this clause 12.7 shall apply in any event.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Value added tax</w:t>
      </w:r>
    </w:p>
    <w:p>
      <w:pPr>
        <w:spacing w:after="0" w:line="220" w:lineRule="exact"/>
        <w:rPr>
          <w:sz w:val="20"/>
          <w:szCs w:val="20"/>
          <w:color w:val="auto"/>
        </w:rPr>
      </w:pPr>
    </w:p>
    <w:p>
      <w:pPr>
        <w:jc w:val="both"/>
        <w:ind w:left="1020" w:hanging="512"/>
        <w:spacing w:after="0" w:line="237" w:lineRule="auto"/>
        <w:tabs>
          <w:tab w:leader="none" w:pos="116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69" w:lineRule="exact"/>
        <w:rPr>
          <w:rFonts w:ascii="Arial" w:cs="Arial" w:eastAsia="Arial" w:hAnsi="Arial"/>
          <w:sz w:val="18"/>
          <w:szCs w:val="18"/>
          <w:color w:val="auto"/>
        </w:rPr>
      </w:pPr>
    </w:p>
    <w:p>
      <w:pPr>
        <w:jc w:val="both"/>
        <w:ind w:left="1020" w:hanging="512"/>
        <w:spacing w:after="0" w:line="247" w:lineRule="auto"/>
        <w:tabs>
          <w:tab w:leader="none" w:pos="1287"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to a Finance Document other than the Recipient (the</w:t>
      </w:r>
      <w:r>
        <w:rPr>
          <w:rFonts w:ascii="Arial" w:cs="Arial" w:eastAsia="Arial" w:hAnsi="Arial"/>
          <w:sz w:val="18"/>
          <w:szCs w:val="18"/>
          <w:b w:val="1"/>
          <w:bCs w:val="1"/>
          <w:color w:val="auto"/>
        </w:rPr>
        <w:t xml:space="preserve"> Subject Party</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the terms of any Finance Document to pay an amount equal to the consideration for such supply to the Supplier (rather than being required to reimburse or indemnify the Recipient in respect of that consideration):</w:t>
      </w:r>
    </w:p>
    <w:p>
      <w:pPr>
        <w:spacing w:after="0" w:line="182" w:lineRule="exact"/>
        <w:rPr>
          <w:rFonts w:ascii="Arial" w:cs="Arial" w:eastAsia="Arial" w:hAnsi="Arial"/>
          <w:sz w:val="18"/>
          <w:szCs w:val="18"/>
          <w:color w:val="auto"/>
        </w:rPr>
      </w:pPr>
    </w:p>
    <w:p>
      <w:pPr>
        <w:jc w:val="both"/>
        <w:ind w:left="1540" w:hanging="511"/>
        <w:spacing w:after="0" w:line="238" w:lineRule="auto"/>
        <w:tabs>
          <w:tab w:leader="none" w:pos="1554" w:val="left"/>
        </w:tabs>
        <w:numPr>
          <w:ilvl w:val="1"/>
          <w:numId w:val="573"/>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 relevant tax authority which the Recipient reasonably determines relates to the VAT chargeable on that supply; and</w:t>
      </w:r>
    </w:p>
    <w:p>
      <w:pPr>
        <w:spacing w:after="0" w:line="188" w:lineRule="exact"/>
        <w:rPr>
          <w:rFonts w:ascii="Arial" w:cs="Arial" w:eastAsia="Arial" w:hAnsi="Arial"/>
          <w:sz w:val="18"/>
          <w:szCs w:val="18"/>
          <w:color w:val="auto"/>
        </w:rPr>
      </w:pPr>
    </w:p>
    <w:p>
      <w:pPr>
        <w:jc w:val="both"/>
        <w:ind w:left="1540" w:hanging="511"/>
        <w:spacing w:after="0" w:line="238" w:lineRule="auto"/>
        <w:tabs>
          <w:tab w:leader="none" w:pos="1702" w:val="left"/>
        </w:tabs>
        <w:numPr>
          <w:ilvl w:val="1"/>
          <w:numId w:val="573"/>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8" w:name="page219"/>
    <w:bookmarkEnd w:id="218"/>
    <w:p>
      <w:pPr>
        <w:jc w:val="both"/>
        <w:ind w:left="1020" w:hanging="512"/>
        <w:spacing w:after="0" w:line="238" w:lineRule="auto"/>
        <w:tabs>
          <w:tab w:leader="none" w:pos="1249"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191" w:lineRule="exact"/>
        <w:rPr>
          <w:rFonts w:ascii="Arial" w:cs="Arial" w:eastAsia="Arial" w:hAnsi="Arial"/>
          <w:sz w:val="18"/>
          <w:szCs w:val="18"/>
          <w:color w:val="auto"/>
        </w:rPr>
      </w:pPr>
    </w:p>
    <w:p>
      <w:pPr>
        <w:jc w:val="both"/>
        <w:ind w:left="1020" w:hanging="512"/>
        <w:spacing w:after="0"/>
        <w:tabs>
          <w:tab w:leader="none" w:pos="1219"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246"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b w:val="1"/>
          <w:bCs w:val="1"/>
          <w:color w:val="auto"/>
        </w:rPr>
        <w:t>Tax Credit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198" w:lineRule="exact"/>
        <w:rPr>
          <w:sz w:val="20"/>
          <w:szCs w:val="20"/>
          <w:color w:val="auto"/>
        </w:rPr>
      </w:pPr>
    </w:p>
    <w:p>
      <w:pPr>
        <w:ind w:left="1020" w:right="20" w:hanging="512"/>
        <w:spacing w:after="0" w:line="246" w:lineRule="auto"/>
        <w:tabs>
          <w:tab w:leader="none" w:pos="1287"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198" w:lineRule="exact"/>
        <w:rPr>
          <w:sz w:val="20"/>
          <w:szCs w:val="20"/>
          <w:color w:val="auto"/>
        </w:rPr>
      </w:pPr>
    </w:p>
    <w:p>
      <w:pPr>
        <w:ind w:left="500"/>
        <w:spacing w:after="0" w:line="246"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13 Increased Costs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13.1</w:t>
        <w:tab/>
        <w:t>Increased Costs</w:t>
      </w:r>
    </w:p>
    <w:p>
      <w:pPr>
        <w:spacing w:after="0" w:line="202" w:lineRule="exact"/>
        <w:rPr>
          <w:sz w:val="20"/>
          <w:szCs w:val="20"/>
          <w:color w:val="auto"/>
        </w:rPr>
      </w:pPr>
    </w:p>
    <w:p>
      <w:pPr>
        <w:ind w:left="1020" w:hanging="512"/>
        <w:spacing w:after="0" w:line="267" w:lineRule="auto"/>
        <w:tabs>
          <w:tab w:leader="none" w:pos="111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Borrowers shall, within three (3) Business Days of a demand by the Agent, pay for the account of a Finance Party the amount of any Increased Cost incurred by that Finance Party or any of its Affiliates which:</w:t>
      </w:r>
    </w:p>
    <w:p>
      <w:pPr>
        <w:spacing w:after="0" w:line="164"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w:t>
      </w:r>
    </w:p>
    <w:p>
      <w:pPr>
        <w:spacing w:after="0" w:line="176" w:lineRule="exact"/>
        <w:rPr>
          <w:rFonts w:ascii="Arial" w:cs="Arial" w:eastAsia="Arial" w:hAnsi="Arial"/>
          <w:sz w:val="18"/>
          <w:szCs w:val="18"/>
          <w:color w:val="auto"/>
        </w:rPr>
      </w:pPr>
    </w:p>
    <w:p>
      <w:pPr>
        <w:ind w:left="1040" w:hanging="532"/>
        <w:spacing w:after="0"/>
        <w:tabs>
          <w:tab w:leader="none" w:pos="10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20" w:lineRule="exact"/>
        <w:rPr>
          <w:rFonts w:ascii="Arial" w:cs="Arial" w:eastAsia="Arial" w:hAnsi="Arial"/>
          <w:sz w:val="18"/>
          <w:szCs w:val="18"/>
          <w:color w:val="auto"/>
        </w:rPr>
      </w:pPr>
    </w:p>
    <w:p>
      <w:pPr>
        <w:ind w:left="1560" w:hanging="531"/>
        <w:spacing w:after="0"/>
        <w:tabs>
          <w:tab w:leader="none" w:pos="156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9" w:name="page220"/>
    <w:bookmarkEnd w:id="219"/>
    <w:p>
      <w:pPr>
        <w:ind w:left="520"/>
        <w:spacing w:after="0" w:line="246"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Increased Cost claims</w:t>
      </w:r>
    </w:p>
    <w:p>
      <w:pPr>
        <w:spacing w:after="0" w:line="202" w:lineRule="exact"/>
        <w:rPr>
          <w:sz w:val="20"/>
          <w:szCs w:val="20"/>
          <w:color w:val="auto"/>
        </w:rPr>
      </w:pPr>
    </w:p>
    <w:p>
      <w:pPr>
        <w:ind w:left="1020" w:hanging="512"/>
        <w:spacing w:after="0" w:line="267" w:lineRule="auto"/>
        <w:tabs>
          <w:tab w:leader="none" w:pos="113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164" w:lineRule="exact"/>
        <w:rPr>
          <w:rFonts w:ascii="Arial" w:cs="Arial" w:eastAsia="Arial" w:hAnsi="Arial"/>
          <w:sz w:val="18"/>
          <w:szCs w:val="18"/>
          <w:color w:val="auto"/>
        </w:rPr>
      </w:pPr>
    </w:p>
    <w:p>
      <w:pPr>
        <w:ind w:left="1020" w:right="20" w:hanging="512"/>
        <w:spacing w:after="0" w:line="246" w:lineRule="auto"/>
        <w:tabs>
          <w:tab w:leader="none" w:pos="1111"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Exceptions</w:t>
      </w:r>
    </w:p>
    <w:p>
      <w:pPr>
        <w:spacing w:after="0" w:line="202" w:lineRule="exact"/>
        <w:rPr>
          <w:sz w:val="20"/>
          <w:szCs w:val="20"/>
          <w:color w:val="auto"/>
        </w:rPr>
      </w:pPr>
    </w:p>
    <w:p>
      <w:pPr>
        <w:ind w:left="1060" w:hanging="552"/>
        <w:spacing w:after="0"/>
        <w:tabs>
          <w:tab w:leader="none" w:pos="10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16" w:lineRule="exact"/>
        <w:rPr>
          <w:rFonts w:ascii="Arial" w:cs="Arial" w:eastAsia="Arial" w:hAnsi="Arial"/>
          <w:sz w:val="18"/>
          <w:szCs w:val="18"/>
          <w:color w:val="auto"/>
        </w:rPr>
      </w:pPr>
    </w:p>
    <w:p>
      <w:pPr>
        <w:ind w:left="1540" w:hanging="511"/>
        <w:spacing w:after="0"/>
        <w:tabs>
          <w:tab w:leader="none" w:pos="154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80" w:lineRule="exact"/>
        <w:rPr>
          <w:rFonts w:ascii="Arial" w:cs="Arial" w:eastAsia="Arial" w:hAnsi="Arial"/>
          <w:sz w:val="18"/>
          <w:szCs w:val="18"/>
          <w:color w:val="auto"/>
        </w:rPr>
      </w:pPr>
    </w:p>
    <w:p>
      <w:pPr>
        <w:ind w:left="1540" w:hanging="511"/>
        <w:spacing w:after="0" w:line="267" w:lineRule="auto"/>
        <w:tabs>
          <w:tab w:leader="none" w:pos="1549" w:val="left"/>
        </w:tabs>
        <w:numPr>
          <w:ilvl w:val="1"/>
          <w:numId w:val="578"/>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64" w:lineRule="exact"/>
        <w:rPr>
          <w:rFonts w:ascii="Arial" w:cs="Arial" w:eastAsia="Arial" w:hAnsi="Arial"/>
          <w:sz w:val="18"/>
          <w:szCs w:val="18"/>
          <w:color w:val="auto"/>
        </w:rPr>
      </w:pPr>
    </w:p>
    <w:p>
      <w:pPr>
        <w:ind w:left="1540" w:hanging="511"/>
        <w:spacing w:after="0"/>
        <w:tabs>
          <w:tab w:leader="none" w:pos="154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76" w:lineRule="exact"/>
        <w:rPr>
          <w:rFonts w:ascii="Arial" w:cs="Arial" w:eastAsia="Arial" w:hAnsi="Arial"/>
          <w:sz w:val="18"/>
          <w:szCs w:val="18"/>
          <w:color w:val="auto"/>
        </w:rPr>
      </w:pPr>
    </w:p>
    <w:p>
      <w:pPr>
        <w:ind w:left="1040" w:hanging="532"/>
        <w:spacing w:after="0"/>
        <w:tabs>
          <w:tab w:leader="none" w:pos="10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14 Other indemnities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Currency indemnity</w:t>
      </w:r>
    </w:p>
    <w:p>
      <w:pPr>
        <w:spacing w:after="0" w:line="198" w:lineRule="exact"/>
        <w:rPr>
          <w:sz w:val="20"/>
          <w:szCs w:val="20"/>
          <w:color w:val="auto"/>
        </w:rPr>
      </w:pPr>
    </w:p>
    <w:p>
      <w:pPr>
        <w:jc w:val="both"/>
        <w:ind w:left="1020" w:hanging="502"/>
        <w:spacing w:after="0" w:line="253" w:lineRule="auto"/>
        <w:tabs>
          <w:tab w:leader="none" w:pos="1296" w:val="left"/>
        </w:tabs>
        <w:numPr>
          <w:ilvl w:val="0"/>
          <w:numId w:val="579"/>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77" w:lineRule="exact"/>
        <w:rPr>
          <w:rFonts w:ascii="Arial" w:cs="Arial" w:eastAsia="Arial" w:hAnsi="Arial"/>
          <w:sz w:val="18"/>
          <w:szCs w:val="18"/>
          <w:color w:val="auto"/>
        </w:rPr>
      </w:pPr>
    </w:p>
    <w:p>
      <w:pPr>
        <w:ind w:left="1560" w:hanging="531"/>
        <w:spacing w:after="0"/>
        <w:tabs>
          <w:tab w:leader="none" w:pos="156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98" w:lineRule="exact"/>
        <w:rPr>
          <w:sz w:val="20"/>
          <w:szCs w:val="20"/>
          <w:color w:val="auto"/>
        </w:rPr>
      </w:pPr>
    </w:p>
    <w:p>
      <w:pPr>
        <w:jc w:val="both"/>
        <w:ind w:left="1020"/>
        <w:spacing w:after="0" w:line="234" w:lineRule="auto"/>
        <w:rPr>
          <w:sz w:val="20"/>
          <w:szCs w:val="20"/>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the rate or rates of exchange available to that person at the time of its receipt of that Sum.</w:t>
      </w:r>
    </w:p>
    <w:p>
      <w:pPr>
        <w:spacing w:after="0" w:line="198" w:lineRule="exact"/>
        <w:rPr>
          <w:sz w:val="20"/>
          <w:szCs w:val="20"/>
          <w:color w:val="auto"/>
        </w:rPr>
      </w:pPr>
    </w:p>
    <w:p>
      <w:pPr>
        <w:ind w:left="1020" w:hanging="512"/>
        <w:spacing w:after="0" w:line="246" w:lineRule="auto"/>
        <w:tabs>
          <w:tab w:leader="none" w:pos="1098" w:val="left"/>
        </w:tabs>
        <w:numPr>
          <w:ilvl w:val="0"/>
          <w:numId w:val="580"/>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b w:val="1"/>
          <w:bCs w:val="1"/>
          <w:color w:val="auto"/>
        </w:rPr>
        <w:t>Other indemnities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0" w:name="page221"/>
    <w:bookmarkEnd w:id="220"/>
    <w:p>
      <w:pPr>
        <w:ind w:left="1020" w:hanging="512"/>
        <w:spacing w:after="0" w:line="246" w:lineRule="auto"/>
        <w:tabs>
          <w:tab w:leader="none" w:pos="115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 Finance Party, indemnify each Finance Party against any and all Losses incurred by that Finance Party (as the case may be) as a result of:</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98" w:lineRule="exact"/>
        <w:rPr>
          <w:rFonts w:ascii="Arial" w:cs="Arial" w:eastAsia="Arial" w:hAnsi="Arial"/>
          <w:sz w:val="18"/>
          <w:szCs w:val="18"/>
          <w:color w:val="auto"/>
        </w:rPr>
      </w:pPr>
    </w:p>
    <w:p>
      <w:pPr>
        <w:ind w:left="1540" w:hanging="511"/>
        <w:spacing w:after="0" w:line="246" w:lineRule="auto"/>
        <w:tabs>
          <w:tab w:leader="none" w:pos="1553" w:val="left"/>
        </w:tabs>
        <w:numPr>
          <w:ilvl w:val="1"/>
          <w:numId w:val="581"/>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36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540" w:hanging="511"/>
        <w:spacing w:after="0"/>
        <w:tabs>
          <w:tab w:leader="none" w:pos="158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requested by the Borrowers in a Utilisation Request but not made by reason of the operation of any one or more of the provisions of this Agreement (other than by reason of default or negligence by that Finance Party alone);</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the Loan (or part of the Loan) not being prepaid in accordance with a notice of prepayment given by the Borrowers.</w:t>
      </w:r>
    </w:p>
    <w:p>
      <w:pPr>
        <w:spacing w:after="0" w:line="198" w:lineRule="exact"/>
        <w:rPr>
          <w:rFonts w:ascii="Arial" w:cs="Arial" w:eastAsia="Arial" w:hAnsi="Arial"/>
          <w:sz w:val="18"/>
          <w:szCs w:val="18"/>
          <w:color w:val="auto"/>
        </w:rPr>
      </w:pPr>
    </w:p>
    <w:p>
      <w:pPr>
        <w:jc w:val="both"/>
        <w:ind w:left="1020" w:hanging="512"/>
        <w:spacing w:after="0" w:line="235" w:lineRule="auto"/>
        <w:tabs>
          <w:tab w:leader="none" w:pos="1219"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 involved in any of the transactions contemplated by the Finance Documents). This indemnity shall apply whether or not such claims, investigation, litigation or proceedings is brought by any Obligor, any other Group Member, any other Parent Group Member or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7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Indemnity to the Agent and Security Agent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promptly indemnify the Agent and Security Agent against:</w:t>
      </w:r>
    </w:p>
    <w:p>
      <w:pPr>
        <w:spacing w:after="0" w:line="198" w:lineRule="exact"/>
        <w:rPr>
          <w:sz w:val="20"/>
          <w:szCs w:val="20"/>
          <w:color w:val="auto"/>
        </w:rPr>
      </w:pPr>
    </w:p>
    <w:p>
      <w:pPr>
        <w:ind w:left="1060" w:hanging="552"/>
        <w:spacing w:after="0"/>
        <w:tabs>
          <w:tab w:leader="none" w:pos="10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180" w:lineRule="exact"/>
        <w:rPr>
          <w:rFonts w:ascii="Arial" w:cs="Arial" w:eastAsia="Arial" w:hAnsi="Arial"/>
          <w:sz w:val="18"/>
          <w:szCs w:val="18"/>
          <w:color w:val="auto"/>
        </w:rPr>
      </w:pPr>
    </w:p>
    <w:p>
      <w:pPr>
        <w:ind w:left="1540" w:hanging="511"/>
        <w:spacing w:after="0" w:line="267" w:lineRule="auto"/>
        <w:tabs>
          <w:tab w:leader="none" w:pos="1594" w:val="left"/>
        </w:tabs>
        <w:numPr>
          <w:ilvl w:val="1"/>
          <w:numId w:val="582"/>
        </w:numPr>
        <w:rPr>
          <w:rFonts w:ascii="Arial" w:cs="Arial" w:eastAsia="Arial" w:hAnsi="Arial"/>
          <w:sz w:val="18"/>
          <w:szCs w:val="18"/>
          <w:color w:val="auto"/>
        </w:rPr>
      </w:pPr>
      <w:r>
        <w:rPr>
          <w:rFonts w:ascii="Arial" w:cs="Arial" w:eastAsia="Arial" w:hAnsi="Arial"/>
          <w:sz w:val="18"/>
          <w:szCs w:val="18"/>
          <w:color w:val="auto"/>
        </w:rPr>
        <w:t>without prejudice to clause 34.7(b)(i) as extended to the Security Agent by clause 34.21 (</w:t>
      </w:r>
      <w:r>
        <w:rPr>
          <w:rFonts w:ascii="Arial" w:cs="Arial" w:eastAsia="Arial" w:hAnsi="Arial"/>
          <w:sz w:val="18"/>
          <w:szCs w:val="18"/>
          <w:i w:val="1"/>
          <w:iCs w:val="1"/>
          <w:color w:val="auto"/>
        </w:rPr>
        <w:t>Application of certain clauses to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investigating any event which it reasonably believes is a Default;</w:t>
      </w:r>
    </w:p>
    <w:p>
      <w:pPr>
        <w:spacing w:after="0" w:line="164" w:lineRule="exact"/>
        <w:rPr>
          <w:rFonts w:ascii="Arial" w:cs="Arial" w:eastAsia="Arial" w:hAnsi="Arial"/>
          <w:sz w:val="18"/>
          <w:szCs w:val="18"/>
          <w:color w:val="auto"/>
        </w:rPr>
      </w:pPr>
    </w:p>
    <w:p>
      <w:pPr>
        <w:ind w:left="1540" w:hanging="511"/>
        <w:spacing w:after="0" w:line="246" w:lineRule="auto"/>
        <w:tabs>
          <w:tab w:leader="none" w:pos="2188" w:val="left"/>
        </w:tabs>
        <w:numPr>
          <w:ilvl w:val="1"/>
          <w:numId w:val="582"/>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83" w:lineRule="exact"/>
        <w:rPr>
          <w:rFonts w:ascii="Arial" w:cs="Arial" w:eastAsia="Arial" w:hAnsi="Arial"/>
          <w:sz w:val="18"/>
          <w:szCs w:val="18"/>
          <w:color w:val="auto"/>
        </w:rPr>
      </w:pPr>
    </w:p>
    <w:p>
      <w:pPr>
        <w:ind w:left="1540" w:hanging="511"/>
        <w:spacing w:after="0" w:line="246" w:lineRule="auto"/>
        <w:tabs>
          <w:tab w:leader="none" w:pos="158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or</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914" w:val="left"/>
        </w:tabs>
        <w:numPr>
          <w:ilvl w:val="1"/>
          <w:numId w:val="582"/>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1" w:name="page222"/>
    <w:bookmarkEnd w:id="221"/>
    <w:p>
      <w:pPr>
        <w:ind w:left="1560"/>
        <w:spacing w:after="0" w:line="246" w:lineRule="auto"/>
        <w:rPr>
          <w:sz w:val="20"/>
          <w:szCs w:val="20"/>
          <w:color w:val="auto"/>
        </w:rPr>
      </w:pPr>
      <w:r>
        <w:rPr>
          <w:rFonts w:ascii="Arial" w:cs="Arial" w:eastAsia="Arial" w:hAnsi="Arial"/>
          <w:sz w:val="18"/>
          <w:szCs w:val="18"/>
          <w:color w:val="auto"/>
        </w:rPr>
        <w:t>any Security Document to enforce any Security Interest thereunder or to remedy any breach of any Obligor’s obligations under the Finance Documents; and</w:t>
      </w:r>
    </w:p>
    <w:p>
      <w:pPr>
        <w:spacing w:after="0" w:line="183" w:lineRule="exact"/>
        <w:rPr>
          <w:sz w:val="20"/>
          <w:szCs w:val="20"/>
          <w:color w:val="auto"/>
        </w:rPr>
      </w:pPr>
    </w:p>
    <w:p>
      <w:pPr>
        <w:jc w:val="both"/>
        <w:ind w:left="1020" w:hanging="512"/>
        <w:spacing w:after="0" w:line="238" w:lineRule="auto"/>
        <w:tabs>
          <w:tab w:leader="none" w:pos="103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37.11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 any other category of liability whatsoever but not including any claim based on the fraud of the Agent in acting as Agent or the Security Agent under the Finance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b w:val="1"/>
          <w:bCs w:val="1"/>
          <w:color w:val="auto"/>
        </w:rPr>
        <w:t>Indemnity concerning security</w:t>
      </w:r>
    </w:p>
    <w:p>
      <w:pPr>
        <w:spacing w:after="0" w:line="220" w:lineRule="exact"/>
        <w:rPr>
          <w:sz w:val="20"/>
          <w:szCs w:val="20"/>
          <w:color w:val="auto"/>
        </w:rPr>
      </w:pPr>
    </w:p>
    <w:p>
      <w:pPr>
        <w:ind w:left="1020" w:hanging="512"/>
        <w:spacing w:after="0" w:line="246" w:lineRule="auto"/>
        <w:tabs>
          <w:tab w:leader="none" w:pos="108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promptly indemnify each Indemnified Person against any and all Losses incurred by it in connection with:</w:t>
      </w:r>
    </w:p>
    <w:p>
      <w:pPr>
        <w:spacing w:after="0" w:line="165" w:lineRule="exact"/>
        <w:rPr>
          <w:rFonts w:ascii="Arial" w:cs="Arial" w:eastAsia="Arial" w:hAnsi="Arial"/>
          <w:sz w:val="18"/>
          <w:szCs w:val="18"/>
          <w:color w:val="auto"/>
        </w:rPr>
      </w:pPr>
    </w:p>
    <w:p>
      <w:pPr>
        <w:ind w:left="1560" w:hanging="531"/>
        <w:spacing w:after="0"/>
        <w:tabs>
          <w:tab w:leader="none" w:pos="156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any failure by the Borrowers to comply with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540" w:hanging="511"/>
        <w:spacing w:after="0" w:line="246" w:lineRule="auto"/>
        <w:tabs>
          <w:tab w:leader="none" w:pos="2188" w:val="left"/>
        </w:tabs>
        <w:numPr>
          <w:ilvl w:val="1"/>
          <w:numId w:val="584"/>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198" w:lineRule="exact"/>
        <w:rPr>
          <w:rFonts w:ascii="Arial" w:cs="Arial" w:eastAsia="Arial" w:hAnsi="Arial"/>
          <w:sz w:val="18"/>
          <w:szCs w:val="18"/>
          <w:color w:val="auto"/>
        </w:rPr>
      </w:pPr>
    </w:p>
    <w:p>
      <w:pPr>
        <w:jc w:val="both"/>
        <w:ind w:left="1540" w:hanging="511"/>
        <w:spacing w:after="0"/>
        <w:tabs>
          <w:tab w:leader="none" w:pos="190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89" w:lineRule="exact"/>
        <w:rPr>
          <w:rFonts w:ascii="Arial" w:cs="Arial" w:eastAsia="Arial" w:hAnsi="Arial"/>
          <w:sz w:val="18"/>
          <w:szCs w:val="18"/>
          <w:color w:val="auto"/>
        </w:rPr>
      </w:pPr>
    </w:p>
    <w:p>
      <w:pPr>
        <w:jc w:val="both"/>
        <w:ind w:left="1540" w:hanging="511"/>
        <w:spacing w:after="0"/>
        <w:tabs>
          <w:tab w:leader="none" w:pos="1793" w:val="left"/>
        </w:tabs>
        <w:numPr>
          <w:ilvl w:val="1"/>
          <w:numId w:val="584"/>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 or</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w:t>
      </w:r>
    </w:p>
    <w:p>
      <w:pPr>
        <w:spacing w:after="0" w:line="198" w:lineRule="exact"/>
        <w:rPr>
          <w:rFonts w:ascii="Arial" w:cs="Arial" w:eastAsia="Arial" w:hAnsi="Arial"/>
          <w:sz w:val="18"/>
          <w:szCs w:val="18"/>
          <w:color w:val="auto"/>
        </w:rPr>
      </w:pPr>
    </w:p>
    <w:p>
      <w:pPr>
        <w:jc w:val="both"/>
        <w:ind w:left="1020" w:hanging="512"/>
        <w:spacing w:after="0"/>
        <w:tabs>
          <w:tab w:leader="none" w:pos="126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Continuation of indemnities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indemnities by the Borrowers in favour of the Indemnified Persons contained in this Agreement shall continue in full force and effect notwithstanding any breach by any Finance Party or any of the Borrowers of the terms of this Agreement, the repayment or prepayment of the Loan, the cancellation of the Total Commitments or the repudiation by the Agent or any of the Borrowers of this Agreement.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b w:val="1"/>
          <w:bCs w:val="1"/>
          <w:color w:val="auto"/>
        </w:rPr>
        <w:t>Third Parties Act</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indemnities) </w:t>
      </w:r>
      <w:r>
        <w:rPr>
          <w:rFonts w:ascii="Arial" w:cs="Arial" w:eastAsia="Arial" w:hAnsi="Arial"/>
          <w:sz w:val="18"/>
          <w:szCs w:val="18"/>
          <w:color w:val="auto"/>
        </w:rPr>
        <w:t>and 14.7</w:t>
      </w:r>
      <w:r>
        <w:rPr>
          <w:rFonts w:ascii="Arial" w:cs="Arial" w:eastAsia="Arial" w:hAnsi="Arial"/>
          <w:sz w:val="18"/>
          <w:szCs w:val="18"/>
          <w:i w:val="1"/>
          <w:iCs w:val="1"/>
          <w:color w:val="auto"/>
        </w:rPr>
        <w:t xml:space="preserve"> (Interest) </w:t>
      </w:r>
      <w:r>
        <w:rPr>
          <w:rFonts w:ascii="Arial" w:cs="Arial" w:eastAsia="Arial" w:hAnsi="Arial"/>
          <w:sz w:val="18"/>
          <w:szCs w:val="18"/>
          <w:color w:val="auto"/>
        </w:rPr>
        <w:t>insofar as it relates to interest on any amount demanded by that Indemnified Person under clause 14.4</w:t>
      </w:r>
      <w:r>
        <w:rPr>
          <w:rFonts w:ascii="Arial" w:cs="Arial" w:eastAsia="Arial" w:hAnsi="Arial"/>
          <w:sz w:val="18"/>
          <w:szCs w:val="18"/>
          <w:i w:val="1"/>
          <w:iCs w:val="1"/>
          <w:color w:val="auto"/>
        </w:rPr>
        <w:t xml:space="preserve"> (Indemnity concerning security)</w:t>
      </w:r>
      <w:r>
        <w:rPr>
          <w:rFonts w:ascii="Arial" w:cs="Arial" w:eastAsia="Arial" w:hAnsi="Arial"/>
          <w:sz w:val="18"/>
          <w:szCs w:val="18"/>
          <w:color w:val="auto"/>
        </w:rPr>
        <w:t>,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8"/>
          <w:szCs w:val="18"/>
          <w:b w:val="1"/>
          <w:bCs w:val="1"/>
          <w:color w:val="auto"/>
        </w:rPr>
        <w:t>Interest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2" w:name="page223"/>
    <w:bookmarkEnd w:id="222"/>
    <w:p>
      <w:pPr>
        <w:jc w:val="both"/>
        <w:ind w:left="520"/>
        <w:spacing w:after="0" w:line="238" w:lineRule="auto"/>
        <w:rPr>
          <w:sz w:val="20"/>
          <w:szCs w:val="20"/>
          <w:color w:val="auto"/>
        </w:rPr>
      </w:pPr>
      <w:r>
        <w:rPr>
          <w:rFonts w:ascii="Arial" w:cs="Arial" w:eastAsia="Arial" w:hAnsi="Arial"/>
          <w:sz w:val="18"/>
          <w:szCs w:val="18"/>
          <w:color w:val="auto"/>
        </w:rPr>
        <w:t xml:space="preserve">Moneys becoming due by the Borrowers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Borrowers to such Indemnified Person (both before and after judgment) at the rate referred to in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7"/>
          <w:szCs w:val="17"/>
          <w:b w:val="1"/>
          <w:bCs w:val="1"/>
          <w:color w:val="auto"/>
        </w:rPr>
        <w:t>Exclusion of liability</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7"/>
          <w:szCs w:val="17"/>
          <w:b w:val="1"/>
          <w:bCs w:val="1"/>
          <w:color w:val="auto"/>
        </w:rPr>
        <w:t>Email indemnity</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indemnify each Finance Party against any and all Losses together with any VAT thereon which any of the Finance Parties may sustain or incur as a consequence of any email communication purporting to originate from the Borrowers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14.10 Waiver</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or, as the case may be, the other Parent Group Members and their respective Affiliates and shareholders) not to sue upon any such claim for any such damages, whether or not accrued and whether or not known or suspected to exist in their favour.</w:t>
      </w:r>
    </w:p>
    <w:p>
      <w:pPr>
        <w:spacing w:after="0" w:line="160" w:lineRule="exact"/>
        <w:rPr>
          <w:sz w:val="20"/>
          <w:szCs w:val="20"/>
          <w:color w:val="auto"/>
        </w:rPr>
      </w:pPr>
    </w:p>
    <w:p>
      <w:pPr>
        <w:ind w:left="480" w:hanging="472"/>
        <w:spacing w:after="0"/>
        <w:tabs>
          <w:tab w:leader="none" w:pos="480" w:val="left"/>
        </w:tabs>
        <w:numPr>
          <w:ilvl w:val="0"/>
          <w:numId w:val="585"/>
        </w:numPr>
        <w:rPr>
          <w:rFonts w:ascii="Arial" w:cs="Arial" w:eastAsia="Arial" w:hAnsi="Arial"/>
          <w:sz w:val="22"/>
          <w:szCs w:val="22"/>
          <w:b w:val="1"/>
          <w:bCs w:val="1"/>
          <w:color w:val="auto"/>
        </w:rPr>
      </w:pPr>
      <w:r>
        <w:rPr>
          <w:rFonts w:ascii="Arial" w:cs="Arial" w:eastAsia="Arial" w:hAnsi="Arial"/>
          <w:sz w:val="22"/>
          <w:szCs w:val="22"/>
          <w:b w:val="1"/>
          <w:bCs w:val="1"/>
          <w:color w:val="auto"/>
        </w:rPr>
        <w:t>Mitigation by the Lenders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Mitigation</w:t>
      </w:r>
    </w:p>
    <w:p>
      <w:pPr>
        <w:spacing w:after="0" w:line="220" w:lineRule="exact"/>
        <w:rPr>
          <w:sz w:val="20"/>
          <w:szCs w:val="20"/>
          <w:color w:val="auto"/>
        </w:rPr>
      </w:pPr>
    </w:p>
    <w:p>
      <w:pPr>
        <w:jc w:val="both"/>
        <w:ind w:left="1020" w:hanging="512"/>
        <w:spacing w:after="0" w:line="238" w:lineRule="auto"/>
        <w:tabs>
          <w:tab w:leader="none" w:pos="126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191" w:lineRule="exact"/>
        <w:rPr>
          <w:rFonts w:ascii="Arial" w:cs="Arial" w:eastAsia="Arial" w:hAnsi="Arial"/>
          <w:sz w:val="18"/>
          <w:szCs w:val="18"/>
          <w:color w:val="auto"/>
        </w:rPr>
      </w:pPr>
    </w:p>
    <w:p>
      <w:pPr>
        <w:ind w:left="1040" w:hanging="532"/>
        <w:spacing w:after="0"/>
        <w:tabs>
          <w:tab w:leader="none" w:pos="10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Limitation of liability</w:t>
      </w:r>
    </w:p>
    <w:p>
      <w:pPr>
        <w:spacing w:after="0" w:line="220" w:lineRule="exact"/>
        <w:rPr>
          <w:sz w:val="20"/>
          <w:szCs w:val="20"/>
          <w:color w:val="auto"/>
        </w:rPr>
      </w:pPr>
    </w:p>
    <w:p>
      <w:pPr>
        <w:ind w:left="1020" w:right="20" w:hanging="512"/>
        <w:spacing w:after="0" w:line="246" w:lineRule="auto"/>
        <w:tabs>
          <w:tab w:leader="none" w:pos="1287"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Borrowers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020" w:hanging="512"/>
        <w:spacing w:after="0" w:line="267" w:lineRule="auto"/>
        <w:tabs>
          <w:tab w:leader="none" w:pos="1219"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33" w:lineRule="exact"/>
        <w:rPr>
          <w:sz w:val="20"/>
          <w:szCs w:val="20"/>
          <w:color w:val="auto"/>
        </w:rPr>
      </w:pPr>
    </w:p>
    <w:p>
      <w:pPr>
        <w:ind w:left="480" w:hanging="472"/>
        <w:spacing w:after="0"/>
        <w:tabs>
          <w:tab w:leader="none" w:pos="480" w:val="left"/>
        </w:tabs>
        <w:numPr>
          <w:ilvl w:val="0"/>
          <w:numId w:val="588"/>
        </w:numPr>
        <w:rPr>
          <w:rFonts w:ascii="Arial" w:cs="Arial" w:eastAsia="Arial" w:hAnsi="Arial"/>
          <w:sz w:val="22"/>
          <w:szCs w:val="22"/>
          <w:b w:val="1"/>
          <w:bCs w:val="1"/>
          <w:color w:val="auto"/>
        </w:rPr>
      </w:pPr>
      <w:r>
        <w:rPr>
          <w:rFonts w:ascii="Arial" w:cs="Arial" w:eastAsia="Arial" w:hAnsi="Arial"/>
          <w:sz w:val="22"/>
          <w:szCs w:val="22"/>
          <w:b w:val="1"/>
          <w:bCs w:val="1"/>
          <w:color w:val="auto"/>
        </w:rPr>
        <w:t>Costs and expenses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Transaction expenses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3" w:name="page224"/>
    <w:bookmarkEnd w:id="223"/>
    <w:p>
      <w:pPr>
        <w:jc w:val="both"/>
        <w:ind w:left="520"/>
        <w:spacing w:after="0" w:line="238" w:lineRule="auto"/>
        <w:rPr>
          <w:sz w:val="20"/>
          <w:szCs w:val="20"/>
          <w:color w:val="auto"/>
        </w:rPr>
      </w:pPr>
      <w:r>
        <w:rPr>
          <w:rFonts w:ascii="Arial" w:cs="Arial" w:eastAsia="Arial" w:hAnsi="Arial"/>
          <w:sz w:val="18"/>
          <w:szCs w:val="18"/>
          <w:color w:val="auto"/>
        </w:rPr>
        <w:t>The Borrowers shall promptly within five (5) Business Days of demand pay the Agent, the Arrangers and the Security Agent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191" w:lineRule="exact"/>
        <w:rPr>
          <w:sz w:val="20"/>
          <w:szCs w:val="20"/>
          <w:color w:val="auto"/>
        </w:rPr>
      </w:pPr>
    </w:p>
    <w:p>
      <w:pPr>
        <w:ind w:left="1020" w:hanging="512"/>
        <w:spacing w:after="0" w:line="246" w:lineRule="auto"/>
        <w:tabs>
          <w:tab w:leader="none" w:pos="1152"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this Agreement, the Hedging Master Agreements any other documents referred to in this Agreement and the Original Security Documents;</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179"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Amendment costs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 Obligor requests an amendment, waiver or consent, the Borrowers shall, within five (5) Business Days of demand by the Agent, reimburse the Agent for the amount of all costs and expenses (including fees, costs and expenses of legal advisers and (subject to clause 24.17 (</w:t>
      </w:r>
      <w:r>
        <w:rPr>
          <w:rFonts w:ascii="Arial" w:cs="Arial" w:eastAsia="Arial" w:hAnsi="Arial"/>
          <w:sz w:val="18"/>
          <w:szCs w:val="18"/>
          <w:i w:val="1"/>
          <w:iCs w:val="1"/>
          <w:color w:val="auto"/>
        </w:rPr>
        <w:t>Independent report</w:t>
      </w:r>
      <w:r>
        <w:rPr>
          <w:rFonts w:ascii="Arial" w:cs="Arial" w:eastAsia="Arial" w:hAnsi="Arial"/>
          <w:sz w:val="18"/>
          <w:szCs w:val="18"/>
          <w:color w:val="auto"/>
        </w:rPr>
        <w:t>) insurance and other consultants and advisers) reasonably incurred by the Agent or the Security Agent (and by any Receiver or Delegate) in responding to, evaluating, negotiating or complying with that request or requirement.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Valuations and inspection costs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73" w:lineRule="exact"/>
        <w:rPr>
          <w:sz w:val="20"/>
          <w:szCs w:val="20"/>
          <w:color w:val="auto"/>
        </w:rPr>
      </w:pPr>
    </w:p>
    <w:p>
      <w:pPr>
        <w:ind w:left="1020" w:hanging="512"/>
        <w:spacing w:after="0" w:line="267" w:lineRule="auto"/>
        <w:tabs>
          <w:tab w:leader="none" w:pos="1057"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Borrowers; or</w:t>
      </w:r>
    </w:p>
    <w:p>
      <w:pPr>
        <w:spacing w:after="0" w:line="146" w:lineRule="exact"/>
        <w:rPr>
          <w:rFonts w:ascii="Arial" w:cs="Arial" w:eastAsia="Arial" w:hAnsi="Arial"/>
          <w:sz w:val="18"/>
          <w:szCs w:val="18"/>
          <w:color w:val="auto"/>
        </w:rPr>
      </w:pPr>
    </w:p>
    <w:p>
      <w:pPr>
        <w:ind w:left="1020" w:right="20" w:hanging="512"/>
        <w:spacing w:after="0" w:line="267" w:lineRule="auto"/>
        <w:tabs>
          <w:tab w:leader="none" w:pos="1624"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any inspection carried out under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23.16 (</w:t>
      </w:r>
      <w:r>
        <w:rPr>
          <w:rFonts w:ascii="Arial" w:cs="Arial" w:eastAsia="Arial" w:hAnsi="Arial"/>
          <w:sz w:val="18"/>
          <w:szCs w:val="18"/>
          <w:i w:val="1"/>
          <w:iCs w:val="1"/>
          <w:color w:val="auto"/>
        </w:rPr>
        <w:t>Survey report</w:t>
      </w:r>
      <w:r>
        <w:rPr>
          <w:rFonts w:ascii="Arial" w:cs="Arial" w:eastAsia="Arial" w:hAnsi="Arial"/>
          <w:sz w:val="18"/>
          <w:szCs w:val="18"/>
          <w:color w:val="auto"/>
        </w:rPr>
        <w:t>).</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7"/>
          <w:szCs w:val="17"/>
          <w:b w:val="1"/>
          <w:bCs w:val="1"/>
          <w:color w:val="auto"/>
        </w:rPr>
        <w:t>Enforcement and preservation costs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incurred by that Finance Party in connection with 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58" w:lineRule="exact"/>
        <w:rPr>
          <w:sz w:val="20"/>
          <w:szCs w:val="20"/>
          <w:color w:val="auto"/>
        </w:rPr>
      </w:pPr>
    </w:p>
    <w:p>
      <w:pPr>
        <w:ind w:left="480" w:hanging="472"/>
        <w:spacing w:after="0"/>
        <w:tabs>
          <w:tab w:leader="none" w:pos="480" w:val="left"/>
        </w:tabs>
        <w:numPr>
          <w:ilvl w:val="0"/>
          <w:numId w:val="591"/>
        </w:numPr>
        <w:rPr>
          <w:rFonts w:ascii="Arial" w:cs="Arial" w:eastAsia="Arial" w:hAnsi="Arial"/>
          <w:sz w:val="22"/>
          <w:szCs w:val="22"/>
          <w:b w:val="1"/>
          <w:bCs w:val="1"/>
          <w:color w:val="auto"/>
        </w:rPr>
      </w:pPr>
      <w:r>
        <w:rPr>
          <w:rFonts w:ascii="Arial" w:cs="Arial" w:eastAsia="Arial" w:hAnsi="Arial"/>
          <w:sz w:val="22"/>
          <w:szCs w:val="22"/>
          <w:b w:val="1"/>
          <w:bCs w:val="1"/>
          <w:color w:val="auto"/>
        </w:rPr>
        <w:t>Guarantee and indemnity</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b w:val="1"/>
          <w:bCs w:val="1"/>
          <w:color w:val="auto"/>
        </w:rPr>
        <w:t>Guarantee and indemnity</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Subject at all times to the provisions of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and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each</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Guarantor hereby irrevocably and unconditionally and jointly and severally with the other Guarantors: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4" w:name="page225"/>
    <w:bookmarkEnd w:id="224"/>
    <w:p>
      <w:pPr>
        <w:ind w:left="520" w:hanging="512"/>
        <w:spacing w:after="0" w:line="246" w:lineRule="auto"/>
        <w:tabs>
          <w:tab w:leader="none" w:pos="706" w:val="left"/>
        </w:tabs>
        <w:numPr>
          <w:ilvl w:val="0"/>
          <w:numId w:val="592"/>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83" w:lineRule="exact"/>
        <w:rPr>
          <w:rFonts w:ascii="Arial" w:cs="Arial" w:eastAsia="Arial" w:hAnsi="Arial"/>
          <w:sz w:val="18"/>
          <w:szCs w:val="18"/>
          <w:color w:val="auto"/>
        </w:rPr>
      </w:pPr>
    </w:p>
    <w:p>
      <w:pPr>
        <w:jc w:val="both"/>
        <w:ind w:left="520" w:hanging="512"/>
        <w:spacing w:after="0"/>
        <w:tabs>
          <w:tab w:leader="none" w:pos="719" w:val="left"/>
        </w:tabs>
        <w:numPr>
          <w:ilvl w:val="0"/>
          <w:numId w:val="592"/>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189" w:lineRule="exact"/>
        <w:rPr>
          <w:rFonts w:ascii="Arial" w:cs="Arial" w:eastAsia="Arial" w:hAnsi="Arial"/>
          <w:sz w:val="18"/>
          <w:szCs w:val="18"/>
          <w:color w:val="auto"/>
        </w:rPr>
      </w:pPr>
    </w:p>
    <w:p>
      <w:pPr>
        <w:ind w:left="520" w:hanging="512"/>
        <w:spacing w:after="0" w:line="246" w:lineRule="auto"/>
        <w:tabs>
          <w:tab w:leader="none" w:pos="61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w:t>
      </w:r>
    </w:p>
    <w:p>
      <w:pPr>
        <w:spacing w:after="0" w:line="198" w:lineRule="exact"/>
        <w:rPr>
          <w:sz w:val="20"/>
          <w:szCs w:val="20"/>
          <w:color w:val="auto"/>
        </w:rPr>
      </w:pPr>
    </w:p>
    <w:p>
      <w:pPr>
        <w:ind w:left="1560" w:hanging="521"/>
        <w:spacing w:after="0"/>
        <w:tabs>
          <w:tab w:leader="none" w:pos="15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if any obligation guaranteed by it is or becomes unenforceable, invalid or illegal; or</w:t>
      </w:r>
    </w:p>
    <w:p>
      <w:pPr>
        <w:spacing w:after="0" w:line="198" w:lineRule="exact"/>
        <w:rPr>
          <w:rFonts w:ascii="Arial" w:cs="Arial" w:eastAsia="Arial" w:hAnsi="Arial"/>
          <w:sz w:val="18"/>
          <w:szCs w:val="18"/>
          <w:color w:val="auto"/>
        </w:rPr>
      </w:pPr>
    </w:p>
    <w:p>
      <w:pPr>
        <w:ind w:left="1560" w:hanging="521"/>
        <w:spacing w:after="0"/>
        <w:tabs>
          <w:tab w:leader="none" w:pos="15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198"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and as a result of the same the Borrowers have not paid any amount which would, but for such unenforceability, invalidity, illegality or operation of law, have been payable by the Borrowers under any Finance Document on the date when it would have been due; or</w:t>
      </w:r>
    </w:p>
    <w:p>
      <w:pPr>
        <w:spacing w:after="0" w:line="189" w:lineRule="exact"/>
        <w:rPr>
          <w:sz w:val="20"/>
          <w:szCs w:val="20"/>
          <w:color w:val="auto"/>
        </w:rPr>
      </w:pPr>
    </w:p>
    <w:p>
      <w:pPr>
        <w:jc w:val="both"/>
        <w:ind w:left="1040" w:hanging="511"/>
        <w:spacing w:after="0" w:line="238" w:lineRule="auto"/>
        <w:tabs>
          <w:tab w:leader="none" w:pos="152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Arial" w:cs="Arial" w:eastAsia="Arial" w:hAnsi="Arial"/>
          <w:sz w:val="18"/>
          <w:szCs w:val="18"/>
          <w:b w:val="1"/>
          <w:bCs w:val="1"/>
          <w:color w:val="auto"/>
        </w:rPr>
        <w:t>Change in Law</w:t>
      </w:r>
      <w:r>
        <w:rPr>
          <w:rFonts w:ascii="Arial" w:cs="Arial" w:eastAsia="Arial" w:hAnsi="Arial"/>
          <w:sz w:val="18"/>
          <w:szCs w:val="18"/>
          <w:color w:val="auto"/>
        </w:rPr>
        <w:t>), there is a change in the currency, the value of the currency or the timing, place or manner in which any obligation guaranteed by a Guarantor is payable.</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amount payable by a Guarantor under this indemnity:</w:t>
      </w:r>
    </w:p>
    <w:p>
      <w:pPr>
        <w:spacing w:after="0" w:line="198" w:lineRule="exact"/>
        <w:rPr>
          <w:sz w:val="20"/>
          <w:szCs w:val="20"/>
          <w:color w:val="auto"/>
        </w:rPr>
      </w:pPr>
    </w:p>
    <w:p>
      <w:pPr>
        <w:jc w:val="both"/>
        <w:ind w:left="2060" w:hanging="511"/>
        <w:spacing w:after="0"/>
        <w:tabs>
          <w:tab w:leader="none" w:pos="214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89" w:lineRule="exact"/>
        <w:rPr>
          <w:rFonts w:ascii="Arial" w:cs="Arial" w:eastAsia="Arial" w:hAnsi="Arial"/>
          <w:sz w:val="18"/>
          <w:szCs w:val="18"/>
          <w:color w:val="auto"/>
        </w:rPr>
      </w:pPr>
    </w:p>
    <w:p>
      <w:pPr>
        <w:jc w:val="both"/>
        <w:ind w:left="2060" w:hanging="511"/>
        <w:spacing w:after="0" w:line="237" w:lineRule="auto"/>
        <w:tabs>
          <w:tab w:leader="none" w:pos="216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in respect of paragraph (ii) above, shall include (aa) the difference between (x) the amount (if any) received by the Security Agent and the other Finance Parties from the Borrowers and (y) the amount that the Borrowers were obliged to pay under the original express terms of the Finance Documents in the currency specified in the Finance Documents, disregarding any Change in Law (the </w:t>
      </w:r>
      <w:r>
        <w:rPr>
          <w:rFonts w:ascii="Arial" w:cs="Arial" w:eastAsia="Arial" w:hAnsi="Arial"/>
          <w:sz w:val="18"/>
          <w:szCs w:val="18"/>
          <w:b w:val="1"/>
          <w:bCs w:val="1"/>
          <w:color w:val="auto"/>
        </w:rPr>
        <w:t>Original Currency</w:t>
      </w:r>
      <w:r>
        <w:rPr>
          <w:rFonts w:ascii="Arial" w:cs="Arial" w:eastAsia="Arial" w:hAnsi="Arial"/>
          <w:sz w:val="18"/>
          <w:szCs w:val="18"/>
          <w:color w:val="auto"/>
        </w:rPr>
        <w:t>), and (bb) all further costs, losses and liabilities suffered or incurred by the Security Agent and the other Finance Parties as a result of a Change in Law.</w:t>
      </w:r>
    </w:p>
    <w:p>
      <w:pPr>
        <w:spacing w:after="0" w:line="19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25" w:name="page226"/>
    <w:bookmarkEnd w:id="225"/>
    <w:p>
      <w:pPr>
        <w:jc w:val="both"/>
        <w:ind w:left="1160"/>
        <w:spacing w:after="0" w:line="238" w:lineRule="auto"/>
        <w:rPr>
          <w:sz w:val="20"/>
          <w:szCs w:val="20"/>
          <w:color w:val="auto"/>
        </w:rPr>
      </w:pPr>
      <w:r>
        <w:rPr>
          <w:rFonts w:ascii="Arial" w:cs="Arial" w:eastAsia="Arial" w:hAnsi="Arial"/>
          <w:sz w:val="18"/>
          <w:szCs w:val="18"/>
          <w:color w:val="auto"/>
        </w:rPr>
        <w:t>If the Original Currency no longer exists, the Guarantor shall make such payment in such currency as is, in the reasonable opinion of the Security Agent, required, after taking into account any payments by the Borrowers, to place the Security Agent and the other Finance Parties in a position reasonably comparable to that it would have been in had the Original Currency continued to exist.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Continuing guarantee</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Reinstatement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191" w:lineRule="exact"/>
        <w:rPr>
          <w:sz w:val="20"/>
          <w:szCs w:val="20"/>
          <w:color w:val="auto"/>
        </w:rPr>
      </w:pPr>
    </w:p>
    <w:p>
      <w:pPr>
        <w:ind w:left="1020" w:hanging="512"/>
        <w:spacing w:after="0" w:line="246" w:lineRule="auto"/>
        <w:tabs>
          <w:tab w:leader="none" w:pos="1422"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183" w:lineRule="exact"/>
        <w:rPr>
          <w:rFonts w:ascii="Arial" w:cs="Arial" w:eastAsia="Arial" w:hAnsi="Arial"/>
          <w:sz w:val="18"/>
          <w:szCs w:val="18"/>
          <w:color w:val="auto"/>
        </w:rPr>
      </w:pPr>
    </w:p>
    <w:p>
      <w:pPr>
        <w:ind w:left="1020" w:hanging="512"/>
        <w:spacing w:after="0" w:line="246" w:lineRule="auto"/>
        <w:tabs>
          <w:tab w:leader="none" w:pos="1273" w:val="left"/>
        </w:tabs>
        <w:numPr>
          <w:ilvl w:val="0"/>
          <w:numId w:val="596"/>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Waiver of defences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189" w:lineRule="exact"/>
        <w:rPr>
          <w:sz w:val="20"/>
          <w:szCs w:val="20"/>
          <w:color w:val="auto"/>
        </w:rPr>
      </w:pPr>
    </w:p>
    <w:p>
      <w:pPr>
        <w:ind w:left="1060" w:hanging="552"/>
        <w:spacing w:after="0"/>
        <w:tabs>
          <w:tab w:leader="none" w:pos="106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98"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83" w:lineRule="exact"/>
        <w:rPr>
          <w:rFonts w:ascii="Arial" w:cs="Arial" w:eastAsia="Arial" w:hAnsi="Arial"/>
          <w:sz w:val="18"/>
          <w:szCs w:val="18"/>
          <w:color w:val="auto"/>
        </w:rPr>
      </w:pPr>
    </w:p>
    <w:p>
      <w:pPr>
        <w:jc w:val="both"/>
        <w:ind w:left="1020" w:hanging="512"/>
        <w:spacing w:after="0"/>
        <w:tabs>
          <w:tab w:leader="none" w:pos="129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9"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26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91" w:lineRule="exact"/>
        <w:rPr>
          <w:rFonts w:ascii="Arial" w:cs="Arial" w:eastAsia="Arial" w:hAnsi="Arial"/>
          <w:sz w:val="18"/>
          <w:szCs w:val="18"/>
          <w:color w:val="auto"/>
        </w:rPr>
      </w:pPr>
    </w:p>
    <w:p>
      <w:pPr>
        <w:ind w:left="1020" w:right="20" w:hanging="512"/>
        <w:spacing w:after="0" w:line="246" w:lineRule="auto"/>
        <w:tabs>
          <w:tab w:leader="none" w:pos="111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law of regulation of any jurisdiction or any other event affecting any term of the guaranteed obligations;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6" w:name="page227"/>
    <w:bookmarkEnd w:id="226"/>
    <w:p>
      <w:pPr>
        <w:ind w:left="1060" w:hanging="552"/>
        <w:spacing w:after="0"/>
        <w:tabs>
          <w:tab w:leader="none" w:pos="10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defence of the Guarantor; or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b w:val="1"/>
          <w:bCs w:val="1"/>
          <w:color w:val="auto"/>
        </w:rPr>
        <w:t>Guarantor intent</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Without prejudice to the generality of clause 17.4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7"/>
          <w:szCs w:val="17"/>
          <w:b w:val="1"/>
          <w:bCs w:val="1"/>
          <w:color w:val="auto"/>
        </w:rPr>
        <w:t>Immediate recourse</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color w:val="auto"/>
        </w:rPr>
        <w:t>Appropriations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83" w:lineRule="exact"/>
        <w:rPr>
          <w:sz w:val="20"/>
          <w:szCs w:val="20"/>
          <w:color w:val="auto"/>
        </w:rPr>
      </w:pPr>
    </w:p>
    <w:p>
      <w:pPr>
        <w:jc w:val="both"/>
        <w:ind w:left="1020" w:right="20" w:hanging="512"/>
        <w:spacing w:after="0"/>
        <w:tabs>
          <w:tab w:leader="none" w:pos="1111" w:val="left"/>
        </w:tabs>
        <w:numPr>
          <w:ilvl w:val="0"/>
          <w:numId w:val="599"/>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12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 Guarantor’s liability under this clause 17.</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b w:val="1"/>
          <w:bCs w:val="1"/>
          <w:color w:val="auto"/>
        </w:rPr>
        <w:t>Deferral of Guarantors’ rights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91" w:lineRule="exact"/>
        <w:rPr>
          <w:sz w:val="20"/>
          <w:szCs w:val="20"/>
          <w:color w:val="auto"/>
        </w:rPr>
      </w:pPr>
    </w:p>
    <w:p>
      <w:pPr>
        <w:ind w:left="1060" w:hanging="552"/>
        <w:spacing w:after="0"/>
        <w:tabs>
          <w:tab w:leader="none" w:pos="106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98" w:lineRule="exact"/>
        <w:rPr>
          <w:rFonts w:ascii="Arial" w:cs="Arial" w:eastAsia="Arial" w:hAnsi="Arial"/>
          <w:sz w:val="18"/>
          <w:szCs w:val="18"/>
          <w:color w:val="auto"/>
        </w:rPr>
      </w:pPr>
    </w:p>
    <w:p>
      <w:pPr>
        <w:jc w:val="both"/>
        <w:ind w:left="1020" w:hanging="512"/>
        <w:spacing w:after="0"/>
        <w:tabs>
          <w:tab w:leader="none" w:pos="1276"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9"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198"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37 (</w:t>
      </w:r>
      <w:r>
        <w:rPr>
          <w:rFonts w:ascii="Arial" w:cs="Arial" w:eastAsia="Arial" w:hAnsi="Arial"/>
          <w:sz w:val="18"/>
          <w:szCs w:val="18"/>
          <w:i w:val="1"/>
          <w:iCs w:val="1"/>
          <w:color w:val="auto"/>
        </w:rPr>
        <w:t>Payment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7" w:name="page228"/>
    <w:bookmarkEnd w:id="227"/>
    <w:p>
      <w:pPr>
        <w:ind w:left="520"/>
        <w:spacing w:after="0" w:line="267" w:lineRule="auto"/>
        <w:rPr>
          <w:sz w:val="20"/>
          <w:szCs w:val="20"/>
          <w:color w:val="auto"/>
        </w:rPr>
      </w:pPr>
      <w:r>
        <w:rPr>
          <w:rFonts w:ascii="Arial" w:cs="Arial" w:eastAsia="Arial" w:hAnsi="Arial"/>
          <w:sz w:val="18"/>
          <w:szCs w:val="18"/>
          <w:i w:val="1"/>
          <w:iCs w:val="1"/>
          <w:color w:val="auto"/>
        </w:rPr>
        <w:t>mechanics</w:t>
      </w:r>
      <w:r>
        <w:rPr>
          <w:rFonts w:ascii="Arial" w:cs="Arial" w:eastAsia="Arial" w:hAnsi="Arial"/>
          <w:sz w:val="18"/>
          <w:szCs w:val="18"/>
          <w:color w:val="auto"/>
        </w:rPr>
        <w:t>). This only applies until all amounts which may be or become payable by the Obligors under or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have been irrevocably paid in full.</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7"/>
          <w:szCs w:val="17"/>
          <w:b w:val="1"/>
          <w:bCs w:val="1"/>
          <w:color w:val="auto"/>
        </w:rPr>
        <w:t>Additional security</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Guarantors’ rights and obligations</w:t>
      </w:r>
    </w:p>
    <w:p>
      <w:pPr>
        <w:spacing w:after="0" w:line="220" w:lineRule="exact"/>
        <w:rPr>
          <w:sz w:val="20"/>
          <w:szCs w:val="20"/>
          <w:color w:val="auto"/>
        </w:rPr>
      </w:pPr>
    </w:p>
    <w:p>
      <w:pPr>
        <w:ind w:left="1020" w:right="20" w:hanging="512"/>
        <w:spacing w:after="0" w:line="246" w:lineRule="auto"/>
        <w:tabs>
          <w:tab w:leader="none" w:pos="1071"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Guarantors:</w:t>
      </w:r>
    </w:p>
    <w:p>
      <w:pPr>
        <w:spacing w:after="0" w:line="198"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601"/>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the other Guarantors under the Guarantee and this Agreement;</w:t>
      </w:r>
    </w:p>
    <w:p>
      <w:pPr>
        <w:spacing w:after="0" w:line="183" w:lineRule="exact"/>
        <w:rPr>
          <w:rFonts w:ascii="Arial" w:cs="Arial" w:eastAsia="Arial" w:hAnsi="Arial"/>
          <w:sz w:val="18"/>
          <w:szCs w:val="18"/>
          <w:color w:val="auto"/>
        </w:rPr>
      </w:pPr>
    </w:p>
    <w:p>
      <w:pPr>
        <w:ind w:left="1540" w:hanging="511"/>
        <w:spacing w:after="0" w:line="246" w:lineRule="auto"/>
        <w:tabs>
          <w:tab w:leader="none" w:pos="1823" w:val="left"/>
        </w:tabs>
        <w:numPr>
          <w:ilvl w:val="1"/>
          <w:numId w:val="601"/>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83" w:lineRule="exact"/>
        <w:rPr>
          <w:rFonts w:ascii="Arial" w:cs="Arial" w:eastAsia="Arial" w:hAnsi="Arial"/>
          <w:sz w:val="18"/>
          <w:szCs w:val="18"/>
          <w:color w:val="auto"/>
        </w:rPr>
      </w:pPr>
    </w:p>
    <w:p>
      <w:pPr>
        <w:jc w:val="both"/>
        <w:ind w:left="1540" w:hanging="511"/>
        <w:spacing w:after="0" w:line="237" w:lineRule="auto"/>
        <w:tabs>
          <w:tab w:leader="none" w:pos="1566" w:val="left"/>
        </w:tabs>
        <w:numPr>
          <w:ilvl w:val="1"/>
          <w:numId w:val="601"/>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another Guarantor under the Guarantee and this Agreement is or becomes unenforceable, invalid or illegal for any reason it will, as an independent and primary obligation, indemnify that Finance Party immediately on demand against any and all Losses it incurs as a result of such other Guarantor not paying any amount which would, but for such unenforceability, invalidity or illegality, have been payable by such other Guarantor under the Guarantee and/or this Agreement. The amount payable under this indemnity shall be equal to the amount which that Finance Party would otherwise have been entitled to recover.</w:t>
      </w:r>
    </w:p>
    <w:p>
      <w:pPr>
        <w:spacing w:after="0" w:line="191" w:lineRule="exact"/>
        <w:rPr>
          <w:rFonts w:ascii="Arial" w:cs="Arial" w:eastAsia="Arial" w:hAnsi="Arial"/>
          <w:sz w:val="18"/>
          <w:szCs w:val="18"/>
          <w:color w:val="auto"/>
        </w:rPr>
      </w:pPr>
    </w:p>
    <w:p>
      <w:pPr>
        <w:jc w:val="both"/>
        <w:ind w:left="1020" w:hanging="512"/>
        <w:spacing w:after="0"/>
        <w:tabs>
          <w:tab w:leader="none" w:pos="129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17.11 Limited recourse</w:t>
      </w:r>
    </w:p>
    <w:p>
      <w:pPr>
        <w:spacing w:after="0" w:line="220" w:lineRule="exact"/>
        <w:rPr>
          <w:sz w:val="20"/>
          <w:szCs w:val="20"/>
          <w:color w:val="auto"/>
        </w:rPr>
      </w:pPr>
    </w:p>
    <w:p>
      <w:pPr>
        <w:jc w:val="both"/>
        <w:ind w:left="1020" w:hanging="512"/>
        <w:spacing w:after="0"/>
        <w:tabs>
          <w:tab w:leader="none" w:pos="1233"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Finance Parties hereby agree that the liability of each Guarantor under the Guarantee set out in this clause 17, shall be limited in the manner and subject to the terms and conditions set out in this clause 17.11 but subject always to the overriding provisions of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20" w:hanging="512"/>
        <w:spacing w:after="0"/>
        <w:tabs>
          <w:tab w:leader="none" w:pos="1219"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At any relevant time, the Finance Parties acknowledge and agree that, notwithstanding anything to the contrary contained in clause 2.3 (</w:t>
      </w:r>
      <w:r>
        <w:rPr>
          <w:rFonts w:ascii="Arial" w:cs="Arial" w:eastAsia="Arial" w:hAnsi="Arial"/>
          <w:sz w:val="18"/>
          <w:szCs w:val="18"/>
          <w:i w:val="1"/>
          <w:iCs w:val="1"/>
          <w:color w:val="auto"/>
        </w:rPr>
        <w:t>Borrowers’ rights and obligations</w:t>
      </w:r>
      <w:r>
        <w:rPr>
          <w:rFonts w:ascii="Arial" w:cs="Arial" w:eastAsia="Arial" w:hAnsi="Arial"/>
          <w:sz w:val="18"/>
          <w:szCs w:val="18"/>
          <w:color w:val="auto"/>
        </w:rPr>
        <w:t>), neither the Parent nor GasLog Holdings shall under any circumstances be liable to pay any amount under or in respect of the Guarantee set out in this clause 17 in excess of the aggregate of:</w:t>
      </w:r>
    </w:p>
    <w:p>
      <w:pPr>
        <w:spacing w:after="0" w:line="189" w:lineRule="exact"/>
        <w:rPr>
          <w:rFonts w:ascii="Arial" w:cs="Arial" w:eastAsia="Arial" w:hAnsi="Arial"/>
          <w:sz w:val="18"/>
          <w:szCs w:val="18"/>
          <w:color w:val="auto"/>
        </w:rPr>
      </w:pPr>
    </w:p>
    <w:p>
      <w:pPr>
        <w:ind w:left="1540" w:hanging="511"/>
        <w:spacing w:after="0" w:line="246" w:lineRule="auto"/>
        <w:tabs>
          <w:tab w:leader="none" w:pos="1729"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the outstanding amount of all the Advances which relate to Ships owned by Parent Relevant Borrowers at the relevant time and all accrued interest thereon; and</w:t>
      </w:r>
    </w:p>
    <w:p>
      <w:pPr>
        <w:spacing w:after="0" w:line="183" w:lineRule="exact"/>
        <w:rPr>
          <w:rFonts w:ascii="Arial" w:cs="Arial" w:eastAsia="Arial" w:hAnsi="Arial"/>
          <w:sz w:val="18"/>
          <w:szCs w:val="18"/>
          <w:color w:val="auto"/>
        </w:rPr>
      </w:pPr>
    </w:p>
    <w:p>
      <w:pPr>
        <w:jc w:val="both"/>
        <w:ind w:left="1540" w:hanging="508"/>
        <w:spacing w:after="0"/>
        <w:tabs>
          <w:tab w:leader="none" w:pos="1545" w:val="left"/>
        </w:tabs>
        <w:numPr>
          <w:ilvl w:val="1"/>
          <w:numId w:val="602"/>
        </w:numPr>
        <w:rPr>
          <w:rFonts w:ascii="Arial" w:cs="Arial" w:eastAsia="Arial" w:hAnsi="Arial"/>
          <w:sz w:val="18"/>
          <w:szCs w:val="18"/>
          <w:color w:val="auto"/>
        </w:rPr>
      </w:pPr>
      <w:r>
        <w:rPr>
          <w:rFonts w:ascii="Arial" w:cs="Arial" w:eastAsia="Arial" w:hAnsi="Arial"/>
          <w:sz w:val="18"/>
          <w:szCs w:val="18"/>
          <w:color w:val="auto"/>
        </w:rPr>
        <w:t>such proportion of any other amounts owing under this Agreement and the other Finance Documents (other than amounts of principal and interest in respect of the Advances) which are at the relevant time due and payable by the Obligors, as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8" w:name="page229"/>
    <w:bookmarkEnd w:id="228"/>
    <w:p>
      <w:pPr>
        <w:ind w:left="1060"/>
        <w:spacing w:after="0"/>
        <w:rPr>
          <w:sz w:val="20"/>
          <w:szCs w:val="20"/>
          <w:color w:val="auto"/>
        </w:rPr>
      </w:pPr>
      <w:r>
        <w:rPr>
          <w:rFonts w:ascii="Arial" w:cs="Arial" w:eastAsia="Arial" w:hAnsi="Arial"/>
          <w:sz w:val="18"/>
          <w:szCs w:val="18"/>
          <w:color w:val="auto"/>
        </w:rPr>
        <w:t>Agent in its sole discretion determines shall be payable by Parent Relevant Borrowers at the relevant time.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any event, the liability of each of the Parent and GasLog Holdings under the Guarantee shall always be joint and several.</w:t>
      </w:r>
    </w:p>
    <w:p>
      <w:pPr>
        <w:spacing w:after="0" w:line="198"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For the avoidance of any doubt and notwithstanding anything else to the contrary contained (express or implied) in this clause 17.11, the obligations and liability of the Parent and GasLog Holdings under this clause 17 in respect of an Advance relating to a Ship owned by a Parent Relevant Borrower (and interest thereon and other amounts payable by that Parent Relevant Borrower as set out in this clause 17.11), shall not be limited by operation of this clause 17.11 on the grounds that such Borrower ceased to be a Parent Relevant Borrower, where such change of (direct or indirect) ownership or control of such Borrower (a) was effected in breach by any Obligor of any provisions of this Agreement or the other Finance Documents or (b) constituted a Change of Control (unless any such breach or Change of Control was expressly waived or approved in writing by the Agent (acting on the instructions of the Majority Lenders) in accordance with the provisions of this Agreement prior to its taking effect). For the purposes of the previous sentence a Reverse Dropdown in relation to a Borrower made in accordance with the provisions of this Agreement shall not constitute a breach of such provisions nor a Change of Control.</w:t>
      </w:r>
    </w:p>
    <w:p>
      <w:pPr>
        <w:spacing w:after="0" w:line="192" w:lineRule="exact"/>
        <w:rPr>
          <w:sz w:val="20"/>
          <w:szCs w:val="20"/>
          <w:color w:val="auto"/>
        </w:rPr>
      </w:pPr>
    </w:p>
    <w:p>
      <w:pPr>
        <w:jc w:val="both"/>
        <w:ind w:left="520" w:hanging="512"/>
        <w:spacing w:after="0"/>
        <w:tabs>
          <w:tab w:leader="none" w:pos="73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At any relevant time, the Finance Parties acknowledge and agree that, notwithstanding anything to the contrary contained in clause 2.3 (</w:t>
      </w:r>
      <w:r>
        <w:rPr>
          <w:rFonts w:ascii="Arial" w:cs="Arial" w:eastAsia="Arial" w:hAnsi="Arial"/>
          <w:sz w:val="18"/>
          <w:szCs w:val="18"/>
          <w:i w:val="1"/>
          <w:iCs w:val="1"/>
          <w:color w:val="auto"/>
        </w:rPr>
        <w:t>Borrowers’ rights and obligations</w:t>
      </w:r>
      <w:r>
        <w:rPr>
          <w:rFonts w:ascii="Arial" w:cs="Arial" w:eastAsia="Arial" w:hAnsi="Arial"/>
          <w:sz w:val="18"/>
          <w:szCs w:val="18"/>
          <w:color w:val="auto"/>
        </w:rPr>
        <w:t>), neither GasLog nor GasLog Carriers shall under any circumstances be liable to pay any amount under or in respect of the Guarantee set out in this clause 17 in excess of the aggregate of:</w:t>
      </w:r>
    </w:p>
    <w:p>
      <w:pPr>
        <w:spacing w:after="0" w:line="189" w:lineRule="exact"/>
        <w:rPr>
          <w:rFonts w:ascii="Arial" w:cs="Arial" w:eastAsia="Arial" w:hAnsi="Arial"/>
          <w:sz w:val="18"/>
          <w:szCs w:val="18"/>
          <w:color w:val="auto"/>
        </w:rPr>
      </w:pPr>
    </w:p>
    <w:p>
      <w:pPr>
        <w:ind w:left="1040" w:hanging="511"/>
        <w:spacing w:after="0" w:line="246" w:lineRule="auto"/>
        <w:tabs>
          <w:tab w:leader="none" w:pos="1175" w:val="left"/>
        </w:tabs>
        <w:numPr>
          <w:ilvl w:val="1"/>
          <w:numId w:val="603"/>
        </w:numPr>
        <w:rPr>
          <w:rFonts w:ascii="Arial" w:cs="Arial" w:eastAsia="Arial" w:hAnsi="Arial"/>
          <w:sz w:val="18"/>
          <w:szCs w:val="18"/>
          <w:color w:val="auto"/>
        </w:rPr>
      </w:pPr>
      <w:r>
        <w:rPr>
          <w:rFonts w:ascii="Arial" w:cs="Arial" w:eastAsia="Arial" w:hAnsi="Arial"/>
          <w:sz w:val="18"/>
          <w:szCs w:val="18"/>
          <w:color w:val="auto"/>
        </w:rPr>
        <w:t>the outstanding amount of all the Advances which relate to Ships owned by GasLog Relevant Borrowers at the relevant time and all accrued interest thereon; and</w:t>
      </w:r>
    </w:p>
    <w:p>
      <w:pPr>
        <w:spacing w:after="0" w:line="183" w:lineRule="exact"/>
        <w:rPr>
          <w:rFonts w:ascii="Arial" w:cs="Arial" w:eastAsia="Arial" w:hAnsi="Arial"/>
          <w:sz w:val="18"/>
          <w:szCs w:val="18"/>
          <w:color w:val="auto"/>
        </w:rPr>
      </w:pPr>
    </w:p>
    <w:p>
      <w:pPr>
        <w:jc w:val="both"/>
        <w:ind w:left="1040" w:hanging="511"/>
        <w:spacing w:after="0" w:line="238" w:lineRule="auto"/>
        <w:tabs>
          <w:tab w:leader="none" w:pos="1485" w:val="left"/>
        </w:tabs>
        <w:numPr>
          <w:ilvl w:val="1"/>
          <w:numId w:val="603"/>
        </w:numPr>
        <w:rPr>
          <w:rFonts w:ascii="Arial" w:cs="Arial" w:eastAsia="Arial" w:hAnsi="Arial"/>
          <w:sz w:val="18"/>
          <w:szCs w:val="18"/>
          <w:color w:val="auto"/>
        </w:rPr>
      </w:pPr>
      <w:r>
        <w:rPr>
          <w:rFonts w:ascii="Arial" w:cs="Arial" w:eastAsia="Arial" w:hAnsi="Arial"/>
          <w:sz w:val="18"/>
          <w:szCs w:val="18"/>
          <w:color w:val="auto"/>
        </w:rPr>
        <w:t>such proportion of any other amounts owing under this Agreement and the other Finance Documents (other than amounts of principal and interest in respect of the Advances) which are at the relevant time due and payable by the Obligors, as the Agent in its sole discretion determines shall be payable by GasLog Relevant Borrowers at the relevant time.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any event, the liability of each of GasLog and GasLog Carriers under the Guarantee shall always be joint and several.</w:t>
      </w:r>
    </w:p>
    <w:p>
      <w:pPr>
        <w:spacing w:after="0" w:line="198" w:lineRule="exact"/>
        <w:rPr>
          <w:sz w:val="20"/>
          <w:szCs w:val="20"/>
          <w:color w:val="auto"/>
        </w:rPr>
      </w:pPr>
    </w:p>
    <w:p>
      <w:pPr>
        <w:jc w:val="both"/>
        <w:ind w:left="520"/>
        <w:spacing w:after="0" w:line="234" w:lineRule="auto"/>
        <w:rPr>
          <w:sz w:val="20"/>
          <w:szCs w:val="20"/>
          <w:color w:val="auto"/>
        </w:rPr>
      </w:pPr>
      <w:r>
        <w:rPr>
          <w:rFonts w:ascii="Arial" w:cs="Arial" w:eastAsia="Arial" w:hAnsi="Arial"/>
          <w:sz w:val="18"/>
          <w:szCs w:val="18"/>
          <w:color w:val="auto"/>
        </w:rPr>
        <w:t>For the avoidance of any doubt and notwithstanding anything else to the contrary contained (express or implied) in this clause 17.11, the obligations and liability of GasLog and GasLog Carriers under this clause 17 in respect of an Advance relating to a Ship owned by a GasLog Relevant Borrower (and interest thereon and other amounts payable by that GasLog Relevant Borrower as set out in this clause 17.11), shall not be limited by operation of this clause 17.11 on the grounds that such Borrower ceased to be a GasLog Relevant Borrower, where such change of (direct or indirect) ownership or control of such Borrower (a) was effected in breach by any Obligor of any provisions of this Agreement or the other Finance Documents or</w:t>
      </w:r>
    </w:p>
    <w:p>
      <w:pPr>
        <w:spacing w:after="0" w:line="4" w:lineRule="exact"/>
        <w:rPr>
          <w:sz w:val="20"/>
          <w:szCs w:val="20"/>
          <w:color w:val="auto"/>
        </w:rPr>
      </w:pPr>
    </w:p>
    <w:p>
      <w:pPr>
        <w:jc w:val="both"/>
        <w:ind w:left="520" w:firstLine="9"/>
        <w:spacing w:after="0" w:line="238" w:lineRule="auto"/>
        <w:tabs>
          <w:tab w:leader="none" w:pos="796" w:val="left"/>
        </w:tabs>
        <w:numPr>
          <w:ilvl w:val="1"/>
          <w:numId w:val="604"/>
        </w:numPr>
        <w:rPr>
          <w:rFonts w:ascii="Arial" w:cs="Arial" w:eastAsia="Arial" w:hAnsi="Arial"/>
          <w:sz w:val="18"/>
          <w:szCs w:val="18"/>
          <w:color w:val="auto"/>
        </w:rPr>
      </w:pPr>
      <w:r>
        <w:rPr>
          <w:rFonts w:ascii="Arial" w:cs="Arial" w:eastAsia="Arial" w:hAnsi="Arial"/>
          <w:sz w:val="18"/>
          <w:szCs w:val="18"/>
          <w:color w:val="auto"/>
        </w:rPr>
        <w:t>constituted a Change of Control (unless any such breach or Change of Control was expressly waived or approved in writing by the Agent (acting on the instructions of the Majority Lenders) in accordance with the provisions of this Agreement prior to its taking effect). For the purposes of the previous sentence a Dropdown in relation to a Borrower made in accordance with the provisions of this Agreement shall not constitute a breach of such provisions nor a Change of Control.</w:t>
      </w:r>
    </w:p>
    <w:p>
      <w:pPr>
        <w:spacing w:after="0" w:line="191" w:lineRule="exact"/>
        <w:rPr>
          <w:rFonts w:ascii="Arial" w:cs="Arial" w:eastAsia="Arial" w:hAnsi="Arial"/>
          <w:sz w:val="18"/>
          <w:szCs w:val="18"/>
          <w:color w:val="auto"/>
        </w:rPr>
      </w:pPr>
    </w:p>
    <w:p>
      <w:pPr>
        <w:ind w:left="520" w:hanging="512"/>
        <w:spacing w:after="0" w:line="246" w:lineRule="auto"/>
        <w:tabs>
          <w:tab w:leader="none" w:pos="706" w:val="left"/>
        </w:tabs>
        <w:numPr>
          <w:ilvl w:val="0"/>
          <w:numId w:val="605"/>
        </w:numPr>
        <w:rPr>
          <w:rFonts w:ascii="Arial" w:cs="Arial" w:eastAsia="Arial" w:hAnsi="Arial"/>
          <w:sz w:val="18"/>
          <w:szCs w:val="18"/>
          <w:color w:val="auto"/>
        </w:rPr>
      </w:pPr>
      <w:r>
        <w:rPr>
          <w:rFonts w:ascii="Arial" w:cs="Arial" w:eastAsia="Arial" w:hAnsi="Arial"/>
          <w:sz w:val="18"/>
          <w:szCs w:val="18"/>
          <w:color w:val="auto"/>
        </w:rPr>
        <w:t>Notwithstanding anything to the contrary expressly contained in, or implied by, the other provisions of this clause 17 and the other provisions of this Agreement (and subject always to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40" w:hanging="511"/>
        <w:spacing w:after="0" w:line="246" w:lineRule="auto"/>
        <w:tabs>
          <w:tab w:leader="none" w:pos="127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even though each Guarantor is a Party to this Agreement and this clause 17 as a guarantor, no Guarantor shall be or become liable under the Guarantee unless and</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29" w:name="page230"/>
    <w:bookmarkEnd w:id="229"/>
    <w:p>
      <w:pPr>
        <w:ind w:left="1560"/>
        <w:spacing w:after="0" w:line="246" w:lineRule="auto"/>
        <w:rPr>
          <w:sz w:val="20"/>
          <w:szCs w:val="20"/>
          <w:color w:val="auto"/>
        </w:rPr>
      </w:pPr>
      <w:r>
        <w:rPr>
          <w:rFonts w:ascii="Arial" w:cs="Arial" w:eastAsia="Arial" w:hAnsi="Arial"/>
          <w:sz w:val="18"/>
          <w:szCs w:val="18"/>
          <w:color w:val="auto"/>
        </w:rPr>
        <w:t>until such Guarantor is or becomes an Active Guarantor under the provisions and by operation of this clause 17 and/or the other provisions of this Agreement;</w:t>
      </w:r>
    </w:p>
    <w:p>
      <w:pPr>
        <w:spacing w:after="0" w:line="183" w:lineRule="exact"/>
        <w:rPr>
          <w:sz w:val="20"/>
          <w:szCs w:val="20"/>
          <w:color w:val="auto"/>
        </w:rPr>
      </w:pPr>
    </w:p>
    <w:p>
      <w:pPr>
        <w:jc w:val="both"/>
        <w:ind w:left="1540" w:hanging="511"/>
        <w:spacing w:after="0"/>
        <w:tabs>
          <w:tab w:leader="none" w:pos="1675"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as at the date of this Agreement and at all times thereafter, the Parent and GasLog Holdings shall in any event be (and shall be considered to be) Active Guarantors and liable as guarantors under the Guarantee until a Reverse Dropdown has occurred in relation to all Borrowers and whilst no Dropdown has occurred in relation to any one of them;</w:t>
      </w:r>
    </w:p>
    <w:p>
      <w:pPr>
        <w:spacing w:after="0" w:line="189" w:lineRule="exact"/>
        <w:rPr>
          <w:rFonts w:ascii="Arial" w:cs="Arial" w:eastAsia="Arial" w:hAnsi="Arial"/>
          <w:sz w:val="18"/>
          <w:szCs w:val="18"/>
          <w:color w:val="auto"/>
        </w:rPr>
      </w:pPr>
    </w:p>
    <w:p>
      <w:pPr>
        <w:jc w:val="both"/>
        <w:ind w:left="1540" w:hanging="511"/>
        <w:spacing w:after="0" w:line="238" w:lineRule="auto"/>
        <w:tabs>
          <w:tab w:leader="none" w:pos="1661" w:val="left"/>
        </w:tabs>
        <w:numPr>
          <w:ilvl w:val="0"/>
          <w:numId w:val="606"/>
        </w:numPr>
        <w:rPr>
          <w:rFonts w:ascii="Arial" w:cs="Arial" w:eastAsia="Arial" w:hAnsi="Arial"/>
          <w:sz w:val="18"/>
          <w:szCs w:val="18"/>
          <w:color w:val="auto"/>
        </w:rPr>
      </w:pPr>
      <w:r>
        <w:rPr>
          <w:rFonts w:ascii="Arial" w:cs="Arial" w:eastAsia="Arial" w:hAnsi="Arial"/>
          <w:sz w:val="18"/>
          <w:szCs w:val="18"/>
          <w:color w:val="auto"/>
        </w:rPr>
        <w:t>unless and until at least one Reverse Dropdown has occurred (whereupon GasLog and GasLog Carriers shall become (and shall be considered to be) Active Guarantors and liable as guarantors under the Guarantee), GasLog and GasLog Carriers shall not be or become Active Guarantors or be liable as guarantors under the Guarantee, provided that, upon a Dropdown in respect of all Borrowers previously the subject of a Reverse Dropdown, GasLog and GasLog Carriers shall cease to be (and shall not be considered as) Active Guarantors;</w:t>
      </w:r>
    </w:p>
    <w:p>
      <w:pPr>
        <w:spacing w:after="0" w:line="188" w:lineRule="exact"/>
        <w:rPr>
          <w:rFonts w:ascii="Arial" w:cs="Arial" w:eastAsia="Arial" w:hAnsi="Arial"/>
          <w:sz w:val="18"/>
          <w:szCs w:val="18"/>
          <w:color w:val="auto"/>
        </w:rPr>
      </w:pPr>
    </w:p>
    <w:p>
      <w:pPr>
        <w:ind w:left="1540" w:hanging="511"/>
        <w:spacing w:after="0"/>
        <w:tabs>
          <w:tab w:leader="none" w:pos="154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provisions of this clause 17 and references herein to the Guarantors shall be construed accordingly; and</w:t>
      </w:r>
    </w:p>
    <w:p>
      <w:pPr>
        <w:spacing w:after="0" w:line="198" w:lineRule="exact"/>
        <w:rPr>
          <w:rFonts w:ascii="Arial" w:cs="Arial" w:eastAsia="Arial" w:hAnsi="Arial"/>
          <w:sz w:val="18"/>
          <w:szCs w:val="18"/>
          <w:color w:val="auto"/>
        </w:rPr>
      </w:pPr>
    </w:p>
    <w:p>
      <w:pPr>
        <w:ind w:left="1540" w:hanging="511"/>
        <w:spacing w:after="0" w:line="246" w:lineRule="auto"/>
        <w:tabs>
          <w:tab w:leader="none" w:pos="1617" w:val="left"/>
        </w:tabs>
        <w:numPr>
          <w:ilvl w:val="0"/>
          <w:numId w:val="606"/>
        </w:numPr>
        <w:rPr>
          <w:rFonts w:ascii="Arial" w:cs="Arial" w:eastAsia="Arial" w:hAnsi="Arial"/>
          <w:sz w:val="18"/>
          <w:szCs w:val="18"/>
          <w:color w:val="auto"/>
        </w:rPr>
      </w:pPr>
      <w:r>
        <w:rPr>
          <w:rFonts w:ascii="Arial" w:cs="Arial" w:eastAsia="Arial" w:hAnsi="Arial"/>
          <w:sz w:val="18"/>
          <w:szCs w:val="18"/>
          <w:color w:val="auto"/>
        </w:rPr>
        <w:t>otherwise the Guarantors shall be (and be deemed to be or become, as the case may be) Active Guarantors as required by, and by operation of, the other provisions of this Agreement.</w:t>
      </w:r>
    </w:p>
    <w:p>
      <w:pPr>
        <w:spacing w:after="0" w:line="183" w:lineRule="exact"/>
        <w:rPr>
          <w:sz w:val="20"/>
          <w:szCs w:val="20"/>
          <w:color w:val="auto"/>
        </w:rPr>
      </w:pPr>
    </w:p>
    <w:p>
      <w:pPr>
        <w:jc w:val="both"/>
        <w:ind w:left="1020" w:hanging="512"/>
        <w:spacing w:after="0" w:line="238" w:lineRule="auto"/>
        <w:tabs>
          <w:tab w:leader="none" w:pos="123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Each Guarantor agrees that at any time and for any purpose the Agent and/or the Security Agent shall be entitled in its sole discretion (or following instructions by the Majority Lenders) to determine the quantum of each Guarantor’s liability under the Guarantee in accordance with this clause 17.11,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and the other provisions of this clause 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17.12 Termination of limited recourse</w:t>
      </w:r>
    </w:p>
    <w:p>
      <w:pPr>
        <w:spacing w:after="0" w:line="202" w:lineRule="exact"/>
        <w:rPr>
          <w:sz w:val="20"/>
          <w:szCs w:val="20"/>
          <w:color w:val="auto"/>
        </w:rPr>
      </w:pPr>
    </w:p>
    <w:p>
      <w:pPr>
        <w:jc w:val="both"/>
        <w:ind w:left="500"/>
        <w:spacing w:after="0" w:line="242" w:lineRule="auto"/>
        <w:rPr>
          <w:sz w:val="20"/>
          <w:szCs w:val="20"/>
          <w:color w:val="auto"/>
        </w:rPr>
      </w:pPr>
      <w:r>
        <w:rPr>
          <w:rFonts w:ascii="Arial" w:cs="Arial" w:eastAsia="Arial" w:hAnsi="Arial"/>
          <w:sz w:val="18"/>
          <w:szCs w:val="18"/>
          <w:color w:val="auto"/>
        </w:rPr>
        <w:t>If at any time the Parent ceases to be listed on an Approved Exchange pursuant to clause 7.2(f)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above shall not apply to the Guarantee in respect of GasLog and GasLog Carriers and at that time (to the extent not already so jointly and severally liable at the time) GasLog and GasLog Carriers shall become and shall be jointly and severally liable under the Guarantee as if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were not applicable or ever effective in respect of the GasLog and GasLog Carriers (including, without limitation, where GasLog and GasLog Carriers have never become Active Guarantors).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18 Representations</w:t>
      </w:r>
    </w:p>
    <w:p>
      <w:pPr>
        <w:spacing w:after="0" w:line="224" w:lineRule="exact"/>
        <w:rPr>
          <w:sz w:val="20"/>
          <w:szCs w:val="20"/>
          <w:color w:val="auto"/>
        </w:rPr>
      </w:pPr>
    </w:p>
    <w:p>
      <w:pPr>
        <w:jc w:val="both"/>
        <w:ind w:left="500" w:right="20"/>
        <w:spacing w:after="0" w:line="246" w:lineRule="auto"/>
        <w:rPr>
          <w:sz w:val="20"/>
          <w:szCs w:val="20"/>
          <w:color w:val="auto"/>
        </w:rPr>
      </w:pPr>
      <w:r>
        <w:rPr>
          <w:rFonts w:ascii="Arial" w:cs="Arial" w:eastAsia="Arial" w:hAnsi="Arial"/>
          <w:sz w:val="18"/>
          <w:szCs w:val="18"/>
          <w:color w:val="auto"/>
        </w:rPr>
        <w:t>Each Obligor makes and repeats the representations and warranties set out in this clause 18 to each Finance Party at the times specified in clause 18.33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18.1</w:t>
        <w:tab/>
        <w:t>Status</w:t>
      </w:r>
    </w:p>
    <w:p>
      <w:pPr>
        <w:spacing w:after="0" w:line="220" w:lineRule="exact"/>
        <w:rPr>
          <w:sz w:val="20"/>
          <w:szCs w:val="20"/>
          <w:color w:val="auto"/>
        </w:rPr>
      </w:pPr>
    </w:p>
    <w:p>
      <w:pPr>
        <w:jc w:val="both"/>
        <w:ind w:left="1020" w:hanging="512"/>
        <w:spacing w:after="0" w:line="238" w:lineRule="auto"/>
        <w:tabs>
          <w:tab w:leader="none" w:pos="1152" w:val="left"/>
        </w:tabs>
        <w:numPr>
          <w:ilvl w:val="0"/>
          <w:numId w:val="608"/>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(other than an Obligor formed in the Marshall Islands) has no centre of main interests, permanent establishment or place of business outside the jurisdiction in which it is incorporated (save as notified to the Agent) and is in compliance with its Constitutional Documents.</w:t>
      </w:r>
    </w:p>
    <w:p>
      <w:pPr>
        <w:spacing w:after="0" w:line="188" w:lineRule="exact"/>
        <w:rPr>
          <w:rFonts w:ascii="Arial" w:cs="Arial" w:eastAsia="Arial" w:hAnsi="Arial"/>
          <w:sz w:val="18"/>
          <w:szCs w:val="18"/>
          <w:color w:val="auto"/>
        </w:rPr>
      </w:pPr>
    </w:p>
    <w:p>
      <w:pPr>
        <w:ind w:left="1020" w:hanging="512"/>
        <w:spacing w:after="0" w:line="246" w:lineRule="auto"/>
        <w:tabs>
          <w:tab w:leader="none" w:pos="116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b w:val="1"/>
          <w:bCs w:val="1"/>
          <w:color w:val="auto"/>
        </w:rPr>
        <w:t>Binding obligations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0" w:name="page231"/>
    <w:bookmarkEnd w:id="230"/>
    <w:p>
      <w:pPr>
        <w:jc w:val="both"/>
        <w:ind w:left="520"/>
        <w:spacing w:after="0" w:line="238" w:lineRule="auto"/>
        <w:rPr>
          <w:sz w:val="20"/>
          <w:szCs w:val="20"/>
          <w:color w:val="auto"/>
        </w:rPr>
      </w:pPr>
      <w:r>
        <w:rPr>
          <w:rFonts w:ascii="Arial" w:cs="Arial" w:eastAsia="Arial" w:hAnsi="Arial"/>
          <w:sz w:val="18"/>
          <w:szCs w:val="18"/>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7"/>
          <w:szCs w:val="17"/>
          <w:b w:val="1"/>
          <w:bCs w:val="1"/>
          <w:color w:val="auto"/>
        </w:rPr>
        <w:t>Power and authority</w:t>
      </w:r>
    </w:p>
    <w:p>
      <w:pPr>
        <w:spacing w:after="0" w:line="220" w:lineRule="exact"/>
        <w:rPr>
          <w:sz w:val="20"/>
          <w:szCs w:val="20"/>
          <w:color w:val="auto"/>
        </w:rPr>
      </w:pPr>
    </w:p>
    <w:p>
      <w:pPr>
        <w:jc w:val="both"/>
        <w:ind w:left="1020" w:hanging="512"/>
        <w:spacing w:after="0" w:line="238" w:lineRule="auto"/>
        <w:tabs>
          <w:tab w:leader="none" w:pos="1152" w:val="left"/>
        </w:tabs>
        <w:numPr>
          <w:ilvl w:val="0"/>
          <w:numId w:val="609"/>
        </w:numPr>
        <w:rPr>
          <w:rFonts w:ascii="Arial" w:cs="Arial" w:eastAsia="Arial" w:hAnsi="Arial"/>
          <w:sz w:val="18"/>
          <w:szCs w:val="18"/>
          <w:color w:val="auto"/>
        </w:rPr>
      </w:pPr>
      <w:r>
        <w:rPr>
          <w:rFonts w:ascii="Arial" w:cs="Arial" w:eastAsia="Arial" w:hAnsi="Arial"/>
          <w:sz w:val="18"/>
          <w:szCs w:val="18"/>
          <w:color w:val="auto"/>
        </w:rPr>
        <w:t>Each Obligor has, or will have when entered into by it, power to enter into, perform and deliver and comply with its obligations under, and has taken, or will take when entered into by it, all necessary action to authorise its entry into, each Finance Document and any Charter Document to which it is, or is to be a party and each of the transactions contemplated by those documents.</w:t>
      </w:r>
    </w:p>
    <w:p>
      <w:pPr>
        <w:spacing w:after="0" w:line="191" w:lineRule="exact"/>
        <w:rPr>
          <w:rFonts w:ascii="Arial" w:cs="Arial" w:eastAsia="Arial" w:hAnsi="Arial"/>
          <w:sz w:val="18"/>
          <w:szCs w:val="18"/>
          <w:color w:val="auto"/>
        </w:rPr>
      </w:pPr>
    </w:p>
    <w:p>
      <w:pPr>
        <w:jc w:val="both"/>
        <w:ind w:left="1020" w:hanging="512"/>
        <w:spacing w:after="0"/>
        <w:tabs>
          <w:tab w:leader="none" w:pos="1462" w:val="left"/>
        </w:tabs>
        <w:numPr>
          <w:ilvl w:val="0"/>
          <w:numId w:val="609"/>
        </w:numPr>
        <w:rPr>
          <w:rFonts w:ascii="Arial" w:cs="Arial" w:eastAsia="Arial" w:hAnsi="Arial"/>
          <w:sz w:val="18"/>
          <w:szCs w:val="18"/>
          <w:color w:val="auto"/>
        </w:rPr>
      </w:pPr>
      <w:r>
        <w:rPr>
          <w:rFonts w:ascii="Arial" w:cs="Arial" w:eastAsia="Arial" w:hAnsi="Arial"/>
          <w:sz w:val="18"/>
          <w:szCs w:val="18"/>
          <w:color w:val="auto"/>
        </w:rPr>
        <w:t>No limitation on any Obligor’s powers to borrow, create security or give guarantees will be exceeded as a result of any transaction under, or the entry into of, any Finance Document or any Charter Document to which such Obligor is, or is to be, a party.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7"/>
          <w:szCs w:val="17"/>
          <w:b w:val="1"/>
          <w:bCs w:val="1"/>
          <w:color w:val="auto"/>
        </w:rPr>
        <w:t>Non-conflict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189" w:lineRule="exact"/>
        <w:rPr>
          <w:sz w:val="20"/>
          <w:szCs w:val="20"/>
          <w:color w:val="auto"/>
        </w:rPr>
      </w:pPr>
    </w:p>
    <w:p>
      <w:pPr>
        <w:ind w:left="1060" w:hanging="552"/>
        <w:spacing w:after="0"/>
        <w:tabs>
          <w:tab w:leader="none" w:pos="106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any Manager or its assets,</w:t>
      </w:r>
    </w:p>
    <w:p>
      <w:pPr>
        <w:spacing w:after="0" w:line="198"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b w:val="1"/>
          <w:bCs w:val="1"/>
          <w:color w:val="auto"/>
        </w:rPr>
        <w:t>Validity and admissibility in evidence</w:t>
      </w:r>
    </w:p>
    <w:p>
      <w:pPr>
        <w:spacing w:after="0" w:line="220" w:lineRule="exact"/>
        <w:rPr>
          <w:sz w:val="20"/>
          <w:szCs w:val="20"/>
          <w:color w:val="auto"/>
        </w:rPr>
      </w:pPr>
    </w:p>
    <w:p>
      <w:pPr>
        <w:ind w:left="1060" w:hanging="552"/>
        <w:spacing w:after="0"/>
        <w:tabs>
          <w:tab w:leader="none" w:pos="10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198" w:lineRule="exact"/>
        <w:rPr>
          <w:rFonts w:ascii="Arial" w:cs="Arial" w:eastAsia="Arial" w:hAnsi="Arial"/>
          <w:sz w:val="18"/>
          <w:szCs w:val="18"/>
          <w:color w:val="auto"/>
        </w:rPr>
      </w:pPr>
    </w:p>
    <w:p>
      <w:pPr>
        <w:ind w:left="1540" w:hanging="511"/>
        <w:spacing w:after="0" w:line="246" w:lineRule="auto"/>
        <w:tabs>
          <w:tab w:leader="none" w:pos="1918"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83"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83" w:lineRule="exact"/>
        <w:rPr>
          <w:rFonts w:ascii="Arial" w:cs="Arial" w:eastAsia="Arial" w:hAnsi="Arial"/>
          <w:sz w:val="18"/>
          <w:szCs w:val="18"/>
          <w:color w:val="auto"/>
        </w:rPr>
      </w:pPr>
    </w:p>
    <w:p>
      <w:pPr>
        <w:ind w:left="1540" w:hanging="511"/>
        <w:spacing w:after="0" w:line="246" w:lineRule="auto"/>
        <w:tabs>
          <w:tab w:leader="none" w:pos="2025"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to ensure that each of the Security Interests created under the Security Documents has the priority and ranking contemplated by them,</w:t>
      </w:r>
    </w:p>
    <w:p>
      <w:pPr>
        <w:spacing w:after="0" w:line="183"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18.12 (</w:t>
      </w:r>
      <w:r>
        <w:rPr>
          <w:rFonts w:ascii="Arial" w:cs="Arial" w:eastAsia="Arial" w:hAnsi="Arial"/>
          <w:sz w:val="18"/>
          <w:szCs w:val="18"/>
          <w:i w:val="1"/>
          <w:iCs w:val="1"/>
          <w:color w:val="auto"/>
        </w:rPr>
        <w:t>No filing</w:t>
      </w:r>
      <w:r>
        <w:rPr>
          <w:rFonts w:ascii="Arial" w:cs="Arial" w:eastAsia="Arial" w:hAnsi="Arial"/>
          <w:sz w:val="18"/>
          <w:szCs w:val="18"/>
          <w:color w:val="auto"/>
        </w:rPr>
        <w:t xml:space="preserve"> </w:t>
      </w:r>
      <w:r>
        <w:rPr>
          <w:rFonts w:ascii="Arial" w:cs="Arial" w:eastAsia="Arial" w:hAnsi="Arial"/>
          <w:sz w:val="18"/>
          <w:szCs w:val="18"/>
          <w:i w:val="1"/>
          <w:iCs w:val="1"/>
          <w:color w:val="auto"/>
        </w:rPr>
        <w:t>or stamp taxes</w:t>
      </w:r>
      <w:r>
        <w:rPr>
          <w:rFonts w:ascii="Arial" w:cs="Arial" w:eastAsia="Arial" w:hAnsi="Arial"/>
          <w:sz w:val="18"/>
          <w:szCs w:val="18"/>
          <w:color w:val="auto"/>
        </w:rPr>
        <w:t>), which authorisation or filing will be promptly obtained or effected within any applicable period.</w:t>
      </w:r>
    </w:p>
    <w:p>
      <w:pPr>
        <w:spacing w:after="0" w:line="189" w:lineRule="exact"/>
        <w:rPr>
          <w:sz w:val="20"/>
          <w:szCs w:val="20"/>
          <w:color w:val="auto"/>
        </w:rPr>
      </w:pPr>
    </w:p>
    <w:p>
      <w:pPr>
        <w:jc w:val="both"/>
        <w:ind w:left="1020" w:hanging="512"/>
        <w:spacing w:after="0"/>
        <w:tabs>
          <w:tab w:leader="none" w:pos="1219"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1" w:name="page232"/>
    <w:bookmarkEnd w:id="231"/>
    <w:p>
      <w:pPr>
        <w:spacing w:after="0"/>
        <w:tabs>
          <w:tab w:leader="none" w:pos="50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Governing law and enforcement</w:t>
      </w:r>
    </w:p>
    <w:p>
      <w:pPr>
        <w:spacing w:after="0" w:line="220" w:lineRule="exact"/>
        <w:rPr>
          <w:sz w:val="20"/>
          <w:szCs w:val="20"/>
          <w:color w:val="auto"/>
        </w:rPr>
      </w:pPr>
    </w:p>
    <w:p>
      <w:pPr>
        <w:ind w:left="1020" w:right="20" w:hanging="512"/>
        <w:spacing w:after="0" w:line="246" w:lineRule="auto"/>
        <w:tabs>
          <w:tab w:leader="none" w:pos="1179" w:val="left"/>
        </w:tabs>
        <w:numPr>
          <w:ilvl w:val="0"/>
          <w:numId w:val="613"/>
        </w:numPr>
        <w:rPr>
          <w:rFonts w:ascii="Arial" w:cs="Arial" w:eastAsia="Arial" w:hAnsi="Arial"/>
          <w:sz w:val="18"/>
          <w:szCs w:val="18"/>
          <w:color w:val="auto"/>
        </w:rPr>
      </w:pPr>
      <w:r>
        <w:rPr>
          <w:rFonts w:ascii="Arial" w:cs="Arial" w:eastAsia="Arial" w:hAnsi="Arial"/>
          <w:sz w:val="18"/>
          <w:szCs w:val="18"/>
          <w:color w:val="auto"/>
        </w:rPr>
        <w:t>Subject to any relevant Legal Reservations, the choice of English law or any other applicable law as the governing law of any Finance Document and any Charter Document will be recognised and enforced in each Obligor’s Relevant Jurisdictions.</w:t>
      </w:r>
    </w:p>
    <w:p>
      <w:pPr>
        <w:spacing w:after="0" w:line="183" w:lineRule="exact"/>
        <w:rPr>
          <w:rFonts w:ascii="Arial" w:cs="Arial" w:eastAsia="Arial" w:hAnsi="Arial"/>
          <w:sz w:val="18"/>
          <w:szCs w:val="18"/>
          <w:color w:val="auto"/>
        </w:rPr>
      </w:pPr>
    </w:p>
    <w:p>
      <w:pPr>
        <w:ind w:left="1020" w:hanging="512"/>
        <w:spacing w:after="0" w:line="246" w:lineRule="auto"/>
        <w:tabs>
          <w:tab w:leader="none" w:pos="113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will be recognised and enforced in each Obligor’s Relevant Jurisdictions.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Information</w:t>
      </w:r>
    </w:p>
    <w:p>
      <w:pPr>
        <w:spacing w:after="0" w:line="220" w:lineRule="exact"/>
        <w:rPr>
          <w:sz w:val="20"/>
          <w:szCs w:val="20"/>
          <w:color w:val="auto"/>
        </w:rPr>
      </w:pPr>
    </w:p>
    <w:p>
      <w:pPr>
        <w:ind w:left="1060" w:hanging="552"/>
        <w:spacing w:after="0"/>
        <w:tabs>
          <w:tab w:leader="none" w:pos="106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198" w:lineRule="exact"/>
        <w:rPr>
          <w:rFonts w:ascii="Arial" w:cs="Arial" w:eastAsia="Arial" w:hAnsi="Arial"/>
          <w:sz w:val="18"/>
          <w:szCs w:val="18"/>
          <w:color w:val="auto"/>
        </w:rPr>
      </w:pPr>
    </w:p>
    <w:p>
      <w:pPr>
        <w:ind w:left="1020" w:hanging="512"/>
        <w:spacing w:after="0" w:line="246" w:lineRule="auto"/>
        <w:tabs>
          <w:tab w:leader="none" w:pos="113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83" w:lineRule="exact"/>
        <w:rPr>
          <w:rFonts w:ascii="Arial" w:cs="Arial" w:eastAsia="Arial" w:hAnsi="Arial"/>
          <w:sz w:val="18"/>
          <w:szCs w:val="18"/>
          <w:color w:val="auto"/>
        </w:rPr>
      </w:pPr>
    </w:p>
    <w:p>
      <w:pPr>
        <w:ind w:left="1020" w:hanging="512"/>
        <w:spacing w:after="0" w:line="246" w:lineRule="auto"/>
        <w:tabs>
          <w:tab w:leader="none" w:pos="116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13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61" w:lineRule="exact"/>
        <w:rPr>
          <w:rFonts w:ascii="Arial" w:cs="Arial" w:eastAsia="Arial" w:hAnsi="Arial"/>
          <w:sz w:val="18"/>
          <w:szCs w:val="18"/>
          <w:color w:val="auto"/>
        </w:rPr>
      </w:pPr>
    </w:p>
    <w:p>
      <w:pPr>
        <w:jc w:val="both"/>
        <w:ind w:left="1020" w:hanging="512"/>
        <w:spacing w:after="0" w:line="253" w:lineRule="auto"/>
        <w:tabs>
          <w:tab w:leader="none" w:pos="13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or the Charter Documents or the transactions referred to in them (including that contained in any information memorandum).</w:t>
      </w:r>
    </w:p>
    <w:p>
      <w:pPr>
        <w:spacing w:after="0" w:line="15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7"/>
          <w:szCs w:val="17"/>
          <w:b w:val="1"/>
          <w:bCs w:val="1"/>
          <w:color w:val="auto"/>
        </w:rPr>
        <w:t>Original Financial Statements</w:t>
      </w:r>
    </w:p>
    <w:p>
      <w:pPr>
        <w:spacing w:after="0" w:line="220" w:lineRule="exact"/>
        <w:rPr>
          <w:sz w:val="20"/>
          <w:szCs w:val="20"/>
          <w:color w:val="auto"/>
        </w:rPr>
      </w:pPr>
    </w:p>
    <w:p>
      <w:pPr>
        <w:ind w:left="1060" w:hanging="552"/>
        <w:spacing w:after="0"/>
        <w:tabs>
          <w:tab w:leader="none" w:pos="106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198" w:lineRule="exact"/>
        <w:rPr>
          <w:rFonts w:ascii="Arial" w:cs="Arial" w:eastAsia="Arial" w:hAnsi="Arial"/>
          <w:sz w:val="18"/>
          <w:szCs w:val="18"/>
          <w:color w:val="auto"/>
        </w:rPr>
      </w:pPr>
    </w:p>
    <w:p>
      <w:pPr>
        <w:jc w:val="both"/>
        <w:ind w:left="1020" w:hanging="512"/>
        <w:spacing w:after="0"/>
        <w:tabs>
          <w:tab w:leader="none" w:pos="1206"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and the Group or, as the case may be, the Parent Group (consolidated in the case of the Group or, as the case may be, the Parent Group) during the relevant financial year.</w:t>
      </w:r>
    </w:p>
    <w:p>
      <w:pPr>
        <w:spacing w:after="0" w:line="189" w:lineRule="exact"/>
        <w:rPr>
          <w:rFonts w:ascii="Arial" w:cs="Arial" w:eastAsia="Arial" w:hAnsi="Arial"/>
          <w:sz w:val="18"/>
          <w:szCs w:val="18"/>
          <w:color w:val="auto"/>
        </w:rPr>
      </w:pPr>
    </w:p>
    <w:p>
      <w:pPr>
        <w:jc w:val="both"/>
        <w:ind w:left="1020" w:hanging="512"/>
        <w:spacing w:after="0"/>
        <w:tabs>
          <w:tab w:leader="none" w:pos="106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or the Parent Group taken as a whole since the date of the latest Financial Statements delivered under this Agreement to the Finance Parties which has had or might reasonably be expected to have a Material Adverse Effect.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18.9</w:t>
        <w:tab/>
        <w:t>Pari passu ranking</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Ranking and effectiveness of security</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4.2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2" w:name="page233"/>
    <w:bookmarkEnd w:id="232"/>
    <w:p>
      <w:pPr>
        <w:ind w:left="520"/>
        <w:spacing w:after="0"/>
        <w:rPr>
          <w:sz w:val="20"/>
          <w:szCs w:val="20"/>
          <w:color w:val="auto"/>
        </w:rPr>
      </w:pPr>
      <w:r>
        <w:rPr>
          <w:rFonts w:ascii="Arial" w:cs="Arial" w:eastAsia="Arial" w:hAnsi="Arial"/>
          <w:sz w:val="18"/>
          <w:szCs w:val="18"/>
          <w:color w:val="auto"/>
        </w:rPr>
        <w:t>Permitted Security Interests and such security will constitute perfected security on the assets described in the Security Documents.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No insolvency</w:t>
      </w:r>
    </w:p>
    <w:p>
      <w:pPr>
        <w:spacing w:after="0" w:line="20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No corporate action, legal proceeding or other procedure or step described in clause 30.9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30.10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30.8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18.12 No filing or stamp taxes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18.13 Tax</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18.14 No Default</w:t>
      </w:r>
    </w:p>
    <w:p>
      <w:pPr>
        <w:spacing w:after="0" w:line="220" w:lineRule="exact"/>
        <w:rPr>
          <w:sz w:val="20"/>
          <w:szCs w:val="20"/>
          <w:color w:val="auto"/>
        </w:rPr>
      </w:pPr>
    </w:p>
    <w:p>
      <w:pPr>
        <w:ind w:left="1020" w:right="20" w:hanging="512"/>
        <w:spacing w:after="0" w:line="246" w:lineRule="auto"/>
        <w:tabs>
          <w:tab w:leader="none" w:pos="1408" w:val="left"/>
        </w:tabs>
        <w:numPr>
          <w:ilvl w:val="0"/>
          <w:numId w:val="616"/>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any Utilisation or the entry into, the performance of, or any transaction contemplated by, any Finance Document or any Charter Document.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65" w:val="left"/>
        </w:tabs>
        <w:numPr>
          <w:ilvl w:val="0"/>
          <w:numId w:val="616"/>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188" w:lineRule="exact"/>
        <w:rPr>
          <w:rFonts w:ascii="Arial" w:cs="Arial" w:eastAsia="Arial" w:hAnsi="Arial"/>
          <w:sz w:val="18"/>
          <w:szCs w:val="18"/>
          <w:color w:val="auto"/>
        </w:rPr>
      </w:pPr>
    </w:p>
    <w:p>
      <w:pPr>
        <w:ind w:left="1020" w:hanging="512"/>
        <w:spacing w:after="0" w:line="246" w:lineRule="auto"/>
        <w:tabs>
          <w:tab w:leader="none" w:pos="1114" w:val="left"/>
        </w:tabs>
        <w:numPr>
          <w:ilvl w:val="0"/>
          <w:numId w:val="616"/>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2019, which have had or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18.15 No proceedings pending or threatened</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18.16 No breach of laws</w:t>
      </w:r>
    </w:p>
    <w:p>
      <w:pPr>
        <w:spacing w:after="0" w:line="220" w:lineRule="exact"/>
        <w:rPr>
          <w:sz w:val="20"/>
          <w:szCs w:val="20"/>
          <w:color w:val="auto"/>
        </w:rPr>
      </w:pPr>
    </w:p>
    <w:p>
      <w:pPr>
        <w:ind w:left="1020" w:hanging="512"/>
        <w:spacing w:after="0" w:line="246" w:lineRule="auto"/>
        <w:tabs>
          <w:tab w:leader="none" w:pos="1341" w:val="left"/>
        </w:tabs>
        <w:numPr>
          <w:ilvl w:val="0"/>
          <w:numId w:val="617"/>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3" w:name="page234"/>
    <w:bookmarkEnd w:id="233"/>
    <w:p>
      <w:pPr>
        <w:jc w:val="both"/>
        <w:ind w:left="1020" w:hanging="512"/>
        <w:spacing w:after="0"/>
        <w:tabs>
          <w:tab w:leader="none" w:pos="130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18.17 Environmental matters</w:t>
      </w:r>
    </w:p>
    <w:p>
      <w:pPr>
        <w:spacing w:after="0" w:line="220" w:lineRule="exact"/>
        <w:rPr>
          <w:sz w:val="20"/>
          <w:szCs w:val="20"/>
          <w:color w:val="auto"/>
        </w:rPr>
      </w:pPr>
    </w:p>
    <w:p>
      <w:pPr>
        <w:ind w:left="1020" w:hanging="512"/>
        <w:spacing w:after="0" w:line="246" w:lineRule="auto"/>
        <w:tabs>
          <w:tab w:leader="none" w:pos="116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198" w:lineRule="exact"/>
        <w:rPr>
          <w:rFonts w:ascii="Arial" w:cs="Arial" w:eastAsia="Arial" w:hAnsi="Arial"/>
          <w:sz w:val="18"/>
          <w:szCs w:val="18"/>
          <w:color w:val="auto"/>
        </w:rPr>
      </w:pPr>
    </w:p>
    <w:p>
      <w:pPr>
        <w:jc w:val="both"/>
        <w:ind w:left="1020" w:hanging="512"/>
        <w:spacing w:after="0"/>
        <w:tabs>
          <w:tab w:leader="none" w:pos="115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18.18 Tax compliance</w:t>
      </w:r>
    </w:p>
    <w:p>
      <w:pPr>
        <w:spacing w:after="0" w:line="220" w:lineRule="exact"/>
        <w:rPr>
          <w:sz w:val="20"/>
          <w:szCs w:val="20"/>
          <w:color w:val="auto"/>
        </w:rPr>
      </w:pPr>
    </w:p>
    <w:p>
      <w:pPr>
        <w:jc w:val="both"/>
        <w:ind w:left="1020" w:hanging="512"/>
        <w:spacing w:after="0" w:line="238" w:lineRule="auto"/>
        <w:tabs>
          <w:tab w:leader="none" w:pos="1219" w:val="left"/>
        </w:tabs>
        <w:numPr>
          <w:ilvl w:val="0"/>
          <w:numId w:val="620"/>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 unless and to the extent that such payment is being contested in good faith, adequate reserves are being maintained for those Taxes and the cost required to contest them and such payment is being lawfully withheld.</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152" w:val="left"/>
        </w:tabs>
        <w:numPr>
          <w:ilvl w:val="0"/>
          <w:numId w:val="620"/>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191" w:lineRule="exact"/>
        <w:rPr>
          <w:rFonts w:ascii="Arial" w:cs="Arial" w:eastAsia="Arial" w:hAnsi="Arial"/>
          <w:sz w:val="18"/>
          <w:szCs w:val="18"/>
          <w:color w:val="auto"/>
        </w:rPr>
      </w:pPr>
    </w:p>
    <w:p>
      <w:pPr>
        <w:ind w:left="1020" w:hanging="512"/>
        <w:spacing w:after="0" w:line="246" w:lineRule="auto"/>
        <w:tabs>
          <w:tab w:leader="none" w:pos="106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18.19 Anti-corruption law</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Group Member and each Parent Group Member has conducted its businesses in compliance with applicable anti-corruption and anti-bribery laws and has instituted and maintained policies and procedures designed to promote and achieve compliance with such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18.20 Security and Financial Indebtedness</w:t>
      </w:r>
    </w:p>
    <w:p>
      <w:pPr>
        <w:spacing w:after="0" w:line="220" w:lineRule="exact"/>
        <w:rPr>
          <w:sz w:val="20"/>
          <w:szCs w:val="20"/>
          <w:color w:val="auto"/>
        </w:rPr>
      </w:pPr>
    </w:p>
    <w:p>
      <w:pPr>
        <w:ind w:left="1020" w:hanging="512"/>
        <w:spacing w:after="0" w:line="246" w:lineRule="auto"/>
        <w:tabs>
          <w:tab w:leader="none" w:pos="1246" w:val="left"/>
        </w:tabs>
        <w:numPr>
          <w:ilvl w:val="0"/>
          <w:numId w:val="621"/>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18.21 Legal and beneficial ownership</w:t>
      </w:r>
    </w:p>
    <w:p>
      <w:pPr>
        <w:spacing w:after="0" w:line="220" w:lineRule="exact"/>
        <w:rPr>
          <w:sz w:val="20"/>
          <w:szCs w:val="20"/>
          <w:color w:val="auto"/>
        </w:rPr>
      </w:pPr>
    </w:p>
    <w:p>
      <w:pPr>
        <w:ind w:left="1060" w:hanging="552"/>
        <w:spacing w:after="0"/>
        <w:tabs>
          <w:tab w:leader="none" w:pos="106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Ownership of assets</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89" w:lineRule="exact"/>
        <w:rPr>
          <w:sz w:val="20"/>
          <w:szCs w:val="20"/>
          <w:color w:val="auto"/>
        </w:rPr>
      </w:pPr>
    </w:p>
    <w:p>
      <w:pPr>
        <w:ind w:left="1040" w:hanging="532"/>
        <w:spacing w:after="0"/>
        <w:tabs>
          <w:tab w:leader="none" w:pos="104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Ownership of Shares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4" w:name="page235"/>
    <w:bookmarkEnd w:id="234"/>
    <w:p>
      <w:pPr>
        <w:ind w:left="1020"/>
        <w:spacing w:after="0"/>
        <w:rPr>
          <w:sz w:val="20"/>
          <w:szCs w:val="20"/>
          <w:color w:val="auto"/>
        </w:rPr>
      </w:pPr>
      <w:r>
        <w:rPr>
          <w:rFonts w:ascii="Arial" w:cs="Arial" w:eastAsia="Arial" w:hAnsi="Arial"/>
          <w:sz w:val="18"/>
          <w:szCs w:val="18"/>
          <w:color w:val="auto"/>
        </w:rPr>
        <w:t>As at the date of this Agreement:</w:t>
      </w:r>
    </w:p>
    <w:p>
      <w:pPr>
        <w:spacing w:after="0" w:line="198" w:lineRule="exact"/>
        <w:rPr>
          <w:sz w:val="20"/>
          <w:szCs w:val="20"/>
          <w:color w:val="auto"/>
        </w:rPr>
      </w:pPr>
    </w:p>
    <w:p>
      <w:pPr>
        <w:ind w:left="1560" w:hanging="531"/>
        <w:spacing w:after="0"/>
        <w:tabs>
          <w:tab w:leader="none" w:pos="15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each Borrower is a wholly owned direct Subsidiary of GasLog Holdings;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GasLog Holdings is a wholly owned direct Subsidiary of the Parent;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GP LLC is the general partner of the Parent;</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GP LLC is a wholly-owned direct subsidiary of GasLog; and</w:t>
      </w:r>
    </w:p>
    <w:p>
      <w:pPr>
        <w:spacing w:after="0" w:line="180" w:lineRule="exact"/>
        <w:rPr>
          <w:rFonts w:ascii="Arial" w:cs="Arial" w:eastAsia="Arial" w:hAnsi="Arial"/>
          <w:sz w:val="18"/>
          <w:szCs w:val="18"/>
          <w:color w:val="auto"/>
        </w:rPr>
      </w:pPr>
    </w:p>
    <w:p>
      <w:pPr>
        <w:ind w:left="1540" w:hanging="511"/>
        <w:spacing w:after="0" w:line="267" w:lineRule="auto"/>
        <w:tabs>
          <w:tab w:leader="none" w:pos="1833"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the person referred to in the definition of Permitted Holders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has the right and the ability to control the affairs and composition of the majority of the board of directors of GasLog.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18.22 Shares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shares of each Owner are fully paid and, other than any option which may be given to GasLog or GasLog Carriers in connection with a Reverse Dropdown, not subject to any option to purchase or similar rights. The Constitutional Documents of each Owner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18.23 Accounting Reference Date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18.24 No adverse consequences</w:t>
      </w:r>
    </w:p>
    <w:p>
      <w:pPr>
        <w:spacing w:after="0" w:line="220" w:lineRule="exact"/>
        <w:rPr>
          <w:sz w:val="20"/>
          <w:szCs w:val="20"/>
          <w:color w:val="auto"/>
        </w:rPr>
      </w:pPr>
    </w:p>
    <w:p>
      <w:pPr>
        <w:ind w:left="1060" w:hanging="552"/>
        <w:spacing w:after="0"/>
        <w:tabs>
          <w:tab w:leader="none" w:pos="10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625"/>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198" w:lineRule="exact"/>
        <w:rPr>
          <w:rFonts w:ascii="Arial" w:cs="Arial" w:eastAsia="Arial" w:hAnsi="Arial"/>
          <w:sz w:val="18"/>
          <w:szCs w:val="18"/>
          <w:color w:val="auto"/>
        </w:rPr>
      </w:pPr>
    </w:p>
    <w:p>
      <w:pPr>
        <w:ind w:left="1540" w:hanging="511"/>
        <w:spacing w:after="0" w:line="246" w:lineRule="auto"/>
        <w:tabs>
          <w:tab w:leader="none" w:pos="1823" w:val="left"/>
        </w:tabs>
        <w:numPr>
          <w:ilvl w:val="1"/>
          <w:numId w:val="625"/>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83"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that any Finance Party should be licensed, qualified or otherwise entitled to carry on business in any of such Relevant Jurisdictions.</w:t>
      </w:r>
    </w:p>
    <w:p>
      <w:pPr>
        <w:spacing w:after="0" w:line="183" w:lineRule="exact"/>
        <w:rPr>
          <w:sz w:val="20"/>
          <w:szCs w:val="20"/>
          <w:color w:val="auto"/>
        </w:rPr>
      </w:pPr>
    </w:p>
    <w:p>
      <w:pPr>
        <w:ind w:left="1020" w:hanging="512"/>
        <w:spacing w:after="0" w:line="246" w:lineRule="auto"/>
        <w:tabs>
          <w:tab w:leader="none" w:pos="1111" w:val="left"/>
        </w:tabs>
        <w:numPr>
          <w:ilvl w:val="0"/>
          <w:numId w:val="626"/>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18.25 Copies of documents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copies of the Charter Documents and the Constitutional Documents of the Obligors delivered to the Agent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will, as at their delivery dates, be true, complete and accurate copies of such documents and include all amendments and supplements to them as at the time of such delivery and no other agreements or arrangements exist between any of the parties to any Charter Document which would materially affect the transactions or arrangements contemplated by any Charter Document or modify or release the obligations of any party under that Charter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18.26 No breach of any Charter Document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5" w:name="page236"/>
    <w:bookmarkEnd w:id="235"/>
    <w:p>
      <w:pPr>
        <w:jc w:val="both"/>
        <w:ind w:left="520"/>
        <w:spacing w:after="0"/>
        <w:rPr>
          <w:sz w:val="20"/>
          <w:szCs w:val="20"/>
          <w:color w:val="auto"/>
        </w:rPr>
      </w:pPr>
      <w:r>
        <w:rPr>
          <w:rFonts w:ascii="Arial" w:cs="Arial" w:eastAsia="Arial" w:hAnsi="Arial"/>
          <w:sz w:val="18"/>
          <w:szCs w:val="18"/>
          <w:color w:val="auto"/>
        </w:rPr>
        <w:t>No Obligor nor (so far as the Obligors are aware) any other person is in breach of any Charter Document to which it is a party nor has anything occurred which entitles or may entitle any party to any Charter Document to rescind or terminate it or decline to perform their obligations under 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18.27 No immunity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18.28 Ship status</w:t>
      </w:r>
    </w:p>
    <w:p>
      <w:pPr>
        <w:spacing w:after="0" w:line="220" w:lineRule="exact"/>
        <w:rPr>
          <w:sz w:val="20"/>
          <w:szCs w:val="20"/>
          <w:color w:val="auto"/>
        </w:rPr>
      </w:pPr>
    </w:p>
    <w:p>
      <w:pPr>
        <w:ind w:left="1060" w:hanging="552"/>
        <w:spacing w:after="0"/>
        <w:tabs>
          <w:tab w:leader="none" w:pos="10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Each Ship will on the first day of the relevant Mortgage Period be:</w:t>
      </w:r>
    </w:p>
    <w:p>
      <w:pPr>
        <w:spacing w:after="0" w:line="198" w:lineRule="exact"/>
        <w:rPr>
          <w:rFonts w:ascii="Arial" w:cs="Arial" w:eastAsia="Arial" w:hAnsi="Arial"/>
          <w:sz w:val="18"/>
          <w:szCs w:val="18"/>
          <w:color w:val="auto"/>
        </w:rPr>
      </w:pPr>
    </w:p>
    <w:p>
      <w:pPr>
        <w:ind w:left="1020" w:hanging="512"/>
        <w:spacing w:after="0" w:line="246" w:lineRule="auto"/>
        <w:tabs>
          <w:tab w:leader="none" w:pos="1152" w:val="left"/>
        </w:tabs>
        <w:numPr>
          <w:ilvl w:val="0"/>
          <w:numId w:val="627"/>
        </w:numPr>
        <w:rPr>
          <w:rFonts w:ascii="Arial" w:cs="Arial" w:eastAsia="Arial" w:hAnsi="Arial"/>
          <w:sz w:val="18"/>
          <w:szCs w:val="18"/>
          <w:color w:val="auto"/>
        </w:rPr>
      </w:pPr>
      <w:r>
        <w:rPr>
          <w:rFonts w:ascii="Arial" w:cs="Arial" w:eastAsia="Arial" w:hAnsi="Arial"/>
          <w:sz w:val="18"/>
          <w:szCs w:val="18"/>
          <w:color w:val="auto"/>
        </w:rPr>
        <w:t>registered in the name of the relevant Owner through the relevant Registry as a registered ship under the laws and flag of the relevant Flag State;</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198" w:lineRule="exact"/>
        <w:rPr>
          <w:rFonts w:ascii="Arial" w:cs="Arial" w:eastAsia="Arial" w:hAnsi="Arial"/>
          <w:sz w:val="18"/>
          <w:szCs w:val="18"/>
          <w:color w:val="auto"/>
        </w:rPr>
      </w:pPr>
    </w:p>
    <w:p>
      <w:pPr>
        <w:ind w:left="1020" w:hanging="512"/>
        <w:spacing w:after="0" w:line="246" w:lineRule="auto"/>
        <w:tabs>
          <w:tab w:leader="none" w:pos="1287" w:val="left"/>
        </w:tabs>
        <w:numPr>
          <w:ilvl w:val="0"/>
          <w:numId w:val="627"/>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18.29 Ship’s employment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the first day of its Mortgage Period each Ship:</w:t>
      </w:r>
    </w:p>
    <w:p>
      <w:pPr>
        <w:spacing w:after="0" w:line="198" w:lineRule="exact"/>
        <w:rPr>
          <w:sz w:val="20"/>
          <w:szCs w:val="20"/>
          <w:color w:val="auto"/>
        </w:rPr>
      </w:pPr>
    </w:p>
    <w:p>
      <w:pPr>
        <w:ind w:left="1060" w:hanging="552"/>
        <w:spacing w:after="0"/>
        <w:tabs>
          <w:tab w:leader="none" w:pos="106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its Charter; and</w:t>
      </w:r>
    </w:p>
    <w:p>
      <w:pPr>
        <w:spacing w:after="0" w:line="198" w:lineRule="exact"/>
        <w:rPr>
          <w:rFonts w:ascii="Arial" w:cs="Arial" w:eastAsia="Arial" w:hAnsi="Arial"/>
          <w:sz w:val="18"/>
          <w:szCs w:val="18"/>
          <w:color w:val="auto"/>
        </w:rPr>
      </w:pPr>
    </w:p>
    <w:p>
      <w:pPr>
        <w:ind w:left="1020" w:hanging="512"/>
        <w:spacing w:after="0" w:line="246" w:lineRule="auto"/>
        <w:tabs>
          <w:tab w:leader="none" w:pos="1462" w:val="left"/>
        </w:tabs>
        <w:numPr>
          <w:ilvl w:val="0"/>
          <w:numId w:val="628"/>
        </w:numPr>
        <w:rPr>
          <w:rFonts w:ascii="Arial" w:cs="Arial" w:eastAsia="Arial" w:hAnsi="Arial"/>
          <w:sz w:val="18"/>
          <w:szCs w:val="18"/>
          <w:color w:val="auto"/>
        </w:rPr>
      </w:pPr>
      <w:r>
        <w:rPr>
          <w:rFonts w:ascii="Arial" w:cs="Arial" w:eastAsia="Arial" w:hAnsi="Arial"/>
          <w:sz w:val="18"/>
          <w:szCs w:val="18"/>
          <w:color w:val="auto"/>
        </w:rPr>
        <w:t>is free of any other charter commitment which, if entered into after that date, would require approval under the Finance Documents.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18.30 Address commission</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Save for any brokerage fees paid to Poten &amp; Partners Inc. and Abacus Energy Enterprises Ltd., there are no rebates, commissions or other payments in connection with the Charter other than those referred to in 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18.31 Money Laundering</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In relation to the borrowing by each Borrower of the Loan, the performance and discharge of its obligations and liabilities under the Finance Documents, and the transactions and other arrangements effected or contemplated by the Finance Documents to which each Borrower is a party, each Borrower confirms (a) that it is acting for its own account; (b) that it will use the proceeds of the Loan for its own benefit, under its full responsibility and exclusively for the purposes specified in this Agreement and (c) that the foregoing will not involve or lead to a contravention of any law, official requirement or other regulatory measure or procedure which has been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18.32 Sanctions</w:t>
      </w:r>
    </w:p>
    <w:p>
      <w:pPr>
        <w:spacing w:after="0" w:line="220" w:lineRule="exact"/>
        <w:rPr>
          <w:sz w:val="20"/>
          <w:szCs w:val="20"/>
          <w:color w:val="auto"/>
        </w:rPr>
      </w:pPr>
    </w:p>
    <w:p>
      <w:pPr>
        <w:ind w:left="1020" w:hanging="512"/>
        <w:spacing w:after="0" w:line="246" w:lineRule="auto"/>
        <w:tabs>
          <w:tab w:leader="none" w:pos="1152" w:val="left"/>
        </w:tabs>
        <w:numPr>
          <w:ilvl w:val="0"/>
          <w:numId w:val="629"/>
        </w:numPr>
        <w:rPr>
          <w:rFonts w:ascii="Arial" w:cs="Arial" w:eastAsia="Arial" w:hAnsi="Arial"/>
          <w:sz w:val="18"/>
          <w:szCs w:val="18"/>
          <w:color w:val="auto"/>
        </w:rPr>
      </w:pPr>
      <w:r>
        <w:rPr>
          <w:rFonts w:ascii="Arial" w:cs="Arial" w:eastAsia="Arial" w:hAnsi="Arial"/>
          <w:sz w:val="18"/>
          <w:szCs w:val="18"/>
          <w:color w:val="auto"/>
        </w:rPr>
        <w:t>No Ship is a vessel with which any individual, entity or any other person is prohibited or restricted from dealing with under any Sanctions;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No Obligor nor any other Group Member, nor any of their respective directors or officers: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198" w:lineRule="exact"/>
        <w:rPr>
          <w:rFonts w:ascii="Arial" w:cs="Arial" w:eastAsia="Arial" w:hAnsi="Arial"/>
          <w:sz w:val="18"/>
          <w:szCs w:val="18"/>
          <w:color w:val="auto"/>
        </w:rPr>
      </w:pPr>
    </w:p>
    <w:p>
      <w:pPr>
        <w:ind w:left="1540" w:hanging="511"/>
        <w:spacing w:after="0" w:line="246" w:lineRule="auto"/>
        <w:tabs>
          <w:tab w:leader="none" w:pos="1972" w:val="left"/>
        </w:tabs>
        <w:numPr>
          <w:ilvl w:val="1"/>
          <w:numId w:val="629"/>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6" w:name="page237"/>
    <w:bookmarkEnd w:id="236"/>
    <w:p>
      <w:pPr>
        <w:jc w:val="both"/>
        <w:ind w:left="1540" w:hanging="511"/>
        <w:spacing w:after="0" w:line="238" w:lineRule="auto"/>
        <w:tabs>
          <w:tab w:leader="none" w:pos="1742" w:val="left"/>
        </w:tabs>
        <w:numPr>
          <w:ilvl w:val="0"/>
          <w:numId w:val="630"/>
        </w:numPr>
        <w:rPr>
          <w:rFonts w:ascii="Arial" w:cs="Arial" w:eastAsia="Arial" w:hAnsi="Arial"/>
          <w:sz w:val="18"/>
          <w:szCs w:val="18"/>
          <w:color w:val="auto"/>
        </w:rPr>
      </w:pPr>
      <w:r>
        <w:rPr>
          <w:rFonts w:ascii="Arial" w:cs="Arial" w:eastAsia="Arial" w:hAnsi="Arial"/>
          <w:sz w:val="18"/>
          <w:szCs w:val="18"/>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191" w:lineRule="exact"/>
        <w:rPr>
          <w:rFonts w:ascii="Arial" w:cs="Arial" w:eastAsia="Arial" w:hAnsi="Arial"/>
          <w:sz w:val="18"/>
          <w:szCs w:val="18"/>
          <w:color w:val="auto"/>
        </w:rPr>
      </w:pPr>
    </w:p>
    <w:p>
      <w:pPr>
        <w:ind w:left="1540" w:hanging="511"/>
        <w:spacing w:after="0"/>
        <w:tabs>
          <w:tab w:leader="none" w:pos="154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198" w:lineRule="exact"/>
        <w:rPr>
          <w:rFonts w:ascii="Arial" w:cs="Arial" w:eastAsia="Arial" w:hAnsi="Arial"/>
          <w:sz w:val="18"/>
          <w:szCs w:val="18"/>
          <w:color w:val="auto"/>
        </w:rPr>
      </w:pPr>
    </w:p>
    <w:p>
      <w:pPr>
        <w:ind w:left="1540" w:hanging="511"/>
        <w:spacing w:after="0" w:line="246" w:lineRule="auto"/>
        <w:tabs>
          <w:tab w:leader="none" w:pos="1793" w:val="left"/>
        </w:tabs>
        <w:numPr>
          <w:ilvl w:val="0"/>
          <w:numId w:val="630"/>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198" w:lineRule="exact"/>
        <w:rPr>
          <w:rFonts w:ascii="Arial" w:cs="Arial" w:eastAsia="Arial" w:hAnsi="Arial"/>
          <w:sz w:val="18"/>
          <w:szCs w:val="18"/>
          <w:color w:val="auto"/>
        </w:rPr>
      </w:pPr>
    </w:p>
    <w:p>
      <w:pPr>
        <w:ind w:left="1540" w:hanging="511"/>
        <w:spacing w:after="0" w:line="246" w:lineRule="auto"/>
        <w:tabs>
          <w:tab w:leader="none" w:pos="1927" w:val="left"/>
        </w:tabs>
        <w:numPr>
          <w:ilvl w:val="0"/>
          <w:numId w:val="630"/>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83" w:lineRule="exact"/>
        <w:rPr>
          <w:sz w:val="20"/>
          <w:szCs w:val="20"/>
          <w:color w:val="auto"/>
        </w:rPr>
      </w:pPr>
    </w:p>
    <w:p>
      <w:pPr>
        <w:ind w:left="1020" w:right="20" w:hanging="512"/>
        <w:spacing w:after="0" w:line="246" w:lineRule="auto"/>
        <w:tabs>
          <w:tab w:leader="none" w:pos="1384" w:val="left"/>
        </w:tabs>
        <w:numPr>
          <w:ilvl w:val="0"/>
          <w:numId w:val="631"/>
        </w:numPr>
        <w:rPr>
          <w:rFonts w:ascii="Arial" w:cs="Arial" w:eastAsia="Arial" w:hAnsi="Arial"/>
          <w:sz w:val="18"/>
          <w:szCs w:val="18"/>
          <w:color w:val="auto"/>
        </w:rPr>
      </w:pPr>
      <w:r>
        <w:rPr>
          <w:rFonts w:ascii="Arial" w:cs="Arial" w:eastAsia="Arial" w:hAnsi="Arial"/>
          <w:sz w:val="18"/>
          <w:szCs w:val="18"/>
          <w:color w:val="auto"/>
        </w:rPr>
        <w:t>Any capitalised terms referred to in paragraphs (a) and (b) above shall have the meanings given to them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18.33 Times when representations are made</w:t>
      </w:r>
    </w:p>
    <w:p>
      <w:pPr>
        <w:spacing w:after="0" w:line="220" w:lineRule="exact"/>
        <w:rPr>
          <w:sz w:val="20"/>
          <w:szCs w:val="20"/>
          <w:color w:val="auto"/>
        </w:rPr>
      </w:pPr>
    </w:p>
    <w:p>
      <w:pPr>
        <w:ind w:left="1020" w:hanging="512"/>
        <w:spacing w:after="0" w:line="246" w:lineRule="auto"/>
        <w:tabs>
          <w:tab w:leader="none" w:pos="1084"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83" w:lineRule="exact"/>
        <w:rPr>
          <w:rFonts w:ascii="Arial" w:cs="Arial" w:eastAsia="Arial" w:hAnsi="Arial"/>
          <w:sz w:val="18"/>
          <w:szCs w:val="18"/>
          <w:color w:val="auto"/>
        </w:rPr>
      </w:pPr>
    </w:p>
    <w:p>
      <w:pPr>
        <w:jc w:val="both"/>
        <w:ind w:left="1020" w:hanging="512"/>
        <w:spacing w:after="0"/>
        <w:tabs>
          <w:tab w:leader="none" w:pos="13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18.7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Facility.</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182"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of the Ship Representations are deemed to be made and repeated on the first day of the Mortgage Period for the relevant Ship.</w:t>
      </w:r>
    </w:p>
    <w:p>
      <w:pPr>
        <w:spacing w:after="0" w:line="183" w:lineRule="exact"/>
        <w:rPr>
          <w:rFonts w:ascii="Arial" w:cs="Arial" w:eastAsia="Arial" w:hAnsi="Arial"/>
          <w:sz w:val="18"/>
          <w:szCs w:val="18"/>
          <w:color w:val="auto"/>
        </w:rPr>
      </w:pPr>
    </w:p>
    <w:p>
      <w:pPr>
        <w:jc w:val="both"/>
        <w:ind w:left="1020" w:hanging="512"/>
        <w:spacing w:after="0"/>
        <w:tabs>
          <w:tab w:leader="none" w:pos="1287" w:val="left"/>
        </w:tabs>
        <w:numPr>
          <w:ilvl w:val="0"/>
          <w:numId w:val="632"/>
        </w:numPr>
        <w:rPr>
          <w:rFonts w:ascii="Arial" w:cs="Arial" w:eastAsia="Arial" w:hAnsi="Arial"/>
          <w:sz w:val="18"/>
          <w:szCs w:val="18"/>
          <w:color w:val="auto"/>
        </w:rPr>
      </w:pPr>
      <w:r>
        <w:rPr>
          <w:rFonts w:ascii="Arial" w:cs="Arial" w:eastAsia="Arial" w:hAnsi="Arial"/>
          <w:sz w:val="18"/>
          <w:szCs w:val="18"/>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19 Information undertakings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19 will be complied with throughout the Facility Period.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19:</w:t>
      </w:r>
    </w:p>
    <w:p>
      <w:pPr>
        <w:spacing w:after="0" w:line="176"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Parent Group,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GasLog Holdings and GasLog Carriers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the Parent Group, GasLog Carriers and GasLog Holdings, respectively, delivered pursuant to clause 19.1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5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Financial statements</w:t>
      </w:r>
    </w:p>
    <w:p>
      <w:pPr>
        <w:spacing w:after="0" w:line="220" w:lineRule="exact"/>
        <w:rPr>
          <w:sz w:val="20"/>
          <w:szCs w:val="20"/>
          <w:color w:val="auto"/>
        </w:rPr>
      </w:pPr>
    </w:p>
    <w:p>
      <w:pPr>
        <w:jc w:val="both"/>
        <w:ind w:left="1020" w:hanging="512"/>
        <w:spacing w:after="0"/>
        <w:tabs>
          <w:tab w:leader="none" w:pos="1071"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(and the Agent shall supply to each Lender), as soon as the same become available, but in any event within one hundred and fifty (150) days after the end of the relevant financial years:</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633"/>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that financial year;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633"/>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Group for that financial year;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7" w:name="page238"/>
    <w:bookmarkEnd w:id="237"/>
    <w:p>
      <w:pPr>
        <w:ind w:left="1560" w:hanging="531"/>
        <w:spacing w:after="0"/>
        <w:tabs>
          <w:tab w:leader="none" w:pos="156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GasLog Carriers and GasLog Holdings; and</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3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the unaudited financial statements (consolidated if appropriate) of each of the Borrowers, GasLog Holdings and GasLog Carriers for that financial year.</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246"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as soon as the same become available, but in any event within one hundred and twenty (120) days after the end of each half year to 30 June of the relevant financial year, the unaudited consolidated financial statements for each of the Group, GasLog Carriers, the Parent Group and GasLog Holdings for that financial half year.</w:t>
      </w:r>
    </w:p>
    <w:p>
      <w:pPr>
        <w:spacing w:after="0" w:line="191" w:lineRule="exact"/>
        <w:rPr>
          <w:rFonts w:ascii="Arial" w:cs="Arial" w:eastAsia="Arial" w:hAnsi="Arial"/>
          <w:sz w:val="18"/>
          <w:szCs w:val="18"/>
          <w:color w:val="auto"/>
        </w:rPr>
      </w:pPr>
    </w:p>
    <w:p>
      <w:pPr>
        <w:ind w:left="1020" w:right="20" w:hanging="512"/>
        <w:spacing w:after="0" w:line="246" w:lineRule="auto"/>
        <w:tabs>
          <w:tab w:leader="none" w:pos="106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The Borrowers shall also supply to the Agent prior to each financial year budget and cashflow projections for the Borrowers and the Active Guarantors for such financial year.</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Provision and contents of Compliance Certificate and valuations</w:t>
      </w:r>
    </w:p>
    <w:p>
      <w:pPr>
        <w:spacing w:after="0" w:line="220" w:lineRule="exact"/>
        <w:rPr>
          <w:sz w:val="20"/>
          <w:szCs w:val="20"/>
          <w:color w:val="auto"/>
        </w:rPr>
      </w:pPr>
    </w:p>
    <w:p>
      <w:pPr>
        <w:ind w:left="1060" w:hanging="552"/>
        <w:spacing w:after="0"/>
        <w:tabs>
          <w:tab w:leader="none" w:pos="10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Obligors shall supply to the Agent (and the Agent shall supply to each Lender):</w:t>
      </w:r>
    </w:p>
    <w:p>
      <w:pPr>
        <w:spacing w:after="0" w:line="198" w:lineRule="exact"/>
        <w:rPr>
          <w:rFonts w:ascii="Arial" w:cs="Arial" w:eastAsia="Arial" w:hAnsi="Arial"/>
          <w:sz w:val="18"/>
          <w:szCs w:val="18"/>
          <w:color w:val="auto"/>
        </w:rPr>
      </w:pPr>
    </w:p>
    <w:p>
      <w:pPr>
        <w:jc w:val="both"/>
        <w:ind w:left="1540" w:right="20" w:hanging="511"/>
        <w:spacing w:after="0"/>
        <w:tabs>
          <w:tab w:leader="none" w:pos="1594" w:val="left"/>
        </w:tabs>
        <w:numPr>
          <w:ilvl w:val="1"/>
          <w:numId w:val="636"/>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the Parent Group respectively, and with each set of unaudited Semi-Annual Financial Statements for the Group and the Parent Group respectively, a Compliance Certificate;</w:t>
      </w:r>
    </w:p>
    <w:p>
      <w:pPr>
        <w:spacing w:after="0" w:line="189" w:lineRule="exact"/>
        <w:rPr>
          <w:rFonts w:ascii="Arial" w:cs="Arial" w:eastAsia="Arial" w:hAnsi="Arial"/>
          <w:sz w:val="18"/>
          <w:szCs w:val="18"/>
          <w:color w:val="auto"/>
        </w:rPr>
      </w:pPr>
    </w:p>
    <w:p>
      <w:pPr>
        <w:jc w:val="both"/>
        <w:ind w:left="1540" w:hanging="511"/>
        <w:spacing w:after="0" w:line="237" w:lineRule="auto"/>
        <w:tabs>
          <w:tab w:leader="none" w:pos="1904" w:val="left"/>
        </w:tabs>
        <w:numPr>
          <w:ilvl w:val="1"/>
          <w:numId w:val="636"/>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or, as the case may be, the Parent Group and unaudited Semi-Annual Financial Statements for the Group or, as the case may be, the Parent Group, valuations addressed to the Agent of each Fleet Vessel, each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cost and expense of the Obligors and showing the value of each such Fleet Vessel as of the date of the relevant financial statements to which they relate (and for such purposes, the provisions of such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xml:space="preserve">) shall apply to each such Fleet Vessel and this paragraph 19.2(a)(ii)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each such Fleet Vessel was a Ship).</w:t>
      </w:r>
    </w:p>
    <w:p>
      <w:pPr>
        <w:spacing w:after="0" w:line="191" w:lineRule="exact"/>
        <w:rPr>
          <w:rFonts w:ascii="Arial" w:cs="Arial" w:eastAsia="Arial" w:hAnsi="Arial"/>
          <w:sz w:val="18"/>
          <w:szCs w:val="18"/>
          <w:color w:val="auto"/>
        </w:rPr>
      </w:pPr>
    </w:p>
    <w:p>
      <w:pPr>
        <w:jc w:val="both"/>
        <w:ind w:left="1020" w:hanging="512"/>
        <w:spacing w:after="0"/>
        <w:tabs>
          <w:tab w:leader="none" w:pos="13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(if GasLog is an Active Guarantor) and/or, as the case may be, 20.5 (</w:t>
      </w:r>
      <w:r>
        <w:rPr>
          <w:rFonts w:ascii="Arial" w:cs="Arial" w:eastAsia="Arial" w:hAnsi="Arial"/>
          <w:sz w:val="18"/>
          <w:szCs w:val="18"/>
          <w:i w:val="1"/>
          <w:iCs w:val="1"/>
          <w:color w:val="auto"/>
        </w:rPr>
        <w:t>Parent Group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w:t>
      </w:r>
      <w:r>
        <w:rPr>
          <w:rFonts w:ascii="Arial" w:cs="Arial" w:eastAsia="Arial" w:hAnsi="Arial"/>
          <w:sz w:val="18"/>
          <w:szCs w:val="18"/>
          <w:color w:val="auto"/>
        </w:rPr>
        <w:t>) (if the Parent is an Active Guarantor).</w:t>
      </w:r>
    </w:p>
    <w:p>
      <w:pPr>
        <w:spacing w:after="0" w:line="189" w:lineRule="exact"/>
        <w:rPr>
          <w:rFonts w:ascii="Arial" w:cs="Arial" w:eastAsia="Arial" w:hAnsi="Arial"/>
          <w:sz w:val="18"/>
          <w:szCs w:val="18"/>
          <w:color w:val="auto"/>
        </w:rPr>
      </w:pPr>
    </w:p>
    <w:p>
      <w:pPr>
        <w:jc w:val="both"/>
        <w:ind w:left="1020" w:hanging="512"/>
        <w:spacing w:after="0"/>
        <w:tabs>
          <w:tab w:leader="none" w:pos="1222" w:val="left"/>
        </w:tabs>
        <w:numPr>
          <w:ilvl w:val="0"/>
          <w:numId w:val="636"/>
        </w:numPr>
        <w:rPr>
          <w:rFonts w:ascii="Arial" w:cs="Arial" w:eastAsia="Arial" w:hAnsi="Arial"/>
          <w:sz w:val="18"/>
          <w:szCs w:val="18"/>
          <w:color w:val="auto"/>
        </w:rPr>
      </w:pPr>
      <w:r>
        <w:rPr>
          <w:rFonts w:ascii="Arial" w:cs="Arial" w:eastAsia="Arial" w:hAnsi="Arial"/>
          <w:sz w:val="18"/>
          <w:szCs w:val="18"/>
          <w:color w:val="auto"/>
        </w:rPr>
        <w:t>Each Compliance Certificate in respect of an Active Guarantor shall be signed by the chief executive officer of each relevant Active Guarantor or by the chief financial officer of each relevant Active Guarantor, or, in his or her absence, by any other duly authorised director of each relevant Active Guarantor.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7"/>
          <w:szCs w:val="17"/>
          <w:b w:val="1"/>
          <w:bCs w:val="1"/>
          <w:color w:val="auto"/>
        </w:rPr>
        <w:t>Requirements as to financial statements</w:t>
      </w:r>
    </w:p>
    <w:p>
      <w:pPr>
        <w:spacing w:after="0" w:line="202" w:lineRule="exact"/>
        <w:rPr>
          <w:sz w:val="20"/>
          <w:szCs w:val="20"/>
          <w:color w:val="auto"/>
        </w:rPr>
      </w:pPr>
    </w:p>
    <w:p>
      <w:pPr>
        <w:jc w:val="both"/>
        <w:ind w:left="1020" w:hanging="512"/>
        <w:spacing w:after="0" w:line="250" w:lineRule="auto"/>
        <w:tabs>
          <w:tab w:leader="none" w:pos="1327"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and the Parent Group shall be audited by the Auditors.</w:t>
      </w:r>
    </w:p>
    <w:p>
      <w:pPr>
        <w:spacing w:after="0" w:line="163" w:lineRule="exact"/>
        <w:rPr>
          <w:rFonts w:ascii="Arial" w:cs="Arial" w:eastAsia="Arial" w:hAnsi="Arial"/>
          <w:sz w:val="18"/>
          <w:szCs w:val="18"/>
          <w:color w:val="auto"/>
        </w:rPr>
      </w:pPr>
    </w:p>
    <w:p>
      <w:pPr>
        <w:ind w:left="1040" w:hanging="532"/>
        <w:spacing w:after="0"/>
        <w:tabs>
          <w:tab w:leader="none" w:pos="104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16" w:lineRule="exact"/>
        <w:rPr>
          <w:rFonts w:ascii="Arial" w:cs="Arial" w:eastAsia="Arial" w:hAnsi="Arial"/>
          <w:sz w:val="18"/>
          <w:szCs w:val="18"/>
          <w:color w:val="auto"/>
        </w:rPr>
      </w:pPr>
    </w:p>
    <w:p>
      <w:pPr>
        <w:ind w:left="1560" w:hanging="531"/>
        <w:spacing w:after="0"/>
        <w:tabs>
          <w:tab w:leader="none" w:pos="1560" w:val="left"/>
        </w:tabs>
        <w:numPr>
          <w:ilvl w:val="1"/>
          <w:numId w:val="637"/>
        </w:numPr>
        <w:rPr>
          <w:rFonts w:ascii="Arial" w:cs="Arial" w:eastAsia="Arial" w:hAnsi="Arial"/>
          <w:sz w:val="18"/>
          <w:szCs w:val="18"/>
          <w:color w:val="auto"/>
        </w:rPr>
      </w:pPr>
      <w:r>
        <w:rPr>
          <w:rFonts w:ascii="Arial" w:cs="Arial" w:eastAsia="Arial" w:hAnsi="Arial"/>
          <w:sz w:val="18"/>
          <w:szCs w:val="18"/>
          <w:color w:val="auto"/>
        </w:rPr>
        <w:t>in the case only of the Parent, be prepared in accordance with GAAP;</w:t>
      </w:r>
    </w:p>
    <w:p>
      <w:pPr>
        <w:spacing w:after="0" w:line="198" w:lineRule="exact"/>
        <w:rPr>
          <w:rFonts w:ascii="Arial" w:cs="Arial" w:eastAsia="Arial" w:hAnsi="Arial"/>
          <w:sz w:val="18"/>
          <w:szCs w:val="18"/>
          <w:color w:val="auto"/>
        </w:rPr>
      </w:pPr>
    </w:p>
    <w:p>
      <w:pPr>
        <w:jc w:val="both"/>
        <w:ind w:left="1540" w:hanging="511"/>
        <w:spacing w:after="0"/>
        <w:tabs>
          <w:tab w:leader="none" w:pos="1553" w:val="left"/>
        </w:tabs>
        <w:numPr>
          <w:ilvl w:val="1"/>
          <w:numId w:val="637"/>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represent (in other cases), the financial condition and operations of the Group or (as the case may be) the Parent Group or the relevant Obligor, as at the date as at which those financial statements were drawn up;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8" w:name="page239"/>
    <w:bookmarkEnd w:id="238"/>
    <w:p>
      <w:pPr>
        <w:ind w:left="1560" w:hanging="531"/>
        <w:spacing w:after="0"/>
        <w:tabs>
          <w:tab w:leader="none" w:pos="156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180" w:lineRule="exact"/>
        <w:rPr>
          <w:rFonts w:ascii="Arial" w:cs="Arial" w:eastAsia="Arial" w:hAnsi="Arial"/>
          <w:sz w:val="18"/>
          <w:szCs w:val="18"/>
          <w:color w:val="auto"/>
        </w:rPr>
      </w:pPr>
    </w:p>
    <w:p>
      <w:pPr>
        <w:jc w:val="both"/>
        <w:ind w:left="1020" w:hanging="512"/>
        <w:spacing w:after="0" w:line="245" w:lineRule="auto"/>
        <w:tabs>
          <w:tab w:leader="none" w:pos="107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Borrowers notify the Agent that there has been a change in GAAP or the accounting practices and the Auditors deliver to the Agent:</w:t>
      </w:r>
    </w:p>
    <w:p>
      <w:pPr>
        <w:spacing w:after="0" w:line="185" w:lineRule="exact"/>
        <w:rPr>
          <w:rFonts w:ascii="Arial" w:cs="Arial" w:eastAsia="Arial" w:hAnsi="Arial"/>
          <w:sz w:val="18"/>
          <w:szCs w:val="18"/>
          <w:color w:val="auto"/>
        </w:rPr>
      </w:pPr>
    </w:p>
    <w:p>
      <w:pPr>
        <w:ind w:left="1540" w:hanging="511"/>
        <w:spacing w:after="0" w:line="246" w:lineRule="auto"/>
        <w:tabs>
          <w:tab w:leader="none" w:pos="1783"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83" w:lineRule="exact"/>
        <w:rPr>
          <w:sz w:val="20"/>
          <w:szCs w:val="20"/>
          <w:color w:val="auto"/>
        </w:rPr>
      </w:pPr>
    </w:p>
    <w:p>
      <w:pPr>
        <w:jc w:val="both"/>
        <w:ind w:left="1540" w:hanging="511"/>
        <w:spacing w:after="0"/>
        <w:tabs>
          <w:tab w:leader="none" w:pos="1864" w:val="left"/>
        </w:tabs>
        <w:numPr>
          <w:ilvl w:val="0"/>
          <w:numId w:val="640"/>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to make an accurate comparison between the financial position indicated in those financial statements and the Original Financial Statements.</w:t>
      </w:r>
    </w:p>
    <w:p>
      <w:pPr>
        <w:spacing w:after="0" w:line="189"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Year-end</w:t>
      </w:r>
    </w:p>
    <w:p>
      <w:pPr>
        <w:spacing w:after="0" w:line="220" w:lineRule="exact"/>
        <w:rPr>
          <w:sz w:val="20"/>
          <w:szCs w:val="20"/>
          <w:color w:val="auto"/>
        </w:rPr>
      </w:pPr>
    </w:p>
    <w:p>
      <w:pPr>
        <w:ind w:left="1060" w:hanging="552"/>
        <w:spacing w:after="0"/>
        <w:tabs>
          <w:tab w:leader="none" w:pos="106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Borrowers shall procure that each financial year-end of each Obligor falls on the Accounting Reference Date.</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Borrowers shall procure that each accounting period ends on an accounting date.</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Information: miscellaneous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supply to the Agent (and the Agent shall supply to each Lender):</w:t>
      </w:r>
    </w:p>
    <w:p>
      <w:pPr>
        <w:spacing w:after="0" w:line="198" w:lineRule="exact"/>
        <w:rPr>
          <w:sz w:val="20"/>
          <w:szCs w:val="20"/>
          <w:color w:val="auto"/>
        </w:rPr>
      </w:pPr>
    </w:p>
    <w:p>
      <w:pPr>
        <w:ind w:left="1020" w:hanging="512"/>
        <w:spacing w:after="0" w:line="246" w:lineRule="auto"/>
        <w:tabs>
          <w:tab w:leader="none" w:pos="140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83" w:lineRule="exact"/>
        <w:rPr>
          <w:rFonts w:ascii="Arial" w:cs="Arial" w:eastAsia="Arial" w:hAnsi="Arial"/>
          <w:sz w:val="18"/>
          <w:szCs w:val="18"/>
          <w:color w:val="auto"/>
        </w:rPr>
      </w:pPr>
    </w:p>
    <w:p>
      <w:pPr>
        <w:jc w:val="both"/>
        <w:ind w:left="1020" w:hanging="512"/>
        <w:spacing w:after="0"/>
        <w:tabs>
          <w:tab w:leader="none" w:pos="1476"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189" w:lineRule="exact"/>
        <w:rPr>
          <w:rFonts w:ascii="Arial" w:cs="Arial" w:eastAsia="Arial" w:hAnsi="Arial"/>
          <w:sz w:val="18"/>
          <w:szCs w:val="18"/>
          <w:color w:val="auto"/>
        </w:rPr>
      </w:pPr>
    </w:p>
    <w:p>
      <w:pPr>
        <w:ind w:left="1020" w:hanging="512"/>
        <w:spacing w:after="0" w:line="246" w:lineRule="auto"/>
        <w:tabs>
          <w:tab w:leader="none" w:pos="1371"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 or, as the case maybe, any Parent Group Member;</w:t>
      </w:r>
    </w:p>
    <w:p>
      <w:pPr>
        <w:spacing w:after="0" w:line="183" w:lineRule="exact"/>
        <w:rPr>
          <w:rFonts w:ascii="Arial" w:cs="Arial" w:eastAsia="Arial" w:hAnsi="Arial"/>
          <w:sz w:val="18"/>
          <w:szCs w:val="18"/>
          <w:color w:val="auto"/>
        </w:rPr>
      </w:pPr>
    </w:p>
    <w:p>
      <w:pPr>
        <w:ind w:left="1020" w:hanging="512"/>
        <w:spacing w:after="0" w:line="246" w:lineRule="auto"/>
        <w:tabs>
          <w:tab w:leader="none" w:pos="1206"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 and</w:t>
      </w:r>
    </w:p>
    <w:p>
      <w:pPr>
        <w:spacing w:after="0" w:line="183" w:lineRule="exact"/>
        <w:rPr>
          <w:rFonts w:ascii="Arial" w:cs="Arial" w:eastAsia="Arial" w:hAnsi="Arial"/>
          <w:sz w:val="18"/>
          <w:szCs w:val="18"/>
          <w:color w:val="auto"/>
        </w:rPr>
      </w:pPr>
    </w:p>
    <w:p>
      <w:pPr>
        <w:ind w:left="1020" w:hanging="512"/>
        <w:spacing w:after="0" w:line="246" w:lineRule="auto"/>
        <w:tabs>
          <w:tab w:leader="none" w:pos="1246"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 from time to time,</w:t>
      </w:r>
    </w:p>
    <w:p>
      <w:pPr>
        <w:spacing w:after="0" w:line="183"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b w:val="1"/>
          <w:bCs w:val="1"/>
          <w:color w:val="auto"/>
        </w:rPr>
        <w:t>Notification of Default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9" w:name="page240"/>
    <w:bookmarkEnd w:id="239"/>
    <w:p>
      <w:pPr>
        <w:jc w:val="both"/>
        <w:ind w:left="520"/>
        <w:spacing w:after="0"/>
        <w:rPr>
          <w:sz w:val="20"/>
          <w:szCs w:val="20"/>
          <w:color w:val="auto"/>
        </w:rPr>
      </w:pPr>
      <w:r>
        <w:rPr>
          <w:rFonts w:ascii="Arial" w:cs="Arial" w:eastAsia="Arial" w:hAnsi="Arial"/>
          <w:sz w:val="18"/>
          <w:szCs w:val="18"/>
          <w:color w:val="auto"/>
        </w:rPr>
        <w:t>The Borrowers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7"/>
          <w:szCs w:val="17"/>
          <w:b w:val="1"/>
          <w:bCs w:val="1"/>
          <w:color w:val="auto"/>
        </w:rPr>
        <w:t>Sufficient copies</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Borrowers, if so requested by the Agent, shall deliver sufficient copies of each document to be supplied under the Finance Documents to the Agent to distribute to each of the Lenders and the Hedging Providers.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7"/>
          <w:szCs w:val="17"/>
          <w:b w:val="1"/>
          <w:bCs w:val="1"/>
          <w:color w:val="auto"/>
        </w:rPr>
        <w:t>Use of websites</w:t>
      </w:r>
    </w:p>
    <w:p>
      <w:pPr>
        <w:spacing w:after="0" w:line="220" w:lineRule="exact"/>
        <w:rPr>
          <w:sz w:val="20"/>
          <w:szCs w:val="20"/>
          <w:color w:val="auto"/>
        </w:rPr>
      </w:pPr>
    </w:p>
    <w:p>
      <w:pPr>
        <w:jc w:val="both"/>
        <w:ind w:left="1020" w:hanging="512"/>
        <w:spacing w:after="0"/>
        <w:tabs>
          <w:tab w:leader="none" w:pos="1287" w:val="left"/>
        </w:tabs>
        <w:numPr>
          <w:ilvl w:val="0"/>
          <w:numId w:val="643"/>
        </w:numPr>
        <w:rPr>
          <w:rFonts w:ascii="Arial" w:cs="Arial" w:eastAsia="Arial" w:hAnsi="Arial"/>
          <w:sz w:val="18"/>
          <w:szCs w:val="18"/>
          <w:color w:val="auto"/>
        </w:rPr>
      </w:pPr>
      <w:r>
        <w:rPr>
          <w:rFonts w:ascii="Arial" w:cs="Arial" w:eastAsia="Arial" w:hAnsi="Arial"/>
          <w:sz w:val="18"/>
          <w:szCs w:val="18"/>
          <w:color w:val="auto"/>
        </w:rPr>
        <w:t xml:space="preserve">The Borrowers may satisfy their obligation under this Agreement to deliver any information in relation to those Lenders (the </w:t>
      </w:r>
      <w:r>
        <w:rPr>
          <w:rFonts w:ascii="Arial" w:cs="Arial" w:eastAsia="Arial" w:hAnsi="Arial"/>
          <w:sz w:val="18"/>
          <w:szCs w:val="18"/>
          <w:b w:val="1"/>
          <w:bCs w:val="1"/>
          <w:color w:val="auto"/>
        </w:rPr>
        <w:t>Website Lenders</w:t>
      </w:r>
      <w:r>
        <w:rPr>
          <w:rFonts w:ascii="Arial" w:cs="Arial" w:eastAsia="Arial" w:hAnsi="Arial"/>
          <w:sz w:val="18"/>
          <w:szCs w:val="18"/>
          <w:color w:val="auto"/>
        </w:rPr>
        <w:t>) who accept this method of communication by posting this information onto an electronic website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Borrowers 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89" w:lineRule="exact"/>
        <w:rPr>
          <w:rFonts w:ascii="Arial" w:cs="Arial" w:eastAsia="Arial" w:hAnsi="Arial"/>
          <w:sz w:val="18"/>
          <w:szCs w:val="18"/>
          <w:color w:val="auto"/>
        </w:rPr>
      </w:pPr>
    </w:p>
    <w:p>
      <w:pPr>
        <w:jc w:val="both"/>
        <w:ind w:left="1540" w:hanging="511"/>
        <w:spacing w:after="0"/>
        <w:tabs>
          <w:tab w:leader="none" w:pos="1832"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 (the Parties agree that a Designated Website can be used for the purposes of the provision of information required under clause 22.13 (</w:t>
      </w:r>
      <w:r>
        <w:rPr>
          <w:rFonts w:ascii="Arial" w:cs="Arial" w:eastAsia="Arial" w:hAnsi="Arial"/>
          <w:sz w:val="18"/>
          <w:szCs w:val="18"/>
          <w:i w:val="1"/>
          <w:iCs w:val="1"/>
          <w:color w:val="auto"/>
        </w:rPr>
        <w:t>Poseidon Principles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540" w:hanging="511"/>
        <w:spacing w:after="0" w:line="246" w:lineRule="auto"/>
        <w:tabs>
          <w:tab w:leader="none" w:pos="1809" w:val="left"/>
        </w:tabs>
        <w:numPr>
          <w:ilvl w:val="1"/>
          <w:numId w:val="643"/>
        </w:numPr>
        <w:rPr>
          <w:rFonts w:ascii="Arial" w:cs="Arial" w:eastAsia="Arial" w:hAnsi="Arial"/>
          <w:sz w:val="18"/>
          <w:szCs w:val="18"/>
          <w:color w:val="auto"/>
        </w:rPr>
      </w:pPr>
      <w:r>
        <w:rPr>
          <w:rFonts w:ascii="Arial" w:cs="Arial" w:eastAsia="Arial" w:hAnsi="Arial"/>
          <w:sz w:val="18"/>
          <w:szCs w:val="18"/>
          <w:color w:val="auto"/>
        </w:rPr>
        <w:t>both the Borrowers and the Agent are aware of the address of and any relevant password specifications for the Designated Website; and</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Borrowers and the Agent.</w:t>
      </w:r>
    </w:p>
    <w:p>
      <w:pPr>
        <w:spacing w:after="0" w:line="176"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color w:val="auto"/>
        </w:rPr>
        <w:t xml:space="preserve">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Borrowers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182" w:lineRule="exact"/>
        <w:rPr>
          <w:sz w:val="20"/>
          <w:szCs w:val="20"/>
          <w:color w:val="auto"/>
        </w:rPr>
      </w:pPr>
    </w:p>
    <w:p>
      <w:pPr>
        <w:ind w:left="1020" w:hanging="512"/>
        <w:spacing w:after="0" w:line="246" w:lineRule="auto"/>
        <w:tabs>
          <w:tab w:leader="none" w:pos="1152"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Borrowers and the Agent.</w:t>
      </w:r>
    </w:p>
    <w:p>
      <w:pPr>
        <w:spacing w:after="0" w:line="183" w:lineRule="exact"/>
        <w:rPr>
          <w:rFonts w:ascii="Arial" w:cs="Arial" w:eastAsia="Arial" w:hAnsi="Arial"/>
          <w:sz w:val="18"/>
          <w:szCs w:val="18"/>
          <w:color w:val="auto"/>
        </w:rPr>
      </w:pPr>
    </w:p>
    <w:p>
      <w:pPr>
        <w:ind w:left="1020" w:hanging="512"/>
        <w:spacing w:after="0" w:line="246" w:lineRule="auto"/>
        <w:tabs>
          <w:tab w:leader="none" w:pos="1155"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of its occurrence notify the Agent (and the Agent shall notify each Lender) if:</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198" w:lineRule="exact"/>
        <w:rPr>
          <w:rFonts w:ascii="Arial" w:cs="Arial" w:eastAsia="Arial" w:hAnsi="Arial"/>
          <w:sz w:val="18"/>
          <w:szCs w:val="18"/>
          <w:color w:val="auto"/>
        </w:rPr>
      </w:pPr>
    </w:p>
    <w:p>
      <w:pPr>
        <w:ind w:left="1580" w:hanging="551"/>
        <w:spacing w:after="0"/>
        <w:tabs>
          <w:tab w:leader="none" w:pos="158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198" w:lineRule="exact"/>
        <w:rPr>
          <w:rFonts w:ascii="Arial" w:cs="Arial" w:eastAsia="Arial" w:hAnsi="Arial"/>
          <w:sz w:val="18"/>
          <w:szCs w:val="18"/>
          <w:color w:val="auto"/>
        </w:rPr>
      </w:pPr>
    </w:p>
    <w:p>
      <w:pPr>
        <w:ind w:left="1620" w:hanging="591"/>
        <w:spacing w:after="0"/>
        <w:tabs>
          <w:tab w:leader="none" w:pos="162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701"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any existing information which has been provided under this Agreement and posted onto the Designated Website is amended; or</w:t>
      </w:r>
    </w:p>
    <w:p>
      <w:pPr>
        <w:spacing w:after="0" w:line="183" w:lineRule="exact"/>
        <w:rPr>
          <w:rFonts w:ascii="Arial" w:cs="Arial" w:eastAsia="Arial" w:hAnsi="Arial"/>
          <w:sz w:val="18"/>
          <w:szCs w:val="18"/>
          <w:color w:val="auto"/>
        </w:rPr>
      </w:pPr>
    </w:p>
    <w:p>
      <w:pPr>
        <w:ind w:left="1540" w:hanging="511"/>
        <w:spacing w:after="0" w:line="246" w:lineRule="auto"/>
        <w:tabs>
          <w:tab w:leader="none" w:pos="1616"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any Borrower becomes aware that the Designated Website or any information posted onto the Designated Website is or has been infected by any electronic virus or similar software.</w:t>
      </w:r>
    </w:p>
    <w:p>
      <w:pPr>
        <w:spacing w:after="0" w:line="183"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If the Borrowers notify the Agent under paragraphs 19.8(c)(i) or (v) above, all information to be provided by the Borrowers under this Agreement after the date of that notice shall be supplied in paper form unless and until the Agent and each Website Lender is satisfied that the circumstances giving rise to the notification are no longer continuing.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0" w:name="page241"/>
    <w:bookmarkEnd w:id="240"/>
    <w:p>
      <w:pPr>
        <w:jc w:val="both"/>
        <w:ind w:left="1020" w:hanging="512"/>
        <w:spacing w:after="0"/>
        <w:tabs>
          <w:tab w:leader="none" w:pos="1273" w:val="left"/>
        </w:tabs>
        <w:numPr>
          <w:ilvl w:val="0"/>
          <w:numId w:val="645"/>
        </w:numPr>
        <w:rPr>
          <w:rFonts w:ascii="Arial" w:cs="Arial" w:eastAsia="Arial" w:hAnsi="Arial"/>
          <w:sz w:val="18"/>
          <w:szCs w:val="18"/>
          <w:color w:val="auto"/>
        </w:rPr>
      </w:pPr>
      <w:r>
        <w:rPr>
          <w:rFonts w:ascii="Arial" w:cs="Arial" w:eastAsia="Arial" w:hAnsi="Arial"/>
          <w:sz w:val="18"/>
          <w:szCs w:val="18"/>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b w:val="1"/>
          <w:bCs w:val="1"/>
          <w:color w:val="auto"/>
        </w:rPr>
        <w:t>“Know your customer” checks</w:t>
      </w:r>
    </w:p>
    <w:p>
      <w:pPr>
        <w:spacing w:after="0" w:line="220" w:lineRule="exact"/>
        <w:rPr>
          <w:sz w:val="20"/>
          <w:szCs w:val="20"/>
          <w:color w:val="auto"/>
        </w:rPr>
      </w:pPr>
    </w:p>
    <w:p>
      <w:pPr>
        <w:ind w:left="1060" w:hanging="552"/>
        <w:spacing w:after="0"/>
        <w:tabs>
          <w:tab w:leader="none" w:pos="10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540" w:hanging="511"/>
        <w:spacing w:after="0" w:line="246" w:lineRule="auto"/>
        <w:tabs>
          <w:tab w:leader="none" w:pos="1662"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83" w:lineRule="exact"/>
        <w:rPr>
          <w:rFonts w:ascii="Arial" w:cs="Arial" w:eastAsia="Arial" w:hAnsi="Arial"/>
          <w:sz w:val="18"/>
          <w:szCs w:val="18"/>
          <w:color w:val="auto"/>
        </w:rPr>
      </w:pPr>
    </w:p>
    <w:p>
      <w:pPr>
        <w:ind w:left="1540" w:hanging="511"/>
        <w:spacing w:after="0" w:line="246" w:lineRule="auto"/>
        <w:tabs>
          <w:tab w:leader="none" w:pos="1985" w:val="left"/>
        </w:tabs>
        <w:numPr>
          <w:ilvl w:val="1"/>
          <w:numId w:val="646"/>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of an Obligor after the date of this Agreement;</w:t>
      </w:r>
    </w:p>
    <w:p>
      <w:pPr>
        <w:spacing w:after="0" w:line="183" w:lineRule="exact"/>
        <w:rPr>
          <w:rFonts w:ascii="Arial" w:cs="Arial" w:eastAsia="Arial" w:hAnsi="Arial"/>
          <w:sz w:val="18"/>
          <w:szCs w:val="18"/>
          <w:color w:val="auto"/>
        </w:rPr>
      </w:pPr>
    </w:p>
    <w:p>
      <w:pPr>
        <w:ind w:left="1540" w:hanging="511"/>
        <w:spacing w:after="0" w:line="246" w:lineRule="auto"/>
        <w:tabs>
          <w:tab w:leader="none" w:pos="1809" w:val="left"/>
        </w:tabs>
        <w:numPr>
          <w:ilvl w:val="1"/>
          <w:numId w:val="646"/>
        </w:numPr>
        <w:rPr>
          <w:rFonts w:ascii="Arial" w:cs="Arial" w:eastAsia="Arial" w:hAnsi="Arial"/>
          <w:sz w:val="18"/>
          <w:szCs w:val="18"/>
          <w:color w:val="auto"/>
        </w:rPr>
      </w:pPr>
      <w:r>
        <w:rPr>
          <w:rFonts w:ascii="Arial" w:cs="Arial" w:eastAsia="Arial" w:hAnsi="Arial"/>
          <w:sz w:val="18"/>
          <w:szCs w:val="18"/>
          <w:color w:val="auto"/>
        </w:rPr>
        <w:t>a proposed assignment by a Lender or a Hedging Provider of any of its rights under this Agreement or any Hedging Contract to a party that is not already a Lender or a Hedging Provider prior to such assignment; 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a Lender’s annual “know your customer” review process,</w:t>
      </w:r>
    </w:p>
    <w:p>
      <w:pPr>
        <w:spacing w:after="0" w:line="19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obliges the Agent, the Security Agent, the relevant Hedging Provider or any Lender (or, in the case of paragraph 19.9(a)</w:t>
      </w:r>
    </w:p>
    <w:p>
      <w:pPr>
        <w:jc w:val="both"/>
        <w:ind w:left="1540" w:hanging="1"/>
        <w:spacing w:after="0" w:line="236" w:lineRule="auto"/>
        <w:tabs>
          <w:tab w:leader="none" w:pos="1890" w:val="left"/>
        </w:tabs>
        <w:numPr>
          <w:ilvl w:val="2"/>
          <w:numId w:val="646"/>
        </w:numPr>
        <w:rPr>
          <w:rFonts w:ascii="Arial" w:cs="Arial" w:eastAsia="Arial" w:hAnsi="Arial"/>
          <w:sz w:val="18"/>
          <w:szCs w:val="18"/>
          <w:color w:val="auto"/>
        </w:rPr>
      </w:pPr>
      <w:r>
        <w:rPr>
          <w:rFonts w:ascii="Arial" w:cs="Arial" w:eastAsia="Arial" w:hAnsi="Arial"/>
          <w:sz w:val="18"/>
          <w:szCs w:val="18"/>
          <w:color w:val="auto"/>
        </w:rPr>
        <w:t>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Lender or any Hedging Provider supply, or procure the supply of, such documentation and other evidence as is reasonably requested by the Agent (for itself or on behalf of any Lender or the Security Agent or any Hedging Provider) or any Lender or the Security Agent or any Hedging Provider (for itself or, in the case of the event described in paragraph 19.9(a)(iii) above, on behalf of any prospective new Lender or any Hedging Provider or the Security Agent) in order for the Agent, the Security Agent, such Lender or the Hedging Provider or, in the case of the event described in paragraph 19.9(a)(iii) above, any prospective new Lender or any Hedging Provider to carry out and be satisfied with the results of all necessary “know your customer” or other similar checks under all applicable laws and regulations pursuant to the transactions contemplated in the Finance Documents.</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179" w:val="left"/>
        </w:tabs>
        <w:numPr>
          <w:ilvl w:val="0"/>
          <w:numId w:val="646"/>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Money Laundering</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Borrowers will:</w:t>
      </w:r>
    </w:p>
    <w:p>
      <w:pPr>
        <w:spacing w:after="0" w:line="198" w:lineRule="exact"/>
        <w:rPr>
          <w:sz w:val="20"/>
          <w:szCs w:val="20"/>
          <w:color w:val="auto"/>
        </w:rPr>
      </w:pPr>
    </w:p>
    <w:p>
      <w:pPr>
        <w:jc w:val="both"/>
        <w:ind w:left="1020" w:hanging="512"/>
        <w:spacing w:after="0" w:line="238" w:lineRule="auto"/>
        <w:tabs>
          <w:tab w:leader="none" w:pos="1165" w:val="left"/>
        </w:tabs>
        <w:numPr>
          <w:ilvl w:val="0"/>
          <w:numId w:val="647"/>
        </w:numPr>
        <w:rPr>
          <w:rFonts w:ascii="Arial" w:cs="Arial" w:eastAsia="Arial" w:hAnsi="Arial"/>
          <w:sz w:val="18"/>
          <w:szCs w:val="18"/>
          <w:color w:val="auto"/>
        </w:rPr>
      </w:pPr>
      <w:r>
        <w:rPr>
          <w:rFonts w:ascii="Arial" w:cs="Arial" w:eastAsia="Arial" w:hAnsi="Arial"/>
          <w:sz w:val="18"/>
          <w:szCs w:val="18"/>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throughout the Facility Period; and</w:t>
      </w:r>
    </w:p>
    <w:p>
      <w:pPr>
        <w:spacing w:after="0" w:line="191" w:lineRule="exact"/>
        <w:rPr>
          <w:rFonts w:ascii="Arial" w:cs="Arial" w:eastAsia="Arial" w:hAnsi="Arial"/>
          <w:sz w:val="18"/>
          <w:szCs w:val="18"/>
          <w:color w:val="auto"/>
        </w:rPr>
      </w:pPr>
    </w:p>
    <w:p>
      <w:pPr>
        <w:jc w:val="both"/>
        <w:ind w:left="1040" w:hanging="526"/>
        <w:spacing w:after="0"/>
        <w:tabs>
          <w:tab w:leader="none" w:pos="1106" w:val="left"/>
        </w:tabs>
        <w:numPr>
          <w:ilvl w:val="0"/>
          <w:numId w:val="647"/>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may or is about to occur or that the person(s) who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1" w:name="page242"/>
    <w:bookmarkEnd w:id="241"/>
    <w:p>
      <w:pPr>
        <w:ind w:left="1040"/>
        <w:spacing w:after="0"/>
        <w:rPr>
          <w:sz w:val="20"/>
          <w:szCs w:val="20"/>
          <w:color w:val="auto"/>
        </w:rPr>
      </w:pPr>
      <w:r>
        <w:rPr>
          <w:rFonts w:ascii="Arial" w:cs="Arial" w:eastAsia="Arial" w:hAnsi="Arial"/>
          <w:sz w:val="18"/>
          <w:szCs w:val="18"/>
          <w:color w:val="auto"/>
        </w:rPr>
        <w:t>have or will receive the commercial benefit of this Agreement have changed from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19.11 Liquidity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Obligors shall procure that there are maintained, at all times throughout the Mortgage Period of each Ship, in the Earnings Account of the Owner of that Ship, minimum cash balances of no less than $1,500,000 (namely, at all times $1,500,000 per Mortgaged Ship).</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20 Financial covenants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20 will be complied with throughout the Facility Period.</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Financial definitions (Group)</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clauses 20 (</w:t>
      </w:r>
      <w:r>
        <w:rPr>
          <w:rFonts w:ascii="Arial" w:cs="Arial" w:eastAsia="Arial" w:hAnsi="Arial"/>
          <w:sz w:val="18"/>
          <w:szCs w:val="18"/>
          <w:i w:val="1"/>
          <w:iCs w:val="1"/>
          <w:color w:val="auto"/>
        </w:rPr>
        <w:t>Financial covenants</w:t>
      </w:r>
      <w:r>
        <w:rPr>
          <w:rFonts w:ascii="Arial" w:cs="Arial" w:eastAsia="Arial" w:hAnsi="Arial"/>
          <w:sz w:val="18"/>
          <w:szCs w:val="18"/>
          <w:color w:val="auto"/>
        </w:rPr>
        <w:t>), 20.1 (</w:t>
      </w:r>
      <w:r>
        <w:rPr>
          <w:rFonts w:ascii="Arial" w:cs="Arial" w:eastAsia="Arial" w:hAnsi="Arial"/>
          <w:sz w:val="18"/>
          <w:szCs w:val="18"/>
          <w:i w:val="1"/>
          <w:iCs w:val="1"/>
          <w:color w:val="auto"/>
        </w:rPr>
        <w:t>Financial definitions (Group)</w:t>
      </w:r>
      <w:r>
        <w:rPr>
          <w:rFonts w:ascii="Arial" w:cs="Arial" w:eastAsia="Arial" w:hAnsi="Arial"/>
          <w:sz w:val="18"/>
          <w:szCs w:val="18"/>
          <w:color w:val="auto"/>
        </w:rPr>
        <w:t>) and 20.3 (</w:t>
      </w:r>
      <w:r>
        <w:rPr>
          <w:rFonts w:ascii="Arial" w:cs="Arial" w:eastAsia="Arial" w:hAnsi="Arial"/>
          <w:sz w:val="18"/>
          <w:szCs w:val="18"/>
          <w:i w:val="1"/>
          <w:iCs w:val="1"/>
          <w:color w:val="auto"/>
        </w:rPr>
        <w:t>Group financial testing</w:t>
      </w:r>
      <w:r>
        <w:rPr>
          <w:rFonts w:ascii="Arial" w:cs="Arial" w:eastAsia="Arial" w:hAnsi="Arial"/>
          <w:sz w:val="18"/>
          <w:szCs w:val="18"/>
          <w:color w:val="auto"/>
        </w:rPr>
        <w: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Debt Service </w:t>
      </w:r>
      <w:r>
        <w:rPr>
          <w:rFonts w:ascii="Arial" w:cs="Arial" w:eastAsia="Arial" w:hAnsi="Arial"/>
          <w:sz w:val="18"/>
          <w:szCs w:val="18"/>
          <w:color w:val="auto"/>
        </w:rPr>
        <w:t>means, in respect of any financial period, the sum to be the aggregate of:</w:t>
      </w:r>
    </w:p>
    <w:p>
      <w:pPr>
        <w:spacing w:after="0" w:line="220" w:lineRule="exact"/>
        <w:rPr>
          <w:sz w:val="20"/>
          <w:szCs w:val="20"/>
          <w:color w:val="auto"/>
        </w:rPr>
      </w:pPr>
    </w:p>
    <w:p>
      <w:pPr>
        <w:ind w:left="1060" w:hanging="552"/>
        <w:spacing w:after="0"/>
        <w:tabs>
          <w:tab w:leader="none" w:pos="10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scheduled amounts of principal; and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scheduled amounts of interest thereon; and</w:t>
      </w:r>
    </w:p>
    <w:p>
      <w:pPr>
        <w:spacing w:after="0" w:line="198" w:lineRule="exact"/>
        <w:rPr>
          <w:rFonts w:ascii="Arial" w:cs="Arial" w:eastAsia="Arial" w:hAnsi="Arial"/>
          <w:sz w:val="18"/>
          <w:szCs w:val="18"/>
          <w:color w:val="auto"/>
        </w:rPr>
      </w:pPr>
    </w:p>
    <w:p>
      <w:pPr>
        <w:ind w:left="1020" w:hanging="512"/>
        <w:spacing w:after="0" w:line="246" w:lineRule="auto"/>
        <w:tabs>
          <w:tab w:leader="none" w:pos="1452" w:val="left"/>
        </w:tabs>
        <w:numPr>
          <w:ilvl w:val="0"/>
          <w:numId w:val="648"/>
        </w:numPr>
        <w:rPr>
          <w:rFonts w:ascii="Arial" w:cs="Arial" w:eastAsia="Arial" w:hAnsi="Arial"/>
          <w:sz w:val="18"/>
          <w:szCs w:val="18"/>
          <w:color w:val="auto"/>
        </w:rPr>
      </w:pPr>
      <w:r>
        <w:rPr>
          <w:rFonts w:ascii="Arial" w:cs="Arial" w:eastAsia="Arial" w:hAnsi="Arial"/>
          <w:sz w:val="18"/>
          <w:szCs w:val="18"/>
          <w:color w:val="auto"/>
        </w:rPr>
        <w:t>all other amounts in excess of $30,000,000 per such financial period payable as non-recurring or upfront fees, cost and expenses in connection with the Group Total Indebtedness,</w:t>
      </w:r>
    </w:p>
    <w:p>
      <w:pPr>
        <w:spacing w:after="0" w:line="183"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which in each case fell due and was paid by GasLog and its Subsidiaries in such period in respect of Group Total Indebtedness, as shown in the then most recent Group Financial Statements relevant to such period.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w:t>
      </w:r>
    </w:p>
    <w:p>
      <w:pPr>
        <w:spacing w:after="0" w:line="220" w:lineRule="exact"/>
        <w:rPr>
          <w:sz w:val="20"/>
          <w:szCs w:val="20"/>
          <w:color w:val="auto"/>
        </w:rPr>
      </w:pPr>
    </w:p>
    <w:p>
      <w:pPr>
        <w:ind w:left="1020" w:hanging="512"/>
        <w:spacing w:after="0" w:line="246" w:lineRule="auto"/>
        <w:tabs>
          <w:tab w:leader="none" w:pos="1422"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adjusted to exclude Interest Receivable and Interest Payable and other similar income or costs to the extent not already excluded;</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 and</w:t>
      </w:r>
    </w:p>
    <w:p>
      <w:pPr>
        <w:spacing w:after="0" w:line="198"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176"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b w:val="1"/>
          <w:bCs w:val="1"/>
          <w:color w:val="auto"/>
        </w:rPr>
        <w:t xml:space="preserve">Group Cash and Cash Equivalents </w:t>
      </w:r>
      <w:r>
        <w:rPr>
          <w:rFonts w:ascii="Arial" w:cs="Arial" w:eastAsia="Arial" w:hAnsi="Arial"/>
          <w:sz w:val="18"/>
          <w:szCs w:val="18"/>
          <w:color w:val="auto"/>
        </w:rPr>
        <w:t>means (a) cash and cash equivalents and (b) short term investments as set forth in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which are readily convertible into known amounts of cash and with original maturities of six months or less, but excluding, for the avoidance of doubt, in each case cash and other amounts set forth as “restricted cash” in the Group Financial Statements.</w:t>
      </w:r>
    </w:p>
    <w:p>
      <w:pPr>
        <w:spacing w:after="0" w:line="160"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Group Current Portion of Loans </w:t>
      </w:r>
      <w:r>
        <w:rPr>
          <w:rFonts w:ascii="Arial" w:cs="Arial" w:eastAsia="Arial" w:hAnsi="Arial"/>
          <w:sz w:val="18"/>
          <w:szCs w:val="18"/>
          <w:color w:val="auto"/>
        </w:rPr>
        <w:t>means, at any time, the “Borrowings, current portion” and “Lease Liability, current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Group as shown in the then most recent Group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2" w:name="page243"/>
    <w:bookmarkEnd w:id="242"/>
    <w:p>
      <w:pPr>
        <w:jc w:val="both"/>
        <w:ind w:left="12"/>
        <w:spacing w:after="0" w:line="271" w:lineRule="auto"/>
        <w:rPr>
          <w:sz w:val="20"/>
          <w:szCs w:val="20"/>
          <w:color w:val="auto"/>
        </w:rPr>
      </w:pPr>
      <w:r>
        <w:rPr>
          <w:rFonts w:ascii="Arial" w:cs="Arial" w:eastAsia="Arial" w:hAnsi="Arial"/>
          <w:sz w:val="18"/>
          <w:szCs w:val="18"/>
          <w:b w:val="1"/>
          <w:bCs w:val="1"/>
          <w:color w:val="auto"/>
        </w:rPr>
        <w:t xml:space="preserve">Group Current Assets </w:t>
      </w:r>
      <w:r>
        <w:rPr>
          <w:rFonts w:ascii="Arial" w:cs="Arial" w:eastAsia="Arial" w:hAnsi="Arial"/>
          <w:sz w:val="18"/>
          <w:szCs w:val="18"/>
          <w:color w:val="auto"/>
        </w:rPr>
        <w:t>means, at any time, “Current Assets” of the Group as shown in the then most recent Group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w:t>
      </w:r>
    </w:p>
    <w:p>
      <w:pPr>
        <w:spacing w:after="0" w:line="140"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Group Current Liabilities </w:t>
      </w:r>
      <w:r>
        <w:rPr>
          <w:rFonts w:ascii="Arial" w:cs="Arial" w:eastAsia="Arial" w:hAnsi="Arial"/>
          <w:sz w:val="18"/>
          <w:szCs w:val="18"/>
          <w:color w:val="auto"/>
        </w:rPr>
        <w:t>means, at any time, the “Current Liabilities” of the Group as shown in the Group Financial Statements.</w:t>
      </w:r>
    </w:p>
    <w:p>
      <w:pPr>
        <w:spacing w:after="0" w:line="198" w:lineRule="exact"/>
        <w:rPr>
          <w:sz w:val="20"/>
          <w:szCs w:val="20"/>
          <w:color w:val="auto"/>
        </w:rPr>
      </w:pPr>
    </w:p>
    <w:p>
      <w:pPr>
        <w:jc w:val="both"/>
        <w:ind w:left="12" w:right="20"/>
        <w:spacing w:after="0" w:line="271" w:lineRule="auto"/>
        <w:rPr>
          <w:sz w:val="20"/>
          <w:szCs w:val="20"/>
          <w:color w:val="auto"/>
        </w:rPr>
      </w:pPr>
      <w:r>
        <w:rPr>
          <w:rFonts w:ascii="Arial" w:cs="Arial" w:eastAsia="Arial" w:hAnsi="Arial"/>
          <w:sz w:val="18"/>
          <w:szCs w:val="18"/>
          <w:b w:val="1"/>
          <w:bCs w:val="1"/>
          <w:color w:val="auto"/>
        </w:rPr>
        <w:t xml:space="preserve">Group Financial Statements </w:t>
      </w:r>
      <w:r>
        <w:rPr>
          <w:rFonts w:ascii="Arial" w:cs="Arial" w:eastAsia="Arial" w:hAnsi="Arial"/>
          <w:sz w:val="18"/>
          <w:szCs w:val="18"/>
          <w:color w:val="auto"/>
        </w:rPr>
        <w:t>means any of the Annual Financial Statements and the Semi-Annual Financial Statements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Group Market Adjusted Net Worth </w:t>
      </w:r>
      <w:r>
        <w:rPr>
          <w:rFonts w:ascii="Arial" w:cs="Arial" w:eastAsia="Arial" w:hAnsi="Arial"/>
          <w:sz w:val="18"/>
          <w:szCs w:val="18"/>
          <w:color w:val="auto"/>
        </w:rPr>
        <w:t>means, at any time, Group Total Market Adjusted Assets less Group Total Indebtedness.</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Group Maximum Leverage </w:t>
      </w:r>
      <w:r>
        <w:rPr>
          <w:rFonts w:ascii="Arial" w:cs="Arial" w:eastAsia="Arial" w:hAnsi="Arial"/>
          <w:sz w:val="18"/>
          <w:szCs w:val="18"/>
          <w:color w:val="auto"/>
        </w:rPr>
        <w:t>means, at any time, the figure calculated using the following formula:</w:t>
      </w:r>
    </w:p>
    <w:p>
      <w:pPr>
        <w:spacing w:after="0" w:line="176" w:lineRule="exact"/>
        <w:rPr>
          <w:sz w:val="20"/>
          <w:szCs w:val="20"/>
          <w:color w:val="auto"/>
        </w:rPr>
      </w:pPr>
    </w:p>
    <w:p>
      <w:pPr>
        <w:ind w:left="5492"/>
        <w:spacing w:after="0"/>
        <w:rPr>
          <w:sz w:val="20"/>
          <w:szCs w:val="20"/>
          <w:color w:val="auto"/>
        </w:rPr>
      </w:pPr>
      <w:r>
        <w:rPr>
          <w:rFonts w:ascii="Arial" w:cs="Arial" w:eastAsia="Arial" w:hAnsi="Arial"/>
          <w:sz w:val="18"/>
          <w:szCs w:val="18"/>
          <w:b w:val="1"/>
          <w:bCs w:val="1"/>
          <w:color w:val="auto"/>
        </w:rPr>
        <w:t>Group Total Indebtedness</w:t>
      </w:r>
    </w:p>
    <w:p>
      <w:pPr>
        <w:ind w:left="1912"/>
        <w:spacing w:after="0" w:line="186" w:lineRule="auto"/>
        <w:rPr>
          <w:sz w:val="20"/>
          <w:szCs w:val="20"/>
          <w:color w:val="auto"/>
        </w:rPr>
      </w:pPr>
      <w:r>
        <w:rPr>
          <w:rFonts w:ascii="Arial" w:cs="Arial" w:eastAsia="Arial" w:hAnsi="Arial"/>
          <w:sz w:val="15"/>
          <w:szCs w:val="15"/>
          <w:color w:val="auto"/>
        </w:rPr>
        <w:t>Group Maximum Leverage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-33020</wp:posOffset>
            </wp:positionV>
            <wp:extent cx="23145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ind w:left="5772"/>
        <w:spacing w:after="0"/>
        <w:rPr>
          <w:sz w:val="20"/>
          <w:szCs w:val="20"/>
          <w:color w:val="auto"/>
        </w:rPr>
      </w:pPr>
      <w:r>
        <w:rPr>
          <w:rFonts w:ascii="Arial" w:cs="Arial" w:eastAsia="Arial" w:hAnsi="Arial"/>
          <w:sz w:val="18"/>
          <w:szCs w:val="18"/>
          <w:b w:val="1"/>
          <w:bCs w:val="1"/>
          <w:color w:val="auto"/>
        </w:rPr>
        <w:t>Group Total Assets</w:t>
      </w:r>
    </w:p>
    <w:p>
      <w:pPr>
        <w:spacing w:after="0" w:line="176" w:lineRule="exact"/>
        <w:rPr>
          <w:sz w:val="20"/>
          <w:szCs w:val="20"/>
          <w:color w:val="auto"/>
        </w:rPr>
      </w:pPr>
    </w:p>
    <w:p>
      <w:pPr>
        <w:jc w:val="both"/>
        <w:ind w:left="12"/>
        <w:spacing w:after="0" w:line="253" w:lineRule="auto"/>
        <w:rPr>
          <w:sz w:val="20"/>
          <w:szCs w:val="20"/>
          <w:color w:val="auto"/>
        </w:rPr>
      </w:pPr>
      <w:r>
        <w:rPr>
          <w:rFonts w:ascii="Arial" w:cs="Arial" w:eastAsia="Arial" w:hAnsi="Arial"/>
          <w:sz w:val="18"/>
          <w:szCs w:val="18"/>
          <w:b w:val="1"/>
          <w:bCs w:val="1"/>
          <w:color w:val="auto"/>
        </w:rPr>
        <w:t xml:space="preserve">Group Total Assets </w:t>
      </w:r>
      <w:r>
        <w:rPr>
          <w:rFonts w:ascii="Arial" w:cs="Arial" w:eastAsia="Arial" w:hAnsi="Arial"/>
          <w:sz w:val="18"/>
          <w:szCs w:val="18"/>
          <w:color w:val="auto"/>
        </w:rPr>
        <w:t>means, at any time, the amount of total assets of the Group on a consolidated basis as determined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GAAP and shown in the then most recent Group Financial Statements and calculated in the same manner as shown in the Original Financial Statements of the Group.</w:t>
      </w:r>
    </w:p>
    <w:p>
      <w:pPr>
        <w:spacing w:after="0" w:line="155" w:lineRule="exact"/>
        <w:rPr>
          <w:sz w:val="20"/>
          <w:szCs w:val="20"/>
          <w:color w:val="auto"/>
        </w:rPr>
      </w:pPr>
    </w:p>
    <w:p>
      <w:pPr>
        <w:jc w:val="both"/>
        <w:ind w:left="12"/>
        <w:spacing w:after="0" w:line="271" w:lineRule="auto"/>
        <w:rPr>
          <w:sz w:val="20"/>
          <w:szCs w:val="20"/>
          <w:color w:val="auto"/>
        </w:rPr>
      </w:pPr>
      <w:r>
        <w:rPr>
          <w:rFonts w:ascii="Arial" w:cs="Arial" w:eastAsia="Arial" w:hAnsi="Arial"/>
          <w:sz w:val="18"/>
          <w:szCs w:val="18"/>
          <w:b w:val="1"/>
          <w:bCs w:val="1"/>
          <w:color w:val="auto"/>
        </w:rPr>
        <w:t xml:space="preserve">Group Total Indebtedness </w:t>
      </w:r>
      <w:r>
        <w:rPr>
          <w:rFonts w:ascii="Arial" w:cs="Arial" w:eastAsia="Arial" w:hAnsi="Arial"/>
          <w:sz w:val="18"/>
          <w:szCs w:val="18"/>
          <w:color w:val="auto"/>
        </w:rPr>
        <w:t>means, at any time, the aggregate Financial Indebtedness (on a consolidated basis) of the Group,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then most recent Group Financial Statements.</w:t>
      </w:r>
    </w:p>
    <w:p>
      <w:pPr>
        <w:spacing w:after="0" w:line="140" w:lineRule="exact"/>
        <w:rPr>
          <w:sz w:val="20"/>
          <w:szCs w:val="20"/>
          <w:color w:val="auto"/>
        </w:rPr>
      </w:pPr>
    </w:p>
    <w:p>
      <w:pPr>
        <w:jc w:val="both"/>
        <w:ind w:left="12"/>
        <w:spacing w:after="0" w:line="247" w:lineRule="auto"/>
        <w:rPr>
          <w:sz w:val="20"/>
          <w:szCs w:val="20"/>
          <w:color w:val="auto"/>
        </w:rPr>
      </w:pPr>
      <w:r>
        <w:rPr>
          <w:rFonts w:ascii="Arial" w:cs="Arial" w:eastAsia="Arial" w:hAnsi="Arial"/>
          <w:sz w:val="18"/>
          <w:szCs w:val="18"/>
          <w:b w:val="1"/>
          <w:bCs w:val="1"/>
          <w:color w:val="auto"/>
        </w:rPr>
        <w:t xml:space="preserve">Group Total Market Adjusted Assets </w:t>
      </w:r>
      <w:r>
        <w:rPr>
          <w:rFonts w:ascii="Arial" w:cs="Arial" w:eastAsia="Arial" w:hAnsi="Arial"/>
          <w:sz w:val="18"/>
          <w:szCs w:val="18"/>
          <w:color w:val="auto"/>
        </w:rPr>
        <w:t>means, at any time, the Group Total Assets adjusted upwards or downwards, as the case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to reflect any difference between the book value of Fleet Vessels and mean valuations of such Fleet Vessels provided to the Agent under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made in accordance with the provisions of such clause.</w:t>
      </w:r>
    </w:p>
    <w:p>
      <w:pPr>
        <w:spacing w:after="0" w:line="160" w:lineRule="exact"/>
        <w:rPr>
          <w:sz w:val="20"/>
          <w:szCs w:val="20"/>
          <w:color w:val="auto"/>
        </w:rPr>
      </w:pPr>
    </w:p>
    <w:p>
      <w:pPr>
        <w:jc w:val="both"/>
        <w:ind w:left="12"/>
        <w:spacing w:after="0" w:line="271"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in respect of any specified Financial Indebtedness, all continuing regular or periodic costs, charges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effecting, servicing or maintaining such Financial Indebtedness including:</w:t>
      </w:r>
    </w:p>
    <w:p>
      <w:pPr>
        <w:spacing w:after="0" w:line="162" w:lineRule="exact"/>
        <w:rPr>
          <w:sz w:val="20"/>
          <w:szCs w:val="20"/>
          <w:color w:val="auto"/>
        </w:rPr>
      </w:pPr>
    </w:p>
    <w:p>
      <w:pPr>
        <w:ind w:left="512" w:right="20" w:hanging="512"/>
        <w:spacing w:after="0" w:line="246" w:lineRule="auto"/>
        <w:tabs>
          <w:tab w:leader="none" w:pos="616" w:val="left"/>
        </w:tabs>
        <w:numPr>
          <w:ilvl w:val="0"/>
          <w:numId w:val="650"/>
        </w:numPr>
        <w:rPr>
          <w:rFonts w:ascii="Arial" w:cs="Arial" w:eastAsia="Arial" w:hAnsi="Arial"/>
          <w:sz w:val="18"/>
          <w:szCs w:val="18"/>
          <w:color w:val="auto"/>
        </w:rPr>
      </w:pPr>
      <w:r>
        <w:rPr>
          <w:rFonts w:ascii="Arial" w:cs="Arial" w:eastAsia="Arial" w:hAnsi="Arial"/>
          <w:sz w:val="18"/>
          <w:szCs w:val="18"/>
          <w:color w:val="auto"/>
        </w:rPr>
        <w:t>gross interest, commitment fees, financing premia or other financial charges, discount and acceptance fees and administration and guarantee fees and fronting and ancillary facility fees payable or incurred on any form of such Financial Indebtedness; and</w:t>
      </w:r>
    </w:p>
    <w:p>
      <w:pPr>
        <w:spacing w:after="0" w:line="183" w:lineRule="exact"/>
        <w:rPr>
          <w:rFonts w:ascii="Arial" w:cs="Arial" w:eastAsia="Arial" w:hAnsi="Arial"/>
          <w:sz w:val="18"/>
          <w:szCs w:val="18"/>
          <w:color w:val="auto"/>
        </w:rPr>
      </w:pPr>
    </w:p>
    <w:p>
      <w:pPr>
        <w:ind w:left="532" w:hanging="532"/>
        <w:spacing w:after="0"/>
        <w:tabs>
          <w:tab w:leader="none" w:pos="532" w:val="left"/>
        </w:tabs>
        <w:numPr>
          <w:ilvl w:val="0"/>
          <w:numId w:val="650"/>
        </w:numPr>
        <w:rPr>
          <w:rFonts w:ascii="Arial" w:cs="Arial" w:eastAsia="Arial" w:hAnsi="Arial"/>
          <w:sz w:val="18"/>
          <w:szCs w:val="18"/>
          <w:color w:val="auto"/>
        </w:rPr>
      </w:pPr>
      <w:r>
        <w:rPr>
          <w:rFonts w:ascii="Arial" w:cs="Arial" w:eastAsia="Arial" w:hAnsi="Arial"/>
          <w:sz w:val="18"/>
          <w:szCs w:val="18"/>
          <w:color w:val="auto"/>
        </w:rPr>
        <w:t>arrangement fees or other up front fees.</w:t>
      </w:r>
    </w:p>
    <w:p>
      <w:pPr>
        <w:spacing w:after="0" w:line="176"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Interest Payable </w:t>
      </w:r>
      <w:r>
        <w:rPr>
          <w:rFonts w:ascii="Arial" w:cs="Arial" w:eastAsia="Arial" w:hAnsi="Arial"/>
          <w:sz w:val="18"/>
          <w:szCs w:val="18"/>
          <w:color w:val="auto"/>
        </w:rPr>
        <w:t>means, in respect of any period, the aggregate (calculated on a consolidated basis) of:</w:t>
      </w:r>
    </w:p>
    <w:p>
      <w:pPr>
        <w:spacing w:after="0" w:line="220" w:lineRule="exact"/>
        <w:rPr>
          <w:sz w:val="20"/>
          <w:szCs w:val="20"/>
          <w:color w:val="auto"/>
        </w:rPr>
      </w:pPr>
    </w:p>
    <w:p>
      <w:pPr>
        <w:jc w:val="both"/>
        <w:ind w:left="512" w:hanging="512"/>
        <w:spacing w:after="0"/>
        <w:tabs>
          <w:tab w:leader="none" w:pos="67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p>
      <w:pPr>
        <w:spacing w:after="0" w:line="189" w:lineRule="exact"/>
        <w:rPr>
          <w:rFonts w:ascii="Arial" w:cs="Arial" w:eastAsia="Arial" w:hAnsi="Arial"/>
          <w:sz w:val="18"/>
          <w:szCs w:val="18"/>
          <w:color w:val="auto"/>
        </w:rPr>
      </w:pPr>
    </w:p>
    <w:p>
      <w:pPr>
        <w:ind w:left="512" w:hanging="512"/>
        <w:spacing w:after="0" w:line="246" w:lineRule="auto"/>
        <w:tabs>
          <w:tab w:leader="none" w:pos="549" w:val="left"/>
        </w:tabs>
        <w:numPr>
          <w:ilvl w:val="0"/>
          <w:numId w:val="651"/>
        </w:numPr>
        <w:rPr>
          <w:rFonts w:ascii="Arial" w:cs="Arial" w:eastAsia="Arial" w:hAnsi="Arial"/>
          <w:sz w:val="18"/>
          <w:szCs w:val="18"/>
          <w:color w:val="auto"/>
        </w:rPr>
      </w:pPr>
      <w:r>
        <w:rPr>
          <w:rFonts w:ascii="Arial" w:cs="Arial" w:eastAsia="Arial" w:hAnsi="Arial"/>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83" w:lineRule="exact"/>
        <w:rPr>
          <w:sz w:val="20"/>
          <w:szCs w:val="20"/>
          <w:color w:val="auto"/>
        </w:rPr>
      </w:pPr>
    </w:p>
    <w:p>
      <w:pPr>
        <w:ind w:left="12"/>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198" w:lineRule="exact"/>
        <w:rPr>
          <w:sz w:val="20"/>
          <w:szCs w:val="20"/>
          <w:color w:val="auto"/>
        </w:rPr>
      </w:pPr>
    </w:p>
    <w:p>
      <w:pPr>
        <w:ind w:left="5012"/>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64135</wp:posOffset>
            </wp:positionV>
            <wp:extent cx="71532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32"/>
          </w:cols>
          <w:pgMar w:left="828" w:top="319" w:right="339" w:bottom="1440" w:gutter="0" w:footer="0" w:header="0"/>
        </w:sectPr>
      </w:pPr>
    </w:p>
    <w:bookmarkStart w:id="243" w:name="page244"/>
    <w:bookmarkEnd w:id="243"/>
    <w:p>
      <w:pPr>
        <w:ind w:left="520"/>
        <w:spacing w:after="0" w:line="271" w:lineRule="auto"/>
        <w:rPr>
          <w:sz w:val="20"/>
          <w:szCs w:val="20"/>
          <w:color w:val="auto"/>
        </w:rPr>
      </w:pPr>
      <w:r>
        <w:rPr>
          <w:rFonts w:ascii="Arial" w:cs="Arial" w:eastAsia="Arial" w:hAnsi="Arial"/>
          <w:sz w:val="18"/>
          <w:szCs w:val="18"/>
          <w:b w:val="1"/>
          <w:bCs w:val="1"/>
          <w:color w:val="auto"/>
        </w:rPr>
        <w:t xml:space="preserve">Interest Receivable </w:t>
      </w:r>
      <w:r>
        <w:rPr>
          <w:rFonts w:ascii="Arial" w:cs="Arial" w:eastAsia="Arial" w:hAnsi="Arial"/>
          <w:sz w:val="18"/>
          <w:szCs w:val="18"/>
          <w:color w:val="auto"/>
        </w:rPr>
        <w:t>means, in respect of any period, the amount of Interest accrued on cash balances of the Group during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as shown in the then most recent Group Financial Statements relevant to such period.</w:t>
      </w:r>
    </w:p>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Group financial condition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shall ensure that at all times throughout the Facility Period when GasLog is an Active Guarantor:</w:t>
      </w:r>
    </w:p>
    <w:p>
      <w:pPr>
        <w:spacing w:after="0" w:line="176" w:lineRule="exact"/>
        <w:rPr>
          <w:sz w:val="20"/>
          <w:szCs w:val="20"/>
          <w:color w:val="auto"/>
        </w:rPr>
      </w:pPr>
    </w:p>
    <w:p>
      <w:pPr>
        <w:ind w:left="1060" w:hanging="552"/>
        <w:spacing w:after="0"/>
        <w:tabs>
          <w:tab w:leader="none" w:pos="1060"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t xml:space="preserve">Group Market Adjusted Net Worth: </w:t>
      </w:r>
      <w:r>
        <w:rPr>
          <w:rFonts w:ascii="Arial" w:cs="Arial" w:eastAsia="Arial" w:hAnsi="Arial"/>
          <w:sz w:val="18"/>
          <w:szCs w:val="18"/>
          <w:color w:val="auto"/>
        </w:rPr>
        <w:t>Group Market Adjusted Net Worth shall be not less than $350,000,000;</w:t>
      </w:r>
    </w:p>
    <w:p>
      <w:pPr>
        <w:spacing w:after="0" w:line="198" w:lineRule="exact"/>
        <w:rPr>
          <w:rFonts w:ascii="Arial" w:cs="Arial" w:eastAsia="Arial" w:hAnsi="Arial"/>
          <w:sz w:val="18"/>
          <w:szCs w:val="18"/>
          <w:color w:val="auto"/>
        </w:rPr>
      </w:pPr>
    </w:p>
    <w:p>
      <w:pPr>
        <w:ind w:left="1020" w:hanging="512"/>
        <w:spacing w:after="0" w:line="271" w:lineRule="auto"/>
        <w:tabs>
          <w:tab w:leader="none" w:pos="1246"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t xml:space="preserve">Group current ratio: </w:t>
      </w:r>
      <w:r>
        <w:rPr>
          <w:rFonts w:ascii="Arial" w:cs="Arial" w:eastAsia="Arial" w:hAnsi="Arial"/>
          <w:sz w:val="18"/>
          <w:szCs w:val="18"/>
          <w:color w:val="auto"/>
        </w:rPr>
        <w:t>Group Current Assets shall be greater than or equal to Group Current Liabilities (excluding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Portion of Loans);</w:t>
      </w:r>
    </w:p>
    <w:p>
      <w:pPr>
        <w:spacing w:after="0" w:line="140" w:lineRule="exact"/>
        <w:rPr>
          <w:rFonts w:ascii="Arial" w:cs="Arial" w:eastAsia="Arial" w:hAnsi="Arial"/>
          <w:sz w:val="18"/>
          <w:szCs w:val="18"/>
          <w:color w:val="auto"/>
        </w:rPr>
      </w:pPr>
    </w:p>
    <w:p>
      <w:pPr>
        <w:jc w:val="both"/>
        <w:ind w:left="1020" w:hanging="512"/>
        <w:spacing w:after="0" w:line="253" w:lineRule="auto"/>
        <w:tabs>
          <w:tab w:leader="none" w:pos="1276"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t xml:space="preserve">Group debt service cover: </w:t>
      </w:r>
      <w:r>
        <w:rPr>
          <w:rFonts w:ascii="Arial" w:cs="Arial" w:eastAsia="Arial" w:hAnsi="Arial"/>
          <w:sz w:val="18"/>
          <w:szCs w:val="18"/>
          <w:color w:val="auto"/>
        </w:rPr>
        <w:t>in respect of any six month period, on a trailing four quarter basis, the ratio of EBITDA to Debt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shall be no less than 1.10:1, provided always that such ratio shall be regarded as having been complied with if at the relevant time when such ratio is being tested the Group Cash and Cash Equivalents is $110,000,000 or higher;</w:t>
      </w:r>
    </w:p>
    <w:p>
      <w:pPr>
        <w:spacing w:after="0" w:line="155" w:lineRule="exact"/>
        <w:rPr>
          <w:rFonts w:ascii="Arial" w:cs="Arial" w:eastAsia="Arial" w:hAnsi="Arial"/>
          <w:sz w:val="18"/>
          <w:szCs w:val="18"/>
          <w:color w:val="auto"/>
        </w:rPr>
      </w:pPr>
    </w:p>
    <w:p>
      <w:pPr>
        <w:ind w:left="1040" w:hanging="532"/>
        <w:spacing w:after="0"/>
        <w:tabs>
          <w:tab w:leader="none" w:pos="1040"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t xml:space="preserve">Group leverage: </w:t>
      </w:r>
      <w:r>
        <w:rPr>
          <w:rFonts w:ascii="Arial" w:cs="Arial" w:eastAsia="Arial" w:hAnsi="Arial"/>
          <w:sz w:val="18"/>
          <w:szCs w:val="18"/>
          <w:color w:val="auto"/>
        </w:rPr>
        <w:t>Group Maximum Leverage shall be less than 75%; and</w:t>
      </w:r>
    </w:p>
    <w:p>
      <w:pPr>
        <w:spacing w:after="0" w:line="198" w:lineRule="exact"/>
        <w:rPr>
          <w:rFonts w:ascii="Arial" w:cs="Arial" w:eastAsia="Arial" w:hAnsi="Arial"/>
          <w:sz w:val="18"/>
          <w:szCs w:val="18"/>
          <w:color w:val="auto"/>
        </w:rPr>
      </w:pPr>
    </w:p>
    <w:p>
      <w:pPr>
        <w:ind w:left="1060" w:hanging="552"/>
        <w:spacing w:after="0"/>
        <w:tabs>
          <w:tab w:leader="none" w:pos="1060" w:val="left"/>
        </w:tabs>
        <w:numPr>
          <w:ilvl w:val="0"/>
          <w:numId w:val="652"/>
        </w:numPr>
        <w:rPr>
          <w:rFonts w:ascii="Arial" w:cs="Arial" w:eastAsia="Arial" w:hAnsi="Arial"/>
          <w:sz w:val="18"/>
          <w:szCs w:val="18"/>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Group Cash and Cash Equivalents shall be at least $75,000,000.</w:t>
      </w:r>
    </w:p>
    <w:p>
      <w:pPr>
        <w:spacing w:after="0" w:line="19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Group financial testing</w:t>
      </w:r>
    </w:p>
    <w:p>
      <w:pPr>
        <w:spacing w:after="0" w:line="20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shall be calculated in accordance with GAAP on a consolidated basis and tested upon receipt of the Annual Financial Statements and Semi -Annual Financial Statements of the Group, by reference to the same and to each Compliance Certificate delivered pursuant to clause 19.2 (</w:t>
      </w:r>
      <w:r>
        <w:rPr>
          <w:rFonts w:ascii="Arial" w:cs="Arial" w:eastAsia="Arial" w:hAnsi="Arial"/>
          <w:sz w:val="18"/>
          <w:szCs w:val="18"/>
          <w:i w:val="1"/>
          <w:iCs w:val="1"/>
          <w:color w:val="auto"/>
        </w:rPr>
        <w:t>Provision and contents of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and valuations</w:t>
      </w:r>
      <w:r>
        <w:rPr>
          <w:rFonts w:ascii="Arial" w:cs="Arial" w:eastAsia="Arial" w:hAnsi="Arial"/>
          <w:sz w:val="18"/>
          <w:szCs w:val="18"/>
          <w:color w:val="auto"/>
        </w:rPr>
        <w:t>) together with such statements.</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7"/>
          <w:szCs w:val="17"/>
          <w:b w:val="1"/>
          <w:bCs w:val="1"/>
          <w:color w:val="auto"/>
        </w:rPr>
        <w:t>Financial definitions (Parent)</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clauses 20.4 (</w:t>
      </w:r>
      <w:r>
        <w:rPr>
          <w:rFonts w:ascii="Arial" w:cs="Arial" w:eastAsia="Arial" w:hAnsi="Arial"/>
          <w:sz w:val="18"/>
          <w:szCs w:val="18"/>
          <w:i w:val="1"/>
          <w:iCs w:val="1"/>
          <w:color w:val="auto"/>
        </w:rPr>
        <w:t>Financial definitions (Parent)</w:t>
      </w:r>
      <w:r>
        <w:rPr>
          <w:rFonts w:ascii="Arial" w:cs="Arial" w:eastAsia="Arial" w:hAnsi="Arial"/>
          <w:sz w:val="18"/>
          <w:szCs w:val="18"/>
          <w:color w:val="auto"/>
        </w:rPr>
        <w:t>), 20.5 (</w:t>
      </w:r>
      <w:r>
        <w:rPr>
          <w:rFonts w:ascii="Arial" w:cs="Arial" w:eastAsia="Arial" w:hAnsi="Arial"/>
          <w:sz w:val="18"/>
          <w:szCs w:val="18"/>
          <w:i w:val="1"/>
          <w:iCs w:val="1"/>
          <w:color w:val="auto"/>
        </w:rPr>
        <w:t>Parent Group financial condition</w:t>
      </w:r>
      <w:r>
        <w:rPr>
          <w:rFonts w:ascii="Arial" w:cs="Arial" w:eastAsia="Arial" w:hAnsi="Arial"/>
          <w:sz w:val="18"/>
          <w:szCs w:val="18"/>
          <w:color w:val="auto"/>
        </w:rPr>
        <w:t>) and 20.6 (</w:t>
      </w:r>
      <w:r>
        <w:rPr>
          <w:rFonts w:ascii="Arial" w:cs="Arial" w:eastAsia="Arial" w:hAnsi="Arial"/>
          <w:sz w:val="18"/>
          <w:szCs w:val="18"/>
          <w:i w:val="1"/>
          <w:iCs w:val="1"/>
          <w:color w:val="auto"/>
        </w:rPr>
        <w:t>Parent Group financial testing</w:t>
      </w:r>
      <w:r>
        <w:rPr>
          <w:rFonts w:ascii="Arial" w:cs="Arial" w:eastAsia="Arial" w:hAnsi="Arial"/>
          <w:sz w:val="18"/>
          <w:szCs w:val="18"/>
          <w:color w:val="auto"/>
        </w:rPr>
        <w:t>):</w:t>
      </w:r>
    </w:p>
    <w:p>
      <w:pPr>
        <w:spacing w:after="0" w:line="194"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b w:val="1"/>
          <w:bCs w:val="1"/>
          <w:color w:val="auto"/>
        </w:rPr>
        <w:t xml:space="preserve">Parent Group Cash and Cash Equivalents </w:t>
      </w:r>
      <w:r>
        <w:rPr>
          <w:rFonts w:ascii="Arial" w:cs="Arial" w:eastAsia="Arial" w:hAnsi="Arial"/>
          <w:sz w:val="18"/>
          <w:szCs w:val="18"/>
          <w:color w:val="auto"/>
        </w:rPr>
        <w:t>means (a) cash and cash equivalents and (b) short term investments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Group Financial Statements, which are readily convertible into known amounts of cash and with original maturities of six months or less, but excluding, for the avoidance of doubt, in each case cash and other amounts set forth as “restricted cash” in the Parent Group Financial Statements.</w:t>
      </w:r>
    </w:p>
    <w:p>
      <w:pPr>
        <w:spacing w:after="0" w:line="160"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Parent Group Financial Statements </w:t>
      </w:r>
      <w:r>
        <w:rPr>
          <w:rFonts w:ascii="Arial" w:cs="Arial" w:eastAsia="Arial" w:hAnsi="Arial"/>
          <w:sz w:val="18"/>
          <w:szCs w:val="18"/>
          <w:color w:val="auto"/>
        </w:rPr>
        <w:t>means any of the Annual Financial Statements and the Semi-Annual Financial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Group referred to 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Parent Group Free Liquidity </w:t>
      </w:r>
      <w:r>
        <w:rPr>
          <w:rFonts w:ascii="Arial" w:cs="Arial" w:eastAsia="Arial" w:hAnsi="Arial"/>
          <w:sz w:val="18"/>
          <w:szCs w:val="18"/>
          <w:color w:val="auto"/>
        </w:rPr>
        <w:t>means the aggregate of:</w:t>
      </w:r>
    </w:p>
    <w:p>
      <w:pPr>
        <w:spacing w:after="0" w:line="220" w:lineRule="exact"/>
        <w:rPr>
          <w:sz w:val="20"/>
          <w:szCs w:val="20"/>
          <w:color w:val="auto"/>
        </w:rPr>
      </w:pPr>
    </w:p>
    <w:p>
      <w:pPr>
        <w:ind w:left="1060" w:hanging="552"/>
        <w:spacing w:after="0"/>
        <w:tabs>
          <w:tab w:leader="none" w:pos="106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Parent Group Cash and Cash Equivalents; and</w:t>
      </w:r>
    </w:p>
    <w:p>
      <w:pPr>
        <w:spacing w:after="0" w:line="198" w:lineRule="exact"/>
        <w:rPr>
          <w:rFonts w:ascii="Arial" w:cs="Arial" w:eastAsia="Arial" w:hAnsi="Arial"/>
          <w:sz w:val="18"/>
          <w:szCs w:val="18"/>
          <w:color w:val="auto"/>
        </w:rPr>
      </w:pPr>
    </w:p>
    <w:p>
      <w:pPr>
        <w:jc w:val="both"/>
        <w:ind w:left="1020" w:hanging="512"/>
        <w:spacing w:after="0" w:line="237" w:lineRule="auto"/>
        <w:tabs>
          <w:tab w:leader="none" w:pos="1395" w:val="left"/>
        </w:tabs>
        <w:numPr>
          <w:ilvl w:val="0"/>
          <w:numId w:val="653"/>
        </w:numPr>
        <w:rPr>
          <w:rFonts w:ascii="Arial" w:cs="Arial" w:eastAsia="Arial" w:hAnsi="Arial"/>
          <w:sz w:val="18"/>
          <w:szCs w:val="18"/>
          <w:color w:val="auto"/>
        </w:rPr>
      </w:pPr>
      <w:r>
        <w:rPr>
          <w:rFonts w:ascii="Arial" w:cs="Arial" w:eastAsia="Arial" w:hAnsi="Arial"/>
          <w:sz w:val="18"/>
          <w:szCs w:val="18"/>
          <w:color w:val="auto"/>
        </w:rPr>
        <w:t>amounts immediately available to the Parent Group for drawing under committed revolving credit facilities, or other credit facilities for working capital purposes of the Parent Group, in each case with remaining maturities of no less than (6) six months and made available by financial institutions (which, for avoidance of doubt, shall not include lines of credit provided by Affiliates of the Obligors) (provided that the relevant borrowing entity would meet the conditions precedent to which any such drawing is subject under the relevant credit facility and such drawing would not result in an event of default (as such term is defined therein) occurring under any other credit facility of the Parent Group).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44" w:name="page245"/>
    <w:bookmarkEnd w:id="244"/>
    <w:p>
      <w:pPr>
        <w:ind w:left="520"/>
        <w:spacing w:after="0"/>
        <w:rPr>
          <w:sz w:val="20"/>
          <w:szCs w:val="20"/>
          <w:color w:val="auto"/>
        </w:rPr>
      </w:pPr>
      <w:r>
        <w:rPr>
          <w:rFonts w:ascii="Arial" w:cs="Arial" w:eastAsia="Arial" w:hAnsi="Arial"/>
          <w:sz w:val="18"/>
          <w:szCs w:val="18"/>
          <w:b w:val="1"/>
          <w:bCs w:val="1"/>
          <w:color w:val="auto"/>
        </w:rPr>
        <w:t xml:space="preserve">Parent Group Maximum Leverage </w:t>
      </w:r>
      <w:r>
        <w:rPr>
          <w:rFonts w:ascii="Arial" w:cs="Arial" w:eastAsia="Arial" w:hAnsi="Arial"/>
          <w:sz w:val="18"/>
          <w:szCs w:val="18"/>
          <w:color w:val="auto"/>
        </w:rPr>
        <w:t>means, at any time, the figure calculated using the following formula:</w:t>
      </w:r>
    </w:p>
    <w:p>
      <w:pPr>
        <w:spacing w:after="0" w:line="198" w:lineRule="exact"/>
        <w:rPr>
          <w:sz w:val="20"/>
          <w:szCs w:val="20"/>
          <w:color w:val="auto"/>
        </w:rPr>
      </w:pPr>
    </w:p>
    <w:tbl>
      <w:tblPr>
        <w:tblLayout w:type="fixed"/>
        <w:tblInd w:w="2020" w:type="dxa"/>
        <w:tblCellMar>
          <w:top w:w="0" w:type="dxa"/>
          <w:left w:w="0" w:type="dxa"/>
          <w:bottom w:w="0" w:type="dxa"/>
          <w:right w:w="0" w:type="dxa"/>
        </w:tblCellMar>
      </w:tblPr>
      <w:tr>
        <w:trPr>
          <w:trHeight w:val="243"/>
        </w:trPr>
        <w:tc>
          <w:tcPr>
            <w:tcW w:w="2840" w:type="dxa"/>
            <w:vAlign w:val="bottom"/>
          </w:tcPr>
          <w:p>
            <w:pPr>
              <w:spacing w:after="0"/>
              <w:rPr>
                <w:sz w:val="20"/>
                <w:szCs w:val="20"/>
                <w:color w:val="auto"/>
              </w:rPr>
            </w:pPr>
            <w:r>
              <w:rPr>
                <w:rFonts w:ascii="Arial" w:cs="Arial" w:eastAsia="Arial" w:hAnsi="Arial"/>
                <w:sz w:val="18"/>
                <w:szCs w:val="18"/>
                <w:b w:val="1"/>
                <w:bCs w:val="1"/>
                <w:color w:val="auto"/>
              </w:rPr>
              <w:t>Parent Group Maximum</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9"/>
              </w:rPr>
              <w:t>Parent Group Total Indebtedness</w:t>
            </w:r>
          </w:p>
        </w:tc>
        <w:tc>
          <w:tcPr>
            <w:tcW w:w="0" w:type="dxa"/>
            <w:vAlign w:val="bottom"/>
          </w:tcPr>
          <w:p>
            <w:pPr>
              <w:spacing w:after="0"/>
              <w:rPr>
                <w:sz w:val="1"/>
                <w:szCs w:val="1"/>
                <w:color w:val="auto"/>
              </w:rPr>
            </w:pPr>
          </w:p>
        </w:tc>
      </w:tr>
      <w:tr>
        <w:trPr>
          <w:trHeight w:val="23"/>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Leverage</w:t>
            </w: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40" w:type="dxa"/>
            <w:vAlign w:val="bottom"/>
            <w:vMerge w:val="continue"/>
          </w:tcPr>
          <w:p>
            <w:pPr>
              <w:spacing w:after="0"/>
              <w:rPr>
                <w:sz w:val="21"/>
                <w:szCs w:val="21"/>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9"/>
              </w:rPr>
              <w:t>Parent Group Total Assets</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Parent Group Total Assets </w:t>
      </w:r>
      <w:r>
        <w:rPr>
          <w:rFonts w:ascii="Arial" w:cs="Arial" w:eastAsia="Arial" w:hAnsi="Arial"/>
          <w:sz w:val="18"/>
          <w:szCs w:val="18"/>
          <w:color w:val="auto"/>
        </w:rPr>
        <w:t>means, at any time, the amount of total assets of the Parent Group on a consolidated basis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GAAP and shown in the then most recent Parent Group Financial Statements and calculated in the same manner as shown in the Original Financial Statements of the Parent Group.</w:t>
      </w:r>
    </w:p>
    <w:p>
      <w:pPr>
        <w:spacing w:after="0" w:line="155"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Parent Group Total Indebtedness </w:t>
      </w:r>
      <w:r>
        <w:rPr>
          <w:rFonts w:ascii="Arial" w:cs="Arial" w:eastAsia="Arial" w:hAnsi="Arial"/>
          <w:sz w:val="18"/>
          <w:szCs w:val="18"/>
          <w:color w:val="auto"/>
        </w:rPr>
        <w:t>means, at any time, the aggregate Financial Indebtedness (on a consolidated basis) of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Group, as shown in the then most recent Parent Group Financial Statements.</w:t>
      </w:r>
    </w:p>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7"/>
          <w:szCs w:val="17"/>
          <w:b w:val="1"/>
          <w:bCs w:val="1"/>
          <w:color w:val="auto"/>
        </w:rPr>
        <w:t>Parent Group financial condition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shall ensure that at all times throughout the Facility Period when the Parent is an Active Guarantor:</w:t>
      </w:r>
    </w:p>
    <w:p>
      <w:pPr>
        <w:spacing w:after="0" w:line="176" w:lineRule="exact"/>
        <w:rPr>
          <w:sz w:val="20"/>
          <w:szCs w:val="20"/>
          <w:color w:val="auto"/>
        </w:rPr>
      </w:pPr>
    </w:p>
    <w:p>
      <w:pPr>
        <w:ind w:left="1060" w:hanging="552"/>
        <w:spacing w:after="0"/>
        <w:tabs>
          <w:tab w:leader="none" w:pos="1060" w:val="left"/>
        </w:tabs>
        <w:numPr>
          <w:ilvl w:val="0"/>
          <w:numId w:val="654"/>
        </w:numPr>
        <w:rPr>
          <w:rFonts w:ascii="Arial" w:cs="Arial" w:eastAsia="Arial" w:hAnsi="Arial"/>
          <w:sz w:val="18"/>
          <w:szCs w:val="18"/>
          <w:b w:val="1"/>
          <w:bCs w:val="1"/>
          <w:color w:val="auto"/>
        </w:rPr>
      </w:pPr>
      <w:r>
        <w:rPr>
          <w:rFonts w:ascii="Arial" w:cs="Arial" w:eastAsia="Arial" w:hAnsi="Arial"/>
          <w:sz w:val="18"/>
          <w:szCs w:val="18"/>
          <w:b w:val="1"/>
          <w:bCs w:val="1"/>
          <w:color w:val="auto"/>
        </w:rPr>
        <w:t>Parent Group leverage</w:t>
      </w:r>
      <w:r>
        <w:rPr>
          <w:rFonts w:ascii="Arial" w:cs="Arial" w:eastAsia="Arial" w:hAnsi="Arial"/>
          <w:sz w:val="18"/>
          <w:szCs w:val="18"/>
          <w:color w:val="auto"/>
        </w:rPr>
        <w:t>: Parent Group Maximum Leverage shall be less than 65%; and</w:t>
      </w:r>
    </w:p>
    <w:p>
      <w:pPr>
        <w:spacing w:after="0" w:line="198" w:lineRule="exact"/>
        <w:rPr>
          <w:rFonts w:ascii="Arial" w:cs="Arial" w:eastAsia="Arial" w:hAnsi="Arial"/>
          <w:sz w:val="18"/>
          <w:szCs w:val="18"/>
          <w:b w:val="1"/>
          <w:bCs w:val="1"/>
          <w:color w:val="auto"/>
        </w:rPr>
      </w:pPr>
    </w:p>
    <w:p>
      <w:pPr>
        <w:ind w:left="1040" w:hanging="532"/>
        <w:spacing w:after="0"/>
        <w:tabs>
          <w:tab w:leader="none" w:pos="1040" w:val="left"/>
        </w:tabs>
        <w:numPr>
          <w:ilvl w:val="0"/>
          <w:numId w:val="654"/>
        </w:numPr>
        <w:rPr>
          <w:rFonts w:ascii="Arial" w:cs="Arial" w:eastAsia="Arial" w:hAnsi="Arial"/>
          <w:sz w:val="18"/>
          <w:szCs w:val="18"/>
          <w:b w:val="1"/>
          <w:bCs w:val="1"/>
          <w:color w:val="auto"/>
        </w:rPr>
      </w:pPr>
      <w:r>
        <w:rPr>
          <w:rFonts w:ascii="Arial" w:cs="Arial" w:eastAsia="Arial" w:hAnsi="Arial"/>
          <w:sz w:val="18"/>
          <w:szCs w:val="18"/>
          <w:b w:val="1"/>
          <w:bCs w:val="1"/>
          <w:color w:val="auto"/>
        </w:rPr>
        <w:t>Parent Group Free Liquidity</w:t>
      </w:r>
      <w:r>
        <w:rPr>
          <w:rFonts w:ascii="Arial" w:cs="Arial" w:eastAsia="Arial" w:hAnsi="Arial"/>
          <w:sz w:val="18"/>
          <w:szCs w:val="18"/>
          <w:color w:val="auto"/>
        </w:rPr>
        <w:t>: Parent Group Free Liquidity shall be at least $45,000,000.</w:t>
      </w:r>
    </w:p>
    <w:p>
      <w:pPr>
        <w:spacing w:after="0" w:line="19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7"/>
          <w:szCs w:val="17"/>
          <w:b w:val="1"/>
          <w:bCs w:val="1"/>
          <w:color w:val="auto"/>
        </w:rPr>
        <w:t>Parent Group financial testing</w:t>
      </w:r>
    </w:p>
    <w:p>
      <w:pPr>
        <w:spacing w:after="0" w:line="20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financial covenants set out in clause 20.5 (</w:t>
      </w:r>
      <w:r>
        <w:rPr>
          <w:rFonts w:ascii="Arial" w:cs="Arial" w:eastAsia="Arial" w:hAnsi="Arial"/>
          <w:sz w:val="18"/>
          <w:szCs w:val="18"/>
          <w:i w:val="1"/>
          <w:iCs w:val="1"/>
          <w:color w:val="auto"/>
        </w:rPr>
        <w:t>Parent Group 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Parent Group, by reference to the same and to each Compliance Certificate delivered pursuant to clause 19.2 (</w:t>
      </w:r>
      <w:r>
        <w:rPr>
          <w:rFonts w:ascii="Arial" w:cs="Arial" w:eastAsia="Arial" w:hAnsi="Arial"/>
          <w:sz w:val="18"/>
          <w:szCs w:val="18"/>
          <w:i w:val="1"/>
          <w:iCs w:val="1"/>
          <w:color w:val="auto"/>
        </w:rPr>
        <w:t>Provision and contents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Compliance Certificate and valuations</w:t>
      </w:r>
      <w:r>
        <w:rPr>
          <w:rFonts w:ascii="Arial" w:cs="Arial" w:eastAsia="Arial" w:hAnsi="Arial"/>
          <w:sz w:val="18"/>
          <w:szCs w:val="18"/>
          <w:color w:val="auto"/>
        </w:rPr>
        <w:t>) together with such statements.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21 General undertakings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Obligor undertakes with each Finance Party that this clause 20.1 will be complied with throughout the Facility Period.</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Use of proceeds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Authorisations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198" w:lineRule="exact"/>
        <w:rPr>
          <w:sz w:val="20"/>
          <w:szCs w:val="20"/>
          <w:color w:val="auto"/>
        </w:rPr>
      </w:pPr>
    </w:p>
    <w:p>
      <w:pPr>
        <w:ind w:left="1060" w:hanging="552"/>
        <w:spacing w:after="0"/>
        <w:tabs>
          <w:tab w:leader="none" w:pos="106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198" w:lineRule="exact"/>
        <w:rPr>
          <w:sz w:val="20"/>
          <w:szCs w:val="20"/>
          <w:color w:val="auto"/>
        </w:rPr>
      </w:pPr>
    </w:p>
    <w:p>
      <w:pPr>
        <w:ind w:left="5520" w:right="2220" w:hanging="4491"/>
        <w:spacing w:after="0" w:line="481" w:lineRule="auto"/>
        <w:tabs>
          <w:tab w:leader="none" w:pos="1549" w:val="left"/>
        </w:tabs>
        <w:numPr>
          <w:ilvl w:val="0"/>
          <w:numId w:val="656"/>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45" w:name="page246"/>
    <w:bookmarkEnd w:id="245"/>
    <w:p>
      <w:pPr>
        <w:ind w:left="1560" w:hanging="531"/>
        <w:spacing w:after="0"/>
        <w:tabs>
          <w:tab w:leader="none" w:pos="156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and</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Compliance with laws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Each Obligor and each Manager will comply in all respects with all laws and regulations (including Environmental Laws) to which it may be subject where failure to do so has, or might reasonably be expected to have, a Material Adverse Effect.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Tax Compliance</w:t>
      </w:r>
    </w:p>
    <w:p>
      <w:pPr>
        <w:spacing w:after="0" w:line="220" w:lineRule="exact"/>
        <w:rPr>
          <w:sz w:val="20"/>
          <w:szCs w:val="20"/>
          <w:color w:val="auto"/>
        </w:rPr>
      </w:pPr>
    </w:p>
    <w:p>
      <w:pPr>
        <w:ind w:left="1020" w:right="20" w:hanging="512"/>
        <w:spacing w:after="0" w:line="246" w:lineRule="auto"/>
        <w:tabs>
          <w:tab w:leader="none" w:pos="1071" w:val="left"/>
        </w:tabs>
        <w:numPr>
          <w:ilvl w:val="0"/>
          <w:numId w:val="658"/>
        </w:numPr>
        <w:rPr>
          <w:rFonts w:ascii="Arial" w:cs="Arial" w:eastAsia="Arial" w:hAnsi="Arial"/>
          <w:sz w:val="18"/>
          <w:szCs w:val="18"/>
          <w:color w:val="auto"/>
        </w:rPr>
      </w:pPr>
      <w:r>
        <w:rPr>
          <w:rFonts w:ascii="Arial" w:cs="Arial" w:eastAsia="Arial" w:hAnsi="Arial"/>
          <w:sz w:val="18"/>
          <w:szCs w:val="18"/>
          <w:color w:val="auto"/>
        </w:rPr>
        <w:t>Each Obligor and each Manager shall pay and discharge all Taxes imposed upon it or its assets within such time period as may be allowed by law without incurring penalties unless and only to the extent that:</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658"/>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945" w:val="left"/>
        </w:tabs>
        <w:numPr>
          <w:ilvl w:val="1"/>
          <w:numId w:val="658"/>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658"/>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198" w:lineRule="exact"/>
        <w:rPr>
          <w:rFonts w:ascii="Arial" w:cs="Arial" w:eastAsia="Arial" w:hAnsi="Arial"/>
          <w:sz w:val="18"/>
          <w:szCs w:val="18"/>
          <w:color w:val="auto"/>
        </w:rPr>
      </w:pPr>
    </w:p>
    <w:p>
      <w:pPr>
        <w:ind w:left="1020" w:hanging="512"/>
        <w:spacing w:after="0" w:line="246" w:lineRule="auto"/>
        <w:tabs>
          <w:tab w:leader="none" w:pos="1246" w:val="left"/>
        </w:tabs>
        <w:numPr>
          <w:ilvl w:val="0"/>
          <w:numId w:val="658"/>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Change of business or ownership</w:t>
      </w:r>
    </w:p>
    <w:p>
      <w:pPr>
        <w:spacing w:after="0" w:line="220" w:lineRule="exact"/>
        <w:rPr>
          <w:sz w:val="20"/>
          <w:szCs w:val="20"/>
          <w:color w:val="auto"/>
        </w:rPr>
      </w:pPr>
    </w:p>
    <w:p>
      <w:pPr>
        <w:jc w:val="both"/>
        <w:ind w:left="1020" w:hanging="512"/>
        <w:spacing w:after="0" w:line="238" w:lineRule="auto"/>
        <w:tabs>
          <w:tab w:leader="none" w:pos="1098" w:val="left"/>
        </w:tabs>
        <w:numPr>
          <w:ilvl w:val="0"/>
          <w:numId w:val="659"/>
        </w:numPr>
        <w:rPr>
          <w:rFonts w:ascii="Arial" w:cs="Arial" w:eastAsia="Arial" w:hAnsi="Arial"/>
          <w:sz w:val="18"/>
          <w:szCs w:val="18"/>
          <w:color w:val="auto"/>
        </w:rPr>
      </w:pPr>
      <w:r>
        <w:rPr>
          <w:rFonts w:ascii="Arial" w:cs="Arial" w:eastAsia="Arial" w:hAnsi="Arial"/>
          <w:sz w:val="18"/>
          <w:szCs w:val="18"/>
          <w:color w:val="auto"/>
        </w:rPr>
        <w:t>Except as approved by the Majority Lenders, or otherwise permitted by the terms of this Agreement, no material change will be made to the general nature of the business of any of the Obligors or the Group or the Parent Group taken as a whole from that carried on at the date of this Agreement, save that any activities involving or undertaken whatsoever within the maritime sector by any Group Member or any Parent Group Member will not be considered a change in the general nature of the business of any of the Obligors or the Group or the Parent Group taken as a whole.</w:t>
      </w:r>
    </w:p>
    <w:p>
      <w:pPr>
        <w:spacing w:after="0" w:line="188" w:lineRule="exact"/>
        <w:rPr>
          <w:rFonts w:ascii="Arial" w:cs="Arial" w:eastAsia="Arial" w:hAnsi="Arial"/>
          <w:sz w:val="18"/>
          <w:szCs w:val="18"/>
          <w:color w:val="auto"/>
        </w:rPr>
      </w:pPr>
    </w:p>
    <w:p>
      <w:pPr>
        <w:ind w:left="1020" w:hanging="512"/>
        <w:spacing w:after="0" w:line="246" w:lineRule="auto"/>
        <w:tabs>
          <w:tab w:leader="none" w:pos="139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Borrowers shall be permitted to proceed with a Reverse Dropdown in respect of a Borrower, subject to the following conditions being met on or before completion of that Reverse Dropdown:</w:t>
      </w:r>
    </w:p>
    <w:p>
      <w:pPr>
        <w:spacing w:after="0" w:line="183" w:lineRule="exact"/>
        <w:rPr>
          <w:rFonts w:ascii="Arial" w:cs="Arial" w:eastAsia="Arial" w:hAnsi="Arial"/>
          <w:sz w:val="18"/>
          <w:szCs w:val="18"/>
          <w:color w:val="auto"/>
        </w:rPr>
      </w:pPr>
    </w:p>
    <w:p>
      <w:pPr>
        <w:ind w:left="1540" w:hanging="511"/>
        <w:spacing w:after="0" w:line="246" w:lineRule="auto"/>
        <w:tabs>
          <w:tab w:leader="none" w:pos="1567" w:val="left"/>
        </w:tabs>
        <w:numPr>
          <w:ilvl w:val="1"/>
          <w:numId w:val="659"/>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no Event of Default would result from completion of such Reverse Dropdown; and</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no Change of Control has occurred; and</w:t>
      </w:r>
    </w:p>
    <w:p>
      <w:pPr>
        <w:spacing w:after="0" w:line="180" w:lineRule="exact"/>
        <w:rPr>
          <w:rFonts w:ascii="Arial" w:cs="Arial" w:eastAsia="Arial" w:hAnsi="Arial"/>
          <w:sz w:val="18"/>
          <w:szCs w:val="18"/>
          <w:color w:val="auto"/>
        </w:rPr>
      </w:pPr>
    </w:p>
    <w:p>
      <w:pPr>
        <w:ind w:left="1780" w:hanging="751"/>
        <w:spacing w:after="0"/>
        <w:tabs>
          <w:tab w:leader="none" w:pos="178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no events or circumstances described in any of clauses 30.7 (</w:t>
      </w:r>
      <w:r>
        <w:rPr>
          <w:rFonts w:ascii="Arial" w:cs="Arial" w:eastAsia="Arial" w:hAnsi="Arial"/>
          <w:sz w:val="18"/>
          <w:szCs w:val="18"/>
          <w:i w:val="1"/>
          <w:iCs w:val="1"/>
          <w:color w:val="auto"/>
        </w:rPr>
        <w:t>Cross default</w:t>
      </w:r>
      <w:r>
        <w:rPr>
          <w:rFonts w:ascii="Arial" w:cs="Arial" w:eastAsia="Arial" w:hAnsi="Arial"/>
          <w:sz w:val="18"/>
          <w:szCs w:val="18"/>
          <w:color w:val="auto"/>
        </w:rPr>
        <w:t>) to 30.10 (</w:t>
      </w:r>
      <w:r>
        <w:rPr>
          <w:rFonts w:ascii="Arial" w:cs="Arial" w:eastAsia="Arial" w:hAnsi="Arial"/>
          <w:sz w:val="18"/>
          <w:szCs w:val="18"/>
          <w:i w:val="1"/>
          <w:iCs w:val="1"/>
          <w:color w:val="auto"/>
        </w:rPr>
        <w:t>Creditors’ process</w:t>
      </w:r>
      <w:r>
        <w:rPr>
          <w:rFonts w:ascii="Arial" w:cs="Arial" w:eastAsia="Arial" w:hAnsi="Arial"/>
          <w:sz w:val="18"/>
          <w:szCs w:val="18"/>
          <w:color w:val="auto"/>
        </w:rPr>
        <w:t>) (inclusive),</w:t>
      </w:r>
    </w:p>
    <w:p>
      <w:pPr>
        <w:spacing w:after="0" w:line="13" w:lineRule="exact"/>
        <w:rPr>
          <w:rFonts w:ascii="Arial" w:cs="Arial" w:eastAsia="Arial" w:hAnsi="Arial"/>
          <w:sz w:val="18"/>
          <w:szCs w:val="18"/>
          <w:color w:val="auto"/>
        </w:rPr>
      </w:pPr>
    </w:p>
    <w:p>
      <w:pPr>
        <w:ind w:left="1540"/>
        <w:spacing w:after="0" w:line="246" w:lineRule="auto"/>
        <w:rPr>
          <w:rFonts w:ascii="Arial" w:cs="Arial" w:eastAsia="Arial" w:hAnsi="Arial"/>
          <w:sz w:val="18"/>
          <w:szCs w:val="18"/>
          <w:color w:val="auto"/>
        </w:rPr>
      </w:pPr>
      <w:r>
        <w:rPr>
          <w:rFonts w:ascii="Arial" w:cs="Arial" w:eastAsia="Arial" w:hAnsi="Arial"/>
          <w:sz w:val="18"/>
          <w:szCs w:val="18"/>
          <w:color w:val="auto"/>
        </w:rPr>
        <w:t>30.12 (</w:t>
      </w:r>
      <w:r>
        <w:rPr>
          <w:rFonts w:ascii="Arial" w:cs="Arial" w:eastAsia="Arial" w:hAnsi="Arial"/>
          <w:sz w:val="18"/>
          <w:szCs w:val="18"/>
          <w:i w:val="1"/>
          <w:iCs w:val="1"/>
          <w:color w:val="auto"/>
        </w:rPr>
        <w:t>Cessation of business</w:t>
      </w:r>
      <w:r>
        <w:rPr>
          <w:rFonts w:ascii="Arial" w:cs="Arial" w:eastAsia="Arial" w:hAnsi="Arial"/>
          <w:sz w:val="18"/>
          <w:szCs w:val="18"/>
          <w:color w:val="auto"/>
        </w:rPr>
        <w:t>) or 30.13 (</w:t>
      </w:r>
      <w:r>
        <w:rPr>
          <w:rFonts w:ascii="Arial" w:cs="Arial" w:eastAsia="Arial" w:hAnsi="Arial"/>
          <w:sz w:val="18"/>
          <w:szCs w:val="18"/>
          <w:i w:val="1"/>
          <w:iCs w:val="1"/>
          <w:color w:val="auto"/>
        </w:rPr>
        <w:t>Expropriation</w:t>
      </w:r>
      <w:r>
        <w:rPr>
          <w:rFonts w:ascii="Arial" w:cs="Arial" w:eastAsia="Arial" w:hAnsi="Arial"/>
          <w:sz w:val="18"/>
          <w:szCs w:val="18"/>
          <w:color w:val="auto"/>
        </w:rPr>
        <w:t>) have occurred in respect of GasLog or GasLog Carriers as if they were Active Guarantors and such clauses applied to them; and</w:t>
      </w:r>
    </w:p>
    <w:p>
      <w:pPr>
        <w:spacing w:after="0" w:line="183" w:lineRule="exact"/>
        <w:rPr>
          <w:rFonts w:ascii="Arial" w:cs="Arial" w:eastAsia="Arial" w:hAnsi="Arial"/>
          <w:sz w:val="18"/>
          <w:szCs w:val="18"/>
          <w:color w:val="auto"/>
        </w:rPr>
      </w:pPr>
    </w:p>
    <w:p>
      <w:pPr>
        <w:jc w:val="both"/>
        <w:ind w:left="1540" w:hanging="511"/>
        <w:spacing w:after="0"/>
        <w:tabs>
          <w:tab w:leader="none" w:pos="1576" w:val="left"/>
        </w:tabs>
        <w:numPr>
          <w:ilvl w:val="1"/>
          <w:numId w:val="659"/>
        </w:numPr>
        <w:rPr>
          <w:rFonts w:ascii="Arial" w:cs="Arial" w:eastAsia="Arial" w:hAnsi="Arial"/>
          <w:sz w:val="18"/>
          <w:szCs w:val="18"/>
          <w:color w:val="auto"/>
        </w:rPr>
      </w:pPr>
      <w:r>
        <w:rPr>
          <w:rFonts w:ascii="Arial" w:cs="Arial" w:eastAsia="Arial" w:hAnsi="Arial"/>
          <w:sz w:val="18"/>
          <w:szCs w:val="18"/>
          <w:color w:val="auto"/>
        </w:rPr>
        <w:t>no event or circumstances have occurred which have had a Material Adverse Effect since the date of this Agreement, but for the purposes of this paragraph (iv) the words “at any time when GasLog is an Active Guarantor,” in paragraph (a)(iii) of the definition of Material Adverse Effect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disregarded;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6" w:name="page247"/>
    <w:bookmarkEnd w:id="246"/>
    <w:p>
      <w:pPr>
        <w:ind w:left="1040" w:hanging="511"/>
        <w:spacing w:after="0"/>
        <w:tabs>
          <w:tab w:leader="none" w:pos="104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paragraph (d) below is complied with; and</w:t>
      </w:r>
    </w:p>
    <w:p>
      <w:pPr>
        <w:spacing w:after="0" w:line="198" w:lineRule="exact"/>
        <w:rPr>
          <w:rFonts w:ascii="Arial" w:cs="Arial" w:eastAsia="Arial" w:hAnsi="Arial"/>
          <w:sz w:val="18"/>
          <w:szCs w:val="18"/>
          <w:color w:val="auto"/>
        </w:rPr>
      </w:pPr>
    </w:p>
    <w:p>
      <w:pPr>
        <w:jc w:val="both"/>
        <w:ind w:left="1040" w:hanging="511"/>
        <w:spacing w:after="0" w:line="238" w:lineRule="auto"/>
        <w:tabs>
          <w:tab w:leader="none" w:pos="1076"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the following documents and evidence have each been provided by the Obligors to the Agent (at the cost and expense of the Borrowers) either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in respect of any Advance, or as otherwise satisfactory to the Agent, acting on the instructions of the Majority Lenders, in each case acting reasonably:</w:t>
      </w:r>
    </w:p>
    <w:p>
      <w:pPr>
        <w:spacing w:after="0" w:line="191" w:lineRule="exact"/>
        <w:rPr>
          <w:rFonts w:ascii="Arial" w:cs="Arial" w:eastAsia="Arial" w:hAnsi="Arial"/>
          <w:sz w:val="18"/>
          <w:szCs w:val="18"/>
          <w:color w:val="auto"/>
        </w:rPr>
      </w:pPr>
    </w:p>
    <w:p>
      <w:pPr>
        <w:jc w:val="both"/>
        <w:ind w:left="1540" w:hanging="501"/>
        <w:spacing w:after="0"/>
        <w:tabs>
          <w:tab w:leader="none" w:pos="1634" w:val="left"/>
        </w:tabs>
        <w:numPr>
          <w:ilvl w:val="2"/>
          <w:numId w:val="660"/>
        </w:numPr>
        <w:rPr>
          <w:rFonts w:ascii="Arial" w:cs="Arial" w:eastAsia="Arial" w:hAnsi="Arial"/>
          <w:sz w:val="18"/>
          <w:szCs w:val="18"/>
          <w:color w:val="auto"/>
        </w:rPr>
      </w:pPr>
      <w:r>
        <w:rPr>
          <w:rFonts w:ascii="Arial" w:cs="Arial" w:eastAsia="Arial" w:hAnsi="Arial"/>
          <w:sz w:val="18"/>
          <w:szCs w:val="18"/>
          <w:color w:val="auto"/>
        </w:rPr>
        <w:t>replacement Share Security duly executed by GasLog Carriers or GasLog (as applicable) in respect of the shares in the relevant Borrower subject to the Reverse Dropdown (following which such shares shall be released from the prior Share Security at the cost and expense of the Borrowers);</w:t>
      </w:r>
    </w:p>
    <w:p>
      <w:pPr>
        <w:spacing w:after="0" w:line="189" w:lineRule="exact"/>
        <w:rPr>
          <w:rFonts w:ascii="Arial" w:cs="Arial" w:eastAsia="Arial" w:hAnsi="Arial"/>
          <w:sz w:val="18"/>
          <w:szCs w:val="18"/>
          <w:color w:val="auto"/>
        </w:rPr>
      </w:pPr>
    </w:p>
    <w:p>
      <w:pPr>
        <w:jc w:val="both"/>
        <w:ind w:left="1540" w:hanging="501"/>
        <w:spacing w:after="0"/>
        <w:tabs>
          <w:tab w:leader="none" w:pos="1904" w:val="left"/>
        </w:tabs>
        <w:numPr>
          <w:ilvl w:val="2"/>
          <w:numId w:val="660"/>
        </w:numPr>
        <w:rPr>
          <w:rFonts w:ascii="Arial" w:cs="Arial" w:eastAsia="Arial" w:hAnsi="Arial"/>
          <w:sz w:val="18"/>
          <w:szCs w:val="18"/>
          <w:color w:val="auto"/>
        </w:rPr>
      </w:pPr>
      <w:r>
        <w:rPr>
          <w:rFonts w:ascii="Arial" w:cs="Arial" w:eastAsia="Arial" w:hAnsi="Arial"/>
          <w:sz w:val="18"/>
          <w:szCs w:val="18"/>
          <w:color w:val="auto"/>
        </w:rPr>
        <w:t>any and all relevant corporate authorisations of GasLog Carriers or GasLog (as applicable) in respect of the execution, delivery and performance of such Share Security (of the type and nature described in Schedule 3, Part 1 paragraph 1 (</w:t>
      </w:r>
      <w:r>
        <w:rPr>
          <w:rFonts w:ascii="Arial" w:cs="Arial" w:eastAsia="Arial" w:hAnsi="Arial"/>
          <w:sz w:val="18"/>
          <w:szCs w:val="18"/>
          <w:i w:val="1"/>
          <w:iCs w:val="1"/>
          <w:color w:val="auto"/>
        </w:rPr>
        <w:t>Obligors’ Corporate documents</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left="1580" w:hanging="541"/>
        <w:spacing w:after="0"/>
        <w:tabs>
          <w:tab w:leader="none" w:pos="1580" w:val="left"/>
        </w:tabs>
        <w:numPr>
          <w:ilvl w:val="2"/>
          <w:numId w:val="660"/>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such Share Security.</w:t>
      </w:r>
    </w:p>
    <w:p>
      <w:pPr>
        <w:spacing w:after="0" w:line="198" w:lineRule="exact"/>
        <w:rPr>
          <w:rFonts w:ascii="Arial" w:cs="Arial" w:eastAsia="Arial" w:hAnsi="Arial"/>
          <w:sz w:val="18"/>
          <w:szCs w:val="18"/>
          <w:color w:val="auto"/>
        </w:rPr>
      </w:pPr>
    </w:p>
    <w:p>
      <w:pPr>
        <w:ind w:left="520" w:hanging="512"/>
        <w:spacing w:after="0" w:line="246" w:lineRule="auto"/>
        <w:tabs>
          <w:tab w:leader="none" w:pos="547" w:val="left"/>
        </w:tabs>
        <w:numPr>
          <w:ilvl w:val="0"/>
          <w:numId w:val="661"/>
        </w:numPr>
        <w:rPr>
          <w:rFonts w:ascii="Arial" w:cs="Arial" w:eastAsia="Arial" w:hAnsi="Arial"/>
          <w:sz w:val="18"/>
          <w:szCs w:val="18"/>
          <w:color w:val="auto"/>
        </w:rPr>
      </w:pPr>
      <w:r>
        <w:rPr>
          <w:rFonts w:ascii="Arial" w:cs="Arial" w:eastAsia="Arial" w:hAnsi="Arial"/>
          <w:sz w:val="18"/>
          <w:szCs w:val="18"/>
          <w:color w:val="auto"/>
        </w:rPr>
        <w:t>The Borrowers shall be permitted to proceed with a Dropdown in respect of a Borrower, subject to the following conditions being met on or before completion of that Dropdown:</w:t>
      </w:r>
    </w:p>
    <w:p>
      <w:pPr>
        <w:spacing w:after="0" w:line="183" w:lineRule="exact"/>
        <w:rPr>
          <w:rFonts w:ascii="Arial" w:cs="Arial" w:eastAsia="Arial" w:hAnsi="Arial"/>
          <w:sz w:val="18"/>
          <w:szCs w:val="18"/>
          <w:color w:val="auto"/>
        </w:rPr>
      </w:pPr>
    </w:p>
    <w:p>
      <w:pPr>
        <w:ind w:left="1040" w:hanging="511"/>
        <w:spacing w:after="0" w:line="246" w:lineRule="auto"/>
        <w:tabs>
          <w:tab w:leader="none" w:pos="1499" w:val="left"/>
        </w:tabs>
        <w:numPr>
          <w:ilvl w:val="1"/>
          <w:numId w:val="66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no Event of Default would result from completion of such Dropdown; and</w:t>
      </w:r>
    </w:p>
    <w:p>
      <w:pPr>
        <w:spacing w:after="0" w:line="183" w:lineRule="exact"/>
        <w:rPr>
          <w:rFonts w:ascii="Arial" w:cs="Arial" w:eastAsia="Arial" w:hAnsi="Arial"/>
          <w:sz w:val="18"/>
          <w:szCs w:val="18"/>
          <w:color w:val="auto"/>
        </w:rPr>
      </w:pPr>
    </w:p>
    <w:p>
      <w:pPr>
        <w:ind w:left="1060" w:hanging="531"/>
        <w:spacing w:after="0"/>
        <w:tabs>
          <w:tab w:leader="none" w:pos="106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no Change of Control has occurred; and</w:t>
      </w:r>
    </w:p>
    <w:p>
      <w:pPr>
        <w:spacing w:after="0" w:line="180" w:lineRule="exact"/>
        <w:rPr>
          <w:rFonts w:ascii="Arial" w:cs="Arial" w:eastAsia="Arial" w:hAnsi="Arial"/>
          <w:sz w:val="18"/>
          <w:szCs w:val="18"/>
          <w:color w:val="auto"/>
        </w:rPr>
      </w:pPr>
    </w:p>
    <w:p>
      <w:pPr>
        <w:ind w:left="1280" w:hanging="751"/>
        <w:spacing w:after="0"/>
        <w:tabs>
          <w:tab w:leader="none" w:pos="128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no events or circumstances described in any of clauses 30.7 (</w:t>
      </w:r>
      <w:r>
        <w:rPr>
          <w:rFonts w:ascii="Arial" w:cs="Arial" w:eastAsia="Arial" w:hAnsi="Arial"/>
          <w:sz w:val="18"/>
          <w:szCs w:val="18"/>
          <w:i w:val="1"/>
          <w:iCs w:val="1"/>
          <w:color w:val="auto"/>
        </w:rPr>
        <w:t>Cross default</w:t>
      </w:r>
      <w:r>
        <w:rPr>
          <w:rFonts w:ascii="Arial" w:cs="Arial" w:eastAsia="Arial" w:hAnsi="Arial"/>
          <w:sz w:val="18"/>
          <w:szCs w:val="18"/>
          <w:color w:val="auto"/>
        </w:rPr>
        <w:t>) to 30.10 (</w:t>
      </w:r>
      <w:r>
        <w:rPr>
          <w:rFonts w:ascii="Arial" w:cs="Arial" w:eastAsia="Arial" w:hAnsi="Arial"/>
          <w:sz w:val="18"/>
          <w:szCs w:val="18"/>
          <w:i w:val="1"/>
          <w:iCs w:val="1"/>
          <w:color w:val="auto"/>
        </w:rPr>
        <w:t>Creditors’ process</w:t>
      </w:r>
      <w:r>
        <w:rPr>
          <w:rFonts w:ascii="Arial" w:cs="Arial" w:eastAsia="Arial" w:hAnsi="Arial"/>
          <w:sz w:val="18"/>
          <w:szCs w:val="18"/>
          <w:color w:val="auto"/>
        </w:rPr>
        <w:t>) (inclusive),</w:t>
      </w:r>
    </w:p>
    <w:p>
      <w:pPr>
        <w:spacing w:after="0" w:line="13" w:lineRule="exact"/>
        <w:rPr>
          <w:rFonts w:ascii="Arial" w:cs="Arial" w:eastAsia="Arial" w:hAnsi="Arial"/>
          <w:sz w:val="18"/>
          <w:szCs w:val="18"/>
          <w:color w:val="auto"/>
        </w:rPr>
      </w:pPr>
    </w:p>
    <w:p>
      <w:pPr>
        <w:ind w:left="1040"/>
        <w:spacing w:after="0" w:line="246" w:lineRule="auto"/>
        <w:rPr>
          <w:rFonts w:ascii="Arial" w:cs="Arial" w:eastAsia="Arial" w:hAnsi="Arial"/>
          <w:sz w:val="18"/>
          <w:szCs w:val="18"/>
          <w:color w:val="auto"/>
        </w:rPr>
      </w:pPr>
      <w:r>
        <w:rPr>
          <w:rFonts w:ascii="Arial" w:cs="Arial" w:eastAsia="Arial" w:hAnsi="Arial"/>
          <w:sz w:val="18"/>
          <w:szCs w:val="18"/>
          <w:color w:val="auto"/>
        </w:rPr>
        <w:t>30.12 (</w:t>
      </w:r>
      <w:r>
        <w:rPr>
          <w:rFonts w:ascii="Arial" w:cs="Arial" w:eastAsia="Arial" w:hAnsi="Arial"/>
          <w:sz w:val="18"/>
          <w:szCs w:val="18"/>
          <w:i w:val="1"/>
          <w:iCs w:val="1"/>
          <w:color w:val="auto"/>
        </w:rPr>
        <w:t>Cessation of business</w:t>
      </w:r>
      <w:r>
        <w:rPr>
          <w:rFonts w:ascii="Arial" w:cs="Arial" w:eastAsia="Arial" w:hAnsi="Arial"/>
          <w:sz w:val="18"/>
          <w:szCs w:val="18"/>
          <w:color w:val="auto"/>
        </w:rPr>
        <w:t>) or 30.13 (</w:t>
      </w:r>
      <w:r>
        <w:rPr>
          <w:rFonts w:ascii="Arial" w:cs="Arial" w:eastAsia="Arial" w:hAnsi="Arial"/>
          <w:sz w:val="18"/>
          <w:szCs w:val="18"/>
          <w:i w:val="1"/>
          <w:iCs w:val="1"/>
          <w:color w:val="auto"/>
        </w:rPr>
        <w:t>Expropriation</w:t>
      </w:r>
      <w:r>
        <w:rPr>
          <w:rFonts w:ascii="Arial" w:cs="Arial" w:eastAsia="Arial" w:hAnsi="Arial"/>
          <w:sz w:val="18"/>
          <w:szCs w:val="18"/>
          <w:color w:val="auto"/>
        </w:rPr>
        <w:t>) have occurred in respect of the Parent or GasLog Holdings as if they were Active Guarantors and such clauses applied to them; and</w:t>
      </w:r>
    </w:p>
    <w:p>
      <w:pPr>
        <w:spacing w:after="0" w:line="183" w:lineRule="exact"/>
        <w:rPr>
          <w:rFonts w:ascii="Arial" w:cs="Arial" w:eastAsia="Arial" w:hAnsi="Arial"/>
          <w:sz w:val="18"/>
          <w:szCs w:val="18"/>
          <w:color w:val="auto"/>
        </w:rPr>
      </w:pPr>
    </w:p>
    <w:p>
      <w:pPr>
        <w:jc w:val="both"/>
        <w:ind w:left="1040" w:hanging="511"/>
        <w:spacing w:after="0"/>
        <w:tabs>
          <w:tab w:leader="none" w:pos="1076" w:val="left"/>
        </w:tabs>
        <w:numPr>
          <w:ilvl w:val="1"/>
          <w:numId w:val="661"/>
        </w:numPr>
        <w:rPr>
          <w:rFonts w:ascii="Arial" w:cs="Arial" w:eastAsia="Arial" w:hAnsi="Arial"/>
          <w:sz w:val="18"/>
          <w:szCs w:val="18"/>
          <w:color w:val="auto"/>
        </w:rPr>
      </w:pPr>
      <w:r>
        <w:rPr>
          <w:rFonts w:ascii="Arial" w:cs="Arial" w:eastAsia="Arial" w:hAnsi="Arial"/>
          <w:sz w:val="18"/>
          <w:szCs w:val="18"/>
          <w:color w:val="auto"/>
        </w:rPr>
        <w:t>no event or circumstances have occurred which have had a Material Adverse Effect since the date of this Agreement, but for the purposes of this paragraph (iv) the words “at any time when the Parent is an Active Guarantor,” in paragraph (a) (ii) of the definition of Material Adverse Effect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disregarded; and</w:t>
      </w:r>
    </w:p>
    <w:p>
      <w:pPr>
        <w:spacing w:after="0" w:line="189" w:lineRule="exact"/>
        <w:rPr>
          <w:rFonts w:ascii="Arial" w:cs="Arial" w:eastAsia="Arial" w:hAnsi="Arial"/>
          <w:sz w:val="18"/>
          <w:szCs w:val="18"/>
          <w:color w:val="auto"/>
        </w:rPr>
      </w:pPr>
    </w:p>
    <w:p>
      <w:pPr>
        <w:ind w:left="1040" w:hanging="511"/>
        <w:spacing w:after="0"/>
        <w:tabs>
          <w:tab w:leader="none" w:pos="104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paragraph (d) below is complied with; and</w:t>
      </w:r>
    </w:p>
    <w:p>
      <w:pPr>
        <w:spacing w:after="0" w:line="198" w:lineRule="exact"/>
        <w:rPr>
          <w:rFonts w:ascii="Arial" w:cs="Arial" w:eastAsia="Arial" w:hAnsi="Arial"/>
          <w:sz w:val="18"/>
          <w:szCs w:val="18"/>
          <w:color w:val="auto"/>
        </w:rPr>
      </w:pPr>
    </w:p>
    <w:p>
      <w:pPr>
        <w:jc w:val="both"/>
        <w:ind w:left="1040" w:hanging="511"/>
        <w:spacing w:after="0" w:line="238" w:lineRule="auto"/>
        <w:tabs>
          <w:tab w:leader="none" w:pos="1076" w:val="left"/>
        </w:tabs>
        <w:numPr>
          <w:ilvl w:val="1"/>
          <w:numId w:val="661"/>
        </w:numPr>
        <w:rPr>
          <w:rFonts w:ascii="Arial" w:cs="Arial" w:eastAsia="Arial" w:hAnsi="Arial"/>
          <w:sz w:val="18"/>
          <w:szCs w:val="18"/>
          <w:color w:val="auto"/>
        </w:rPr>
      </w:pPr>
      <w:r>
        <w:rPr>
          <w:rFonts w:ascii="Arial" w:cs="Arial" w:eastAsia="Arial" w:hAnsi="Arial"/>
          <w:sz w:val="18"/>
          <w:szCs w:val="18"/>
          <w:color w:val="auto"/>
        </w:rPr>
        <w:t>the following documents and evidence have each been provided by the Obligors to the Agent (at the cost and expense of the Borrowers) either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in respect of any Advance, or as otherwise satisfactory to the Agent, acting on the instructions of the Majority Lenders, in each case acting reasonably:</w:t>
      </w:r>
    </w:p>
    <w:p>
      <w:pPr>
        <w:spacing w:after="0" w:line="191" w:lineRule="exact"/>
        <w:rPr>
          <w:rFonts w:ascii="Arial" w:cs="Arial" w:eastAsia="Arial" w:hAnsi="Arial"/>
          <w:sz w:val="18"/>
          <w:szCs w:val="18"/>
          <w:color w:val="auto"/>
        </w:rPr>
      </w:pPr>
    </w:p>
    <w:p>
      <w:pPr>
        <w:jc w:val="both"/>
        <w:ind w:left="1540" w:hanging="501"/>
        <w:spacing w:after="0"/>
        <w:tabs>
          <w:tab w:leader="none" w:pos="1823" w:val="left"/>
        </w:tabs>
        <w:numPr>
          <w:ilvl w:val="2"/>
          <w:numId w:val="661"/>
        </w:numPr>
        <w:rPr>
          <w:rFonts w:ascii="Arial" w:cs="Arial" w:eastAsia="Arial" w:hAnsi="Arial"/>
          <w:sz w:val="18"/>
          <w:szCs w:val="18"/>
          <w:color w:val="auto"/>
        </w:rPr>
      </w:pPr>
      <w:r>
        <w:rPr>
          <w:rFonts w:ascii="Arial" w:cs="Arial" w:eastAsia="Arial" w:hAnsi="Arial"/>
          <w:sz w:val="18"/>
          <w:szCs w:val="18"/>
          <w:color w:val="auto"/>
        </w:rPr>
        <w:t>replacement Share Security duly executed by GasLog Holdings or the Parent (as applicable) in respect of the shares in the relevant Borrower subject to the Dropdown (following which such shares shall be released from the prior Share Security at the cost and expense of the Borrowers);</w:t>
      </w:r>
    </w:p>
    <w:p>
      <w:pPr>
        <w:spacing w:after="0" w:line="189" w:lineRule="exact"/>
        <w:rPr>
          <w:rFonts w:ascii="Arial" w:cs="Arial" w:eastAsia="Arial" w:hAnsi="Arial"/>
          <w:sz w:val="18"/>
          <w:szCs w:val="18"/>
          <w:color w:val="auto"/>
        </w:rPr>
      </w:pPr>
    </w:p>
    <w:p>
      <w:pPr>
        <w:jc w:val="both"/>
        <w:ind w:left="1540" w:hanging="501"/>
        <w:spacing w:after="0"/>
        <w:tabs>
          <w:tab w:leader="none" w:pos="1783" w:val="left"/>
        </w:tabs>
        <w:numPr>
          <w:ilvl w:val="2"/>
          <w:numId w:val="661"/>
        </w:numPr>
        <w:rPr>
          <w:rFonts w:ascii="Arial" w:cs="Arial" w:eastAsia="Arial" w:hAnsi="Arial"/>
          <w:sz w:val="18"/>
          <w:szCs w:val="18"/>
          <w:color w:val="auto"/>
        </w:rPr>
      </w:pPr>
      <w:r>
        <w:rPr>
          <w:rFonts w:ascii="Arial" w:cs="Arial" w:eastAsia="Arial" w:hAnsi="Arial"/>
          <w:sz w:val="18"/>
          <w:szCs w:val="18"/>
          <w:color w:val="auto"/>
        </w:rPr>
        <w:t>any and all relevant corporate authorisations of GasLog Holdings or the Parent (as applicable)in respect of the execution, delivery and performance of such Share Security (of the type and nature described in Schedule 3, Part 1 paragraph 1 (</w:t>
      </w:r>
      <w:r>
        <w:rPr>
          <w:rFonts w:ascii="Arial" w:cs="Arial" w:eastAsia="Arial" w:hAnsi="Arial"/>
          <w:sz w:val="18"/>
          <w:szCs w:val="18"/>
          <w:i w:val="1"/>
          <w:iCs w:val="1"/>
          <w:color w:val="auto"/>
        </w:rPr>
        <w:t>Obligors’ Corporate documents</w:t>
      </w:r>
      <w:r>
        <w:rPr>
          <w:rFonts w:ascii="Arial" w:cs="Arial" w:eastAsia="Arial" w:hAnsi="Arial"/>
          <w:sz w:val="18"/>
          <w:szCs w:val="18"/>
          <w:color w:val="auto"/>
        </w:rPr>
        <w:t>)); and</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47" w:name="page248"/>
    <w:bookmarkEnd w:id="247"/>
    <w:p>
      <w:pPr>
        <w:ind w:left="2080" w:hanging="541"/>
        <w:spacing w:after="0"/>
        <w:tabs>
          <w:tab w:leader="none" w:pos="2080" w:val="left"/>
        </w:tabs>
        <w:numPr>
          <w:ilvl w:val="1"/>
          <w:numId w:val="662"/>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such Share Security.</w:t>
      </w:r>
    </w:p>
    <w:p>
      <w:pPr>
        <w:spacing w:after="0" w:line="198" w:lineRule="exact"/>
        <w:rPr>
          <w:rFonts w:ascii="Arial" w:cs="Arial" w:eastAsia="Arial" w:hAnsi="Arial"/>
          <w:sz w:val="18"/>
          <w:szCs w:val="18"/>
          <w:color w:val="auto"/>
        </w:rPr>
      </w:pPr>
    </w:p>
    <w:p>
      <w:pPr>
        <w:jc w:val="both"/>
        <w:ind w:left="1020" w:hanging="512"/>
        <w:spacing w:after="0"/>
        <w:tabs>
          <w:tab w:leader="none" w:pos="1084" w:val="left"/>
        </w:tabs>
        <w:numPr>
          <w:ilvl w:val="0"/>
          <w:numId w:val="663"/>
        </w:numPr>
        <w:rPr>
          <w:rFonts w:ascii="Arial" w:cs="Arial" w:eastAsia="Arial" w:hAnsi="Arial"/>
          <w:sz w:val="18"/>
          <w:szCs w:val="18"/>
          <w:color w:val="auto"/>
        </w:rPr>
      </w:pPr>
      <w:r>
        <w:rPr>
          <w:rFonts w:ascii="Arial" w:cs="Arial" w:eastAsia="Arial" w:hAnsi="Arial"/>
          <w:sz w:val="18"/>
          <w:szCs w:val="18"/>
          <w:color w:val="auto"/>
        </w:rPr>
        <w:t>There can be no more than two (2) Reverse Dropdowns and Dropdowns (in aggregate) per Borrower during the Facility Period. All reasonable fees, costs and expenses incurred by the Finance Parties in connection with a Reverse Dropdown or a Dropdown will be borne by the Borrowers.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Merger and corporate reconstruction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Except as approved by the Majority Lenders, no Obligor, will enter into any amalgamation, demerger, merger, consolidation, redomiciliation, legal migration or corporate reconstruction (other than an amalgamation, merger or consolidation of a Guarantor where such Guarantor is the surviving entity of the same). For the avoidance of doubt, the Parties agree that a Dropdown and a Reverse Dropdown will not constitute an amalgamation, demerger, merger, consolidation or corporate reconstruction within the meaning of this clause 21.6.</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21.7</w:t>
        <w:tab/>
        <w:t>Further assurance</w:t>
      </w:r>
    </w:p>
    <w:p>
      <w:pPr>
        <w:spacing w:after="0" w:line="220" w:lineRule="exact"/>
        <w:rPr>
          <w:sz w:val="20"/>
          <w:szCs w:val="20"/>
          <w:color w:val="auto"/>
        </w:rPr>
      </w:pPr>
    </w:p>
    <w:p>
      <w:pPr>
        <w:jc w:val="both"/>
        <w:ind w:left="1020" w:hanging="512"/>
        <w:spacing w:after="0" w:line="238" w:lineRule="auto"/>
        <w:tabs>
          <w:tab w:leader="none" w:pos="1354" w:val="left"/>
        </w:tabs>
        <w:numPr>
          <w:ilvl w:val="0"/>
          <w:numId w:val="664"/>
        </w:numPr>
        <w:rPr>
          <w:rFonts w:ascii="Arial" w:cs="Arial" w:eastAsia="Arial" w:hAnsi="Arial"/>
          <w:sz w:val="18"/>
          <w:szCs w:val="18"/>
          <w:color w:val="auto"/>
        </w:rPr>
      </w:pPr>
      <w:r>
        <w:rPr>
          <w:rFonts w:ascii="Arial" w:cs="Arial" w:eastAsia="Arial" w:hAnsi="Arial"/>
          <w:sz w:val="18"/>
          <w:szCs w:val="18"/>
          <w:color w:val="auto"/>
        </w:rPr>
        <w:t>Each Obligor shall promptly do all such acts or execute all such documents (including assignments, transfers, mortgages, charges, notices and instructions) as the Agent may reasonably specify (and in such form as the Agent may reasonably require acting on the instructions of the Majority Lenders) in favour of the Security Agent or its nominee(s) as provided under each Finance Document, as applicable:</w:t>
      </w:r>
    </w:p>
    <w:p>
      <w:pPr>
        <w:spacing w:after="0" w:line="191" w:lineRule="exact"/>
        <w:rPr>
          <w:rFonts w:ascii="Arial" w:cs="Arial" w:eastAsia="Arial" w:hAnsi="Arial"/>
          <w:sz w:val="18"/>
          <w:szCs w:val="18"/>
          <w:color w:val="auto"/>
        </w:rPr>
      </w:pPr>
    </w:p>
    <w:p>
      <w:pPr>
        <w:jc w:val="both"/>
        <w:ind w:left="1540" w:hanging="511"/>
        <w:spacing w:after="0" w:line="238" w:lineRule="auto"/>
        <w:tabs>
          <w:tab w:leader="none" w:pos="1810" w:val="left"/>
        </w:tabs>
        <w:numPr>
          <w:ilvl w:val="1"/>
          <w:numId w:val="664"/>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188" w:lineRule="exact"/>
        <w:rPr>
          <w:rFonts w:ascii="Arial" w:cs="Arial" w:eastAsia="Arial" w:hAnsi="Arial"/>
          <w:sz w:val="18"/>
          <w:szCs w:val="18"/>
          <w:color w:val="auto"/>
        </w:rPr>
      </w:pPr>
    </w:p>
    <w:p>
      <w:pPr>
        <w:jc w:val="both"/>
        <w:ind w:left="1540" w:right="20" w:hanging="511"/>
        <w:spacing w:after="0"/>
        <w:tabs>
          <w:tab w:leader="none" w:pos="1729" w:val="left"/>
        </w:tabs>
        <w:numPr>
          <w:ilvl w:val="1"/>
          <w:numId w:val="664"/>
        </w:numPr>
        <w:rPr>
          <w:rFonts w:ascii="Arial" w:cs="Arial" w:eastAsia="Arial" w:hAnsi="Arial"/>
          <w:sz w:val="18"/>
          <w:szCs w:val="18"/>
          <w:color w:val="auto"/>
        </w:rPr>
      </w:pPr>
      <w:r>
        <w:rPr>
          <w:rFonts w:ascii="Arial" w:cs="Arial" w:eastAsia="Arial" w:hAnsi="Arial"/>
          <w:sz w:val="18"/>
          <w:szCs w:val="18"/>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664"/>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198" w:lineRule="exact"/>
        <w:rPr>
          <w:rFonts w:ascii="Arial" w:cs="Arial" w:eastAsia="Arial" w:hAnsi="Arial"/>
          <w:sz w:val="18"/>
          <w:szCs w:val="18"/>
          <w:color w:val="auto"/>
        </w:rPr>
      </w:pPr>
    </w:p>
    <w:p>
      <w:pPr>
        <w:ind w:left="1540" w:hanging="511"/>
        <w:spacing w:after="0" w:line="246" w:lineRule="auto"/>
        <w:tabs>
          <w:tab w:leader="none" w:pos="1765" w:val="left"/>
        </w:tabs>
        <w:numPr>
          <w:ilvl w:val="1"/>
          <w:numId w:val="664"/>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32.1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03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Negative pledge in respect of Charged Property or Borrower’s shares</w:t>
      </w:r>
    </w:p>
    <w:p>
      <w:pPr>
        <w:spacing w:after="0" w:line="220" w:lineRule="exact"/>
        <w:rPr>
          <w:sz w:val="20"/>
          <w:szCs w:val="20"/>
          <w:color w:val="auto"/>
        </w:rPr>
      </w:pPr>
    </w:p>
    <w:p>
      <w:pPr>
        <w:ind w:left="1060" w:hanging="552"/>
        <w:spacing w:after="0"/>
        <w:tabs>
          <w:tab w:leader="none" w:pos="106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198" w:lineRule="exact"/>
        <w:rPr>
          <w:rFonts w:ascii="Arial" w:cs="Arial" w:eastAsia="Arial" w:hAnsi="Arial"/>
          <w:sz w:val="18"/>
          <w:szCs w:val="18"/>
          <w:color w:val="auto"/>
        </w:rPr>
      </w:pPr>
    </w:p>
    <w:p>
      <w:pPr>
        <w:jc w:val="both"/>
        <w:ind w:left="1020" w:hanging="512"/>
        <w:spacing w:after="0"/>
        <w:tabs>
          <w:tab w:leader="none" w:pos="1179" w:val="left"/>
        </w:tabs>
        <w:numPr>
          <w:ilvl w:val="0"/>
          <w:numId w:val="665"/>
        </w:numPr>
        <w:rPr>
          <w:rFonts w:ascii="Arial" w:cs="Arial" w:eastAsia="Arial" w:hAnsi="Arial"/>
          <w:sz w:val="18"/>
          <w:szCs w:val="18"/>
          <w:color w:val="auto"/>
        </w:rPr>
      </w:pPr>
      <w:r>
        <w:rPr>
          <w:rFonts w:ascii="Arial" w:cs="Arial" w:eastAsia="Arial" w:hAnsi="Arial"/>
          <w:sz w:val="18"/>
          <w:szCs w:val="18"/>
          <w:color w:val="auto"/>
        </w:rPr>
        <w:t>Except under the Share Security in respect of each Borrower, no Obligor will grant or allow to exist any Security Interest over any of the shares in any of the Borrowers or over any of the rights deriving from or related to such shares (other than to the extent such Security Interest already exists and shall continue to exist in connection with the Existing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8" w:name="page249"/>
    <w:bookmarkEnd w:id="248"/>
    <w:p>
      <w:pPr>
        <w:ind w:left="1040"/>
        <w:spacing w:after="0"/>
        <w:rPr>
          <w:sz w:val="20"/>
          <w:szCs w:val="20"/>
          <w:color w:val="auto"/>
        </w:rPr>
      </w:pPr>
      <w:r>
        <w:rPr>
          <w:rFonts w:ascii="Arial" w:cs="Arial" w:eastAsia="Arial" w:hAnsi="Arial"/>
          <w:sz w:val="18"/>
          <w:szCs w:val="18"/>
          <w:color w:val="auto"/>
        </w:rPr>
        <w:t>Indebtedness up to the Utilisation Date when it shall be released and replaced with the relevant new Share Security).</w:t>
      </w:r>
    </w:p>
    <w:p>
      <w:pPr>
        <w:spacing w:after="0" w:line="198" w:lineRule="exact"/>
        <w:rPr>
          <w:sz w:val="20"/>
          <w:szCs w:val="20"/>
          <w:color w:val="auto"/>
        </w:rPr>
      </w:pPr>
    </w:p>
    <w:p>
      <w:pPr>
        <w:ind w:left="1020" w:hanging="512"/>
        <w:spacing w:after="0" w:line="246" w:lineRule="auto"/>
        <w:tabs>
          <w:tab w:leader="none" w:pos="1209" w:val="left"/>
        </w:tabs>
        <w:numPr>
          <w:ilvl w:val="0"/>
          <w:numId w:val="666"/>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21.9</w:t>
        <w:tab/>
        <w:t>Environmental matters</w:t>
      </w:r>
    </w:p>
    <w:p>
      <w:pPr>
        <w:spacing w:after="0" w:line="220" w:lineRule="exact"/>
        <w:rPr>
          <w:sz w:val="20"/>
          <w:szCs w:val="20"/>
          <w:color w:val="auto"/>
        </w:rPr>
      </w:pPr>
    </w:p>
    <w:p>
      <w:pPr>
        <w:jc w:val="both"/>
        <w:ind w:left="1020" w:hanging="512"/>
        <w:spacing w:after="0" w:line="238" w:lineRule="auto"/>
        <w:tabs>
          <w:tab w:leader="none" w:pos="1057"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Obligors will notify the Agent as soon as reasonably practicable of any Environmental Claim being made against any Group Member or any Parent Group Member or any Fleet Vessel or the owner of any Fleet Vessel or any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88"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357"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Obligors shall ensure that each Ship or any other vessel owned or controlled by a Group Member or a Parent Group Member or sold to an intermediary with an intention that such vessel will be scrapped, is recycled at a recycling yard in a socially and environmentally responsible manner in accordance with the Hong Kong International Convention for the Safe and Environmentally Sound Recycling of Ships, 2009 (whether or not it is in force) and/or EU Ship Recycling Regulation, 2013 (as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Pari Passu</w:t>
      </w:r>
    </w:p>
    <w:p>
      <w:pPr>
        <w:spacing w:after="0" w:line="220" w:lineRule="exact"/>
        <w:rPr>
          <w:sz w:val="20"/>
          <w:szCs w:val="20"/>
          <w:color w:val="auto"/>
        </w:rPr>
      </w:pPr>
    </w:p>
    <w:p>
      <w:pPr>
        <w:jc w:val="both"/>
        <w:ind w:left="500"/>
        <w:spacing w:after="0" w:line="234" w:lineRule="auto"/>
        <w:rPr>
          <w:sz w:val="20"/>
          <w:szCs w:val="20"/>
          <w:color w:val="auto"/>
        </w:rPr>
      </w:pPr>
      <w:r>
        <w:rPr>
          <w:rFonts w:ascii="Arial" w:cs="Arial" w:eastAsia="Arial" w:hAnsi="Arial"/>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w:t>
      </w:r>
    </w:p>
    <w:p>
      <w:pPr>
        <w:spacing w:after="0" w:line="2" w:lineRule="exact"/>
        <w:rPr>
          <w:sz w:val="20"/>
          <w:szCs w:val="20"/>
          <w:color w:val="auto"/>
        </w:rPr>
      </w:pPr>
    </w:p>
    <w:p>
      <w:pPr>
        <w:jc w:val="both"/>
        <w:ind w:left="500" w:right="20" w:firstLine="8"/>
        <w:spacing w:after="0"/>
        <w:tabs>
          <w:tab w:leader="none" w:pos="817" w:val="left"/>
        </w:tabs>
        <w:numPr>
          <w:ilvl w:val="0"/>
          <w:numId w:val="668"/>
        </w:numPr>
        <w:rPr>
          <w:rFonts w:ascii="Arial" w:cs="Arial" w:eastAsia="Arial" w:hAnsi="Arial"/>
          <w:sz w:val="18"/>
          <w:szCs w:val="18"/>
          <w:color w:val="auto"/>
        </w:rPr>
      </w:pPr>
      <w:r>
        <w:rPr>
          <w:rFonts w:ascii="Arial" w:cs="Arial" w:eastAsia="Arial" w:hAnsi="Arial"/>
          <w:sz w:val="18"/>
          <w:szCs w:val="18"/>
          <w:color w:val="auto"/>
        </w:rPr>
        <w:t>any Financial Indebtedness of any Obligor to any other Group Member or any other Parent Group Member or any of its shareholders or other Affiliates shall be in all respects subordinated in ranking and priority of payment to all amounts owing to the Finance Parties under the Finance Documents.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Sanctions</w:t>
      </w:r>
    </w:p>
    <w:p>
      <w:pPr>
        <w:spacing w:after="0" w:line="220" w:lineRule="exact"/>
        <w:rPr>
          <w:sz w:val="20"/>
          <w:szCs w:val="20"/>
          <w:color w:val="auto"/>
        </w:rPr>
      </w:pPr>
    </w:p>
    <w:p>
      <w:pPr>
        <w:jc w:val="both"/>
        <w:ind w:left="1020" w:right="20" w:hanging="512"/>
        <w:spacing w:after="0"/>
        <w:tabs>
          <w:tab w:leader="none" w:pos="1057" w:val="left"/>
        </w:tabs>
        <w:numPr>
          <w:ilvl w:val="0"/>
          <w:numId w:val="669"/>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 available to, or for the benefit of, a Prohibited Person or permit or authorise any such proceeds to be applied in a manner or for a purpose prohibited by Sanctions or which would put any Finance Party in breach of any Sanctions.</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nor any other Group Member will:</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198" w:lineRule="exact"/>
        <w:rPr>
          <w:rFonts w:ascii="Arial" w:cs="Arial" w:eastAsia="Arial" w:hAnsi="Arial"/>
          <w:sz w:val="18"/>
          <w:szCs w:val="18"/>
          <w:color w:val="auto"/>
        </w:rPr>
      </w:pPr>
    </w:p>
    <w:p>
      <w:pPr>
        <w:ind w:left="1540" w:hanging="511"/>
        <w:spacing w:after="0" w:line="246" w:lineRule="auto"/>
        <w:tabs>
          <w:tab w:leader="none" w:pos="1931" w:val="left"/>
        </w:tabs>
        <w:numPr>
          <w:ilvl w:val="1"/>
          <w:numId w:val="669"/>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688" w:val="left"/>
        </w:tabs>
        <w:numPr>
          <w:ilvl w:val="1"/>
          <w:numId w:val="669"/>
        </w:numPr>
        <w:rPr>
          <w:rFonts w:ascii="Arial" w:cs="Arial" w:eastAsia="Arial" w:hAnsi="Arial"/>
          <w:sz w:val="18"/>
          <w:szCs w:val="18"/>
          <w:color w:val="auto"/>
        </w:rPr>
      </w:pPr>
      <w:r>
        <w:rPr>
          <w:rFonts w:ascii="Arial" w:cs="Arial" w:eastAsia="Arial" w:hAnsi="Arial"/>
          <w:sz w:val="18"/>
          <w:szCs w:val="18"/>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191" w:lineRule="exact"/>
        <w:rPr>
          <w:rFonts w:ascii="Arial" w:cs="Arial" w:eastAsia="Arial" w:hAnsi="Arial"/>
          <w:sz w:val="18"/>
          <w:szCs w:val="18"/>
          <w:color w:val="auto"/>
        </w:rPr>
      </w:pPr>
    </w:p>
    <w:p>
      <w:pPr>
        <w:ind w:left="1540" w:hanging="511"/>
        <w:spacing w:after="0"/>
        <w:tabs>
          <w:tab w:leader="none" w:pos="154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9" w:name="page250"/>
    <w:bookmarkEnd w:id="249"/>
    <w:p>
      <w:pPr>
        <w:ind w:left="1040" w:hanging="511"/>
        <w:spacing w:after="0"/>
        <w:tabs>
          <w:tab w:leader="none" w:pos="1040" w:val="left"/>
        </w:tabs>
        <w:numPr>
          <w:ilvl w:val="1"/>
          <w:numId w:val="670"/>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Borrowers will prevent any Mortgaged Ship from being used, directly or indirectly:</w:t>
      </w:r>
    </w:p>
    <w:p>
      <w:pPr>
        <w:spacing w:after="0" w:line="198" w:lineRule="exact"/>
        <w:rPr>
          <w:rFonts w:ascii="Arial" w:cs="Arial" w:eastAsia="Arial" w:hAnsi="Arial"/>
          <w:sz w:val="18"/>
          <w:szCs w:val="18"/>
          <w:color w:val="auto"/>
        </w:rPr>
      </w:pPr>
    </w:p>
    <w:p>
      <w:pPr>
        <w:jc w:val="both"/>
        <w:ind w:left="1040" w:hanging="511"/>
        <w:spacing w:after="0"/>
        <w:tabs>
          <w:tab w:leader="none" w:pos="127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 otherwise provided directly or indirectly to any Prohibited Person) if such use would be in breach of Sanctions;</w:t>
      </w:r>
    </w:p>
    <w:p>
      <w:pPr>
        <w:spacing w:after="0" w:line="189" w:lineRule="exact"/>
        <w:rPr>
          <w:sz w:val="20"/>
          <w:szCs w:val="20"/>
          <w:color w:val="auto"/>
        </w:rPr>
      </w:pPr>
    </w:p>
    <w:p>
      <w:pPr>
        <w:ind w:left="1040" w:hanging="511"/>
        <w:spacing w:after="0" w:line="246" w:lineRule="auto"/>
        <w:tabs>
          <w:tab w:leader="none" w:pos="1053" w:val="left"/>
        </w:tabs>
        <w:numPr>
          <w:ilvl w:val="1"/>
          <w:numId w:val="672"/>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83" w:lineRule="exact"/>
        <w:rPr>
          <w:rFonts w:ascii="Arial" w:cs="Arial" w:eastAsia="Arial" w:hAnsi="Arial"/>
          <w:sz w:val="18"/>
          <w:szCs w:val="18"/>
          <w:color w:val="auto"/>
        </w:rPr>
      </w:pPr>
    </w:p>
    <w:p>
      <w:pPr>
        <w:ind w:left="1040" w:hanging="511"/>
        <w:spacing w:after="0" w:line="246" w:lineRule="auto"/>
        <w:tabs>
          <w:tab w:leader="none" w:pos="1093" w:val="left"/>
        </w:tabs>
        <w:numPr>
          <w:ilvl w:val="1"/>
          <w:numId w:val="672"/>
        </w:numPr>
        <w:rPr>
          <w:rFonts w:ascii="Arial" w:cs="Arial" w:eastAsia="Arial" w:hAnsi="Arial"/>
          <w:sz w:val="18"/>
          <w:szCs w:val="18"/>
          <w:color w:val="auto"/>
        </w:rPr>
      </w:pPr>
      <w:r>
        <w:rPr>
          <w:rFonts w:ascii="Arial" w:cs="Arial" w:eastAsia="Arial" w:hAnsi="Arial"/>
          <w:sz w:val="18"/>
          <w:szCs w:val="18"/>
          <w:color w:val="auto"/>
        </w:rPr>
        <w:t>in any transport of any goods that are prohibited to be sold, supplied, transferred, purchased, exported or imported under any Sanctions.</w:t>
      </w:r>
    </w:p>
    <w:p>
      <w:pPr>
        <w:spacing w:after="0" w:line="183" w:lineRule="exact"/>
        <w:rPr>
          <w:rFonts w:ascii="Arial" w:cs="Arial" w:eastAsia="Arial" w:hAnsi="Arial"/>
          <w:sz w:val="18"/>
          <w:szCs w:val="18"/>
          <w:color w:val="auto"/>
        </w:rPr>
      </w:pPr>
    </w:p>
    <w:p>
      <w:pPr>
        <w:jc w:val="both"/>
        <w:ind w:left="520" w:hanging="512"/>
        <w:spacing w:after="0" w:line="237" w:lineRule="auto"/>
        <w:tabs>
          <w:tab w:leader="none" w:pos="841" w:val="left"/>
        </w:tabs>
        <w:numPr>
          <w:ilvl w:val="0"/>
          <w:numId w:val="673"/>
        </w:numPr>
        <w:rPr>
          <w:rFonts w:ascii="Arial" w:cs="Arial" w:eastAsia="Arial" w:hAnsi="Arial"/>
          <w:sz w:val="18"/>
          <w:szCs w:val="18"/>
          <w:color w:val="auto"/>
        </w:rPr>
      </w:pPr>
      <w:r>
        <w:rPr>
          <w:rFonts w:ascii="Arial" w:cs="Arial" w:eastAsia="Arial" w:hAnsi="Arial"/>
          <w:sz w:val="18"/>
          <w:szCs w:val="18"/>
          <w:color w:val="auto"/>
        </w:rPr>
        <w:t>Without prejudice to the rights of the Finance Parties under any other provisions of this Agreement and the other Finance Documents, if an Owner finds out that its Ship, without its knowledge, has been sold, chartered, conferred, leased or otherwise provided directly or indirectly to any Prohibited Person in breach of Sanctions, it shall terminate as soon as possible and in any case within 30 days after the day it finds out that any of the events described in this clause has occurred the relationship with the Prohibited Person under the premise that the Finance Parties may commit a breach of law by this behaviour. In this case the Borrowers will also inform the Finance Parties immediately upon becoming so aware.</w:t>
      </w:r>
    </w:p>
    <w:p>
      <w:pPr>
        <w:spacing w:after="0" w:line="191" w:lineRule="exact"/>
        <w:rPr>
          <w:rFonts w:ascii="Arial" w:cs="Arial" w:eastAsia="Arial" w:hAnsi="Arial"/>
          <w:sz w:val="18"/>
          <w:szCs w:val="18"/>
          <w:color w:val="auto"/>
        </w:rPr>
      </w:pPr>
    </w:p>
    <w:p>
      <w:pPr>
        <w:jc w:val="both"/>
        <w:ind w:left="520" w:hanging="512"/>
        <w:spacing w:after="0"/>
        <w:tabs>
          <w:tab w:leader="none" w:pos="598" w:val="left"/>
        </w:tabs>
        <w:numPr>
          <w:ilvl w:val="0"/>
          <w:numId w:val="673"/>
        </w:numPr>
        <w:rPr>
          <w:rFonts w:ascii="Arial" w:cs="Arial" w:eastAsia="Arial" w:hAnsi="Arial"/>
          <w:sz w:val="18"/>
          <w:szCs w:val="18"/>
          <w:color w:val="auto"/>
        </w:rPr>
      </w:pPr>
      <w:r>
        <w:rPr>
          <w:rFonts w:ascii="Arial" w:cs="Arial" w:eastAsia="Arial" w:hAnsi="Arial"/>
          <w:sz w:val="18"/>
          <w:szCs w:val="18"/>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189" w:lineRule="exact"/>
        <w:rPr>
          <w:rFonts w:ascii="Arial" w:cs="Arial" w:eastAsia="Arial" w:hAnsi="Arial"/>
          <w:sz w:val="18"/>
          <w:szCs w:val="18"/>
          <w:color w:val="auto"/>
        </w:rPr>
      </w:pPr>
    </w:p>
    <w:p>
      <w:pPr>
        <w:jc w:val="both"/>
        <w:ind w:left="520" w:hanging="512"/>
        <w:spacing w:after="0"/>
        <w:tabs>
          <w:tab w:leader="none" w:pos="71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p>
      <w:pPr>
        <w:spacing w:after="0" w:line="189" w:lineRule="exact"/>
        <w:rPr>
          <w:rFonts w:ascii="Arial" w:cs="Arial" w:eastAsia="Arial" w:hAnsi="Arial"/>
          <w:sz w:val="18"/>
          <w:szCs w:val="18"/>
          <w:color w:val="auto"/>
        </w:rPr>
      </w:pPr>
    </w:p>
    <w:p>
      <w:pPr>
        <w:ind w:left="520" w:right="2500" w:hanging="512"/>
        <w:spacing w:after="0" w:line="469" w:lineRule="auto"/>
        <w:tabs>
          <w:tab w:leader="none" w:pos="53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 xml:space="preserve">For the purposes of this clause 21.11 the following words shall have the following meanings: </w:t>
      </w: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means any person with whom transactions are prohibited or restricted under:</w:t>
      </w:r>
    </w:p>
    <w:p>
      <w:pPr>
        <w:spacing w:after="0" w:line="1" w:lineRule="exact"/>
        <w:rPr>
          <w:sz w:val="20"/>
          <w:szCs w:val="20"/>
          <w:color w:val="auto"/>
        </w:rPr>
      </w:pPr>
    </w:p>
    <w:p>
      <w:pPr>
        <w:ind w:left="1060" w:hanging="531"/>
        <w:spacing w:after="0"/>
        <w:tabs>
          <w:tab w:leader="none" w:pos="106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OFAC; or</w:t>
      </w:r>
    </w:p>
    <w:p>
      <w:pPr>
        <w:spacing w:after="0" w:line="198" w:lineRule="exact"/>
        <w:rPr>
          <w:rFonts w:ascii="Arial" w:cs="Arial" w:eastAsia="Arial" w:hAnsi="Arial"/>
          <w:sz w:val="18"/>
          <w:szCs w:val="18"/>
          <w:color w:val="auto"/>
        </w:rPr>
      </w:pPr>
    </w:p>
    <w:p>
      <w:pPr>
        <w:jc w:val="both"/>
        <w:ind w:left="1040" w:hanging="511"/>
        <w:spacing w:after="0" w:line="238" w:lineRule="auto"/>
        <w:tabs>
          <w:tab w:leader="none" w:pos="1168" w:val="left"/>
        </w:tabs>
        <w:numPr>
          <w:ilvl w:val="0"/>
          <w:numId w:val="674"/>
        </w:numPr>
        <w:rPr>
          <w:rFonts w:ascii="Arial" w:cs="Arial" w:eastAsia="Arial" w:hAnsi="Arial"/>
          <w:sz w:val="18"/>
          <w:szCs w:val="18"/>
          <w:color w:val="auto"/>
        </w:rPr>
      </w:pPr>
      <w:r>
        <w:rPr>
          <w:rFonts w:ascii="Arial" w:cs="Arial" w:eastAsia="Arial" w:hAnsi="Arial"/>
          <w:sz w:val="18"/>
          <w:szCs w:val="18"/>
          <w:color w:val="auto"/>
        </w:rPr>
        <w:t>any other United States of America government sanction,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86" w:lineRule="exact"/>
        <w:rPr>
          <w:rFonts w:ascii="Arial" w:cs="Arial" w:eastAsia="Arial" w:hAnsi="Arial"/>
          <w:sz w:val="18"/>
          <w:szCs w:val="18"/>
          <w:color w:val="auto"/>
        </w:rPr>
      </w:pPr>
    </w:p>
    <w:p>
      <w:pPr>
        <w:ind w:left="1180" w:hanging="651"/>
        <w:spacing w:after="0"/>
        <w:tabs>
          <w:tab w:leader="none" w:pos="11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European Union sanctions laws, including without limitation persons or organisations on the European Union Restricted</w:t>
      </w:r>
    </w:p>
    <w:p>
      <w:pPr>
        <w:jc w:val="both"/>
        <w:ind w:left="1040"/>
        <w:spacing w:after="0"/>
        <w:rPr>
          <w:sz w:val="20"/>
          <w:szCs w:val="20"/>
          <w:color w:val="auto"/>
        </w:rPr>
      </w:pPr>
      <w:r>
        <w:rPr>
          <w:rFonts w:ascii="Arial" w:cs="Arial" w:eastAsia="Arial" w:hAnsi="Arial"/>
          <w:sz w:val="18"/>
          <w:szCs w:val="18"/>
          <w:color w:val="auto"/>
        </w:rPr>
        <w:t>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189" w:lineRule="exact"/>
        <w:rPr>
          <w:sz w:val="20"/>
          <w:szCs w:val="20"/>
          <w:color w:val="auto"/>
        </w:rPr>
      </w:pPr>
    </w:p>
    <w:p>
      <w:pPr>
        <w:ind w:left="1040" w:hanging="511"/>
        <w:spacing w:after="0" w:line="246" w:lineRule="auto"/>
        <w:tabs>
          <w:tab w:leader="none" w:pos="1411" w:val="left"/>
        </w:tabs>
        <w:numPr>
          <w:ilvl w:val="0"/>
          <w:numId w:val="675"/>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50" w:name="page251"/>
    <w:bookmarkEnd w:id="250"/>
    <w:p>
      <w:pPr>
        <w:ind w:left="1540" w:hanging="511"/>
        <w:spacing w:after="0" w:line="246" w:lineRule="auto"/>
        <w:tabs>
          <w:tab w:leader="none" w:pos="1668" w:val="left"/>
        </w:tabs>
        <w:numPr>
          <w:ilvl w:val="0"/>
          <w:numId w:val="676"/>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 and</w:t>
      </w:r>
    </w:p>
    <w:p>
      <w:pPr>
        <w:spacing w:after="0" w:line="183" w:lineRule="exact"/>
        <w:rPr>
          <w:rFonts w:ascii="Arial" w:cs="Arial" w:eastAsia="Arial" w:hAnsi="Arial"/>
          <w:sz w:val="18"/>
          <w:szCs w:val="18"/>
          <w:color w:val="auto"/>
        </w:rPr>
      </w:pPr>
    </w:p>
    <w:p>
      <w:pPr>
        <w:ind w:left="1540" w:hanging="511"/>
        <w:spacing w:after="0" w:line="246" w:lineRule="auto"/>
        <w:tabs>
          <w:tab w:leader="none" w:pos="2023" w:val="left"/>
        </w:tabs>
        <w:numPr>
          <w:ilvl w:val="0"/>
          <w:numId w:val="676"/>
        </w:numPr>
        <w:rPr>
          <w:rFonts w:ascii="Arial" w:cs="Arial" w:eastAsia="Arial" w:hAnsi="Arial"/>
          <w:sz w:val="18"/>
          <w:szCs w:val="18"/>
          <w:color w:val="auto"/>
        </w:rPr>
      </w:pPr>
      <w:r>
        <w:rPr>
          <w:rFonts w:ascii="Arial" w:cs="Arial" w:eastAsia="Arial" w:hAnsi="Arial"/>
          <w:sz w:val="18"/>
          <w:szCs w:val="18"/>
          <w:color w:val="auto"/>
        </w:rPr>
        <w:t>Norwegian sanctions laws, including without limitation persons or organisations on the sanctions lists issued and administered by the Norwegian State,</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176"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Sanctions Authority.</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20" w:lineRule="exact"/>
        <w:rPr>
          <w:sz w:val="20"/>
          <w:szCs w:val="20"/>
          <w:color w:val="auto"/>
        </w:rPr>
      </w:pPr>
    </w:p>
    <w:p>
      <w:pPr>
        <w:ind w:left="1560" w:hanging="531"/>
        <w:spacing w:after="0"/>
        <w:tabs>
          <w:tab w:leader="none" w:pos="15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European Union (and/or any member state thereof);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Norway,</w:t>
      </w:r>
    </w:p>
    <w:p>
      <w:pPr>
        <w:spacing w:after="0" w:line="198" w:lineRule="exact"/>
        <w:rPr>
          <w:sz w:val="20"/>
          <w:szCs w:val="20"/>
          <w:color w:val="auto"/>
        </w:rPr>
      </w:pPr>
    </w:p>
    <w:p>
      <w:pPr>
        <w:jc w:val="both"/>
        <w:ind w:left="1020" w:right="20"/>
        <w:spacing w:after="0"/>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and The Office of Financial Sanctions Implementation (</w:t>
      </w:r>
      <w:r>
        <w:rPr>
          <w:rFonts w:ascii="Arial" w:cs="Arial" w:eastAsia="Arial" w:hAnsi="Arial"/>
          <w:sz w:val="18"/>
          <w:szCs w:val="18"/>
          <w:b w:val="1"/>
          <w:bCs w:val="1"/>
          <w:color w:val="auto"/>
        </w:rPr>
        <w:t>OFSI</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Borrowers’ own account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21.13 Inspection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or any Parent Group Member, in each case at reasonable times and upon reasonable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21.14 Bribery and corruption</w:t>
      </w:r>
    </w:p>
    <w:p>
      <w:pPr>
        <w:spacing w:after="0" w:line="220" w:lineRule="exact"/>
        <w:rPr>
          <w:sz w:val="20"/>
          <w:szCs w:val="20"/>
          <w:color w:val="auto"/>
        </w:rPr>
      </w:pPr>
    </w:p>
    <w:p>
      <w:pPr>
        <w:ind w:left="1060" w:hanging="552"/>
        <w:spacing w:after="0"/>
        <w:tabs>
          <w:tab w:leader="none" w:pos="106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198" w:lineRule="exact"/>
        <w:rPr>
          <w:rFonts w:ascii="Arial" w:cs="Arial" w:eastAsia="Arial" w:hAnsi="Arial"/>
          <w:sz w:val="18"/>
          <w:szCs w:val="18"/>
          <w:color w:val="auto"/>
        </w:rPr>
      </w:pPr>
    </w:p>
    <w:p>
      <w:pPr>
        <w:ind w:left="1540" w:hanging="511"/>
        <w:spacing w:after="0" w:line="246" w:lineRule="auto"/>
        <w:tabs>
          <w:tab w:leader="none" w:pos="1878" w:val="left"/>
        </w:tabs>
        <w:numPr>
          <w:ilvl w:val="1"/>
          <w:numId w:val="678"/>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1" w:name="page252"/>
    <w:bookmarkEnd w:id="251"/>
    <w:p>
      <w:pPr>
        <w:jc w:val="both"/>
        <w:ind w:left="1020" w:hanging="512"/>
        <w:spacing w:after="0"/>
        <w:tabs>
          <w:tab w:leader="none" w:pos="1071" w:val="left"/>
        </w:tabs>
        <w:numPr>
          <w:ilvl w:val="0"/>
          <w:numId w:val="679"/>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71" w:lineRule="exact"/>
        <w:rPr>
          <w:rFonts w:ascii="Arial" w:cs="Arial" w:eastAsia="Arial" w:hAnsi="Arial"/>
          <w:sz w:val="18"/>
          <w:szCs w:val="18"/>
          <w:color w:val="auto"/>
        </w:rPr>
      </w:pPr>
    </w:p>
    <w:p>
      <w:pPr>
        <w:ind w:left="1040" w:hanging="532"/>
        <w:spacing w:after="0"/>
        <w:tabs>
          <w:tab w:leader="none" w:pos="104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w:t>
      </w:r>
      <w:r>
        <w:rPr>
          <w:rFonts w:ascii="Arial" w:cs="Arial" w:eastAsia="Arial" w:hAnsi="Arial"/>
          <w:sz w:val="18"/>
          <w:szCs w:val="18"/>
          <w:i w:val="1"/>
          <w:iCs w:val="1"/>
          <w:color w:val="auto"/>
        </w:rPr>
        <w:t>Money Laundering</w:t>
      </w:r>
      <w:r>
        <w:rPr>
          <w:rFonts w:ascii="Arial" w:cs="Arial" w:eastAsia="Arial" w:hAnsi="Arial"/>
          <w:sz w:val="18"/>
          <w:szCs w:val="18"/>
          <w:color w:val="auto"/>
        </w:rPr>
        <w:t>), the following definitions shall apply:</w:t>
      </w:r>
    </w:p>
    <w:p>
      <w:pPr>
        <w:spacing w:after="0" w:line="194"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40"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40" w:lineRule="exact"/>
        <w:rPr>
          <w:rFonts w:ascii="Arial" w:cs="Arial" w:eastAsia="Arial" w:hAnsi="Arial"/>
          <w:sz w:val="18"/>
          <w:szCs w:val="18"/>
          <w:color w:val="auto"/>
        </w:rPr>
      </w:pPr>
    </w:p>
    <w:p>
      <w:pPr>
        <w:ind w:left="1020" w:right="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to improperly influence the actions of that party.</w:t>
      </w:r>
    </w:p>
    <w:p>
      <w:pPr>
        <w:spacing w:after="0" w:line="140"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are to be used, in order to carry out terrorist acts.</w:t>
      </w:r>
    </w:p>
    <w:p>
      <w:pPr>
        <w:spacing w:after="0" w:line="140"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deception.</w:t>
      </w:r>
    </w:p>
    <w:p>
      <w:pPr>
        <w:spacing w:after="0" w:line="14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20" w:lineRule="exact"/>
        <w:rPr>
          <w:rFonts w:ascii="Arial" w:cs="Arial" w:eastAsia="Arial" w:hAnsi="Arial"/>
          <w:sz w:val="18"/>
          <w:szCs w:val="18"/>
          <w:color w:val="auto"/>
        </w:rPr>
      </w:pPr>
    </w:p>
    <w:p>
      <w:pPr>
        <w:jc w:val="both"/>
        <w:ind w:left="1540" w:hanging="511"/>
        <w:spacing w:after="0"/>
        <w:tabs>
          <w:tab w:leader="none" w:pos="1844"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89" w:lineRule="exact"/>
        <w:rPr>
          <w:rFonts w:ascii="Arial" w:cs="Arial" w:eastAsia="Arial" w:hAnsi="Arial"/>
          <w:sz w:val="18"/>
          <w:szCs w:val="18"/>
          <w:color w:val="auto"/>
        </w:rPr>
      </w:pPr>
    </w:p>
    <w:p>
      <w:pPr>
        <w:ind w:left="1540" w:hanging="511"/>
        <w:spacing w:after="0" w:line="246" w:lineRule="auto"/>
        <w:tabs>
          <w:tab w:leader="none" w:pos="1992"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22 Dealings with Ship</w:t>
      </w:r>
    </w:p>
    <w:p>
      <w:pPr>
        <w:spacing w:after="0" w:line="22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Each Borrower undertakes that this clause 22 will be complied with in relation to each Mortgaged Ship throughout the relevant Ship’s Mortgage Period.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b w:val="1"/>
          <w:bCs w:val="1"/>
          <w:color w:val="auto"/>
        </w:rPr>
        <w:t>Ship’s name and registration</w:t>
      </w:r>
    </w:p>
    <w:p>
      <w:pPr>
        <w:spacing w:after="0" w:line="220" w:lineRule="exact"/>
        <w:rPr>
          <w:sz w:val="20"/>
          <w:szCs w:val="20"/>
          <w:color w:val="auto"/>
        </w:rPr>
      </w:pPr>
    </w:p>
    <w:p>
      <w:pPr>
        <w:ind w:left="1020" w:hanging="512"/>
        <w:spacing w:after="0" w:line="246" w:lineRule="auto"/>
        <w:tabs>
          <w:tab w:leader="none" w:pos="1071"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83" w:lineRule="exact"/>
        <w:rPr>
          <w:rFonts w:ascii="Arial" w:cs="Arial" w:eastAsia="Arial" w:hAnsi="Arial"/>
          <w:sz w:val="18"/>
          <w:szCs w:val="18"/>
          <w:color w:val="auto"/>
        </w:rPr>
      </w:pPr>
    </w:p>
    <w:p>
      <w:pPr>
        <w:jc w:val="both"/>
        <w:ind w:left="1020" w:hanging="512"/>
        <w:spacing w:after="0" w:line="237" w:lineRule="auto"/>
        <w:tabs>
          <w:tab w:leader="none" w:pos="1044"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Ship shall be permanently registered in the name of the relevant Owner with the relevant Registry under the laws of its Flag State.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2" w:name="page253"/>
    <w:bookmarkEnd w:id="252"/>
    <w:p>
      <w:pPr>
        <w:ind w:left="1020" w:hanging="512"/>
        <w:spacing w:after="0" w:line="246" w:lineRule="auto"/>
        <w:tabs>
          <w:tab w:leader="none" w:pos="1074" w:val="left"/>
        </w:tabs>
        <w:numPr>
          <w:ilvl w:val="0"/>
          <w:numId w:val="681"/>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Sale or other disposal of Ship; refinancing</w:t>
      </w:r>
    </w:p>
    <w:p>
      <w:pPr>
        <w:spacing w:after="0" w:line="220" w:lineRule="exact"/>
        <w:rPr>
          <w:sz w:val="20"/>
          <w:szCs w:val="20"/>
          <w:color w:val="auto"/>
        </w:rPr>
      </w:pPr>
    </w:p>
    <w:p>
      <w:pPr>
        <w:jc w:val="both"/>
        <w:ind w:left="1020" w:hanging="512"/>
        <w:spacing w:after="0" w:line="236" w:lineRule="auto"/>
        <w:tabs>
          <w:tab w:leader="none" w:pos="1152"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Owners may sell or transfer a Ship, provided that the relevant Owner and the other Borrowers are in compliance with this clause 22.2 and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in respect of such sale or transfer and no Default has occurred and is continuing at the time of such sale or transfer. Upon such sale or transfer the Lenders will procure that upon the relevant cancellation and prepayment and the discharge of the other obligations of the Borrowers under this clause 22.2 and clause 7.6 (</w:t>
      </w:r>
      <w:r>
        <w:rPr>
          <w:rFonts w:ascii="Arial" w:cs="Arial" w:eastAsia="Arial" w:hAnsi="Arial"/>
          <w:sz w:val="18"/>
          <w:szCs w:val="18"/>
          <w:i w:val="1"/>
          <w:iCs w:val="1"/>
          <w:color w:val="auto"/>
        </w:rPr>
        <w:t>Sale or Total Loss or Change of Control in respect of a Borrower</w:t>
      </w:r>
      <w:r>
        <w:rPr>
          <w:rFonts w:ascii="Arial" w:cs="Arial" w:eastAsia="Arial" w:hAnsi="Arial"/>
          <w:sz w:val="18"/>
          <w:szCs w:val="18"/>
          <w:color w:val="auto"/>
        </w:rPr>
        <w:t>), the Mortgage over that Ship will be discharged and the Deed of Covenant, the General Assignment, the Charter Assignment, the Share Security, the Account Security, the Security Power of Attorney, the Hedging Contract Security (if applicable) and the Manager’s Undertaking relating to that Ship will be released, and the relevant Owner will be released as Borrower under this Agreement, in each case pursuant to deeds of release in agreed form executed at the cost and expense of the Borrowers.</w:t>
      </w:r>
    </w:p>
    <w:p>
      <w:pPr>
        <w:spacing w:after="0" w:line="193" w:lineRule="exact"/>
        <w:rPr>
          <w:rFonts w:ascii="Arial" w:cs="Arial" w:eastAsia="Arial" w:hAnsi="Arial"/>
          <w:sz w:val="18"/>
          <w:szCs w:val="18"/>
          <w:color w:val="auto"/>
        </w:rPr>
      </w:pPr>
    </w:p>
    <w:p>
      <w:pPr>
        <w:jc w:val="both"/>
        <w:ind w:left="1020" w:hanging="512"/>
        <w:spacing w:after="0" w:line="236" w:lineRule="auto"/>
        <w:tabs>
          <w:tab w:leader="none" w:pos="144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In any event, if at any time the Borrowers (i) prepay the Advance relevant to a Ship in full, (ii) reduce the relevant Ship Commitment to zero in accordance with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7.6 (</w:t>
      </w:r>
      <w:r>
        <w:rPr>
          <w:rFonts w:ascii="Arial" w:cs="Arial" w:eastAsia="Arial" w:hAnsi="Arial"/>
          <w:sz w:val="18"/>
          <w:szCs w:val="18"/>
          <w:i w:val="1"/>
          <w:iCs w:val="1"/>
          <w:color w:val="auto"/>
        </w:rPr>
        <w:t>Sale or Total Loss or 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in respect of a Borrower</w:t>
      </w:r>
      <w:r>
        <w:rPr>
          <w:rFonts w:ascii="Arial" w:cs="Arial" w:eastAsia="Arial" w:hAnsi="Arial"/>
          <w:sz w:val="18"/>
          <w:szCs w:val="18"/>
          <w:color w:val="auto"/>
        </w:rPr>
        <w:t>), (iii) pay all other amounts owing and payable under this Agreement and the other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at the time of such prepayment and cancellation and (iv) no Default has occurred and is continuing at the time, upon such prepayment and cancellation the Lenders shall consent to the discharge of the Mortgage, the Deed of Covenant, the General Assignment, the Manager’s Undertaking, the Share Security, the Account Security, the Security Power of Attorney, the Hedging Contract Security (if applicable) and the Charter Assignment relating to the Ship, and the release of the Owner of that Ship under the Finance Documents, pursuant to deeds of release in agreed form executed at the cost and expense of the Borrowers.</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Manager</w:t>
      </w:r>
    </w:p>
    <w:p>
      <w:pPr>
        <w:spacing w:after="0" w:line="220" w:lineRule="exact"/>
        <w:rPr>
          <w:sz w:val="20"/>
          <w:szCs w:val="20"/>
          <w:color w:val="auto"/>
        </w:rPr>
      </w:pPr>
    </w:p>
    <w:p>
      <w:pPr>
        <w:jc w:val="both"/>
        <w:ind w:left="1020" w:hanging="512"/>
        <w:spacing w:after="0"/>
        <w:tabs>
          <w:tab w:leader="none" w:pos="1071" w:val="left"/>
        </w:tabs>
        <w:numPr>
          <w:ilvl w:val="0"/>
          <w:numId w:val="683"/>
        </w:numPr>
        <w:rPr>
          <w:rFonts w:ascii="Arial" w:cs="Arial" w:eastAsia="Arial" w:hAnsi="Arial"/>
          <w:sz w:val="18"/>
          <w:szCs w:val="18"/>
          <w:color w:val="auto"/>
        </w:rPr>
      </w:pPr>
      <w:r>
        <w:rPr>
          <w:rFonts w:ascii="Arial" w:cs="Arial" w:eastAsia="Arial" w:hAnsi="Arial"/>
          <w:sz w:val="18"/>
          <w:szCs w:val="18"/>
          <w:color w:val="auto"/>
        </w:rPr>
        <w:t>A manager of the Ship (other than the Managers as at the date of this Agreement) shall not be appointed unless the terms of its appointment are approved by the Majority Lenders (such approval not to be unreasonably withheld or delayed) and it has delivered a duly executed Manager’s Undertaking to the Security Agent.</w:t>
      </w:r>
    </w:p>
    <w:p>
      <w:pPr>
        <w:spacing w:after="0" w:line="189" w:lineRule="exact"/>
        <w:rPr>
          <w:rFonts w:ascii="Arial" w:cs="Arial" w:eastAsia="Arial" w:hAnsi="Arial"/>
          <w:sz w:val="18"/>
          <w:szCs w:val="18"/>
          <w:color w:val="auto"/>
        </w:rPr>
      </w:pPr>
    </w:p>
    <w:p>
      <w:pPr>
        <w:jc w:val="both"/>
        <w:ind w:left="1020" w:hanging="512"/>
        <w:spacing w:after="0"/>
        <w:tabs>
          <w:tab w:leader="none" w:pos="1138" w:val="left"/>
        </w:tabs>
        <w:numPr>
          <w:ilvl w:val="0"/>
          <w:numId w:val="683"/>
        </w:numPr>
        <w:rPr>
          <w:rFonts w:ascii="Arial" w:cs="Arial" w:eastAsia="Arial" w:hAnsi="Arial"/>
          <w:sz w:val="18"/>
          <w:szCs w:val="18"/>
          <w:color w:val="auto"/>
        </w:rPr>
      </w:pPr>
      <w:r>
        <w:rPr>
          <w:rFonts w:ascii="Arial" w:cs="Arial" w:eastAsia="Arial" w:hAnsi="Arial"/>
          <w:sz w:val="18"/>
          <w:szCs w:val="18"/>
          <w:color w:val="auto"/>
        </w:rPr>
        <w:t>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b w:val="1"/>
          <w:bCs w:val="1"/>
          <w:color w:val="auto"/>
        </w:rPr>
        <w:t>Copy of Mortgage on board</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 properly certified copy of the relevant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Notice of Mortgage</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w:t>
      </w:r>
    </w:p>
    <w:p>
      <w:pPr>
        <w:ind w:left="520"/>
        <w:spacing w:after="0"/>
        <w:rPr>
          <w:sz w:val="20"/>
          <w:szCs w:val="20"/>
          <w:color w:val="auto"/>
        </w:rPr>
      </w:pPr>
      <w:r>
        <w:rPr>
          <w:rFonts w:ascii="Arial" w:cs="Arial" w:eastAsia="Arial" w:hAnsi="Arial"/>
          <w:sz w:val="18"/>
          <w:szCs w:val="18"/>
          <w:color w:val="auto"/>
        </w:rPr>
        <w:t>Ship. The notice must be in plain type and read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MORTGAGE</w:t>
      </w:r>
    </w:p>
    <w:p>
      <w:pPr>
        <w:spacing w:after="0" w:line="198"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color w:val="auto"/>
        </w:rPr>
        <w:t>This Ship is subject to a first mortgage in favour of [</w:t>
      </w:r>
      <w:r>
        <w:rPr>
          <w:rFonts w:ascii="Arial" w:cs="Arial" w:eastAsia="Arial" w:hAnsi="Arial"/>
          <w:sz w:val="18"/>
          <w:szCs w:val="18"/>
          <w:b w:val="1"/>
          <w:bCs w:val="1"/>
          <w:color w:val="auto"/>
        </w:rPr>
        <w:t>here insert name of mortgagee</w:t>
      </w:r>
      <w:r>
        <w:rPr>
          <w:rFonts w:ascii="Arial" w:cs="Arial" w:eastAsia="Arial" w:hAnsi="Arial"/>
          <w:sz w:val="18"/>
          <w:szCs w:val="18"/>
          <w:color w:val="auto"/>
        </w:rPr>
        <w:t>] of [</w:t>
      </w:r>
      <w:r>
        <w:rPr>
          <w:rFonts w:ascii="Arial" w:cs="Arial" w:eastAsia="Arial" w:hAnsi="Arial"/>
          <w:sz w:val="18"/>
          <w:szCs w:val="18"/>
          <w:b w:val="1"/>
          <w:bCs w:val="1"/>
          <w:color w:val="auto"/>
        </w:rPr>
        <w:t>here insert address of mortgagee</w:t>
      </w:r>
      <w:r>
        <w:rPr>
          <w:rFonts w:ascii="Arial" w:cs="Arial" w:eastAsia="Arial" w:hAnsi="Arial"/>
          <w:sz w:val="18"/>
          <w:szCs w:val="18"/>
          <w:color w:val="auto"/>
        </w:rPr>
        <w:t>]. Under the said mortgage and related documents, neither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3" w:name="page254"/>
    <w:bookmarkEnd w:id="253"/>
    <w:p>
      <w:pPr>
        <w:jc w:val="both"/>
        <w:ind w:left="520"/>
        <w:spacing w:after="0" w:line="246" w:lineRule="auto"/>
        <w:rPr>
          <w:sz w:val="20"/>
          <w:szCs w:val="20"/>
          <w:color w:val="auto"/>
        </w:rPr>
      </w:pPr>
      <w:r>
        <w:rPr>
          <w:rFonts w:ascii="Arial" w:cs="Arial" w:eastAsia="Arial" w:hAnsi="Arial"/>
          <w:sz w:val="18"/>
          <w:szCs w:val="18"/>
          <w:color w:val="auto"/>
        </w:rPr>
        <w:t>Owner nor any charterer nor the Master of this Ship has any right, power or authority to create, incur or permit to be imposed upon this Ship any commitments or encumbrances whatsoever other than for crew’s wages and salvage”.</w:t>
      </w:r>
    </w:p>
    <w:p>
      <w:pPr>
        <w:spacing w:after="0" w:line="183"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Conveyance on default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22.7</w:t>
        <w:tab/>
        <w:t>Chartering</w:t>
      </w:r>
    </w:p>
    <w:p>
      <w:pPr>
        <w:spacing w:after="0" w:line="220" w:lineRule="exact"/>
        <w:rPr>
          <w:sz w:val="20"/>
          <w:szCs w:val="20"/>
          <w:color w:val="auto"/>
        </w:rPr>
      </w:pPr>
    </w:p>
    <w:p>
      <w:pPr>
        <w:ind w:left="1020" w:right="20" w:hanging="512"/>
        <w:spacing w:after="0" w:line="246" w:lineRule="auto"/>
        <w:tabs>
          <w:tab w:leader="none" w:pos="1071" w:val="left"/>
        </w:tabs>
        <w:numPr>
          <w:ilvl w:val="0"/>
          <w:numId w:val="684"/>
        </w:numPr>
        <w:rPr>
          <w:rFonts w:ascii="Arial" w:cs="Arial" w:eastAsia="Arial" w:hAnsi="Arial"/>
          <w:sz w:val="18"/>
          <w:szCs w:val="18"/>
          <w:color w:val="auto"/>
        </w:rPr>
      </w:pPr>
      <w:r>
        <w:rPr>
          <w:rFonts w:ascii="Arial" w:cs="Arial" w:eastAsia="Arial" w:hAnsi="Arial"/>
          <w:sz w:val="18"/>
          <w:szCs w:val="18"/>
          <w:color w:val="auto"/>
        </w:rPr>
        <w:t>Except with approval of the Majority Lenders, the relevant Owner shall not enter into any charter commitment for a Ship (except for the Charter for each Ship, where applicable), which is:</w:t>
      </w:r>
    </w:p>
    <w:p>
      <w:pPr>
        <w:spacing w:after="0" w:line="183"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684"/>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 (except where operational control is passed to the Ship’s Technical Manager);</w:t>
      </w:r>
    </w:p>
    <w:p>
      <w:pPr>
        <w:spacing w:after="0" w:line="183" w:lineRule="exact"/>
        <w:rPr>
          <w:rFonts w:ascii="Arial" w:cs="Arial" w:eastAsia="Arial" w:hAnsi="Arial"/>
          <w:sz w:val="18"/>
          <w:szCs w:val="18"/>
          <w:color w:val="auto"/>
        </w:rPr>
      </w:pPr>
    </w:p>
    <w:p>
      <w:pPr>
        <w:jc w:val="both"/>
        <w:ind w:left="1540" w:hanging="511"/>
        <w:spacing w:after="0"/>
        <w:tabs>
          <w:tab w:leader="none" w:pos="1607" w:val="left"/>
        </w:tabs>
        <w:numPr>
          <w:ilvl w:val="1"/>
          <w:numId w:val="684"/>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p>
      <w:pPr>
        <w:spacing w:after="0" w:line="189" w:lineRule="exact"/>
        <w:rPr>
          <w:rFonts w:ascii="Arial" w:cs="Arial" w:eastAsia="Arial" w:hAnsi="Arial"/>
          <w:sz w:val="18"/>
          <w:szCs w:val="18"/>
          <w:color w:val="auto"/>
        </w:rPr>
      </w:pPr>
    </w:p>
    <w:p>
      <w:pPr>
        <w:ind w:left="1540" w:hanging="511"/>
        <w:spacing w:after="0" w:line="246" w:lineRule="auto"/>
        <w:tabs>
          <w:tab w:leader="none" w:pos="1553" w:val="left"/>
        </w:tabs>
        <w:numPr>
          <w:ilvl w:val="1"/>
          <w:numId w:val="684"/>
        </w:numPr>
        <w:rPr>
          <w:rFonts w:ascii="Arial" w:cs="Arial" w:eastAsia="Arial" w:hAnsi="Arial"/>
          <w:sz w:val="18"/>
          <w:szCs w:val="18"/>
          <w:color w:val="auto"/>
        </w:rPr>
      </w:pPr>
      <w:r>
        <w:rPr>
          <w:rFonts w:ascii="Arial" w:cs="Arial" w:eastAsia="Arial" w:hAnsi="Arial"/>
          <w:sz w:val="18"/>
          <w:szCs w:val="18"/>
          <w:color w:val="auto"/>
        </w:rPr>
        <w:t>with an Affiliate (other than charters entered into at arm’s length between the relevant Owner and the Parent or GasLog or any of their respective Affiliates); or</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657" w:val="left"/>
        </w:tabs>
        <w:numPr>
          <w:ilvl w:val="1"/>
          <w:numId w:val="684"/>
        </w:numPr>
        <w:rPr>
          <w:rFonts w:ascii="Arial" w:cs="Arial" w:eastAsia="Arial" w:hAnsi="Arial"/>
          <w:sz w:val="18"/>
          <w:szCs w:val="18"/>
          <w:color w:val="auto"/>
        </w:rPr>
      </w:pPr>
      <w:r>
        <w:rPr>
          <w:rFonts w:ascii="Arial" w:cs="Arial" w:eastAsia="Arial" w:hAnsi="Arial"/>
          <w:sz w:val="18"/>
          <w:szCs w:val="18"/>
          <w:color w:val="auto"/>
        </w:rPr>
        <w:t>capable of lasting more than sixty (60) calendar months and with a fixed charter rate which is, for each calendar month, below breakeven for that Ship (taking into account for that purpose the monthly operational costs of such Ship and the monthly debt service obligations of the Advance relating to such Ship for the entire tenor of such charter commitment). However, a charter commitment for a Ship with charter rate which is linked to an index related to LNG commodity pricing or LNG shipping shall not be deemed restricted by this paragraph (iv) above regardless of its tenor.</w:t>
      </w:r>
    </w:p>
    <w:p>
      <w:pPr>
        <w:spacing w:after="0" w:line="188" w:lineRule="exact"/>
        <w:rPr>
          <w:rFonts w:ascii="Arial" w:cs="Arial" w:eastAsia="Arial" w:hAnsi="Arial"/>
          <w:sz w:val="18"/>
          <w:szCs w:val="18"/>
          <w:color w:val="auto"/>
        </w:rPr>
      </w:pPr>
    </w:p>
    <w:p>
      <w:pPr>
        <w:ind w:left="1020" w:hanging="512"/>
        <w:spacing w:after="0" w:line="246" w:lineRule="auto"/>
        <w:tabs>
          <w:tab w:leader="none" w:pos="1395" w:val="left"/>
        </w:tabs>
        <w:numPr>
          <w:ilvl w:val="0"/>
          <w:numId w:val="684"/>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and any other provisions of the Finance Documents, the relevant Owner shall:</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851" w:val="left"/>
        </w:tabs>
        <w:numPr>
          <w:ilvl w:val="1"/>
          <w:numId w:val="684"/>
        </w:numPr>
        <w:rPr>
          <w:rFonts w:ascii="Arial" w:cs="Arial" w:eastAsia="Arial" w:hAnsi="Arial"/>
          <w:sz w:val="18"/>
          <w:szCs w:val="18"/>
          <w:color w:val="auto"/>
        </w:rPr>
      </w:pPr>
      <w:r>
        <w:rPr>
          <w:rFonts w:ascii="Arial" w:cs="Arial" w:eastAsia="Arial" w:hAnsi="Arial"/>
          <w:sz w:val="18"/>
          <w:szCs w:val="18"/>
          <w:color w:val="auto"/>
        </w:rPr>
        <w:t>be permitted to pursue and contract for any charter business with any person other than one with a Non-Acceptable Charterer, provided that it advises the Agent promptly of any charter commitment in respect of its Ship (other than the relevant Charter for each Ship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))which has an original term in excess of twenty four (24) calendar months (after taking into account any option to extend or renew contained therein), and the relevant Owner shall:</w:t>
      </w:r>
    </w:p>
    <w:p>
      <w:pPr>
        <w:spacing w:after="0" w:line="188" w:lineRule="exact"/>
        <w:rPr>
          <w:rFonts w:ascii="Arial" w:cs="Arial" w:eastAsia="Arial" w:hAnsi="Arial"/>
          <w:sz w:val="18"/>
          <w:szCs w:val="18"/>
          <w:color w:val="auto"/>
        </w:rPr>
      </w:pPr>
    </w:p>
    <w:p>
      <w:pPr>
        <w:ind w:left="2060" w:hanging="521"/>
        <w:spacing w:after="0"/>
        <w:tabs>
          <w:tab w:leader="none" w:pos="2060" w:val="left"/>
        </w:tabs>
        <w:numPr>
          <w:ilvl w:val="2"/>
          <w:numId w:val="684"/>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forthwith;</w:t>
      </w:r>
    </w:p>
    <w:p>
      <w:pPr>
        <w:spacing w:after="0" w:line="198" w:lineRule="exact"/>
        <w:rPr>
          <w:rFonts w:ascii="Arial" w:cs="Arial" w:eastAsia="Arial" w:hAnsi="Arial"/>
          <w:sz w:val="18"/>
          <w:szCs w:val="18"/>
          <w:color w:val="auto"/>
        </w:rPr>
      </w:pPr>
    </w:p>
    <w:p>
      <w:pPr>
        <w:ind w:left="2060" w:hanging="521"/>
        <w:spacing w:after="0"/>
        <w:tabs>
          <w:tab w:leader="none" w:pos="2060" w:val="left"/>
        </w:tabs>
        <w:numPr>
          <w:ilvl w:val="2"/>
          <w:numId w:val="684"/>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198" w:lineRule="exact"/>
        <w:rPr>
          <w:sz w:val="20"/>
          <w:szCs w:val="20"/>
          <w:color w:val="auto"/>
        </w:rPr>
      </w:pPr>
    </w:p>
    <w:p>
      <w:pPr>
        <w:jc w:val="both"/>
        <w:ind w:left="2560" w:hanging="511"/>
        <w:spacing w:after="0"/>
        <w:tabs>
          <w:tab w:leader="none" w:pos="2702" w:val="left"/>
        </w:tabs>
        <w:numPr>
          <w:ilvl w:val="0"/>
          <w:numId w:val="685"/>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(and the guarantee of such charter commitment if applicable) in favour of the Security Agent (in the same form as the Charter Assignment) and any notice of assignment required in connection therewith;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4" w:name="page255"/>
    <w:bookmarkEnd w:id="254"/>
    <w:p>
      <w:pPr>
        <w:jc w:val="both"/>
        <w:ind w:left="2560" w:hanging="511"/>
        <w:spacing w:after="0"/>
        <w:tabs>
          <w:tab w:leader="none" w:pos="2661" w:val="left"/>
        </w:tabs>
        <w:numPr>
          <w:ilvl w:val="2"/>
          <w:numId w:val="686"/>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counterparty of the Owner under such charter commitment (and guarantee if applicable), and provide to the Agent a copy of the acknowledgement (if received) of such notice by such counterparty;</w:t>
      </w:r>
    </w:p>
    <w:p>
      <w:pPr>
        <w:spacing w:after="0" w:line="171" w:lineRule="exact"/>
        <w:rPr>
          <w:rFonts w:ascii="Arial" w:cs="Arial" w:eastAsia="Arial" w:hAnsi="Arial"/>
          <w:sz w:val="18"/>
          <w:szCs w:val="18"/>
          <w:color w:val="auto"/>
        </w:rPr>
      </w:pPr>
    </w:p>
    <w:p>
      <w:pPr>
        <w:jc w:val="both"/>
        <w:ind w:left="2040" w:hanging="501"/>
        <w:spacing w:after="0" w:line="250" w:lineRule="auto"/>
        <w:tabs>
          <w:tab w:leader="none" w:pos="2117" w:val="left"/>
        </w:tabs>
        <w:numPr>
          <w:ilvl w:val="1"/>
          <w:numId w:val="687"/>
        </w:numPr>
        <w:rPr>
          <w:rFonts w:ascii="Arial" w:cs="Arial" w:eastAsia="Arial" w:hAnsi="Arial"/>
          <w:sz w:val="18"/>
          <w:szCs w:val="18"/>
          <w:color w:val="auto"/>
        </w:rPr>
      </w:pPr>
      <w:r>
        <w:rPr>
          <w:rFonts w:ascii="Arial" w:cs="Arial" w:eastAsia="Arial" w:hAnsi="Arial"/>
          <w:sz w:val="18"/>
          <w:szCs w:val="18"/>
          <w:color w:val="auto"/>
        </w:rPr>
        <w:t xml:space="preserve">deliver to the Agent such documents and evidence of the type referred to in Schedule 3 (Conditions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any such charter assignment or any other related matter referred to in this clause 22.7(b), as the Agent (acting on the instructions of the Majority Lenders in their sole discretion) shall require; and</w:t>
      </w:r>
    </w:p>
    <w:p>
      <w:pPr>
        <w:spacing w:after="0" w:line="181" w:lineRule="exact"/>
        <w:rPr>
          <w:rFonts w:ascii="Arial" w:cs="Arial" w:eastAsia="Arial" w:hAnsi="Arial"/>
          <w:sz w:val="18"/>
          <w:szCs w:val="18"/>
          <w:color w:val="auto"/>
        </w:rPr>
      </w:pPr>
    </w:p>
    <w:p>
      <w:pPr>
        <w:jc w:val="both"/>
        <w:ind w:left="2040" w:hanging="501"/>
        <w:spacing w:after="0"/>
        <w:tabs>
          <w:tab w:leader="none" w:pos="2212" w:val="left"/>
        </w:tabs>
        <w:numPr>
          <w:ilvl w:val="1"/>
          <w:numId w:val="687"/>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22.7(b); and</w:t>
      </w:r>
    </w:p>
    <w:p>
      <w:pPr>
        <w:spacing w:after="0" w:line="189" w:lineRule="exact"/>
        <w:rPr>
          <w:rFonts w:ascii="Arial" w:cs="Arial" w:eastAsia="Arial" w:hAnsi="Arial"/>
          <w:sz w:val="18"/>
          <w:szCs w:val="18"/>
          <w:color w:val="auto"/>
        </w:rPr>
      </w:pPr>
    </w:p>
    <w:p>
      <w:pPr>
        <w:jc w:val="both"/>
        <w:ind w:left="1540" w:hanging="511"/>
        <w:spacing w:after="0" w:line="238" w:lineRule="auto"/>
        <w:tabs>
          <w:tab w:leader="none" w:pos="1931" w:val="left"/>
        </w:tabs>
        <w:numPr>
          <w:ilvl w:val="0"/>
          <w:numId w:val="688"/>
        </w:numPr>
        <w:rPr>
          <w:rFonts w:ascii="Arial" w:cs="Arial" w:eastAsia="Arial" w:hAnsi="Arial"/>
          <w:sz w:val="18"/>
          <w:szCs w:val="18"/>
          <w:color w:val="auto"/>
        </w:rPr>
      </w:pPr>
      <w:r>
        <w:rPr>
          <w:rFonts w:ascii="Arial" w:cs="Arial" w:eastAsia="Arial" w:hAnsi="Arial"/>
          <w:sz w:val="18"/>
          <w:szCs w:val="18"/>
          <w:color w:val="auto"/>
        </w:rPr>
        <w:t>be permitted to place any Ship under any Pool Arrangement provided that: (A) it provides evidence of such Ship’s acceptance under the relevant Pool Arrangement; and (B) it serves on the relevant counterparties of the relevant Owner under the relevant Pool Arrangement, a duly executed notice of assignment of the Earnings of such Ship pursuant to the relevant Deed of Covenant or General Assignment and delivers to the Agent the relevant duly executed acknowledgement of such notice, each in an approved form.</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7"/>
          <w:szCs w:val="17"/>
          <w:b w:val="1"/>
          <w:bCs w:val="1"/>
          <w:color w:val="auto"/>
        </w:rPr>
        <w:t>Merchant use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relevant Owner shall use a Ship only as a civil merchant trading ship.</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Sharing of Earnings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 xml:space="preserve">Except with the approval of the Majority Lenders, the relevant Owner shall not enter into any arrangement under which its Earnings from the Ship may be shared with anyone else except under the operations of any commercial pool of LNG carriers (any such pool arrangement, a </w:t>
      </w:r>
      <w:r>
        <w:rPr>
          <w:rFonts w:ascii="Arial" w:cs="Arial" w:eastAsia="Arial" w:hAnsi="Arial"/>
          <w:sz w:val="18"/>
          <w:szCs w:val="18"/>
          <w:b w:val="1"/>
          <w:bCs w:val="1"/>
          <w:color w:val="auto"/>
        </w:rPr>
        <w:t>Pool Arrangement</w:t>
      </w:r>
      <w:r>
        <w:rPr>
          <w:rFonts w:ascii="Arial" w:cs="Arial" w:eastAsia="Arial" w:hAnsi="Arial"/>
          <w:sz w:val="18"/>
          <w:szCs w:val="18"/>
          <w:color w:val="auto"/>
        </w:rPr>
        <w:t>) which is similar on terms, in structure and operations as those of Cool Pool Ltd. (the latter, as had previously been described in more detail by the Obligors to the Lenders in the negotiation of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22.10 Payment of Earnings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relevant Owner’s Earnings from the Ship shall be paid in the way required by the Ship’s General Assignment, Deed of Covenant or the Charter Assignment. If any Earnings are held by brokers or other agents, they shall be paid to the Security Agent or the Agent (as the case may be), if it requires this after the Earnings have become payable to it under the Ship’s General Assignment, Deed of Covenant or the Charter Assignment.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22.11 Lay up</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22.12 Copy of “Green Passport” on board</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Promptly upon becoming available and in any event no later than 31 December 2020, a copy of the Inventory of Hazardous Materials or any other applicable equivalent document required by applicable law or any other equivalent document acceptable to the Agent shall be maintained on board each Ship.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t>22.13 Poseidon Principles</w:t>
      </w:r>
    </w:p>
    <w:p>
      <w:pPr>
        <w:spacing w:after="0" w:line="220" w:lineRule="exact"/>
        <w:rPr>
          <w:sz w:val="20"/>
          <w:szCs w:val="20"/>
          <w:color w:val="auto"/>
        </w:rPr>
      </w:pPr>
    </w:p>
    <w:p>
      <w:pPr>
        <w:jc w:val="both"/>
        <w:ind w:left="1020" w:hanging="512"/>
        <w:spacing w:after="0" w:line="236" w:lineRule="auto"/>
        <w:tabs>
          <w:tab w:leader="none" w:pos="1125" w:val="left"/>
        </w:tabs>
        <w:numPr>
          <w:ilvl w:val="0"/>
          <w:numId w:val="689"/>
        </w:numPr>
        <w:rPr>
          <w:rFonts w:ascii="Arial" w:cs="Arial" w:eastAsia="Arial" w:hAnsi="Arial"/>
          <w:sz w:val="18"/>
          <w:szCs w:val="18"/>
          <w:color w:val="auto"/>
        </w:rPr>
      </w:pPr>
      <w:r>
        <w:rPr>
          <w:rFonts w:ascii="Arial" w:cs="Arial" w:eastAsia="Arial" w:hAnsi="Arial"/>
          <w:sz w:val="18"/>
          <w:szCs w:val="18"/>
          <w:color w:val="auto"/>
        </w:rPr>
        <w:t>The Borrowers shall, on or before 31 July in each calendar year, supply or procure the supply to the Agent for the benefit of all Lenders with obligations under the Poseidon Principles such information provided by the Borrowers to the IMO in the format supplied by the Borrowers to the IMO, as is necessary in order for such Lenders to comply with their obligations under the Poseidon Principles in respect of the preceding year, including, without limitation, all ship fuel oil consumption data required to be collected and reported in accordance with Regulation 22A of Annex VI and any Statement of Compliance, in each case relating to the Borrowers’ Ships for the preceding calendar year. The Lenders shall not publicly disclose such information with the identity of any Ship without the prior written consent of the Borrowers. For the avoidance of doubt, such information shall be “Confidential Information” for the purposes of clause 45.1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but the Borrowers acknowledge that, in accordance with the Poseidon Principles, such information will form part of the information published regarding the Lenders’ portfolio climate alignment.</w:t>
      </w:r>
    </w:p>
    <w:p>
      <w:pPr>
        <w:spacing w:after="0" w:line="192" w:lineRule="exact"/>
        <w:rPr>
          <w:rFonts w:ascii="Arial" w:cs="Arial" w:eastAsia="Arial" w:hAnsi="Arial"/>
          <w:sz w:val="18"/>
          <w:szCs w:val="18"/>
          <w:color w:val="auto"/>
        </w:rPr>
      </w:pPr>
    </w:p>
    <w:p>
      <w:pPr>
        <w:jc w:val="both"/>
        <w:ind w:left="1020" w:hanging="512"/>
        <w:spacing w:after="0" w:line="236" w:lineRule="auto"/>
        <w:tabs>
          <w:tab w:leader="none" w:pos="1287" w:val="left"/>
        </w:tabs>
        <w:numPr>
          <w:ilvl w:val="0"/>
          <w:numId w:val="689"/>
        </w:numPr>
        <w:rPr>
          <w:rFonts w:ascii="Arial" w:cs="Arial" w:eastAsia="Arial" w:hAnsi="Arial"/>
          <w:sz w:val="18"/>
          <w:szCs w:val="18"/>
          <w:color w:val="auto"/>
        </w:rPr>
      </w:pPr>
      <w:r>
        <w:rPr>
          <w:rFonts w:ascii="Arial" w:cs="Arial" w:eastAsia="Arial" w:hAnsi="Arial"/>
          <w:sz w:val="18"/>
          <w:szCs w:val="18"/>
          <w:color w:val="auto"/>
        </w:rPr>
        <w:t xml:space="preserve">For the purposes of compliance with the Poseidon Principles referred to in paragraph (a) above, the Agent may appoint an appropriately qualified and experienced third party to make the necessary calculations to enable the Agent to comply with its reporting obligations under the Poseidon Principles and its internal portfolio alignment management. The Borrowers consent to the Agent disclosing such data and certificates related to the Ships (including the outstanding amount of the Advance for each Ship at the relevant time) (the </w:t>
      </w:r>
      <w:r>
        <w:rPr>
          <w:rFonts w:ascii="Arial" w:cs="Arial" w:eastAsia="Arial" w:hAnsi="Arial"/>
          <w:sz w:val="18"/>
          <w:szCs w:val="18"/>
          <w:b w:val="1"/>
          <w:bCs w:val="1"/>
          <w:color w:val="auto"/>
        </w:rPr>
        <w:t>Data</w:t>
      </w:r>
      <w:r>
        <w:rPr>
          <w:rFonts w:ascii="Arial" w:cs="Arial" w:eastAsia="Arial" w:hAnsi="Arial"/>
          <w:sz w:val="18"/>
          <w:szCs w:val="18"/>
          <w:color w:val="auto"/>
        </w:rPr>
        <w:t>) as is necessary to enable such third parties to make the necessary calculations provided that such third party has entered into a confidentiality undertaking with the Agent with respect to the Data and specifying that the Data may be used solely for the purposes of assisting the Agent to comply with its reporting obligations under the Poseidon Principles and its internal portfolio alignment management.</w:t>
      </w:r>
    </w:p>
    <w:p>
      <w:pPr>
        <w:spacing w:after="0" w:line="194" w:lineRule="exact"/>
        <w:rPr>
          <w:rFonts w:ascii="Arial" w:cs="Arial" w:eastAsia="Arial" w:hAnsi="Arial"/>
          <w:sz w:val="18"/>
          <w:szCs w:val="18"/>
          <w:color w:val="auto"/>
        </w:rPr>
      </w:pPr>
    </w:p>
    <w:p>
      <w:pPr>
        <w:ind w:left="1040" w:hanging="532"/>
        <w:spacing w:after="0"/>
        <w:tabs>
          <w:tab w:leader="none" w:pos="104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For the purposes of this clause:</w:t>
      </w:r>
    </w:p>
    <w:p>
      <w:pPr>
        <w:spacing w:after="0" w:line="176"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Annex VI </w:t>
      </w:r>
      <w:r>
        <w:rPr>
          <w:rFonts w:ascii="Arial" w:cs="Arial" w:eastAsia="Arial" w:hAnsi="Arial"/>
          <w:sz w:val="18"/>
          <w:szCs w:val="18"/>
          <w:color w:val="auto"/>
        </w:rPr>
        <w:t>means Annex VI of the Protocol of 1997 (as subsequently amended from time to time) to amend the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Convention for the Prevention of Pollution from Ships 1973 (Marpol), as modified by the Protocol of 1978 relating thereto.</w:t>
      </w:r>
    </w:p>
    <w:p>
      <w:pPr>
        <w:spacing w:after="0" w:line="140" w:lineRule="exact"/>
        <w:rPr>
          <w:rFonts w:ascii="Arial" w:cs="Arial" w:eastAsia="Arial" w:hAnsi="Arial"/>
          <w:sz w:val="18"/>
          <w:szCs w:val="18"/>
          <w:color w:val="auto"/>
        </w:rPr>
      </w:pPr>
    </w:p>
    <w:p>
      <w:pPr>
        <w:jc w:val="both"/>
        <w:ind w:left="1020"/>
        <w:spacing w:after="0" w:line="247" w:lineRule="auto"/>
        <w:rPr>
          <w:rFonts w:ascii="Arial" w:cs="Arial" w:eastAsia="Arial" w:hAnsi="Arial"/>
          <w:sz w:val="18"/>
          <w:szCs w:val="18"/>
          <w:color w:val="auto"/>
        </w:rPr>
      </w:pPr>
      <w:r>
        <w:rPr>
          <w:rFonts w:ascii="Arial" w:cs="Arial" w:eastAsia="Arial" w:hAnsi="Arial"/>
          <w:sz w:val="18"/>
          <w:szCs w:val="18"/>
          <w:b w:val="1"/>
          <w:bCs w:val="1"/>
          <w:color w:val="auto"/>
        </w:rPr>
        <w:t xml:space="preserve">Poseidon Principles </w:t>
      </w:r>
      <w:r>
        <w:rPr>
          <w:rFonts w:ascii="Arial" w:cs="Arial" w:eastAsia="Arial" w:hAnsi="Arial"/>
          <w:sz w:val="18"/>
          <w:szCs w:val="18"/>
          <w:color w:val="auto"/>
        </w:rPr>
        <w:t>means the financial industry framework for assessing and disclosing the climate alignment of ship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portfolios published on 18 June 2019 as the same may be amended or replaced to reflect changes in applicable law or regulation or the introduction of or changes to mandatory requirements of the International Maritime Organisation from time to time.</w:t>
      </w:r>
    </w:p>
    <w:p>
      <w:pPr>
        <w:spacing w:after="0" w:line="160"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Statement of Compliance </w:t>
      </w:r>
      <w:r>
        <w:rPr>
          <w:rFonts w:ascii="Arial" w:cs="Arial" w:eastAsia="Arial" w:hAnsi="Arial"/>
          <w:sz w:val="18"/>
          <w:szCs w:val="18"/>
          <w:color w:val="auto"/>
        </w:rPr>
        <w:t>means a Statement of Compliance related to fuel oil consumption pursuant to regulations 6.6 and</w:t>
      </w:r>
      <w:r>
        <w:rPr>
          <w:rFonts w:ascii="Arial" w:cs="Arial" w:eastAsia="Arial" w:hAnsi="Arial"/>
          <w:sz w:val="18"/>
          <w:szCs w:val="18"/>
          <w:b w:val="1"/>
          <w:bCs w:val="1"/>
          <w:color w:val="auto"/>
        </w:rPr>
        <w:t xml:space="preserve"> </w:t>
      </w:r>
      <w:r>
        <w:rPr>
          <w:rFonts w:ascii="Arial" w:cs="Arial" w:eastAsia="Arial" w:hAnsi="Arial"/>
          <w:sz w:val="18"/>
          <w:szCs w:val="18"/>
          <w:color w:val="auto"/>
        </w:rPr>
        <w:t>6.7 of Annex VI.</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23 Condition and operation of Ship</w:t>
      </w:r>
    </w:p>
    <w:p>
      <w:pPr>
        <w:spacing w:after="0" w:line="22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Each Borrower undertakes that this clause 22.13 will be complied with in relation to each Mortgaged Ship throughout the relevant Ship’s Mortgage Period.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Defined terms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23.1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94" w:lineRule="exact"/>
        <w:rPr>
          <w:sz w:val="20"/>
          <w:szCs w:val="20"/>
          <w:color w:val="auto"/>
        </w:rPr>
      </w:pPr>
    </w:p>
    <w:p>
      <w:pPr>
        <w:ind w:left="520" w:right="20"/>
        <w:spacing w:after="0" w:line="271"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under any applicable law (including but not limited to those currently known as the ISM Code and the ISPS Code).</w:t>
      </w:r>
    </w:p>
    <w:p>
      <w:pPr>
        <w:spacing w:after="0" w:line="14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 Ship or to its condition or operation at any relevant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56" w:name="page257"/>
    <w:bookmarkEnd w:id="256"/>
    <w:p>
      <w:pPr>
        <w:jc w:val="both"/>
        <w:ind w:left="520"/>
        <w:spacing w:after="0" w:line="271"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in force under any applicable law or any applicable code.</w:t>
      </w:r>
    </w:p>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Repair</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Modification</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Removal of parts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Third party owned equipment</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Maintenance of class; compliance with laws and codes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Ship’s class shall be the relevant Classification free of any overdue qualifications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one of DNV GL, American Bureau of Shipping or Lloyd’s Register of Shipping).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Surveys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b w:val="1"/>
          <w:bCs w:val="1"/>
          <w:color w:val="auto"/>
        </w:rPr>
        <w:t>Inspection and notice of drydockings</w:t>
      </w:r>
    </w:p>
    <w:p>
      <w:pPr>
        <w:spacing w:after="0" w:line="220"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The Agent (acting on the instructions of the Majority Lenders) and/or surveyors appointed by it for such purpose (in consultation with the Borrowers) shall be allowed to board the Ship at all times, subject to reasonable prior notice to the relevant Owner and without hindering the Ship’s continuous, safe and efficient operations, to inspect it and given all proper facilities needed for that purpose. The Agent shall be given reasonable advance notice of any intended drydocking of the Ship (whatever the purpose of that drydocking). The Borrowers shall bear the cost of only one such inspection of the Ship per calendar year unless there is an Event of Default which is continuing or the inspection of the relevant Ship reveals issues in respect of the condition of the Ship that indicate a breach of clause 23.2 (</w:t>
      </w:r>
      <w:r>
        <w:rPr>
          <w:rFonts w:ascii="Arial" w:cs="Arial" w:eastAsia="Arial" w:hAnsi="Arial"/>
          <w:sz w:val="18"/>
          <w:szCs w:val="18"/>
          <w:i w:val="1"/>
          <w:iCs w:val="1"/>
          <w:color w:val="auto"/>
        </w:rPr>
        <w:t>Repair</w:t>
      </w:r>
      <w:r>
        <w:rPr>
          <w:rFonts w:ascii="Arial" w:cs="Arial" w:eastAsia="Arial" w:hAnsi="Arial"/>
          <w:sz w:val="18"/>
          <w:szCs w:val="18"/>
          <w:color w:val="auto"/>
        </w:rPr>
        <w:t>) or 23.6 (</w:t>
      </w:r>
      <w:r>
        <w:rPr>
          <w:rFonts w:ascii="Arial" w:cs="Arial" w:eastAsia="Arial" w:hAnsi="Arial"/>
          <w:sz w:val="18"/>
          <w:szCs w:val="18"/>
          <w:i w:val="1"/>
          <w:iCs w:val="1"/>
          <w:color w:val="auto"/>
        </w:rPr>
        <w:t>Maintenance of class; compliance with laws and codes</w:t>
      </w:r>
      <w:r>
        <w:rPr>
          <w:rFonts w:ascii="Arial" w:cs="Arial" w:eastAsia="Arial" w:hAnsi="Arial"/>
          <w:sz w:val="18"/>
          <w:szCs w:val="18"/>
          <w:color w:val="auto"/>
        </w:rPr>
        <w:t>) at which time the cost of any such additional inspection shall be borne by the Borrowers.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57" w:name="page258"/>
    <w:bookmarkEnd w:id="257"/>
    <w:p>
      <w:pPr>
        <w:spacing w:after="0"/>
        <w:tabs>
          <w:tab w:leader="none" w:pos="50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Prevention of arrest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Release from arrest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its Earnings and Insurances shall be released within fifteen (15) days (or such longer period as may be approved) from any arrest, detention, attachment or levy, and any legal process against the Ship shall be discharged within fifteen (15) days (or such longer period as may be approved), by whatever action is required to achieve that release or discharge.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Information about the Ship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shall promptly be given any information which it may reasonably require about the Ship or its employment, position, use or operation, including details of towages and salvages, and copies of all its charter commitments entered into by or on behalf of any Obligor or any Manager and copies of any applicable operating certificates.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23.12 Notification of certain events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be notified of:</w:t>
      </w:r>
    </w:p>
    <w:p>
      <w:pPr>
        <w:spacing w:after="0" w:line="198" w:lineRule="exact"/>
        <w:rPr>
          <w:sz w:val="20"/>
          <w:szCs w:val="20"/>
          <w:color w:val="auto"/>
        </w:rPr>
      </w:pPr>
    </w:p>
    <w:p>
      <w:pPr>
        <w:ind w:left="1060" w:hanging="552"/>
        <w:spacing w:after="0"/>
        <w:tabs>
          <w:tab w:leader="none" w:pos="106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 for such Ship;</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198" w:lineRule="exact"/>
        <w:rPr>
          <w:rFonts w:ascii="Arial" w:cs="Arial" w:eastAsia="Arial" w:hAnsi="Arial"/>
          <w:sz w:val="18"/>
          <w:szCs w:val="18"/>
          <w:color w:val="auto"/>
        </w:rPr>
      </w:pPr>
    </w:p>
    <w:p>
      <w:pPr>
        <w:ind w:left="1060" w:hanging="552"/>
        <w:spacing w:after="0"/>
        <w:tabs>
          <w:tab w:leader="none" w:pos="106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198" w:lineRule="exact"/>
        <w:rPr>
          <w:rFonts w:ascii="Arial" w:cs="Arial" w:eastAsia="Arial" w:hAnsi="Arial"/>
          <w:sz w:val="18"/>
          <w:szCs w:val="18"/>
          <w:color w:val="auto"/>
        </w:rPr>
      </w:pPr>
    </w:p>
    <w:p>
      <w:pPr>
        <w:ind w:left="1020" w:hanging="512"/>
        <w:spacing w:after="0" w:line="246" w:lineRule="auto"/>
        <w:tabs>
          <w:tab w:leader="none" w:pos="1179"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material dispute arising under the Ship A Charter; and</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267"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23.13 Payment of outgoings</w:t>
      </w:r>
    </w:p>
    <w:p>
      <w:pPr>
        <w:spacing w:after="0" w:line="220"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23.14 Evidence of payments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relevant Owner are not in any way hindered, to those accounting records when it reasonably requests it and, when it reasonably requires it, shall be given satisfactory evidence that: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58" w:name="page259"/>
    <w:bookmarkEnd w:id="258"/>
    <w:p>
      <w:pPr>
        <w:ind w:left="1060" w:hanging="552"/>
        <w:spacing w:after="0"/>
        <w:tabs>
          <w:tab w:leader="none" w:pos="106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303"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23.15 Repairers’ liens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Except with approval by the Majority Lenders,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23.16 Survey report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the Agent shall be given a report on the seaworthiness and/or safe operation of the Ship, from surveyors or inspectors approved by the Majority Lenders. If any recommendations are made in such a report they shall be complied with in the way and by the time recommended in the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23.17 Lawful use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Ship shall not be employed:</w:t>
      </w:r>
    </w:p>
    <w:p>
      <w:pPr>
        <w:spacing w:after="0" w:line="198" w:lineRule="exact"/>
        <w:rPr>
          <w:sz w:val="20"/>
          <w:szCs w:val="20"/>
          <w:color w:val="auto"/>
        </w:rPr>
      </w:pPr>
    </w:p>
    <w:p>
      <w:pPr>
        <w:ind w:left="1060" w:hanging="552"/>
        <w:spacing w:after="0"/>
        <w:tabs>
          <w:tab w:leader="none" w:pos="106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198"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23.18 War zones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Ship shall enter or remain in any zone which has been declared a war zone by any government entity or that Ship’s war risk insurers except with prior written notification to the Agent and provided that the Borrowers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24 Insurance</w:t>
      </w:r>
    </w:p>
    <w:p>
      <w:pPr>
        <w:spacing w:after="0" w:line="22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Borrower undertakes that this clause 24 shall be complied with in relation to each Mortgaged Ship and its Insurances throughout the relevant Ship’s Mortgage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9" w:name="page260"/>
    <w:bookmarkEnd w:id="259"/>
    <w:p>
      <w:pPr>
        <w:jc w:val="right"/>
        <w:ind w:right="9320"/>
        <w:spacing w:after="0"/>
        <w:tabs>
          <w:tab w:leader="none" w:pos="10700" w:val="left"/>
        </w:tabs>
        <w:rPr>
          <w:sz w:val="20"/>
          <w:szCs w:val="20"/>
          <w:color w:val="auto"/>
        </w:rPr>
      </w:pPr>
      <w:r>
        <w:rPr>
          <w:rFonts w:ascii="Arial" w:cs="Arial" w:eastAsia="Arial" w:hAnsi="Arial"/>
          <w:sz w:val="18"/>
          <w:szCs w:val="18"/>
          <w:b w:val="1"/>
          <w:bCs w:val="1"/>
          <w:color w:val="auto"/>
        </w:rPr>
        <w:t>24.1</w:t>
        <w:tab/>
        <w:t>Insurance terms</w:t>
      </w:r>
    </w:p>
    <w:p>
      <w:pPr>
        <w:spacing w:after="0" w:line="220"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In this clause 24:</w:t>
      </w:r>
    </w:p>
    <w:p>
      <w:pPr>
        <w:spacing w:after="0" w:line="176"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excess risks </w:t>
      </w:r>
      <w:r>
        <w:rPr>
          <w:rFonts w:ascii="Arial" w:cs="Arial" w:eastAsia="Arial" w:hAnsi="Arial"/>
          <w:sz w:val="18"/>
          <w:szCs w:val="18"/>
          <w:color w:val="auto"/>
        </w:rPr>
        <w:t>means the proportion (if any) of claims for general average, collision liability, salvage and salvage charges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recoverable under the hull and machinery insurances of a vessel in consequence of the value at which the vessel is assessed for the purpose of such claims exceeding its insured value.</w:t>
      </w:r>
    </w:p>
    <w:p>
      <w:pPr>
        <w:spacing w:after="0" w:line="155"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in excess of amounts recoverable under the usual war risk cover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hull and machinery, crew and protection and indemnity risks.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24.2(a) (</w:t>
      </w:r>
      <w:r>
        <w:rPr>
          <w:rFonts w:ascii="Arial" w:cs="Arial" w:eastAsia="Arial" w:hAnsi="Arial"/>
          <w:sz w:val="18"/>
          <w:szCs w:val="18"/>
          <w:i w:val="1"/>
          <w:iCs w:val="1"/>
          <w:color w:val="auto"/>
        </w:rPr>
        <w:t>Coverage required</w:t>
      </w:r>
      <w:r>
        <w:rPr>
          <w:rFonts w:ascii="Arial" w:cs="Arial" w:eastAsia="Arial" w:hAnsi="Arial"/>
          <w:sz w:val="18"/>
          <w:szCs w:val="18"/>
          <w:color w:val="auto"/>
        </w:rPr>
        <w: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in relation to a Mortgaged Ship, an amount equal at the relevant time to 120% of the aggregate of:</w:t>
      </w:r>
    </w:p>
    <w:p>
      <w:pPr>
        <w:spacing w:after="0" w:line="220" w:lineRule="exact"/>
        <w:rPr>
          <w:sz w:val="20"/>
          <w:szCs w:val="20"/>
          <w:color w:val="auto"/>
        </w:rPr>
      </w:pPr>
    </w:p>
    <w:p>
      <w:pPr>
        <w:ind w:left="1060" w:hanging="552"/>
        <w:spacing w:after="0"/>
        <w:tabs>
          <w:tab w:leader="none" w:pos="106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the Advance related to that Mortgaged Ship; and</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an amount of the Hedging Exposure calculated to be equal to the ratio that such Advance bears to the Loan.</w:t>
      </w:r>
    </w:p>
    <w:p>
      <w:pPr>
        <w:spacing w:after="0" w:line="176"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which is a member of the International Group of protection and indemnity associations (or, if the International Group ceases to exist, any other leading protection and indemnity association or other leading provider of protection and indemnity insurance) (including,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limitation, the proportion (if any) of any collision liability not covered under the terms of the hull cover).</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24.2</w:t>
        <w:tab/>
        <w:t>Coverage required</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Ship (including its hull and machinery, hull interest, freight interest, disbursements and/or increased value) shall at all times be insured at the Ship’s Owner’s cost:</w:t>
      </w:r>
    </w:p>
    <w:p>
      <w:pPr>
        <w:spacing w:after="0" w:line="183" w:lineRule="exact"/>
        <w:rPr>
          <w:sz w:val="20"/>
          <w:szCs w:val="20"/>
          <w:color w:val="auto"/>
        </w:rPr>
      </w:pPr>
    </w:p>
    <w:p>
      <w:pPr>
        <w:jc w:val="both"/>
        <w:ind w:left="1020" w:hanging="512"/>
        <w:spacing w:after="0" w:line="238" w:lineRule="auto"/>
        <w:tabs>
          <w:tab w:leader="none" w:pos="1057" w:val="left"/>
        </w:tabs>
        <w:numPr>
          <w:ilvl w:val="0"/>
          <w:numId w:val="694"/>
        </w:numPr>
        <w:rPr>
          <w:rFonts w:ascii="Arial" w:cs="Arial" w:eastAsia="Arial" w:hAnsi="Arial"/>
          <w:sz w:val="18"/>
          <w:szCs w:val="18"/>
          <w:color w:val="auto"/>
        </w:rPr>
      </w:pPr>
      <w:r>
        <w:rPr>
          <w:rFonts w:ascii="Arial" w:cs="Arial" w:eastAsia="Arial" w:hAnsi="Arial"/>
          <w:sz w:val="18"/>
          <w:szCs w:val="18"/>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policy shall be for no less than 80% of the agreed value referred to above and (ii) the balance of such agreed value may be covered by increased value insurance of which up to 33.33% may be represented by hull interest and freight interest);</w:t>
      </w:r>
    </w:p>
    <w:p>
      <w:pPr>
        <w:spacing w:after="0" w:line="188" w:lineRule="exact"/>
        <w:rPr>
          <w:rFonts w:ascii="Arial" w:cs="Arial" w:eastAsia="Arial" w:hAnsi="Arial"/>
          <w:sz w:val="18"/>
          <w:szCs w:val="18"/>
          <w:color w:val="auto"/>
        </w:rPr>
      </w:pPr>
    </w:p>
    <w:p>
      <w:pPr>
        <w:jc w:val="both"/>
        <w:ind w:left="1020" w:hanging="512"/>
        <w:spacing w:after="0"/>
        <w:tabs>
          <w:tab w:leader="none" w:pos="1125" w:val="left"/>
        </w:tabs>
        <w:numPr>
          <w:ilvl w:val="0"/>
          <w:numId w:val="694"/>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47" w:val="left"/>
        </w:tabs>
        <w:numPr>
          <w:ilvl w:val="0"/>
          <w:numId w:val="694"/>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191" w:lineRule="exact"/>
        <w:rPr>
          <w:rFonts w:ascii="Arial" w:cs="Arial" w:eastAsia="Arial" w:hAnsi="Arial"/>
          <w:sz w:val="18"/>
          <w:szCs w:val="18"/>
          <w:color w:val="auto"/>
        </w:rPr>
      </w:pPr>
    </w:p>
    <w:p>
      <w:pPr>
        <w:ind w:left="1040" w:hanging="532"/>
        <w:spacing w:after="0"/>
        <w:tabs>
          <w:tab w:leader="none" w:pos="104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24.3</w:t>
        <w:tab/>
        <w:t>Placing of cover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60" w:name="page261"/>
    <w:bookmarkEnd w:id="260"/>
    <w:p>
      <w:pPr>
        <w:ind w:left="520"/>
        <w:spacing w:after="0"/>
        <w:rPr>
          <w:sz w:val="20"/>
          <w:szCs w:val="20"/>
          <w:color w:val="auto"/>
        </w:rPr>
      </w:pPr>
      <w:r>
        <w:rPr>
          <w:rFonts w:ascii="Arial" w:cs="Arial" w:eastAsia="Arial" w:hAnsi="Arial"/>
          <w:sz w:val="18"/>
          <w:szCs w:val="18"/>
          <w:color w:val="auto"/>
        </w:rPr>
        <w:t>The insurance coverage required by clause 24.2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16" w:lineRule="exact"/>
        <w:rPr>
          <w:sz w:val="20"/>
          <w:szCs w:val="20"/>
          <w:color w:val="auto"/>
        </w:rPr>
      </w:pPr>
    </w:p>
    <w:p>
      <w:pPr>
        <w:jc w:val="both"/>
        <w:ind w:left="1020" w:hanging="512"/>
        <w:spacing w:after="0" w:line="237" w:lineRule="auto"/>
        <w:tabs>
          <w:tab w:leader="none" w:pos="1179" w:val="left"/>
        </w:tabs>
        <w:numPr>
          <w:ilvl w:val="0"/>
          <w:numId w:val="695"/>
        </w:numPr>
        <w:rPr>
          <w:rFonts w:ascii="Arial" w:cs="Arial" w:eastAsia="Arial" w:hAnsi="Arial"/>
          <w:sz w:val="18"/>
          <w:szCs w:val="18"/>
          <w:color w:val="auto"/>
        </w:rPr>
      </w:pPr>
      <w:r>
        <w:rPr>
          <w:rFonts w:ascii="Arial" w:cs="Arial" w:eastAsia="Arial" w:hAnsi="Arial"/>
          <w:sz w:val="18"/>
          <w:szCs w:val="18"/>
          <w:color w:val="auto"/>
        </w:rPr>
        <w:t>in the name of the Ship’s Owner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198" w:lineRule="exact"/>
        <w:rPr>
          <w:rFonts w:ascii="Arial" w:cs="Arial" w:eastAsia="Arial" w:hAnsi="Arial"/>
          <w:sz w:val="18"/>
          <w:szCs w:val="18"/>
          <w:color w:val="auto"/>
        </w:rPr>
      </w:pPr>
    </w:p>
    <w:p>
      <w:pPr>
        <w:jc w:val="both"/>
        <w:ind w:left="1020" w:hanging="512"/>
        <w:spacing w:after="0"/>
        <w:tabs>
          <w:tab w:leader="none" w:pos="106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189" w:lineRule="exact"/>
        <w:rPr>
          <w:rFonts w:ascii="Arial" w:cs="Arial" w:eastAsia="Arial" w:hAnsi="Arial"/>
          <w:sz w:val="18"/>
          <w:szCs w:val="18"/>
          <w:color w:val="auto"/>
        </w:rPr>
      </w:pPr>
    </w:p>
    <w:p>
      <w:pPr>
        <w:jc w:val="both"/>
        <w:ind w:left="1020" w:hanging="512"/>
        <w:spacing w:after="0"/>
        <w:tabs>
          <w:tab w:leader="none" w:pos="1057" w:val="left"/>
        </w:tabs>
        <w:numPr>
          <w:ilvl w:val="0"/>
          <w:numId w:val="695"/>
        </w:numPr>
        <w:rPr>
          <w:rFonts w:ascii="Arial" w:cs="Arial" w:eastAsia="Arial" w:hAnsi="Arial"/>
          <w:sz w:val="18"/>
          <w:szCs w:val="18"/>
          <w:color w:val="auto"/>
        </w:rPr>
      </w:pPr>
      <w:r>
        <w:rPr>
          <w:rFonts w:ascii="Arial" w:cs="Arial" w:eastAsia="Arial" w:hAnsi="Arial"/>
          <w:sz w:val="18"/>
          <w:szCs w:val="18"/>
          <w:color w:val="auto"/>
        </w:rPr>
        <w:t>on terms approved by the Agent (acting on the instructions of the Majority Lenders, acting reasonably) (and always applying the terms of the Institute Time Clauses 1/10/1983 or equivalent International Hull Clauses if available in the insurance market) and with insurers or associations approved by the Agent (acting on the instructions of the Majority Lenders).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Deductibles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aggregate amount of any excess or deductible under the Ship’s hull cover shall not exceed $1,000,000 or any other approved amount.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b w:val="1"/>
          <w:bCs w:val="1"/>
          <w:color w:val="auto"/>
        </w:rPr>
        <w:t>Mortgagee’s insurance</w:t>
      </w:r>
    </w:p>
    <w:p>
      <w:pPr>
        <w:spacing w:after="0" w:line="220" w:lineRule="exact"/>
        <w:rPr>
          <w:sz w:val="20"/>
          <w:szCs w:val="20"/>
          <w:color w:val="auto"/>
        </w:rPr>
      </w:pPr>
    </w:p>
    <w:p>
      <w:pPr>
        <w:jc w:val="both"/>
        <w:ind w:left="1020" w:hanging="512"/>
        <w:spacing w:after="0" w:line="238" w:lineRule="auto"/>
        <w:tabs>
          <w:tab w:leader="none" w:pos="1098"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Borrowers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up to 120% per cent of the aggregate of (a) the Available Facility and (b) the aggregate of the Hedging Exposures of all the Hedging Providers at such time.</w:t>
      </w:r>
    </w:p>
    <w:p>
      <w:pPr>
        <w:spacing w:after="0" w:line="188" w:lineRule="exact"/>
        <w:rPr>
          <w:rFonts w:ascii="Arial" w:cs="Arial" w:eastAsia="Arial" w:hAnsi="Arial"/>
          <w:sz w:val="18"/>
          <w:szCs w:val="18"/>
          <w:color w:val="auto"/>
        </w:rPr>
      </w:pPr>
    </w:p>
    <w:p>
      <w:pPr>
        <w:jc w:val="both"/>
        <w:ind w:left="1020" w:hanging="512"/>
        <w:spacing w:after="0"/>
        <w:tabs>
          <w:tab w:leader="none" w:pos="1057"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Agent shall take out mortgagee’s interest insurance (on the terms provided under clause 24.5(a)) prior to the first Utilisation for the Ship and keep such mortgagee’s interest insurance in force in respect of the Ship throughout the Mortgage Period of that Ship.</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7"/>
          <w:szCs w:val="17"/>
          <w:b w:val="1"/>
          <w:bCs w:val="1"/>
          <w:color w:val="auto"/>
        </w:rPr>
        <w:t>Fleet liens, set off and cancellations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89" w:lineRule="exact"/>
        <w:rPr>
          <w:sz w:val="20"/>
          <w:szCs w:val="20"/>
          <w:color w:val="auto"/>
        </w:rPr>
      </w:pPr>
    </w:p>
    <w:p>
      <w:pPr>
        <w:ind w:left="1020" w:hanging="512"/>
        <w:spacing w:after="0" w:line="246" w:lineRule="auto"/>
        <w:tabs>
          <w:tab w:leader="none" w:pos="1152" w:val="left"/>
        </w:tabs>
        <w:numPr>
          <w:ilvl w:val="0"/>
          <w:numId w:val="697"/>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(other than other Mortgaged Ships); or</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198"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or the Borrowers shall ensure that hull cover for the Ship and any other Mortgaged Ships is provided under a separate policy from any other vessels.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7"/>
          <w:szCs w:val="17"/>
          <w:b w:val="1"/>
          <w:bCs w:val="1"/>
          <w:color w:val="auto"/>
        </w:rPr>
        <w:t>Payment of premiums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61" w:name="page262"/>
    <w:bookmarkEnd w:id="261"/>
    <w:p>
      <w:pPr>
        <w:jc w:val="both"/>
        <w:ind w:left="520"/>
        <w:spacing w:after="0" w:line="246"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b w:val="1"/>
          <w:bCs w:val="1"/>
          <w:color w:val="auto"/>
        </w:rPr>
        <w:t>Details of proposed renewal of Insurances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7"/>
          <w:szCs w:val="17"/>
          <w:b w:val="1"/>
          <w:bCs w:val="1"/>
          <w:color w:val="auto"/>
        </w:rPr>
        <w:t>Instructions for renewal</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At least seven (7) days before any of the Ship’s Insurances are due to expire, instructions shall be given to brokers, insurers and associations for them to be renewed or replaced on or before their expiry.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Confirmation of renewal</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Ship’s Insurances shall be renewed upon their expiry in a manner and on terms which comply with this clause 24 and confirmation of such renewal given by approved brokers or insurers which shall be provided to the Agent at least five (5) days (or such shorter period as may be approved) before such expiry.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P&amp;I guarantees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Insurance documents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24.13 Letters of undertaking</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24.14 Insurance Notices and Loss Payable Clauses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its Owner and, unless otherwise approved, each other person assured under the relevant cover (other than the Security Agent or any other Finance Party if it is itself an assured).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24.15 Insurance correspondence</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2" w:name="page263"/>
    <w:bookmarkEnd w:id="262"/>
    <w:p>
      <w:pPr>
        <w:ind w:left="520"/>
        <w:spacing w:after="0"/>
        <w:rPr>
          <w:sz w:val="20"/>
          <w:szCs w:val="20"/>
          <w:color w:val="auto"/>
        </w:rPr>
      </w:pPr>
      <w:r>
        <w:rPr>
          <w:rFonts w:ascii="Arial" w:cs="Arial" w:eastAsia="Arial" w:hAnsi="Arial"/>
          <w:sz w:val="18"/>
          <w:szCs w:val="18"/>
          <w:color w:val="auto"/>
        </w:rPr>
        <w:t>brokers, insurers and associations relating to any of the Ship’s Insurances as soon as they are available.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24.16 Qualifications and exclusions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24.17 Independent report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with such a report at no cost to the Agent or (if the Agent obtains such a report itself, which it shall be entitled to do) the Borrowers shall reimburse the Agent for the cost of obtaining that report. The Borrowers shall not bear the cost of more than one such report per Ship per calendar year, unless there is an Event of Default.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24.18 Collection of claims</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24.19 Employment of Ship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24.20 Declarations and returns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24.21 Application of recoveries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24.22 Settlement of claims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claim under the Ship’s Insurances for a Total Loss and any claim for Major Casualty shall only be settled, compromised or abandoned with prior approval of the Majority Lenders.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25 Minimum security value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undertakes that this clause 25 will be complied with throughout the Facility Period.</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7"/>
          <w:szCs w:val="17"/>
          <w:b w:val="1"/>
          <w:bCs w:val="1"/>
          <w:color w:val="auto"/>
        </w:rPr>
        <w:t>Valuation of assets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For the purpose of the Finance Documents, the value at any time of any Mortgaged Ship or a Ship before any Utilisation obtained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3" w:name="page264"/>
    <w:bookmarkEnd w:id="263"/>
    <w:p>
      <w:pPr>
        <w:jc w:val="both"/>
        <w:ind w:left="520"/>
        <w:spacing w:after="0" w:line="250" w:lineRule="auto"/>
        <w:rPr>
          <w:sz w:val="20"/>
          <w:szCs w:val="20"/>
          <w:color w:val="auto"/>
        </w:rPr>
      </w:pPr>
      <w:r>
        <w:rPr>
          <w:rFonts w:ascii="Arial" w:cs="Arial" w:eastAsia="Arial" w:hAnsi="Arial"/>
          <w:sz w:val="18"/>
          <w:szCs w:val="18"/>
          <w:color w:val="auto"/>
        </w:rPr>
        <w:t>over which additional security is provided under clause 25.13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will be its value as most recently determined in accordance with this clause 25 or, if no such value has been obtained, its value determined under any valuation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Valuation frequency</w:t>
      </w:r>
    </w:p>
    <w:p>
      <w:pPr>
        <w:spacing w:after="0" w:line="220" w:lineRule="exact"/>
        <w:rPr>
          <w:sz w:val="20"/>
          <w:szCs w:val="20"/>
          <w:color w:val="auto"/>
        </w:rPr>
      </w:pPr>
    </w:p>
    <w:p>
      <w:pPr>
        <w:ind w:left="1060" w:hanging="552"/>
        <w:spacing w:after="0"/>
        <w:tabs>
          <w:tab w:leader="none" w:pos="106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 Borrowers shall provide valuations to the Agent at the following times: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in respect of the Utilisation of each Advance, dated not earlier than thirty (30) days prior to that Utilisation; and</w:t>
      </w:r>
    </w:p>
    <w:p>
      <w:pPr>
        <w:spacing w:after="0" w:line="198" w:lineRule="exact"/>
        <w:rPr>
          <w:rFonts w:ascii="Arial" w:cs="Arial" w:eastAsia="Arial" w:hAnsi="Arial"/>
          <w:sz w:val="18"/>
          <w:szCs w:val="18"/>
          <w:color w:val="auto"/>
        </w:rPr>
      </w:pPr>
    </w:p>
    <w:p>
      <w:pPr>
        <w:ind w:left="1020" w:firstLine="9"/>
        <w:spacing w:after="0" w:line="459" w:lineRule="auto"/>
        <w:tabs>
          <w:tab w:leader="none" w:pos="1544" w:val="left"/>
        </w:tabs>
        <w:numPr>
          <w:ilvl w:val="1"/>
          <w:numId w:val="698"/>
        </w:numPr>
        <w:rPr>
          <w:rFonts w:ascii="Arial" w:cs="Arial" w:eastAsia="Arial" w:hAnsi="Arial"/>
          <w:sz w:val="18"/>
          <w:szCs w:val="18"/>
          <w:color w:val="auto"/>
        </w:rPr>
      </w:pPr>
      <w:r>
        <w:rPr>
          <w:rFonts w:ascii="Arial" w:cs="Arial" w:eastAsia="Arial" w:hAnsi="Arial"/>
          <w:sz w:val="18"/>
          <w:szCs w:val="18"/>
          <w:color w:val="auto"/>
        </w:rPr>
        <w:t>semi-annually, dated not earlier than thirty (30) days before 30 June and 31 December of each calendar year respectively, and in each case otherwise in accordance with this clause 25.</w:t>
      </w:r>
    </w:p>
    <w:p>
      <w:pPr>
        <w:jc w:val="both"/>
        <w:ind w:left="1020" w:hanging="512"/>
        <w:spacing w:after="0" w:line="245" w:lineRule="auto"/>
        <w:tabs>
          <w:tab w:leader="none" w:pos="1597" w:val="left"/>
        </w:tabs>
        <w:numPr>
          <w:ilvl w:val="0"/>
          <w:numId w:val="698"/>
        </w:numPr>
        <w:rPr>
          <w:rFonts w:ascii="Arial" w:cs="Arial" w:eastAsia="Arial" w:hAnsi="Arial"/>
          <w:sz w:val="18"/>
          <w:szCs w:val="18"/>
          <w:color w:val="auto"/>
        </w:rPr>
      </w:pPr>
      <w:r>
        <w:rPr>
          <w:rFonts w:ascii="Arial" w:cs="Arial" w:eastAsia="Arial" w:hAnsi="Arial"/>
          <w:sz w:val="18"/>
          <w:szCs w:val="18"/>
          <w:color w:val="auto"/>
        </w:rPr>
        <w:t>In addition to the valuations required pursuant to paragraph (a) above and clause 19.2(a) (</w:t>
      </w:r>
      <w:r>
        <w:rPr>
          <w:rFonts w:ascii="Arial" w:cs="Arial" w:eastAsia="Arial" w:hAnsi="Arial"/>
          <w:sz w:val="18"/>
          <w:szCs w:val="18"/>
          <w:i w:val="1"/>
          <w:iCs w:val="1"/>
          <w:color w:val="auto"/>
        </w:rPr>
        <w:t>Provision and contents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Compliance Certificates and valuations</w:t>
      </w:r>
      <w:r>
        <w:rPr>
          <w:rFonts w:ascii="Arial" w:cs="Arial" w:eastAsia="Arial" w:hAnsi="Arial"/>
          <w:sz w:val="18"/>
          <w:szCs w:val="18"/>
          <w:color w:val="auto"/>
        </w:rPr>
        <w:t>), a valuation of each Mortgaged Ship or (before any Utilisation) each Ship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such other asset in accordance with this clause 25 may be required by the Majority Lenders at any time (but in any event not less frequently than twice per calendar year).</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b w:val="1"/>
          <w:bCs w:val="1"/>
          <w:color w:val="auto"/>
        </w:rPr>
        <w:t>Expenses of valuation</w:t>
      </w:r>
    </w:p>
    <w:p>
      <w:pPr>
        <w:spacing w:after="0" w:line="220" w:lineRule="exact"/>
        <w:rPr>
          <w:sz w:val="20"/>
          <w:szCs w:val="20"/>
          <w:color w:val="auto"/>
        </w:rPr>
      </w:pPr>
    </w:p>
    <w:p>
      <w:pPr>
        <w:jc w:val="both"/>
        <w:ind w:left="1020" w:hanging="512"/>
        <w:spacing w:after="0" w:line="238" w:lineRule="auto"/>
        <w:tabs>
          <w:tab w:leader="none" w:pos="1111" w:val="left"/>
        </w:tabs>
        <w:numPr>
          <w:ilvl w:val="0"/>
          <w:numId w:val="699"/>
        </w:numPr>
        <w:rPr>
          <w:rFonts w:ascii="Arial" w:cs="Arial" w:eastAsia="Arial" w:hAnsi="Arial"/>
          <w:sz w:val="18"/>
          <w:szCs w:val="18"/>
          <w:color w:val="auto"/>
        </w:rPr>
      </w:pPr>
      <w:r>
        <w:rPr>
          <w:rFonts w:ascii="Arial" w:cs="Arial" w:eastAsia="Arial" w:hAnsi="Arial"/>
          <w:sz w:val="18"/>
          <w:szCs w:val="18"/>
          <w:color w:val="auto"/>
        </w:rPr>
        <w:t>The Borrowers shall bear, and reimburse to the Agent where incurred by the Agent, all costs and expenses of providing such a valuation under this clause 25 and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provided however that if no Event of Default has occurred and is continuing and subject to clause 25.3(b) below, the Borrowers shall bear the cost of the valuations of each Mortgaged Ship only twice per calendar year (save for any valuations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020" w:hanging="512"/>
        <w:spacing w:after="0" w:line="250" w:lineRule="auto"/>
        <w:tabs>
          <w:tab w:leader="none" w:pos="13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In the event that the Majority Lenders require a valuation pursuant to clause 25.2(b) (</w:t>
      </w:r>
      <w:r>
        <w:rPr>
          <w:rFonts w:ascii="Arial" w:cs="Arial" w:eastAsia="Arial" w:hAnsi="Arial"/>
          <w:sz w:val="18"/>
          <w:szCs w:val="18"/>
          <w:i w:val="1"/>
          <w:iCs w:val="1"/>
          <w:color w:val="auto"/>
        </w:rPr>
        <w:t>Valuation frequency</w:t>
      </w:r>
      <w:r>
        <w:rPr>
          <w:rFonts w:ascii="Arial" w:cs="Arial" w:eastAsia="Arial" w:hAnsi="Arial"/>
          <w:sz w:val="18"/>
          <w:szCs w:val="18"/>
          <w:color w:val="auto"/>
        </w:rPr>
        <w:t>) above and such valuation indicates that the Security Value in respect of an Advance is less than the Minimum Value for that Advance, the Borrowers shall bear the cost of such valuation.</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b w:val="1"/>
          <w:bCs w:val="1"/>
          <w:color w:val="auto"/>
        </w:rPr>
        <w:t>Valuations procedure</w:t>
      </w:r>
    </w:p>
    <w:p>
      <w:pPr>
        <w:spacing w:after="0" w:line="220" w:lineRule="exact"/>
        <w:rPr>
          <w:sz w:val="20"/>
          <w:szCs w:val="20"/>
          <w:color w:val="auto"/>
        </w:rPr>
      </w:pPr>
    </w:p>
    <w:p>
      <w:pPr>
        <w:jc w:val="both"/>
        <w:ind w:left="1020" w:hanging="512"/>
        <w:spacing w:after="0"/>
        <w:tabs>
          <w:tab w:leader="none" w:pos="1165"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value of (i) any Mortgaged Ship (namely, after the first Utilisation under this Agreement) and (ii) each Ship before the first Utilisation under this Agreement, shall be determined in accordance with, and by valuers approved and appointed in accordance with, this clause 25.</w:t>
      </w:r>
    </w:p>
    <w:p>
      <w:pPr>
        <w:spacing w:after="0" w:line="171" w:lineRule="exact"/>
        <w:rPr>
          <w:rFonts w:ascii="Arial" w:cs="Arial" w:eastAsia="Arial" w:hAnsi="Arial"/>
          <w:sz w:val="18"/>
          <w:szCs w:val="18"/>
          <w:color w:val="auto"/>
        </w:rPr>
      </w:pPr>
    </w:p>
    <w:p>
      <w:pPr>
        <w:jc w:val="both"/>
        <w:ind w:left="1020" w:hanging="512"/>
        <w:spacing w:after="0" w:line="250" w:lineRule="auto"/>
        <w:tabs>
          <w:tab w:leader="none" w:pos="1125" w:val="left"/>
        </w:tabs>
        <w:numPr>
          <w:ilvl w:val="0"/>
          <w:numId w:val="700"/>
        </w:numPr>
        <w:rPr>
          <w:rFonts w:ascii="Arial" w:cs="Arial" w:eastAsia="Arial" w:hAnsi="Arial"/>
          <w:sz w:val="18"/>
          <w:szCs w:val="18"/>
          <w:color w:val="auto"/>
        </w:rPr>
      </w:pPr>
      <w:r>
        <w:rPr>
          <w:rFonts w:ascii="Arial" w:cs="Arial" w:eastAsia="Arial" w:hAnsi="Arial"/>
          <w:sz w:val="18"/>
          <w:szCs w:val="18"/>
          <w:color w:val="auto"/>
        </w:rPr>
        <w:t>Additional security provided under clause 25.12(a)(i) (</w:t>
      </w:r>
      <w:r>
        <w:rPr>
          <w:rFonts w:ascii="Arial" w:cs="Arial" w:eastAsia="Arial" w:hAnsi="Arial"/>
          <w:sz w:val="18"/>
          <w:szCs w:val="18"/>
          <w:i w:val="1"/>
          <w:iCs w:val="1"/>
          <w:color w:val="auto"/>
        </w:rPr>
        <w:t>Security Shortfall</w:t>
      </w:r>
      <w:r>
        <w:rPr>
          <w:rFonts w:ascii="Arial" w:cs="Arial" w:eastAsia="Arial" w:hAnsi="Arial"/>
          <w:sz w:val="18"/>
          <w:szCs w:val="18"/>
          <w:color w:val="auto"/>
        </w:rPr>
        <w:t>) shall be valued in such a way, on such a basis and by such persons (including the Agent itself) as determined in accordance with clause 25.13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or as may otherwise be agreed in writing by the Borrowers and the Agent (on the instructions of all Lenders).</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7"/>
          <w:szCs w:val="17"/>
          <w:b w:val="1"/>
          <w:bCs w:val="1"/>
          <w:color w:val="auto"/>
        </w:rPr>
        <w:t>Currency of valuation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7"/>
          <w:szCs w:val="17"/>
          <w:b w:val="1"/>
          <w:bCs w:val="1"/>
          <w:color w:val="auto"/>
        </w:rPr>
        <w:t>Basis of valuation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64" w:name="page265"/>
    <w:bookmarkEnd w:id="264"/>
    <w:p>
      <w:pPr>
        <w:jc w:val="both"/>
        <w:ind w:left="520"/>
        <w:spacing w:after="0" w:line="250" w:lineRule="auto"/>
        <w:rPr>
          <w:sz w:val="20"/>
          <w:szCs w:val="20"/>
          <w:color w:val="auto"/>
        </w:rPr>
      </w:pPr>
      <w:r>
        <w:rPr>
          <w:rFonts w:ascii="Arial" w:cs="Arial" w:eastAsia="Arial" w:hAnsi="Arial"/>
          <w:sz w:val="18"/>
          <w:szCs w:val="18"/>
          <w:color w:val="auto"/>
        </w:rPr>
        <w:t>Unless otherwise approved in accordance with clause 25.4(b)(</w:t>
      </w:r>
      <w:r>
        <w:rPr>
          <w:rFonts w:ascii="Arial" w:cs="Arial" w:eastAsia="Arial" w:hAnsi="Arial"/>
          <w:sz w:val="18"/>
          <w:szCs w:val="18"/>
          <w:i w:val="1"/>
          <w:iCs w:val="1"/>
          <w:color w:val="auto"/>
        </w:rPr>
        <w:t>Valuations procedure</w:t>
      </w:r>
      <w:r>
        <w:rPr>
          <w:rFonts w:ascii="Arial" w:cs="Arial" w:eastAsia="Arial" w:hAnsi="Arial"/>
          <w:sz w:val="18"/>
          <w:szCs w:val="18"/>
          <w:color w:val="auto"/>
        </w:rPr>
        <w:t>) or clause 25.13(a) (</w:t>
      </w:r>
      <w:r>
        <w:rPr>
          <w:rFonts w:ascii="Arial" w:cs="Arial" w:eastAsia="Arial" w:hAnsi="Arial"/>
          <w:sz w:val="18"/>
          <w:szCs w:val="18"/>
          <w:i w:val="1"/>
          <w:iCs w:val="1"/>
          <w:color w:val="auto"/>
        </w:rPr>
        <w:t>Creation of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each valuation will be addressed to the Agent in its capacity as such, it will be, not more than thirty (30) days old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to the Agent or from the date on which it is to be delivered and made:</w:t>
      </w:r>
    </w:p>
    <w:p>
      <w:pPr>
        <w:spacing w:after="0" w:line="181" w:lineRule="exact"/>
        <w:rPr>
          <w:sz w:val="20"/>
          <w:szCs w:val="20"/>
          <w:color w:val="auto"/>
        </w:rPr>
      </w:pPr>
    </w:p>
    <w:p>
      <w:pPr>
        <w:ind w:left="1060" w:hanging="552"/>
        <w:spacing w:after="0"/>
        <w:tabs>
          <w:tab w:leader="none" w:pos="106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198" w:lineRule="exact"/>
        <w:rPr>
          <w:rFonts w:ascii="Arial" w:cs="Arial" w:eastAsia="Arial" w:hAnsi="Arial"/>
          <w:sz w:val="18"/>
          <w:szCs w:val="18"/>
          <w:color w:val="auto"/>
        </w:rPr>
      </w:pPr>
    </w:p>
    <w:p>
      <w:pPr>
        <w:ind w:left="1020" w:hanging="512"/>
        <w:spacing w:after="0" w:line="246" w:lineRule="auto"/>
        <w:tabs>
          <w:tab w:leader="none" w:pos="1206" w:val="left"/>
        </w:tabs>
        <w:numPr>
          <w:ilvl w:val="0"/>
          <w:numId w:val="701"/>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7"/>
          <w:szCs w:val="17"/>
          <w:b w:val="1"/>
          <w:bCs w:val="1"/>
          <w:color w:val="auto"/>
        </w:rPr>
        <w:t>Information required for valuation</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Borrowers shall promptly provide to the Agent and any such valuer any information which they reasonably require for the purposes of providing such a valuation.</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25.8</w:t>
        <w:tab/>
        <w:t>Approved Brokers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All valuers must be Approved Brokers. The Agent may from time to time notify the Borrowers and the Lenders of any additional independent ship brokers which have been approved by the Borrowers and the Agent (acting on the instructions of the Majority Lenders) as Approved Brokers for the purposes of this clause 25 and this Agreement, and the Majority Lenders may from time to time request the replacement of an Approved Broker.</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7"/>
          <w:szCs w:val="17"/>
          <w:b w:val="1"/>
          <w:bCs w:val="1"/>
          <w:color w:val="auto"/>
        </w:rPr>
        <w:t>Appointment of Approved Brokers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When a valuation is required for the purposes of this clause 25, the Borrowers shall promptly appoint the relevant Approved Brokers to provide such a valuation. If the Borrowers fail to do so promptly, the Agent may appoint the relevant Approved Brokers to provide that valuation. All valuations shall be addressed to the Agent.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Number of valuers</w:t>
      </w:r>
    </w:p>
    <w:p>
      <w:pPr>
        <w:spacing w:after="0" w:line="220" w:lineRule="exact"/>
        <w:rPr>
          <w:sz w:val="20"/>
          <w:szCs w:val="20"/>
          <w:color w:val="auto"/>
        </w:rPr>
      </w:pPr>
    </w:p>
    <w:p>
      <w:pPr>
        <w:ind w:left="1020" w:right="20" w:hanging="512"/>
        <w:spacing w:after="0" w:line="246" w:lineRule="auto"/>
        <w:tabs>
          <w:tab w:leader="none" w:pos="130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Borrowers. If the Borrowers fail promptly to nominate an Approved Broker then the Agent may nominate that valuer.</w:t>
      </w:r>
    </w:p>
    <w:p>
      <w:pPr>
        <w:spacing w:after="0" w:line="183" w:lineRule="exact"/>
        <w:rPr>
          <w:rFonts w:ascii="Arial" w:cs="Arial" w:eastAsia="Arial" w:hAnsi="Arial"/>
          <w:sz w:val="18"/>
          <w:szCs w:val="18"/>
          <w:color w:val="auto"/>
        </w:rPr>
      </w:pPr>
    </w:p>
    <w:p>
      <w:pPr>
        <w:jc w:val="both"/>
        <w:ind w:left="1020" w:hanging="512"/>
        <w:spacing w:after="0"/>
        <w:tabs>
          <w:tab w:leader="none" w:pos="103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If the two (2) valuations of a Ship made by two (2) Approved Brokers vary by more than 15%, then a third Approved Broker must be nominated by the Borrowers to provide a valuation of such Ship. If the Borrowers fail to promptly nominate such third Approved Broker then the Agent (acting on the instructions of the Majority Lenders) may nominate that third Approved Broker.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25.11 Differences in valuations</w:t>
      </w:r>
    </w:p>
    <w:p>
      <w:pPr>
        <w:spacing w:after="0" w:line="220" w:lineRule="exact"/>
        <w:rPr>
          <w:sz w:val="20"/>
          <w:szCs w:val="20"/>
          <w:color w:val="auto"/>
        </w:rPr>
      </w:pPr>
    </w:p>
    <w:p>
      <w:pPr>
        <w:ind w:left="1020" w:hanging="512"/>
        <w:spacing w:after="0" w:line="246" w:lineRule="auto"/>
        <w:tabs>
          <w:tab w:leader="none" w:pos="1354" w:val="left"/>
        </w:tabs>
        <w:numPr>
          <w:ilvl w:val="0"/>
          <w:numId w:val="703"/>
        </w:numPr>
        <w:rPr>
          <w:rFonts w:ascii="Arial" w:cs="Arial" w:eastAsia="Arial" w:hAnsi="Arial"/>
          <w:sz w:val="18"/>
          <w:szCs w:val="18"/>
          <w:color w:val="auto"/>
        </w:rPr>
      </w:pPr>
      <w:r>
        <w:rPr>
          <w:rFonts w:ascii="Arial" w:cs="Arial" w:eastAsia="Arial" w:hAnsi="Arial"/>
          <w:sz w:val="18"/>
          <w:szCs w:val="18"/>
          <w:color w:val="auto"/>
        </w:rPr>
        <w:t>If valuations of a Ship provided by different Approved Brokers differ, the value of the relevant Ship for the purposes of the Finance Documents will be the mean average of those valuations.</w:t>
      </w:r>
    </w:p>
    <w:p>
      <w:pPr>
        <w:spacing w:after="0" w:line="183" w:lineRule="exact"/>
        <w:rPr>
          <w:rFonts w:ascii="Arial" w:cs="Arial" w:eastAsia="Arial" w:hAnsi="Arial"/>
          <w:sz w:val="18"/>
          <w:szCs w:val="18"/>
          <w:color w:val="auto"/>
        </w:rPr>
      </w:pPr>
    </w:p>
    <w:p>
      <w:pPr>
        <w:ind w:left="1020" w:hanging="512"/>
        <w:spacing w:after="0" w:line="246" w:lineRule="auto"/>
        <w:tabs>
          <w:tab w:leader="none" w:pos="103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a Ship, the value of such Ship for the purposes of the Finance Documents will be the mean average of the values comprising such range.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Security shortfall</w:t>
      </w:r>
    </w:p>
    <w:p>
      <w:pPr>
        <w:spacing w:after="0" w:line="220" w:lineRule="exact"/>
        <w:rPr>
          <w:sz w:val="20"/>
          <w:szCs w:val="20"/>
          <w:color w:val="auto"/>
        </w:rPr>
      </w:pPr>
    </w:p>
    <w:p>
      <w:pPr>
        <w:jc w:val="both"/>
        <w:ind w:left="1020" w:hanging="512"/>
        <w:spacing w:after="0"/>
        <w:tabs>
          <w:tab w:leader="none" w:pos="1084" w:val="left"/>
        </w:tabs>
        <w:numPr>
          <w:ilvl w:val="0"/>
          <w:numId w:val="704"/>
        </w:numPr>
        <w:rPr>
          <w:rFonts w:ascii="Arial" w:cs="Arial" w:eastAsia="Arial" w:hAnsi="Arial"/>
          <w:sz w:val="18"/>
          <w:szCs w:val="18"/>
          <w:color w:val="auto"/>
        </w:rPr>
      </w:pPr>
      <w:r>
        <w:rPr>
          <w:rFonts w:ascii="Arial" w:cs="Arial" w:eastAsia="Arial" w:hAnsi="Arial"/>
          <w:sz w:val="18"/>
          <w:szCs w:val="18"/>
          <w:color w:val="auto"/>
        </w:rPr>
        <w:t>If at any time the Security Value in respect of an Advance is less than the Minimum Value for that Advance, the Agent may, and shall, if so directed by the Majority Lenders, by notice to the Borrowers require that such deficiency be remedied. The Borrowers shall then within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65" w:name="page266"/>
    <w:bookmarkEnd w:id="265"/>
    <w:p>
      <w:pPr>
        <w:ind w:left="1040"/>
        <w:spacing w:after="0"/>
        <w:rPr>
          <w:sz w:val="20"/>
          <w:szCs w:val="20"/>
          <w:color w:val="auto"/>
        </w:rPr>
      </w:pPr>
      <w:r>
        <w:rPr>
          <w:rFonts w:ascii="Arial" w:cs="Arial" w:eastAsia="Arial" w:hAnsi="Arial"/>
          <w:sz w:val="18"/>
          <w:szCs w:val="18"/>
          <w:color w:val="auto"/>
        </w:rPr>
        <w:t>thirty (30) days of receipt of such notice ensure that the Security Value for each Advance equals or exceeds the applicable</w:t>
      </w:r>
    </w:p>
    <w:p>
      <w:pPr>
        <w:ind w:left="1040"/>
        <w:spacing w:after="0"/>
        <w:rPr>
          <w:sz w:val="20"/>
          <w:szCs w:val="20"/>
          <w:color w:val="auto"/>
        </w:rPr>
      </w:pPr>
      <w:r>
        <w:rPr>
          <w:rFonts w:ascii="Arial" w:cs="Arial" w:eastAsia="Arial" w:hAnsi="Arial"/>
          <w:sz w:val="18"/>
          <w:szCs w:val="18"/>
          <w:color w:val="auto"/>
        </w:rPr>
        <w:t>Minimum Value for the relevant Advance. For this purpose, the Borrowers may:</w:t>
      </w:r>
    </w:p>
    <w:p>
      <w:pPr>
        <w:spacing w:after="0" w:line="198" w:lineRule="exact"/>
        <w:rPr>
          <w:sz w:val="20"/>
          <w:szCs w:val="20"/>
          <w:color w:val="auto"/>
        </w:rPr>
      </w:pPr>
    </w:p>
    <w:p>
      <w:pPr>
        <w:ind w:left="1540" w:right="20" w:hanging="511"/>
        <w:spacing w:after="0" w:line="246" w:lineRule="auto"/>
        <w:tabs>
          <w:tab w:leader="none" w:pos="1891" w:val="left"/>
        </w:tabs>
        <w:numPr>
          <w:ilvl w:val="0"/>
          <w:numId w:val="705"/>
        </w:numPr>
        <w:rPr>
          <w:rFonts w:ascii="Arial" w:cs="Arial" w:eastAsia="Arial" w:hAnsi="Arial"/>
          <w:sz w:val="18"/>
          <w:szCs w:val="18"/>
          <w:color w:val="auto"/>
        </w:rPr>
      </w:pPr>
      <w:r>
        <w:rPr>
          <w:rFonts w:ascii="Arial" w:cs="Arial" w:eastAsia="Arial" w:hAnsi="Arial"/>
          <w:sz w:val="18"/>
          <w:szCs w:val="18"/>
          <w:color w:val="auto"/>
        </w:rPr>
        <w:t>provide additional security in respect of that Advance over cash, and/or, following the approval of all Lenders, other assets, in accordance with this clause 25; or</w:t>
      </w:r>
    </w:p>
    <w:p>
      <w:pPr>
        <w:spacing w:after="0" w:line="165" w:lineRule="exact"/>
        <w:rPr>
          <w:rFonts w:ascii="Arial" w:cs="Arial" w:eastAsia="Arial" w:hAnsi="Arial"/>
          <w:sz w:val="18"/>
          <w:szCs w:val="18"/>
          <w:color w:val="auto"/>
        </w:rPr>
      </w:pPr>
    </w:p>
    <w:p>
      <w:pPr>
        <w:ind w:left="1560" w:hanging="531"/>
        <w:spacing w:after="0"/>
        <w:tabs>
          <w:tab w:leader="none" w:pos="156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prepay a sufficient part of that Advance under clause 7.4(c)(</w:t>
      </w:r>
      <w:r>
        <w:rPr>
          <w:rFonts w:ascii="Arial" w:cs="Arial" w:eastAsia="Arial" w:hAnsi="Arial"/>
          <w:sz w:val="18"/>
          <w:szCs w:val="18"/>
          <w:i w:val="1"/>
          <w:iCs w:val="1"/>
          <w:color w:val="auto"/>
        </w:rPr>
        <w:t>Voluntary prepayment</w:t>
      </w:r>
      <w:r>
        <w:rPr>
          <w:rFonts w:ascii="Arial" w:cs="Arial" w:eastAsia="Arial" w:hAnsi="Arial"/>
          <w:sz w:val="18"/>
          <w:szCs w:val="18"/>
          <w:color w:val="auto"/>
        </w:rPr>
        <w:t>).</w:t>
      </w:r>
    </w:p>
    <w:p>
      <w:pPr>
        <w:spacing w:after="0" w:line="216" w:lineRule="exact"/>
        <w:rPr>
          <w:sz w:val="20"/>
          <w:szCs w:val="20"/>
          <w:color w:val="auto"/>
        </w:rPr>
      </w:pPr>
    </w:p>
    <w:p>
      <w:pPr>
        <w:ind w:left="1020" w:hanging="512"/>
        <w:spacing w:after="0" w:line="246" w:lineRule="auto"/>
        <w:tabs>
          <w:tab w:leader="none" w:pos="1084"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Any prepayment pursuant to clause 25.12(a)(ii), shall be made without any requirement as to any minimum amount required by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Creation of additional security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value of any additional security which the Borrowers offer to provide to remedy all or part of a shortfall in the amount of the Security Value in respect of an Advance will only be taken into account for the purposes of determining the Security Value for that Advance if and when:</w:t>
      </w:r>
    </w:p>
    <w:p>
      <w:pPr>
        <w:spacing w:after="0" w:line="189" w:lineRule="exact"/>
        <w:rPr>
          <w:sz w:val="20"/>
          <w:szCs w:val="20"/>
          <w:color w:val="auto"/>
        </w:rPr>
      </w:pPr>
    </w:p>
    <w:p>
      <w:pPr>
        <w:ind w:left="1020" w:hanging="512"/>
        <w:spacing w:after="0" w:line="246" w:lineRule="auto"/>
        <w:tabs>
          <w:tab w:leader="none" w:pos="1138" w:val="left"/>
        </w:tabs>
        <w:numPr>
          <w:ilvl w:val="0"/>
          <w:numId w:val="707"/>
        </w:numPr>
        <w:rPr>
          <w:rFonts w:ascii="Arial" w:cs="Arial" w:eastAsia="Arial" w:hAnsi="Arial"/>
          <w:sz w:val="18"/>
          <w:szCs w:val="18"/>
          <w:color w:val="auto"/>
        </w:rPr>
      </w:pPr>
      <w:r>
        <w:rPr>
          <w:rFonts w:ascii="Arial" w:cs="Arial" w:eastAsia="Arial" w:hAnsi="Arial"/>
          <w:sz w:val="18"/>
          <w:szCs w:val="18"/>
          <w:color w:val="auto"/>
        </w:rPr>
        <w:t>that additional security and the asset over which it is created, its value and the method of its valuation have been approved by all Lenders (except in the case of otherwise approved first ranking security over cash in Dollars which shall be valued at par);</w:t>
      </w:r>
    </w:p>
    <w:p>
      <w:pPr>
        <w:spacing w:after="0" w:line="183"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371" w:val="left"/>
        </w:tabs>
        <w:numPr>
          <w:ilvl w:val="0"/>
          <w:numId w:val="707"/>
        </w:numPr>
        <w:rPr>
          <w:rFonts w:ascii="Arial" w:cs="Arial" w:eastAsia="Arial" w:hAnsi="Arial"/>
          <w:sz w:val="18"/>
          <w:szCs w:val="18"/>
          <w:color w:val="auto"/>
        </w:rPr>
      </w:pPr>
      <w:r>
        <w:rPr>
          <w:rFonts w:ascii="Arial" w:cs="Arial" w:eastAsia="Arial" w:hAnsi="Arial"/>
          <w:sz w:val="18"/>
          <w:szCs w:val="18"/>
          <w:color w:val="auto"/>
        </w:rPr>
        <w:t>this Agreement has been unconditionally amended with such consequential amendments as required by the Agent acting reasonably; and</w:t>
      </w:r>
    </w:p>
    <w:p>
      <w:pPr>
        <w:spacing w:after="0" w:line="183" w:lineRule="exact"/>
        <w:rPr>
          <w:rFonts w:ascii="Arial" w:cs="Arial" w:eastAsia="Arial" w:hAnsi="Arial"/>
          <w:sz w:val="18"/>
          <w:szCs w:val="18"/>
          <w:color w:val="auto"/>
        </w:rPr>
      </w:pPr>
    </w:p>
    <w:p>
      <w:pPr>
        <w:jc w:val="both"/>
        <w:ind w:left="1020" w:hanging="512"/>
        <w:spacing w:after="0"/>
        <w:tabs>
          <w:tab w:leader="none" w:pos="1219" w:val="left"/>
        </w:tabs>
        <w:numPr>
          <w:ilvl w:val="0"/>
          <w:numId w:val="707"/>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that amendment and additional security and its execution and (if applicable) registration.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25.14 Security release</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Security Value in respect of an Advance shall at any time exceed the Minimum Value for such Advance, and the Borrowers shall previously have provided further security to the Security Agent and/or the other Finance Parties pursuant to clause 25.12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shortfall</w:t>
      </w:r>
      <w:r>
        <w:rPr>
          <w:rFonts w:ascii="Arial" w:cs="Arial" w:eastAsia="Arial" w:hAnsi="Arial"/>
          <w:sz w:val="18"/>
          <w:szCs w:val="18"/>
          <w:color w:val="auto"/>
        </w:rPr>
        <w:t>), the Security Agent (on the instructions of the Agent) and the other Finance Parties shall, as soon as reasonably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after notice from the Borrowers to do so and subject to being indemnified to their satisfaction against the cost of doing so, procure the release of any such further security specified by the Borrowers provided that the Agent (acting on the instructions of the Majority Lenders) is satisfied that, immediately following such release, the Security Value for that Advance will equal or exceed the Minimum Value for that Advance and no other Event of Default shall have occurred and be continuing.</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26 Chartering undertakings</w:t>
      </w:r>
    </w:p>
    <w:p>
      <w:pPr>
        <w:spacing w:after="0" w:line="22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Borrower undertakes that this clause 26 will be complied with in relation to each Mortgaged Ship (to the extent such Mortgaged Ship is subject to a Charter) throughout such Ship’s Mortgage Period.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7"/>
          <w:szCs w:val="17"/>
          <w:b w:val="1"/>
          <w:bCs w:val="1"/>
          <w:color w:val="auto"/>
        </w:rPr>
        <w:t>Variations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for variations which (a) reduce the tenor of the Charter, (b) reduce the applicable charter rate in respect of the firm tenor of the Charter, (c) result in the charter rate during an extension of the tenor of the Charter which is materially less beneficial to the relevant Owner than the terms which at the time could be reasonably expected to be obtained on the open market for vessels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6" w:name="page267"/>
    <w:bookmarkEnd w:id="266"/>
    <w:p>
      <w:pPr>
        <w:jc w:val="both"/>
        <w:ind w:left="520"/>
        <w:spacing w:after="0" w:line="236" w:lineRule="auto"/>
        <w:rPr>
          <w:sz w:val="20"/>
          <w:szCs w:val="20"/>
          <w:color w:val="auto"/>
        </w:rPr>
      </w:pPr>
      <w:r>
        <w:rPr>
          <w:rFonts w:ascii="Arial" w:cs="Arial" w:eastAsia="Arial" w:hAnsi="Arial"/>
          <w:sz w:val="18"/>
          <w:szCs w:val="18"/>
          <w:color w:val="auto"/>
        </w:rPr>
        <w:t>the same age and type as the Ship and for charter commitments of a similar type and period, (d) in connection with the extension of the Charter would result in the Charterer being a Non-Acceptable Charterer, (e) change the scheduled dates for payment of charter hire under the Charter by more than thirty (30) days or change the payment terms to payments in arrear, (f) result in any assignment, transfer or novation of a Charter Document whether from the relevant Owner or the Charterer (an Owner shall be entitled to novate a Charter Document to the Owner of another Ship subject to such novatee assigning the benefit of such novated Charter Document to the Security Agent and satisfying the provisions of clauses 22.7(b) (</w:t>
      </w:r>
      <w:r>
        <w:rPr>
          <w:rFonts w:ascii="Arial" w:cs="Arial" w:eastAsia="Arial" w:hAnsi="Arial"/>
          <w:sz w:val="18"/>
          <w:szCs w:val="18"/>
          <w:i w:val="1"/>
          <w:iCs w:val="1"/>
          <w:color w:val="auto"/>
        </w:rPr>
        <w:t>Chartering</w:t>
      </w:r>
      <w:r>
        <w:rPr>
          <w:rFonts w:ascii="Arial" w:cs="Arial" w:eastAsia="Arial" w:hAnsi="Arial"/>
          <w:sz w:val="18"/>
          <w:szCs w:val="18"/>
          <w:color w:val="auto"/>
        </w:rPr>
        <w:t xml:space="preserve">) which shall apply to this clause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set out in full herein), (g) would result in the conversion of the Charter to a bareboat charter or an arrangement under which operational control over the Ship is passed to another person (unless operational control is passed to Ship’s Technical Manager), (h) affect termination rights under the Charter or (i) would change the governing law, jurisdiction, assignability or mortgagee quiet enjoyment provisions of the Charter, where, in each case, Majority Lender approval shall be required, such Owner shall be entitled to amend or vary the Charter without approval. The relevant Owner shall notify the Agent of any variation of the Charter promptly upon such variation having been effected.</w:t>
      </w:r>
    </w:p>
    <w:p>
      <w:pPr>
        <w:spacing w:after="0" w:line="16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b w:val="1"/>
          <w:bCs w:val="1"/>
          <w:color w:val="auto"/>
        </w:rPr>
        <w:t>Releases and waivers</w:t>
      </w:r>
    </w:p>
    <w:p>
      <w:pPr>
        <w:spacing w:after="0" w:line="202" w:lineRule="exact"/>
        <w:rPr>
          <w:sz w:val="20"/>
          <w:szCs w:val="20"/>
          <w:color w:val="auto"/>
        </w:rPr>
      </w:pPr>
    </w:p>
    <w:p>
      <w:pPr>
        <w:jc w:val="both"/>
        <w:ind w:left="520"/>
        <w:spacing w:after="0" w:line="267" w:lineRule="auto"/>
        <w:rPr>
          <w:sz w:val="20"/>
          <w:szCs w:val="20"/>
          <w:color w:val="auto"/>
        </w:rPr>
      </w:pPr>
      <w:r>
        <w:rPr>
          <w:rFonts w:ascii="Arial" w:cs="Arial" w:eastAsia="Arial" w:hAnsi="Arial"/>
          <w:sz w:val="18"/>
          <w:szCs w:val="18"/>
          <w:color w:val="auto"/>
        </w:rPr>
        <w:t>Subject to clause 26.1(</w:t>
      </w:r>
      <w:r>
        <w:rPr>
          <w:rFonts w:ascii="Arial" w:cs="Arial" w:eastAsia="Arial" w:hAnsi="Arial"/>
          <w:sz w:val="18"/>
          <w:szCs w:val="18"/>
          <w:i w:val="1"/>
          <w:iCs w:val="1"/>
          <w:color w:val="auto"/>
        </w:rPr>
        <w:t>Variations</w:t>
      </w:r>
      <w:r>
        <w:rPr>
          <w:rFonts w:ascii="Arial" w:cs="Arial" w:eastAsia="Arial" w:hAnsi="Arial"/>
          <w:sz w:val="18"/>
          <w:szCs w:val="18"/>
          <w:color w:val="auto"/>
        </w:rPr>
        <w:t>), the relevant Owner of a Ship may release any obligation of any other person under that Ship’s Charter Documents, waive any breach of any such obligation or consent to anything which would otherwise be such a breach.</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b w:val="1"/>
          <w:bCs w:val="1"/>
          <w:color w:val="auto"/>
        </w:rPr>
        <w:t>Termination by Owner</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Subject to clause 30.21 (</w:t>
      </w:r>
      <w:r>
        <w:rPr>
          <w:rFonts w:ascii="Arial" w:cs="Arial" w:eastAsia="Arial" w:hAnsi="Arial"/>
          <w:sz w:val="18"/>
          <w:szCs w:val="18"/>
          <w:i w:val="1"/>
          <w:iCs w:val="1"/>
          <w:color w:val="auto"/>
        </w:rPr>
        <w:t>Ship A Charter</w:t>
      </w:r>
      <w:r>
        <w:rPr>
          <w:rFonts w:ascii="Arial" w:cs="Arial" w:eastAsia="Arial" w:hAnsi="Arial"/>
          <w:sz w:val="18"/>
          <w:szCs w:val="18"/>
          <w:color w:val="auto"/>
        </w:rPr>
        <w:t>) and unless an Event of Default has occurred and is continuing, the relevant Owner shall be entitled, with prior notice to the Agent, to terminate or rescind any Charter Document or withdraw the relevant Ship from service under the relevant Charter or take any similar action.</w:t>
      </w:r>
    </w:p>
    <w:p>
      <w:pPr>
        <w:spacing w:after="0" w:line="15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7"/>
          <w:szCs w:val="17"/>
          <w:b w:val="1"/>
          <w:bCs w:val="1"/>
          <w:color w:val="auto"/>
        </w:rPr>
        <w:t>Charter performance</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relevant Owner shall perform its obligations under the relevant Charter Documents and use its reasonable endeavours to ensure that each other party to them performs their obligations under the relevant Charter Documents.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7"/>
          <w:szCs w:val="17"/>
          <w:b w:val="1"/>
          <w:bCs w:val="1"/>
          <w:color w:val="auto"/>
        </w:rPr>
        <w:t>Notice of assignment</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relevant Owner shall give notice of assignment of the Charter Documents to the other parties to such documents promptly upon execution of the Charter Assignment in the form specified by the Charter Assignment for that Ship and shall ensure that the Agent receives a copy of that notice acknowledged by each addressee in the form specified therein and any relevant Quiet Enjoyment Agreement as soon as practically possible after the Charter Assignment for that Ship has been executed by the Security Agent and any relevant counterparty to such documents, and in any event at the times required under clause 4.2 (</w:t>
      </w:r>
      <w:r>
        <w:rPr>
          <w:rFonts w:ascii="Arial" w:cs="Arial" w:eastAsia="Arial" w:hAnsi="Arial"/>
          <w:sz w:val="18"/>
          <w:szCs w:val="18"/>
          <w:i w:val="1"/>
          <w:iCs w:val="1"/>
          <w:color w:val="auto"/>
        </w:rPr>
        <w:t>Conditions precedent to</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w:t>
      </w:r>
      <w:r>
        <w:rPr>
          <w:rFonts w:ascii="Arial" w:cs="Arial" w:eastAsia="Arial" w:hAnsi="Arial"/>
          <w:sz w:val="18"/>
          <w:szCs w:val="18"/>
          <w:color w:val="auto"/>
        </w:rPr>
        <w:t>) and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applicable.</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7"/>
          <w:szCs w:val="17"/>
          <w:b w:val="1"/>
          <w:bCs w:val="1"/>
          <w:color w:val="auto"/>
        </w:rPr>
        <w:t>Payment of Charter Earnings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Earnings which the relevant Owner is entitled to receive under the relevant Charter Documents shall be paid into the relevant Owner’s Earnings Account or, following an Event of Default, in the manner required by the Security Documents.</w:t>
      </w:r>
    </w:p>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7"/>
          <w:szCs w:val="17"/>
          <w:b w:val="1"/>
          <w:bCs w:val="1"/>
          <w:color w:val="auto"/>
        </w:rPr>
        <w:t>Quiet Enjoyment</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 xml:space="preserve">If required by the charterer of a replacement charter commitment referred to in clause 30.21(a)(ii) </w:t>
      </w:r>
      <w:r>
        <w:rPr>
          <w:rFonts w:ascii="Arial" w:cs="Arial" w:eastAsia="Arial" w:hAnsi="Arial"/>
          <w:sz w:val="18"/>
          <w:szCs w:val="18"/>
          <w:i w:val="1"/>
          <w:iCs w:val="1"/>
          <w:color w:val="auto"/>
        </w:rPr>
        <w:t>(Ship A Charter)</w:t>
      </w:r>
      <w:r>
        <w:rPr>
          <w:rFonts w:ascii="Arial" w:cs="Arial" w:eastAsia="Arial" w:hAnsi="Arial"/>
          <w:sz w:val="18"/>
          <w:szCs w:val="18"/>
          <w:color w:val="auto"/>
        </w:rPr>
        <w:t xml:space="preserve"> as a condition to entering into the same, the Lenders agree to instruct the Security Agent to enter into a quiet enjoyment agreement with such charterer on substantially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7" w:name="page268"/>
    <w:bookmarkEnd w:id="267"/>
    <w:p>
      <w:pPr>
        <w:ind w:left="520"/>
        <w:spacing w:after="0"/>
        <w:rPr>
          <w:sz w:val="20"/>
          <w:szCs w:val="20"/>
          <w:color w:val="auto"/>
        </w:rPr>
      </w:pPr>
      <w:r>
        <w:rPr>
          <w:rFonts w:ascii="Arial" w:cs="Arial" w:eastAsia="Arial" w:hAnsi="Arial"/>
          <w:sz w:val="18"/>
          <w:szCs w:val="18"/>
          <w:color w:val="auto"/>
        </w:rPr>
        <w:t>same terms as the Quiet Enjoyment Agreement in respect of any such replacement charter commitment.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27 Bank accounts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undertakes that this clause 27 will be complied with throughout the Facility Period.</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7"/>
          <w:szCs w:val="17"/>
          <w:b w:val="1"/>
          <w:bCs w:val="1"/>
          <w:color w:val="auto"/>
        </w:rPr>
        <w:t>Earnings Accounts</w:t>
      </w:r>
    </w:p>
    <w:p>
      <w:pPr>
        <w:spacing w:after="0" w:line="198" w:lineRule="exact"/>
        <w:rPr>
          <w:sz w:val="20"/>
          <w:szCs w:val="20"/>
          <w:color w:val="auto"/>
        </w:rPr>
      </w:pPr>
    </w:p>
    <w:p>
      <w:pPr>
        <w:ind w:left="1020" w:right="20" w:hanging="512"/>
        <w:spacing w:after="0" w:line="271" w:lineRule="auto"/>
        <w:tabs>
          <w:tab w:leader="none" w:pos="1138" w:val="left"/>
        </w:tabs>
        <w:numPr>
          <w:ilvl w:val="0"/>
          <w:numId w:val="708"/>
        </w:numPr>
        <w:rPr>
          <w:rFonts w:ascii="Arial" w:cs="Arial" w:eastAsia="Arial" w:hAnsi="Arial"/>
          <w:sz w:val="18"/>
          <w:szCs w:val="18"/>
          <w:color w:val="auto"/>
        </w:rPr>
      </w:pPr>
      <w:r>
        <w:rPr>
          <w:rFonts w:ascii="Arial" w:cs="Arial" w:eastAsia="Arial" w:hAnsi="Arial"/>
          <w:sz w:val="18"/>
          <w:szCs w:val="18"/>
          <w:color w:val="auto"/>
        </w:rPr>
        <w:t xml:space="preserve">Each Owner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62" w:lineRule="exact"/>
        <w:rPr>
          <w:rFonts w:ascii="Arial" w:cs="Arial" w:eastAsia="Arial" w:hAnsi="Arial"/>
          <w:sz w:val="18"/>
          <w:szCs w:val="18"/>
          <w:color w:val="auto"/>
        </w:rPr>
      </w:pPr>
    </w:p>
    <w:p>
      <w:pPr>
        <w:jc w:val="both"/>
        <w:ind w:left="1020" w:hanging="512"/>
        <w:spacing w:after="0"/>
        <w:tabs>
          <w:tab w:leader="none" w:pos="1152" w:val="left"/>
        </w:tabs>
        <w:numPr>
          <w:ilvl w:val="0"/>
          <w:numId w:val="708"/>
        </w:numPr>
        <w:rPr>
          <w:rFonts w:ascii="Arial" w:cs="Arial" w:eastAsia="Arial" w:hAnsi="Arial"/>
          <w:sz w:val="18"/>
          <w:szCs w:val="18"/>
          <w:color w:val="auto"/>
        </w:rPr>
      </w:pPr>
      <w:r>
        <w:rPr>
          <w:rFonts w:ascii="Arial" w:cs="Arial" w:eastAsia="Arial" w:hAnsi="Arial"/>
          <w:sz w:val="18"/>
          <w:szCs w:val="18"/>
          <w:color w:val="auto"/>
        </w:rPr>
        <w:t>The Earnings of the Mortgaged Ships and all moneys payable to the relevant Owner under the Ship’s Insurances and any net amount payable to the relevant Owner under any Hedging Contract shall be paid by the persons from whom they are due to an Earnings Account unless required to be paid to the Security Agent under the relevant Finance Documents.</w:t>
      </w:r>
    </w:p>
    <w:p>
      <w:pPr>
        <w:spacing w:after="0" w:line="189" w:lineRule="exact"/>
        <w:rPr>
          <w:rFonts w:ascii="Arial" w:cs="Arial" w:eastAsia="Arial" w:hAnsi="Arial"/>
          <w:sz w:val="18"/>
          <w:szCs w:val="18"/>
          <w:color w:val="auto"/>
        </w:rPr>
      </w:pPr>
    </w:p>
    <w:p>
      <w:pPr>
        <w:ind w:left="1020" w:hanging="512"/>
        <w:spacing w:after="0" w:line="246" w:lineRule="auto"/>
        <w:tabs>
          <w:tab w:leader="none" w:pos="1168" w:val="left"/>
        </w:tabs>
        <w:numPr>
          <w:ilvl w:val="0"/>
          <w:numId w:val="708"/>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clause 27.1(d).</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38" w:val="left"/>
        </w:tabs>
        <w:numPr>
          <w:ilvl w:val="0"/>
          <w:numId w:val="708"/>
        </w:numPr>
        <w:rPr>
          <w:rFonts w:ascii="Arial" w:cs="Arial" w:eastAsia="Arial" w:hAnsi="Arial"/>
          <w:sz w:val="18"/>
          <w:szCs w:val="18"/>
          <w:color w:val="auto"/>
        </w:rPr>
      </w:pPr>
      <w:r>
        <w:rPr>
          <w:rFonts w:ascii="Arial" w:cs="Arial" w:eastAsia="Arial" w:hAnsi="Arial"/>
          <w:sz w:val="18"/>
          <w:szCs w:val="18"/>
          <w:color w:val="auto"/>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 and the Finance Documents and for as long as any such withdrawal will not result in the Borrowers being in breach of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60" w:hanging="852"/>
        <w:spacing w:after="0"/>
        <w:tabs>
          <w:tab w:leader="none" w:pos="136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The Owners may place sums standing to the credit of their Earnings Accounts on deposit for a fixed period of up to three</w:t>
      </w:r>
    </w:p>
    <w:p>
      <w:pPr>
        <w:ind w:left="1300" w:hanging="271"/>
        <w:spacing w:after="0"/>
        <w:tabs>
          <w:tab w:leader="none" w:pos="1300" w:val="left"/>
        </w:tabs>
        <w:numPr>
          <w:ilvl w:val="1"/>
          <w:numId w:val="708"/>
        </w:numPr>
        <w:rPr>
          <w:rFonts w:ascii="Arial" w:cs="Arial" w:eastAsia="Arial" w:hAnsi="Arial"/>
          <w:sz w:val="18"/>
          <w:szCs w:val="18"/>
          <w:color w:val="auto"/>
        </w:rPr>
      </w:pPr>
      <w:r>
        <w:rPr>
          <w:rFonts w:ascii="Arial" w:cs="Arial" w:eastAsia="Arial" w:hAnsi="Arial"/>
          <w:sz w:val="18"/>
          <w:szCs w:val="18"/>
          <w:color w:val="auto"/>
        </w:rPr>
        <w:t>months.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Other provisions</w:t>
      </w:r>
    </w:p>
    <w:p>
      <w:pPr>
        <w:spacing w:after="0" w:line="220" w:lineRule="exact"/>
        <w:rPr>
          <w:sz w:val="20"/>
          <w:szCs w:val="20"/>
          <w:color w:val="auto"/>
        </w:rPr>
      </w:pPr>
    </w:p>
    <w:p>
      <w:pPr>
        <w:ind w:left="1060" w:hanging="552"/>
        <w:spacing w:after="0"/>
        <w:tabs>
          <w:tab w:leader="none" w:pos="106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09"/>
        </w:numPr>
        <w:rPr>
          <w:rFonts w:ascii="Arial" w:cs="Arial" w:eastAsia="Arial" w:hAnsi="Arial"/>
          <w:sz w:val="18"/>
          <w:szCs w:val="18"/>
          <w:color w:val="auto"/>
        </w:rPr>
      </w:pPr>
      <w:r>
        <w:rPr>
          <w:rFonts w:ascii="Arial" w:cs="Arial" w:eastAsia="Arial" w:hAnsi="Arial"/>
          <w:sz w:val="18"/>
          <w:szCs w:val="18"/>
          <w:color w:val="auto"/>
        </w:rPr>
        <w:t>it is situated in England or another jurisdiction acceptable to the Lenders;</w:t>
      </w:r>
    </w:p>
    <w:p>
      <w:pPr>
        <w:spacing w:after="0" w:line="198" w:lineRule="exact"/>
        <w:rPr>
          <w:rFonts w:ascii="Arial" w:cs="Arial" w:eastAsia="Arial" w:hAnsi="Arial"/>
          <w:sz w:val="18"/>
          <w:szCs w:val="18"/>
          <w:color w:val="auto"/>
        </w:rPr>
      </w:pPr>
    </w:p>
    <w:p>
      <w:pPr>
        <w:jc w:val="both"/>
        <w:ind w:left="1540" w:hanging="511"/>
        <w:spacing w:after="0"/>
        <w:tabs>
          <w:tab w:leader="none" w:pos="1850" w:val="left"/>
        </w:tabs>
        <w:numPr>
          <w:ilvl w:val="1"/>
          <w:numId w:val="709"/>
        </w:numPr>
        <w:rPr>
          <w:rFonts w:ascii="Arial" w:cs="Arial" w:eastAsia="Arial" w:hAnsi="Arial"/>
          <w:sz w:val="18"/>
          <w:szCs w:val="18"/>
          <w:color w:val="auto"/>
        </w:rPr>
      </w:pPr>
      <w:r>
        <w:rPr>
          <w:rFonts w:ascii="Arial" w:cs="Arial" w:eastAsia="Arial" w:hAnsi="Arial"/>
          <w:sz w:val="18"/>
          <w:szCs w:val="18"/>
          <w:color w:val="auto"/>
        </w:rPr>
        <w:t>such designation is made in writing by the Agent and acknowledged by the Borrowers and specifies the names and addresses of the relevant Account Bank and the Account Holder(s) and the number and any designation or other reference attributed to the Account;</w:t>
      </w:r>
    </w:p>
    <w:p>
      <w:pPr>
        <w:spacing w:after="0" w:line="189" w:lineRule="exact"/>
        <w:rPr>
          <w:rFonts w:ascii="Arial" w:cs="Arial" w:eastAsia="Arial" w:hAnsi="Arial"/>
          <w:sz w:val="18"/>
          <w:szCs w:val="18"/>
          <w:color w:val="auto"/>
        </w:rPr>
      </w:pPr>
    </w:p>
    <w:p>
      <w:pPr>
        <w:ind w:left="1540" w:hanging="511"/>
        <w:spacing w:after="0" w:line="246" w:lineRule="auto"/>
        <w:tabs>
          <w:tab w:leader="none" w:pos="1728" w:val="left"/>
        </w:tabs>
        <w:numPr>
          <w:ilvl w:val="1"/>
          <w:numId w:val="709"/>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83" w:lineRule="exact"/>
        <w:rPr>
          <w:rFonts w:ascii="Arial" w:cs="Arial" w:eastAsia="Arial" w:hAnsi="Arial"/>
          <w:sz w:val="18"/>
          <w:szCs w:val="18"/>
          <w:color w:val="auto"/>
        </w:rPr>
      </w:pPr>
    </w:p>
    <w:p>
      <w:pPr>
        <w:ind w:left="1540" w:hanging="511"/>
        <w:spacing w:after="0" w:line="246" w:lineRule="auto"/>
        <w:tabs>
          <w:tab w:leader="none" w:pos="1563" w:val="left"/>
        </w:tabs>
        <w:numPr>
          <w:ilvl w:val="1"/>
          <w:numId w:val="709"/>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83" w:lineRule="exact"/>
        <w:rPr>
          <w:rFonts w:ascii="Arial" w:cs="Arial" w:eastAsia="Arial" w:hAnsi="Arial"/>
          <w:sz w:val="18"/>
          <w:szCs w:val="18"/>
          <w:color w:val="auto"/>
        </w:rPr>
      </w:pPr>
    </w:p>
    <w:p>
      <w:pPr>
        <w:jc w:val="both"/>
        <w:ind w:left="1540" w:hanging="511"/>
        <w:spacing w:after="0"/>
        <w:tabs>
          <w:tab w:leader="none" w:pos="1658" w:val="left"/>
        </w:tabs>
        <w:numPr>
          <w:ilvl w:val="1"/>
          <w:numId w:val="709"/>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precedent) </w:t>
      </w:r>
      <w:r>
        <w:rPr>
          <w:rFonts w:ascii="Arial" w:cs="Arial" w:eastAsia="Arial" w:hAnsi="Arial"/>
          <w:sz w:val="18"/>
          <w:szCs w:val="18"/>
          <w:color w:val="auto"/>
        </w:rPr>
        <w:t>in relation to the Account and the relevant Account Security.</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192"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(subject to clause 27.1(e) (</w:t>
      </w:r>
      <w:r>
        <w:rPr>
          <w:rFonts w:ascii="Arial" w:cs="Arial" w:eastAsia="Arial" w:hAnsi="Arial"/>
          <w:sz w:val="18"/>
          <w:szCs w:val="18"/>
          <w:i w:val="1"/>
          <w:iCs w:val="1"/>
          <w:color w:val="auto"/>
        </w:rPr>
        <w:t>Earnings Accounts</w:t>
      </w:r>
      <w:r>
        <w:rPr>
          <w:rFonts w:ascii="Arial" w:cs="Arial" w:eastAsia="Arial" w:hAnsi="Arial"/>
          <w:sz w:val="18"/>
          <w:szCs w:val="18"/>
          <w:color w:val="auto"/>
        </w:rPr>
        <w:t>)) until the relevant Account Security has become enforceable and the Security Agent directs otherwise.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8" w:name="page269"/>
    <w:bookmarkEnd w:id="268"/>
    <w:p>
      <w:pPr>
        <w:ind w:left="1020" w:hanging="512"/>
        <w:spacing w:after="0" w:line="246" w:lineRule="auto"/>
        <w:tabs>
          <w:tab w:leader="none" w:pos="106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83" w:lineRule="exact"/>
        <w:rPr>
          <w:rFonts w:ascii="Arial" w:cs="Arial" w:eastAsia="Arial" w:hAnsi="Arial"/>
          <w:sz w:val="18"/>
          <w:szCs w:val="18"/>
          <w:color w:val="auto"/>
        </w:rPr>
      </w:pPr>
    </w:p>
    <w:p>
      <w:pPr>
        <w:jc w:val="both"/>
        <w:ind w:left="1020" w:hanging="512"/>
        <w:spacing w:after="0"/>
        <w:tabs>
          <w:tab w:leader="none" w:pos="130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111" w:val="left"/>
        </w:tabs>
        <w:numPr>
          <w:ilvl w:val="0"/>
          <w:numId w:val="710"/>
        </w:numPr>
        <w:rPr>
          <w:rFonts w:ascii="Arial" w:cs="Arial" w:eastAsia="Arial" w:hAnsi="Arial"/>
          <w:sz w:val="18"/>
          <w:szCs w:val="18"/>
          <w:color w:val="auto"/>
        </w:rPr>
      </w:pPr>
      <w:r>
        <w:rPr>
          <w:rFonts w:ascii="Arial" w:cs="Arial" w:eastAsia="Arial" w:hAnsi="Arial"/>
          <w:sz w:val="18"/>
          <w:szCs w:val="18"/>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28 Business restrictions</w:t>
      </w:r>
    </w:p>
    <w:p>
      <w:pPr>
        <w:spacing w:after="0" w:line="22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as otherwise approved by the Majority Lenders, each Obligor undertakes that throughout the Facility Period this clause 28 will be complied with by and in respect of each Group Member or Parent Group Member to which each of the provisions below is expressed to apply.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7"/>
          <w:szCs w:val="17"/>
          <w:b w:val="1"/>
          <w:bCs w:val="1"/>
          <w:color w:val="auto"/>
        </w:rPr>
        <w:t>General negative pledge</w:t>
      </w:r>
    </w:p>
    <w:p>
      <w:pPr>
        <w:spacing w:after="0" w:line="198" w:lineRule="exact"/>
        <w:rPr>
          <w:sz w:val="20"/>
          <w:szCs w:val="20"/>
          <w:color w:val="auto"/>
        </w:rPr>
      </w:pPr>
    </w:p>
    <w:p>
      <w:pPr>
        <w:ind w:left="1060" w:hanging="552"/>
        <w:spacing w:after="0"/>
        <w:tabs>
          <w:tab w:leader="none" w:pos="106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 xml:space="preserve">In this clause 28.1,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28.1(d).</w:t>
      </w:r>
    </w:p>
    <w:p>
      <w:pPr>
        <w:spacing w:after="0" w:line="220"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711"/>
        </w:numPr>
        <w:rPr>
          <w:rFonts w:ascii="Arial" w:cs="Arial" w:eastAsia="Arial" w:hAnsi="Arial"/>
          <w:sz w:val="18"/>
          <w:szCs w:val="18"/>
          <w:color w:val="auto"/>
        </w:rPr>
      </w:pPr>
      <w:r>
        <w:rPr>
          <w:rFonts w:ascii="Arial" w:cs="Arial" w:eastAsia="Arial" w:hAnsi="Arial"/>
          <w:sz w:val="18"/>
          <w:szCs w:val="18"/>
          <w:color w:val="auto"/>
        </w:rPr>
        <w:t>No Borrower shall permit any Security Interest to exist, arise or be created or extended over all or any part of its assets except for Permitted Security Interests.</w:t>
      </w:r>
    </w:p>
    <w:p>
      <w:pPr>
        <w:spacing w:after="0" w:line="165" w:lineRule="exact"/>
        <w:rPr>
          <w:rFonts w:ascii="Arial" w:cs="Arial" w:eastAsia="Arial" w:hAnsi="Arial"/>
          <w:sz w:val="18"/>
          <w:szCs w:val="18"/>
          <w:color w:val="auto"/>
        </w:rPr>
      </w:pPr>
    </w:p>
    <w:p>
      <w:pPr>
        <w:ind w:left="1040" w:hanging="532"/>
        <w:spacing w:after="0"/>
        <w:tabs>
          <w:tab w:leader="none" w:pos="104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(Without prejudice to clauses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28.6 (</w:t>
      </w:r>
      <w:r>
        <w:rPr>
          <w:rFonts w:ascii="Arial" w:cs="Arial" w:eastAsia="Arial" w:hAnsi="Arial"/>
          <w:sz w:val="18"/>
          <w:szCs w:val="18"/>
          <w:i w:val="1"/>
          <w:iCs w:val="1"/>
          <w:color w:val="auto"/>
        </w:rPr>
        <w:t>Disposals</w:t>
      </w:r>
      <w:r>
        <w:rPr>
          <w:rFonts w:ascii="Arial" w:cs="Arial" w:eastAsia="Arial" w:hAnsi="Arial"/>
          <w:sz w:val="18"/>
          <w:szCs w:val="18"/>
          <w:color w:val="auto"/>
        </w:rPr>
        <w:t>)), no Borrower shall:</w:t>
      </w:r>
    </w:p>
    <w:p>
      <w:pPr>
        <w:spacing w:after="0" w:line="216" w:lineRule="exact"/>
        <w:rPr>
          <w:rFonts w:ascii="Arial" w:cs="Arial" w:eastAsia="Arial" w:hAnsi="Arial"/>
          <w:sz w:val="18"/>
          <w:szCs w:val="18"/>
          <w:color w:val="auto"/>
        </w:rPr>
      </w:pPr>
    </w:p>
    <w:p>
      <w:pPr>
        <w:jc w:val="both"/>
        <w:ind w:left="1540" w:hanging="511"/>
        <w:spacing w:after="0"/>
        <w:tabs>
          <w:tab w:leader="none" w:pos="1621" w:val="left"/>
        </w:tabs>
        <w:numPr>
          <w:ilvl w:val="1"/>
          <w:numId w:val="711"/>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or, as the case may be, any other Parent Group Member other than pursuant to disposals permitted under clause 28.6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540" w:right="20" w:hanging="511"/>
        <w:spacing w:after="0" w:line="246" w:lineRule="auto"/>
        <w:tabs>
          <w:tab w:leader="none" w:pos="1607" w:val="left"/>
        </w:tabs>
        <w:numPr>
          <w:ilvl w:val="1"/>
          <w:numId w:val="711"/>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83" w:lineRule="exact"/>
        <w:rPr>
          <w:rFonts w:ascii="Arial" w:cs="Arial" w:eastAsia="Arial" w:hAnsi="Arial"/>
          <w:sz w:val="18"/>
          <w:szCs w:val="18"/>
          <w:color w:val="auto"/>
        </w:rPr>
      </w:pPr>
    </w:p>
    <w:p>
      <w:pPr>
        <w:ind w:left="1540" w:hanging="511"/>
        <w:spacing w:after="0" w:line="246" w:lineRule="auto"/>
        <w:tabs>
          <w:tab w:leader="none" w:pos="1593" w:val="left"/>
        </w:tabs>
        <w:numPr>
          <w:ilvl w:val="1"/>
          <w:numId w:val="711"/>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711"/>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198"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83" w:lineRule="exact"/>
        <w:rPr>
          <w:sz w:val="20"/>
          <w:szCs w:val="20"/>
          <w:color w:val="auto"/>
        </w:rPr>
      </w:pPr>
    </w:p>
    <w:p>
      <w:pPr>
        <w:ind w:left="1040" w:hanging="532"/>
        <w:spacing w:after="0"/>
        <w:tabs>
          <w:tab w:leader="none" w:pos="104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Clauses 28.1(b) and 28.1(c) above do not apply to any Security Interest or (as the case may be) Quasi-Security, listed below:</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12"/>
        </w:numPr>
        <w:rPr>
          <w:rFonts w:ascii="Arial" w:cs="Arial" w:eastAsia="Arial" w:hAnsi="Arial"/>
          <w:sz w:val="18"/>
          <w:szCs w:val="18"/>
          <w:color w:val="auto"/>
        </w:rPr>
      </w:pPr>
      <w:r>
        <w:rPr>
          <w:rFonts w:ascii="Arial" w:cs="Arial" w:eastAsia="Arial" w:hAnsi="Arial"/>
          <w:sz w:val="18"/>
          <w:szCs w:val="18"/>
          <w:color w:val="auto"/>
        </w:rPr>
        <w:t>in relation to a Mortgaged Ship, Permitted Maritime Liens; and</w:t>
      </w:r>
    </w:p>
    <w:p>
      <w:pPr>
        <w:spacing w:after="0" w:line="198" w:lineRule="exact"/>
        <w:rPr>
          <w:rFonts w:ascii="Arial" w:cs="Arial" w:eastAsia="Arial" w:hAnsi="Arial"/>
          <w:sz w:val="18"/>
          <w:szCs w:val="18"/>
          <w:color w:val="auto"/>
        </w:rPr>
      </w:pPr>
    </w:p>
    <w:p>
      <w:pPr>
        <w:ind w:left="1540" w:hanging="511"/>
        <w:spacing w:after="0" w:line="246" w:lineRule="auto"/>
        <w:tabs>
          <w:tab w:leader="none" w:pos="1593" w:val="left"/>
        </w:tabs>
        <w:numPr>
          <w:ilvl w:val="1"/>
          <w:numId w:val="712"/>
        </w:numPr>
        <w:rPr>
          <w:rFonts w:ascii="Arial" w:cs="Arial" w:eastAsia="Arial" w:hAnsi="Arial"/>
          <w:sz w:val="18"/>
          <w:szCs w:val="18"/>
          <w:color w:val="auto"/>
        </w:rPr>
      </w:pPr>
      <w:r>
        <w:rPr>
          <w:rFonts w:ascii="Arial" w:cs="Arial" w:eastAsia="Arial" w:hAnsi="Arial"/>
          <w:sz w:val="18"/>
          <w:szCs w:val="18"/>
          <w:color w:val="auto"/>
        </w:rPr>
        <w:t>those granted in connection with the Existing Indebtedness until the Existing Indebtedness is refinanced in full and in any event not later than the first Utilisation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9" w:name="page270"/>
    <w:bookmarkEnd w:id="269"/>
    <w:p>
      <w:pPr>
        <w:spacing w:after="0"/>
        <w:tabs>
          <w:tab w:leader="none" w:pos="50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7"/>
          <w:szCs w:val="17"/>
          <w:b w:val="1"/>
          <w:bCs w:val="1"/>
          <w:color w:val="auto"/>
        </w:rPr>
        <w:t>Financial Indebtedness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incur or permit to exist, any Financial Indebtedness owed by it to anyone else except:</w:t>
      </w:r>
    </w:p>
    <w:p>
      <w:pPr>
        <w:spacing w:after="0" w:line="198" w:lineRule="exact"/>
        <w:rPr>
          <w:sz w:val="20"/>
          <w:szCs w:val="20"/>
          <w:color w:val="auto"/>
        </w:rPr>
      </w:pPr>
    </w:p>
    <w:p>
      <w:pPr>
        <w:ind w:left="1020" w:hanging="512"/>
        <w:spacing w:after="0" w:line="246" w:lineRule="auto"/>
        <w:tabs>
          <w:tab w:leader="none" w:pos="1179" w:val="left"/>
        </w:tabs>
        <w:numPr>
          <w:ilvl w:val="0"/>
          <w:numId w:val="713"/>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 and Hedging Contracts for Hedging Transactions entered into pursuant to clause 29 (</w:t>
      </w:r>
      <w:r>
        <w:rPr>
          <w:rFonts w:ascii="Arial" w:cs="Arial" w:eastAsia="Arial" w:hAnsi="Arial"/>
          <w:sz w:val="18"/>
          <w:szCs w:val="18"/>
          <w:i w:val="1"/>
          <w:iCs w:val="1"/>
          <w:color w:val="auto"/>
        </w:rPr>
        <w:t>Hedging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516" w:val="left"/>
        </w:tabs>
        <w:numPr>
          <w:ilvl w:val="0"/>
          <w:numId w:val="713"/>
        </w:numPr>
        <w:rPr>
          <w:rFonts w:ascii="Arial" w:cs="Arial" w:eastAsia="Arial" w:hAnsi="Arial"/>
          <w:sz w:val="18"/>
          <w:szCs w:val="18"/>
          <w:color w:val="auto"/>
        </w:rPr>
      </w:pPr>
      <w:r>
        <w:rPr>
          <w:rFonts w:ascii="Arial" w:cs="Arial" w:eastAsia="Arial" w:hAnsi="Arial"/>
          <w:sz w:val="18"/>
          <w:szCs w:val="18"/>
          <w:color w:val="auto"/>
        </w:rPr>
        <w:t>Financial Indebtedness owed to another Obligor (provided that any such Financial Indebtedness owed by an Owner is unsecured and is subordinated to the Finance Documents on terms approved by the Majority Lenders and which (for the avoidance of doubt) will include provisions restricting any payments being made in relation to such Financial Indebtedness whilst an Event of Default is continuing);</w:t>
      </w:r>
    </w:p>
    <w:p>
      <w:pPr>
        <w:spacing w:after="0" w:line="173" w:lineRule="exact"/>
        <w:rPr>
          <w:rFonts w:ascii="Arial" w:cs="Arial" w:eastAsia="Arial" w:hAnsi="Arial"/>
          <w:sz w:val="18"/>
          <w:szCs w:val="18"/>
          <w:color w:val="auto"/>
        </w:rPr>
      </w:pPr>
    </w:p>
    <w:p>
      <w:pPr>
        <w:ind w:left="1040" w:hanging="532"/>
        <w:spacing w:after="0"/>
        <w:tabs>
          <w:tab w:leader="none" w:pos="104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Financial Indebtedness permitted under clause 28.3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Financial Indebtedness permitted under clause 28.4 (</w:t>
      </w:r>
      <w:r>
        <w:rPr>
          <w:rFonts w:ascii="Arial" w:cs="Arial" w:eastAsia="Arial" w:hAnsi="Arial"/>
          <w:sz w:val="18"/>
          <w:szCs w:val="18"/>
          <w:i w:val="1"/>
          <w:iCs w:val="1"/>
          <w:color w:val="auto"/>
        </w:rPr>
        <w:t>Loans and credit</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020" w:right="20" w:hanging="512"/>
        <w:spacing w:after="0" w:line="246" w:lineRule="auto"/>
        <w:tabs>
          <w:tab w:leader="none" w:pos="1057"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the Existing Indebtedness until such Existing Indebtedness is refinanced in full and in any event not later than the first Utilisation Date.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28.3</w:t>
        <w:tab/>
        <w:t>Guarantees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No Borrower shall give or permit to exist, any guarantee by it in respect of indebtedness of any person or allow any of its indebtedness to be guaranteed by anyone else except:</w:t>
      </w:r>
    </w:p>
    <w:p>
      <w:pPr>
        <w:spacing w:after="0" w:line="183" w:lineRule="exact"/>
        <w:rPr>
          <w:sz w:val="20"/>
          <w:szCs w:val="20"/>
          <w:color w:val="auto"/>
        </w:rPr>
      </w:pPr>
    </w:p>
    <w:p>
      <w:pPr>
        <w:ind w:left="1060" w:hanging="552"/>
        <w:spacing w:after="0"/>
        <w:tabs>
          <w:tab w:leader="none" w:pos="106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198"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714"/>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65" w:lineRule="exact"/>
        <w:rPr>
          <w:rFonts w:ascii="Arial" w:cs="Arial" w:eastAsia="Arial" w:hAnsi="Arial"/>
          <w:sz w:val="18"/>
          <w:szCs w:val="18"/>
          <w:color w:val="auto"/>
        </w:rPr>
      </w:pPr>
    </w:p>
    <w:p>
      <w:pPr>
        <w:ind w:left="1040" w:hanging="532"/>
        <w:spacing w:after="0"/>
        <w:tabs>
          <w:tab w:leader="none" w:pos="104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7"/>
          <w:szCs w:val="17"/>
          <w:b w:val="1"/>
          <w:bCs w:val="1"/>
          <w:color w:val="auto"/>
        </w:rPr>
        <w:t>Loans and credit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make, grant or permit to exist any loans or any credit by it to anyone else other than:</w:t>
      </w:r>
    </w:p>
    <w:p>
      <w:pPr>
        <w:spacing w:after="0" w:line="180" w:lineRule="exact"/>
        <w:rPr>
          <w:sz w:val="20"/>
          <w:szCs w:val="20"/>
          <w:color w:val="auto"/>
        </w:rPr>
      </w:pPr>
    </w:p>
    <w:p>
      <w:pPr>
        <w:ind w:left="1060" w:hanging="552"/>
        <w:spacing w:after="0"/>
        <w:tabs>
          <w:tab w:leader="none" w:pos="106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7"/>
          <w:szCs w:val="17"/>
          <w:b w:val="1"/>
          <w:bCs w:val="1"/>
          <w:color w:val="auto"/>
        </w:rPr>
        <w:t>Bank accounts, operating leases and other financial transactions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w:t>
      </w:r>
    </w:p>
    <w:p>
      <w:pPr>
        <w:spacing w:after="0" w:line="198" w:lineRule="exact"/>
        <w:rPr>
          <w:sz w:val="20"/>
          <w:szCs w:val="20"/>
          <w:color w:val="auto"/>
        </w:rPr>
      </w:pPr>
    </w:p>
    <w:p>
      <w:pPr>
        <w:jc w:val="both"/>
        <w:ind w:left="1020" w:hanging="512"/>
        <w:spacing w:after="0"/>
        <w:tabs>
          <w:tab w:leader="none" w:pos="1246" w:val="left"/>
        </w:tabs>
        <w:numPr>
          <w:ilvl w:val="0"/>
          <w:numId w:val="716"/>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(or any accounts opened prior to this Agreement in connection with the Existing Indebtedness and until their gradual closure following the first Utilisation) and the deposit of money, operation of current accounts and the conduct of electronic banking operations through the Accounts;</w:t>
      </w:r>
    </w:p>
    <w:p>
      <w:pPr>
        <w:spacing w:after="0" w:line="189" w:lineRule="exact"/>
        <w:rPr>
          <w:rFonts w:ascii="Arial" w:cs="Arial" w:eastAsia="Arial" w:hAnsi="Arial"/>
          <w:sz w:val="18"/>
          <w:szCs w:val="18"/>
          <w:color w:val="auto"/>
        </w:rPr>
      </w:pPr>
    </w:p>
    <w:p>
      <w:pPr>
        <w:ind w:left="1040" w:hanging="532"/>
        <w:spacing w:after="0"/>
        <w:tabs>
          <w:tab w:leader="none" w:pos="104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0" w:name="page271"/>
    <w:bookmarkEnd w:id="270"/>
    <w:p>
      <w:pPr>
        <w:ind w:left="1020" w:hanging="512"/>
        <w:spacing w:after="0" w:line="246" w:lineRule="auto"/>
        <w:tabs>
          <w:tab w:leader="none" w:pos="1314" w:val="left"/>
        </w:tabs>
        <w:numPr>
          <w:ilvl w:val="0"/>
          <w:numId w:val="717"/>
        </w:numPr>
        <w:rPr>
          <w:rFonts w:ascii="Arial" w:cs="Arial" w:eastAsia="Arial" w:hAnsi="Arial"/>
          <w:sz w:val="18"/>
          <w:szCs w:val="18"/>
          <w:color w:val="auto"/>
        </w:rPr>
      </w:pPr>
      <w:r>
        <w:rPr>
          <w:rFonts w:ascii="Arial" w:cs="Arial" w:eastAsia="Arial" w:hAnsi="Arial"/>
          <w:sz w:val="18"/>
          <w:szCs w:val="18"/>
          <w:color w:val="auto"/>
        </w:rPr>
        <w:t>be party to any banking or financial transaction, whether on or off balance sheet, that is not expressly permitted under this clause 28.</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28.6</w:t>
        <w:tab/>
        <w:t>Disposals</w:t>
      </w:r>
    </w:p>
    <w:p>
      <w:pPr>
        <w:spacing w:after="0" w:line="220"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No Borrower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89" w:lineRule="exact"/>
        <w:rPr>
          <w:sz w:val="20"/>
          <w:szCs w:val="20"/>
          <w:color w:val="auto"/>
        </w:rPr>
      </w:pPr>
    </w:p>
    <w:p>
      <w:pPr>
        <w:ind w:left="1060" w:hanging="552"/>
        <w:spacing w:after="0"/>
        <w:tabs>
          <w:tab w:leader="none" w:pos="106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198"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718"/>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165" w:lineRule="exact"/>
        <w:rPr>
          <w:rFonts w:ascii="Arial" w:cs="Arial" w:eastAsia="Arial" w:hAnsi="Arial"/>
          <w:sz w:val="18"/>
          <w:szCs w:val="18"/>
          <w:color w:val="auto"/>
        </w:rPr>
      </w:pPr>
    </w:p>
    <w:p>
      <w:pPr>
        <w:ind w:left="1020" w:hanging="512"/>
        <w:spacing w:after="0" w:line="267" w:lineRule="auto"/>
        <w:tabs>
          <w:tab w:leader="none" w:pos="107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disposals permitted by clauses 28.1 (</w:t>
      </w:r>
      <w:r>
        <w:rPr>
          <w:rFonts w:ascii="Arial" w:cs="Arial" w:eastAsia="Arial" w:hAnsi="Arial"/>
          <w:sz w:val="18"/>
          <w:szCs w:val="18"/>
          <w:i w:val="1"/>
          <w:iCs w:val="1"/>
          <w:color w:val="auto"/>
        </w:rPr>
        <w:t>General negative pledge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22.2 (</w:t>
      </w:r>
      <w:r>
        <w:rPr>
          <w:rFonts w:ascii="Arial" w:cs="Arial" w:eastAsia="Arial" w:hAnsi="Arial"/>
          <w:sz w:val="18"/>
          <w:szCs w:val="18"/>
          <w:i w:val="1"/>
          <w:iCs w:val="1"/>
          <w:color w:val="auto"/>
        </w:rPr>
        <w:t>Sale or other disposal of</w:t>
      </w:r>
      <w:r>
        <w:rPr>
          <w:rFonts w:ascii="Arial" w:cs="Arial" w:eastAsia="Arial" w:hAnsi="Arial"/>
          <w:sz w:val="18"/>
          <w:szCs w:val="18"/>
          <w:color w:val="auto"/>
        </w:rPr>
        <w:t xml:space="preserve"> </w:t>
      </w:r>
      <w:r>
        <w:rPr>
          <w:rFonts w:ascii="Arial" w:cs="Arial" w:eastAsia="Arial" w:hAnsi="Arial"/>
          <w:sz w:val="18"/>
          <w:szCs w:val="18"/>
          <w:i w:val="1"/>
          <w:iCs w:val="1"/>
          <w:color w:val="auto"/>
        </w:rPr>
        <w:t>a Ship; refinancing</w:t>
      </w:r>
      <w:r>
        <w:rPr>
          <w:rFonts w:ascii="Arial" w:cs="Arial" w:eastAsia="Arial" w:hAnsi="Arial"/>
          <w:sz w:val="18"/>
          <w:szCs w:val="18"/>
          <w:color w:val="auto"/>
        </w:rPr>
        <w:t>); and</w:t>
      </w:r>
    </w:p>
    <w:p>
      <w:pPr>
        <w:spacing w:after="0" w:line="164" w:lineRule="exact"/>
        <w:rPr>
          <w:rFonts w:ascii="Arial" w:cs="Arial" w:eastAsia="Arial" w:hAnsi="Arial"/>
          <w:sz w:val="18"/>
          <w:szCs w:val="18"/>
          <w:color w:val="auto"/>
        </w:rPr>
      </w:pPr>
    </w:p>
    <w:p>
      <w:pPr>
        <w:ind w:left="1040" w:hanging="532"/>
        <w:spacing w:after="0"/>
        <w:tabs>
          <w:tab w:leader="none" w:pos="104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7"/>
          <w:szCs w:val="17"/>
          <w:b w:val="1"/>
          <w:bCs w:val="1"/>
          <w:color w:val="auto"/>
        </w:rPr>
        <w:t>Contracts and arrangements with Affiliates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Borrower shall be party to any arrangement or contract with any of its Affiliates (other than in respect of intra-Group loans, to the extent expressly permitted by the other provisions of this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unless such arrangement or contract is on an arm’s length basis.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28.8</w:t>
        <w:tab/>
        <w:t>Subsidiaries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establish or acquire a company or other entity.</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7"/>
          <w:szCs w:val="17"/>
          <w:b w:val="1"/>
          <w:bCs w:val="1"/>
          <w:color w:val="auto"/>
        </w:rPr>
        <w:t>Acquisitions and investments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No Borrower shall acquire any person, business, assets or liabilities or make any investment in any person or business or enter into any joint-venture arrangement except:</w:t>
      </w:r>
    </w:p>
    <w:p>
      <w:pPr>
        <w:spacing w:after="0" w:line="183" w:lineRule="exact"/>
        <w:rPr>
          <w:sz w:val="20"/>
          <w:szCs w:val="20"/>
          <w:color w:val="auto"/>
        </w:rPr>
      </w:pPr>
    </w:p>
    <w:p>
      <w:pPr>
        <w:ind w:left="1060" w:hanging="552"/>
        <w:spacing w:after="0"/>
        <w:tabs>
          <w:tab w:leader="none" w:pos="106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180" w:lineRule="exact"/>
        <w:rPr>
          <w:rFonts w:ascii="Arial" w:cs="Arial" w:eastAsia="Arial" w:hAnsi="Arial"/>
          <w:sz w:val="18"/>
          <w:szCs w:val="18"/>
          <w:color w:val="auto"/>
        </w:rPr>
      </w:pPr>
    </w:p>
    <w:p>
      <w:pPr>
        <w:ind w:left="1060" w:hanging="552"/>
        <w:spacing w:after="0"/>
        <w:tabs>
          <w:tab w:leader="none" w:pos="106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pursuant to any Finance Documents or any Charter Documents to which it is party</w:t>
      </w:r>
      <w:r>
        <w:rPr>
          <w:rFonts w:ascii="Arial" w:cs="Arial" w:eastAsia="Arial" w:hAnsi="Arial"/>
          <w:sz w:val="18"/>
          <w:szCs w:val="18"/>
          <w:i w:val="1"/>
          <w:i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28.10 Reduction of capital</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Borrower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28.11 Distributions and other payments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1" w:name="page272"/>
    <w:bookmarkEnd w:id="271"/>
    <w:p>
      <w:pPr>
        <w:ind w:left="520"/>
        <w:spacing w:after="0"/>
        <w:rPr>
          <w:sz w:val="20"/>
          <w:szCs w:val="20"/>
          <w:color w:val="auto"/>
        </w:rPr>
      </w:pPr>
      <w:r>
        <w:rPr>
          <w:rFonts w:ascii="Arial" w:cs="Arial" w:eastAsia="Arial" w:hAnsi="Arial"/>
          <w:sz w:val="18"/>
          <w:szCs w:val="18"/>
          <w:color w:val="auto"/>
        </w:rPr>
        <w:t>None of the Obligors shall:</w:t>
      </w:r>
    </w:p>
    <w:p>
      <w:pPr>
        <w:spacing w:after="0" w:line="198" w:lineRule="exact"/>
        <w:rPr>
          <w:sz w:val="20"/>
          <w:szCs w:val="20"/>
          <w:color w:val="auto"/>
        </w:rPr>
      </w:pPr>
    </w:p>
    <w:p>
      <w:pPr>
        <w:jc w:val="both"/>
        <w:ind w:left="1020" w:hanging="512"/>
        <w:spacing w:after="0"/>
        <w:tabs>
          <w:tab w:leader="none" w:pos="1206" w:val="left"/>
        </w:tabs>
        <w:numPr>
          <w:ilvl w:val="0"/>
          <w:numId w:val="720"/>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422" w:val="left"/>
        </w:tabs>
        <w:numPr>
          <w:ilvl w:val="0"/>
          <w:numId w:val="720"/>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where the following conditions are met:</w:t>
      </w:r>
    </w:p>
    <w:p>
      <w:pPr>
        <w:spacing w:after="0" w:line="198" w:lineRule="exact"/>
        <w:rPr>
          <w:sz w:val="20"/>
          <w:szCs w:val="20"/>
          <w:color w:val="auto"/>
        </w:rPr>
      </w:pPr>
    </w:p>
    <w:p>
      <w:pPr>
        <w:ind w:left="1540" w:hanging="511"/>
        <w:spacing w:after="0" w:line="246" w:lineRule="auto"/>
        <w:tabs>
          <w:tab w:leader="none" w:pos="181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in the case of each Obligor, if no Event of Default is continuing at the time of the declaration or payment of any such dividend, distribution or other payment, nor would result from the declaration or payment of the same; and</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58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additionally, but in the case of (A) each of the Parent and GasLog Holdings and (B) each of GasLog and GasLog Carriers only for as long as they are an Active Guarantor and only if, at the time when any such dividend, distribution or other payment is declared and made and following declaration and payment of the same, they would be in compliance with clause 20.5(b) (</w:t>
      </w:r>
      <w:r>
        <w:rPr>
          <w:rFonts w:ascii="Arial" w:cs="Arial" w:eastAsia="Arial" w:hAnsi="Arial"/>
          <w:sz w:val="18"/>
          <w:szCs w:val="18"/>
          <w:i w:val="1"/>
          <w:iCs w:val="1"/>
          <w:color w:val="auto"/>
        </w:rPr>
        <w:t>Parent Group financial condition</w:t>
      </w:r>
      <w:r>
        <w:rPr>
          <w:rFonts w:ascii="Arial" w:cs="Arial" w:eastAsia="Arial" w:hAnsi="Arial"/>
          <w:sz w:val="18"/>
          <w:szCs w:val="18"/>
          <w:color w:val="auto"/>
        </w:rPr>
        <w:t>) or, as the case may be, clause 20.2(e)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29 Hedging</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7"/>
          <w:szCs w:val="17"/>
          <w:b w:val="1"/>
          <w:bCs w:val="1"/>
          <w:color w:val="auto"/>
        </w:rPr>
        <w:t>Undertaking to comply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of the Borrowers and the Guarantors undertakes that this clause 29 will be complied with throughout the Facility Period.</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29.2</w:t>
        <w:tab/>
        <w:t>Hedging</w:t>
      </w:r>
    </w:p>
    <w:p>
      <w:pPr>
        <w:spacing w:after="0" w:line="220" w:lineRule="exact"/>
        <w:rPr>
          <w:sz w:val="20"/>
          <w:szCs w:val="20"/>
          <w:color w:val="auto"/>
        </w:rPr>
      </w:pPr>
    </w:p>
    <w:p>
      <w:pPr>
        <w:ind w:left="1020" w:hanging="512"/>
        <w:spacing w:after="0" w:line="246" w:lineRule="auto"/>
        <w:tabs>
          <w:tab w:leader="none" w:pos="1044" w:val="left"/>
        </w:tabs>
        <w:numPr>
          <w:ilvl w:val="0"/>
          <w:numId w:val="722"/>
        </w:numPr>
        <w:rPr>
          <w:rFonts w:ascii="Arial" w:cs="Arial" w:eastAsia="Arial" w:hAnsi="Arial"/>
          <w:sz w:val="18"/>
          <w:szCs w:val="18"/>
          <w:color w:val="auto"/>
        </w:rPr>
      </w:pPr>
      <w:r>
        <w:rPr>
          <w:rFonts w:ascii="Arial" w:cs="Arial" w:eastAsia="Arial" w:hAnsi="Arial"/>
          <w:sz w:val="18"/>
          <w:szCs w:val="18"/>
          <w:color w:val="auto"/>
        </w:rPr>
        <w:t>If, at any time during the Facility Period, the Borrowers wish to enter into any Treasury Transaction so as to hedge all or any part of their exposure under this Agreement to interest rate fluctuations, they shall advise the Agent in writing.</w:t>
      </w:r>
    </w:p>
    <w:p>
      <w:pPr>
        <w:spacing w:after="0" w:line="183" w:lineRule="exact"/>
        <w:rPr>
          <w:rFonts w:ascii="Arial" w:cs="Arial" w:eastAsia="Arial" w:hAnsi="Arial"/>
          <w:sz w:val="18"/>
          <w:szCs w:val="18"/>
          <w:color w:val="auto"/>
        </w:rPr>
      </w:pPr>
    </w:p>
    <w:p>
      <w:pPr>
        <w:jc w:val="both"/>
        <w:ind w:left="1020" w:hanging="512"/>
        <w:spacing w:after="0"/>
        <w:tabs>
          <w:tab w:leader="none" w:pos="1057" w:val="left"/>
        </w:tabs>
        <w:numPr>
          <w:ilvl w:val="0"/>
          <w:numId w:val="722"/>
        </w:numPr>
        <w:rPr>
          <w:rFonts w:ascii="Arial" w:cs="Arial" w:eastAsia="Arial" w:hAnsi="Arial"/>
          <w:sz w:val="18"/>
          <w:szCs w:val="18"/>
          <w:color w:val="auto"/>
        </w:rPr>
      </w:pPr>
      <w:r>
        <w:rPr>
          <w:rFonts w:ascii="Arial" w:cs="Arial" w:eastAsia="Arial" w:hAnsi="Arial"/>
          <w:sz w:val="18"/>
          <w:szCs w:val="18"/>
          <w:color w:val="auto"/>
        </w:rPr>
        <w:t>Any such Treasury Transaction shall be concluded with a Hedging Provider on the terms of the Hedging Master Agreement with that Hedging Provider but (except with the approval of the Majority Lenders) no such Treasury Transaction shall be concluded unless:</w:t>
      </w:r>
    </w:p>
    <w:p>
      <w:pPr>
        <w:spacing w:after="0" w:line="189" w:lineRule="exact"/>
        <w:rPr>
          <w:rFonts w:ascii="Arial" w:cs="Arial" w:eastAsia="Arial" w:hAnsi="Arial"/>
          <w:sz w:val="18"/>
          <w:szCs w:val="18"/>
          <w:color w:val="auto"/>
        </w:rPr>
      </w:pPr>
    </w:p>
    <w:p>
      <w:pPr>
        <w:ind w:left="1540" w:hanging="511"/>
        <w:spacing w:after="0" w:line="246" w:lineRule="auto"/>
        <w:tabs>
          <w:tab w:leader="none" w:pos="1716" w:val="left"/>
        </w:tabs>
        <w:numPr>
          <w:ilvl w:val="1"/>
          <w:numId w:val="722"/>
        </w:numPr>
        <w:rPr>
          <w:rFonts w:ascii="Arial" w:cs="Arial" w:eastAsia="Arial" w:hAnsi="Arial"/>
          <w:sz w:val="18"/>
          <w:szCs w:val="18"/>
          <w:color w:val="auto"/>
        </w:rPr>
      </w:pPr>
      <w:r>
        <w:rPr>
          <w:rFonts w:ascii="Arial" w:cs="Arial" w:eastAsia="Arial" w:hAnsi="Arial"/>
          <w:sz w:val="18"/>
          <w:szCs w:val="18"/>
          <w:color w:val="auto"/>
        </w:rPr>
        <w:t>its purpose is to hedge the Borrowers’ interest rate risk in relation to an Advance for a period expiring no later than the Final Repayment Date for the relevant Advance;</w:t>
      </w:r>
    </w:p>
    <w:p>
      <w:pPr>
        <w:spacing w:after="0" w:line="183" w:lineRule="exact"/>
        <w:rPr>
          <w:rFonts w:ascii="Arial" w:cs="Arial" w:eastAsia="Arial" w:hAnsi="Arial"/>
          <w:sz w:val="18"/>
          <w:szCs w:val="18"/>
          <w:color w:val="auto"/>
        </w:rPr>
      </w:pPr>
    </w:p>
    <w:p>
      <w:pPr>
        <w:jc w:val="both"/>
        <w:ind w:left="1540" w:hanging="511"/>
        <w:spacing w:after="0"/>
        <w:tabs>
          <w:tab w:leader="none" w:pos="1945" w:val="left"/>
        </w:tabs>
        <w:numPr>
          <w:ilvl w:val="1"/>
          <w:numId w:val="722"/>
        </w:numPr>
        <w:rPr>
          <w:rFonts w:ascii="Arial" w:cs="Arial" w:eastAsia="Arial" w:hAnsi="Arial"/>
          <w:sz w:val="18"/>
          <w:szCs w:val="18"/>
          <w:color w:val="auto"/>
        </w:rPr>
      </w:pPr>
      <w:r>
        <w:rPr>
          <w:rFonts w:ascii="Arial" w:cs="Arial" w:eastAsia="Arial" w:hAnsi="Arial"/>
          <w:sz w:val="18"/>
          <w:szCs w:val="18"/>
          <w:color w:val="auto"/>
        </w:rPr>
        <w:t>its notional principal amount, when aggregated with the notional principal amount of any other continuing Hedging Contracts, does not and will not exceed the relevant Advance as then scheduled to be repaid pursuant to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722"/>
        </w:numPr>
        <w:rPr>
          <w:rFonts w:ascii="Arial" w:cs="Arial" w:eastAsia="Arial" w:hAnsi="Arial"/>
          <w:sz w:val="18"/>
          <w:szCs w:val="18"/>
          <w:color w:val="auto"/>
        </w:rPr>
      </w:pPr>
      <w:r>
        <w:rPr>
          <w:rFonts w:ascii="Arial" w:cs="Arial" w:eastAsia="Arial" w:hAnsi="Arial"/>
          <w:sz w:val="18"/>
          <w:szCs w:val="18"/>
          <w:color w:val="auto"/>
        </w:rPr>
        <w:t>it is approved.</w:t>
      </w:r>
    </w:p>
    <w:p>
      <w:pPr>
        <w:spacing w:after="0" w:line="198" w:lineRule="exact"/>
        <w:rPr>
          <w:rFonts w:ascii="Arial" w:cs="Arial" w:eastAsia="Arial" w:hAnsi="Arial"/>
          <w:sz w:val="18"/>
          <w:szCs w:val="18"/>
          <w:color w:val="auto"/>
        </w:rPr>
      </w:pPr>
    </w:p>
    <w:p>
      <w:pPr>
        <w:ind w:left="1020" w:hanging="512"/>
        <w:spacing w:after="0" w:line="246" w:lineRule="auto"/>
        <w:tabs>
          <w:tab w:leader="none" w:pos="1141" w:val="left"/>
        </w:tabs>
        <w:numPr>
          <w:ilvl w:val="0"/>
          <w:numId w:val="722"/>
        </w:numPr>
        <w:rPr>
          <w:rFonts w:ascii="Arial" w:cs="Arial" w:eastAsia="Arial" w:hAnsi="Arial"/>
          <w:sz w:val="18"/>
          <w:szCs w:val="18"/>
          <w:color w:val="auto"/>
        </w:rPr>
      </w:pPr>
      <w:r>
        <w:rPr>
          <w:rFonts w:ascii="Arial" w:cs="Arial" w:eastAsia="Arial" w:hAnsi="Arial"/>
          <w:sz w:val="18"/>
          <w:szCs w:val="18"/>
          <w:color w:val="auto"/>
        </w:rPr>
        <w:t>If and when any such Treasury Transaction has been concluded, it shall constitute a Hedging Contract for the purposes of the Finance Documents.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b w:val="1"/>
          <w:bCs w:val="1"/>
          <w:color w:val="auto"/>
        </w:rPr>
        <w:t>Unwinding of Hedging Contracts</w:t>
      </w:r>
    </w:p>
    <w:p>
      <w:pPr>
        <w:spacing w:after="0" w:line="220" w:lineRule="exact"/>
        <w:rPr>
          <w:sz w:val="20"/>
          <w:szCs w:val="20"/>
          <w:color w:val="auto"/>
        </w:rPr>
      </w:pPr>
    </w:p>
    <w:p>
      <w:pPr>
        <w:jc w:val="both"/>
        <w:ind w:left="1020" w:hanging="512"/>
        <w:spacing w:after="0"/>
        <w:tabs>
          <w:tab w:leader="none" w:pos="1084" w:val="left"/>
        </w:tabs>
        <w:numPr>
          <w:ilvl w:val="0"/>
          <w:numId w:val="723"/>
        </w:numPr>
        <w:rPr>
          <w:rFonts w:ascii="Arial" w:cs="Arial" w:eastAsia="Arial" w:hAnsi="Arial"/>
          <w:sz w:val="18"/>
          <w:szCs w:val="18"/>
          <w:color w:val="auto"/>
        </w:rPr>
      </w:pPr>
      <w:r>
        <w:rPr>
          <w:rFonts w:ascii="Arial" w:cs="Arial" w:eastAsia="Arial" w:hAnsi="Arial"/>
          <w:sz w:val="18"/>
          <w:szCs w:val="18"/>
          <w:color w:val="auto"/>
        </w:rPr>
        <w:t>If, at any time, and whether as a result of any prepayment (in whole or in part) of an Advance or any cancellation (in whole or in part) of any Ship Commitment or otherwise, the aggregate notional principal amount under all Hedging Transactions in respect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2" w:name="page273"/>
    <w:bookmarkEnd w:id="272"/>
    <w:p>
      <w:pPr>
        <w:jc w:val="both"/>
        <w:ind w:left="1040"/>
        <w:spacing w:after="0" w:line="235" w:lineRule="auto"/>
        <w:rPr>
          <w:sz w:val="20"/>
          <w:szCs w:val="20"/>
          <w:color w:val="auto"/>
        </w:rPr>
      </w:pPr>
      <w:r>
        <w:rPr>
          <w:rFonts w:ascii="Arial" w:cs="Arial" w:eastAsia="Arial" w:hAnsi="Arial"/>
          <w:sz w:val="18"/>
          <w:szCs w:val="18"/>
          <w:color w:val="auto"/>
        </w:rPr>
        <w:t xml:space="preserve">relevant Advance entered into by the Borrowers exceeds or will exceed the amount of the relevant Advance outstanding at that time after such prepayment or cancellation, then (unless otherwise approved by the Majority Lenders) the Borrowers shall close out and terminate sufficient Hedging Transactions as are necessary to ensure that the aggregate notional principal amount under the remaining continuing Hedging Transactions in relation to the relevant Advance equals, and will in the future be equal to, such Advance at that time and as scheduled to be repaid from time to time thereafter pursuant to clause 6.2 </w:t>
      </w:r>
      <w:r>
        <w:rPr>
          <w:rFonts w:ascii="Arial" w:cs="Arial" w:eastAsia="Arial" w:hAnsi="Arial"/>
          <w:sz w:val="18"/>
          <w:szCs w:val="18"/>
          <w:i w:val="1"/>
          <w:iCs w:val="1"/>
          <w:color w:val="auto"/>
        </w:rPr>
        <w:t>(Scheduled</w:t>
      </w:r>
      <w:r>
        <w:rPr>
          <w:rFonts w:ascii="Arial" w:cs="Arial" w:eastAsia="Arial" w:hAnsi="Arial"/>
          <w:sz w:val="18"/>
          <w:szCs w:val="18"/>
          <w:color w:val="auto"/>
        </w:rPr>
        <w:t xml:space="preserve"> </w:t>
      </w:r>
      <w:r>
        <w:rPr>
          <w:rFonts w:ascii="Arial" w:cs="Arial" w:eastAsia="Arial" w:hAnsi="Arial"/>
          <w:sz w:val="18"/>
          <w:szCs w:val="18"/>
          <w:i w:val="1"/>
          <w:iCs w:val="1"/>
          <w:color w:val="auto"/>
        </w:rPr>
        <w:t>repayment of Facility)</w:t>
      </w:r>
      <w:r>
        <w:rPr>
          <w:rFonts w:ascii="Arial" w:cs="Arial" w:eastAsia="Arial" w:hAnsi="Arial"/>
          <w:sz w:val="18"/>
          <w:szCs w:val="18"/>
          <w:color w:val="auto"/>
        </w:rPr>
        <w:t>. For the avoidance of doubt, in respect of a termination of the Hedging Transactions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clause, the Early Termination Date (as defined in the Hedging Master Agreement) shall be the date of the prepayment (in whole or in part) of an Advance or cancellation of (in whole or in part) of any Ship Commitment or otherwise and payment of the Close-Out Amount (as defined in the Hedging Master Agreement) shall be made pursuant to the provisions of section 6(d)(ii) of the Hedging Master Agreement provided that such payment shall occur no later than ten (10) Business Days from (but excluding) the Early Termination Date. The Borrowers shall ensure that the relevant Hedging Provider is given three (3) Business Days’ notice of the date of any prepayment or cancellation of an Advance, however, any failure by the Borrowers to deliver such notice shall not prevent the Borrowers from closing out and terminating the relevant Hedging Transaction in accordance with this clause 29.3(a).</w:t>
      </w:r>
    </w:p>
    <w:p>
      <w:pPr>
        <w:spacing w:after="0" w:line="200" w:lineRule="exact"/>
        <w:rPr>
          <w:sz w:val="20"/>
          <w:szCs w:val="20"/>
          <w:color w:val="auto"/>
        </w:rPr>
      </w:pPr>
    </w:p>
    <w:p>
      <w:pPr>
        <w:jc w:val="both"/>
        <w:ind w:left="1020" w:hanging="512"/>
        <w:spacing w:after="0"/>
        <w:tabs>
          <w:tab w:leader="none" w:pos="1098" w:val="left"/>
        </w:tabs>
        <w:numPr>
          <w:ilvl w:val="0"/>
          <w:numId w:val="724"/>
        </w:numPr>
        <w:rPr>
          <w:rFonts w:ascii="Arial" w:cs="Arial" w:eastAsia="Arial" w:hAnsi="Arial"/>
          <w:sz w:val="18"/>
          <w:szCs w:val="18"/>
          <w:color w:val="auto"/>
        </w:rPr>
      </w:pPr>
      <w:r>
        <w:rPr>
          <w:rFonts w:ascii="Arial" w:cs="Arial" w:eastAsia="Arial" w:hAnsi="Arial"/>
          <w:sz w:val="18"/>
          <w:szCs w:val="18"/>
          <w:color w:val="auto"/>
        </w:rPr>
        <w:t xml:space="preserve">If at any time, a Hedging Provider (or its Affiliate) ceases to be a Lender in circumstances where an Affiliate or Related Fund of such Hedging Provider does not remain a Lender </w:t>
      </w:r>
      <w:r>
        <w:rPr>
          <w:rFonts w:ascii="Arial" w:cs="Arial" w:eastAsia="Arial" w:hAnsi="Arial"/>
          <w:sz w:val="18"/>
          <w:szCs w:val="18"/>
          <w:color w:val="1F497D"/>
        </w:rPr>
        <w:t>(</w:t>
      </w:r>
      <w:r>
        <w:rPr>
          <w:rFonts w:ascii="Arial" w:cs="Arial" w:eastAsia="Arial" w:hAnsi="Arial"/>
          <w:sz w:val="18"/>
          <w:szCs w:val="18"/>
          <w:color w:val="auto"/>
        </w:rPr>
        <w:t xml:space="preserve">such date being an </w:t>
      </w:r>
      <w:r>
        <w:rPr>
          <w:rFonts w:ascii="Arial" w:cs="Arial" w:eastAsia="Arial" w:hAnsi="Arial"/>
          <w:sz w:val="18"/>
          <w:szCs w:val="18"/>
          <w:b w:val="1"/>
          <w:bCs w:val="1"/>
          <w:color w:val="auto"/>
        </w:rPr>
        <w:t>Exit Date</w:t>
      </w:r>
      <w:r>
        <w:rPr>
          <w:rFonts w:ascii="Arial" w:cs="Arial" w:eastAsia="Arial" w:hAnsi="Arial"/>
          <w:sz w:val="18"/>
          <w:szCs w:val="18"/>
          <w:color w:val="auto"/>
        </w:rPr>
        <w:t>) and notwithstanding any provision of any Hedging Contracts to which that Hedging Provider may be a party to the contrary:</w:t>
      </w:r>
    </w:p>
    <w:p>
      <w:pPr>
        <w:spacing w:after="0" w:line="189" w:lineRule="exact"/>
        <w:rPr>
          <w:rFonts w:ascii="Arial" w:cs="Arial" w:eastAsia="Arial" w:hAnsi="Arial"/>
          <w:sz w:val="18"/>
          <w:szCs w:val="18"/>
          <w:color w:val="auto"/>
        </w:rPr>
      </w:pPr>
    </w:p>
    <w:p>
      <w:pPr>
        <w:ind w:left="1560" w:hanging="531"/>
        <w:spacing w:after="0"/>
        <w:tabs>
          <w:tab w:leader="none" w:pos="1560" w:val="left"/>
        </w:tabs>
        <w:numPr>
          <w:ilvl w:val="1"/>
          <w:numId w:val="724"/>
        </w:numPr>
        <w:rPr>
          <w:rFonts w:ascii="Arial" w:cs="Arial" w:eastAsia="Arial" w:hAnsi="Arial"/>
          <w:sz w:val="18"/>
          <w:szCs w:val="18"/>
          <w:color w:val="auto"/>
        </w:rPr>
      </w:pPr>
      <w:r>
        <w:rPr>
          <w:rFonts w:ascii="Arial" w:cs="Arial" w:eastAsia="Arial" w:hAnsi="Arial"/>
          <w:sz w:val="18"/>
          <w:szCs w:val="18"/>
          <w:color w:val="auto"/>
        </w:rPr>
        <w:t>unless an Event of Default is continuing, the Borrowers shall either:</w:t>
      </w:r>
    </w:p>
    <w:p>
      <w:pPr>
        <w:spacing w:after="0" w:line="198" w:lineRule="exact"/>
        <w:rPr>
          <w:rFonts w:ascii="Arial" w:cs="Arial" w:eastAsia="Arial" w:hAnsi="Arial"/>
          <w:sz w:val="18"/>
          <w:szCs w:val="18"/>
          <w:color w:val="auto"/>
        </w:rPr>
      </w:pPr>
    </w:p>
    <w:p>
      <w:pPr>
        <w:ind w:left="2040" w:right="20" w:hanging="501"/>
        <w:spacing w:after="0" w:line="246" w:lineRule="auto"/>
        <w:tabs>
          <w:tab w:leader="none" w:pos="2445" w:val="left"/>
        </w:tabs>
        <w:numPr>
          <w:ilvl w:val="2"/>
          <w:numId w:val="724"/>
        </w:numPr>
        <w:rPr>
          <w:rFonts w:ascii="Arial" w:cs="Arial" w:eastAsia="Arial" w:hAnsi="Arial"/>
          <w:sz w:val="18"/>
          <w:szCs w:val="18"/>
          <w:color w:val="auto"/>
        </w:rPr>
      </w:pPr>
      <w:r>
        <w:rPr>
          <w:rFonts w:ascii="Arial" w:cs="Arial" w:eastAsia="Arial" w:hAnsi="Arial"/>
          <w:sz w:val="18"/>
          <w:szCs w:val="18"/>
          <w:color w:val="auto"/>
        </w:rPr>
        <w:t>within ten (10) Business Days of such Exit Date, close out and terminate any and all Hedging Transactions between them and that Hedging Provider; or</w:t>
      </w:r>
    </w:p>
    <w:p>
      <w:pPr>
        <w:spacing w:after="0" w:line="183" w:lineRule="exact"/>
        <w:rPr>
          <w:rFonts w:ascii="Arial" w:cs="Arial" w:eastAsia="Arial" w:hAnsi="Arial"/>
          <w:sz w:val="18"/>
          <w:szCs w:val="18"/>
          <w:color w:val="auto"/>
        </w:rPr>
      </w:pPr>
    </w:p>
    <w:p>
      <w:pPr>
        <w:ind w:left="2040" w:right="20" w:hanging="501"/>
        <w:spacing w:after="0" w:line="246" w:lineRule="auto"/>
        <w:tabs>
          <w:tab w:leader="none" w:pos="2242" w:val="left"/>
        </w:tabs>
        <w:numPr>
          <w:ilvl w:val="2"/>
          <w:numId w:val="724"/>
        </w:numPr>
        <w:rPr>
          <w:rFonts w:ascii="Arial" w:cs="Arial" w:eastAsia="Arial" w:hAnsi="Arial"/>
          <w:sz w:val="18"/>
          <w:szCs w:val="18"/>
          <w:color w:val="auto"/>
        </w:rPr>
      </w:pPr>
      <w:r>
        <w:rPr>
          <w:rFonts w:ascii="Arial" w:cs="Arial" w:eastAsia="Arial" w:hAnsi="Arial"/>
          <w:sz w:val="18"/>
          <w:szCs w:val="18"/>
          <w:color w:val="auto"/>
        </w:rPr>
        <w:t>within thirty (30) days of such Exit Date, procure that one or more other Lenders agree to novate such Hedging Transactions; or</w:t>
      </w:r>
    </w:p>
    <w:p>
      <w:pPr>
        <w:spacing w:after="0" w:line="183" w:lineRule="exact"/>
        <w:rPr>
          <w:sz w:val="20"/>
          <w:szCs w:val="20"/>
          <w:color w:val="auto"/>
        </w:rPr>
      </w:pPr>
    </w:p>
    <w:p>
      <w:pPr>
        <w:jc w:val="both"/>
        <w:ind w:left="1540"/>
        <w:spacing w:after="0"/>
        <w:rPr>
          <w:sz w:val="20"/>
          <w:szCs w:val="20"/>
          <w:color w:val="auto"/>
        </w:rPr>
      </w:pPr>
      <w:r>
        <w:rPr>
          <w:rFonts w:ascii="Arial" w:cs="Arial" w:eastAsia="Arial" w:hAnsi="Arial"/>
          <w:sz w:val="18"/>
          <w:szCs w:val="18"/>
          <w:color w:val="auto"/>
        </w:rPr>
        <w:t>if after such thirty (30) days, the Borrowers have not taken any action pursuant to paragraph (A) or (B) above, that Hedging Provider shall immediately close out and terminate any and all Hedging Transactions between them and that Hedging Provider; or</w:t>
      </w:r>
    </w:p>
    <w:p>
      <w:pPr>
        <w:spacing w:after="0" w:line="189" w:lineRule="exact"/>
        <w:rPr>
          <w:sz w:val="20"/>
          <w:szCs w:val="20"/>
          <w:color w:val="auto"/>
        </w:rPr>
      </w:pPr>
    </w:p>
    <w:p>
      <w:pPr>
        <w:jc w:val="both"/>
        <w:ind w:left="1540" w:hanging="511"/>
        <w:spacing w:after="0"/>
        <w:tabs>
          <w:tab w:leader="none" w:pos="1621" w:val="left"/>
        </w:tabs>
        <w:numPr>
          <w:ilvl w:val="0"/>
          <w:numId w:val="725"/>
        </w:numPr>
        <w:rPr>
          <w:rFonts w:ascii="Arial" w:cs="Arial" w:eastAsia="Arial" w:hAnsi="Arial"/>
          <w:sz w:val="18"/>
          <w:szCs w:val="18"/>
          <w:color w:val="auto"/>
        </w:rPr>
      </w:pPr>
      <w:r>
        <w:rPr>
          <w:rFonts w:ascii="Arial" w:cs="Arial" w:eastAsia="Arial" w:hAnsi="Arial"/>
          <w:sz w:val="18"/>
          <w:szCs w:val="18"/>
          <w:color w:val="auto"/>
        </w:rPr>
        <w:t>if an Event of Default is continuing at the time that Hedging Provider (or its Affiliate) ceases to be a Lender, that Hedging Provider shall not be required to provide the Borrowers with the ten (10) Business Days within which they are entitled to exercise their rights under paragraph (i) above and may:</w:t>
      </w:r>
    </w:p>
    <w:p>
      <w:pPr>
        <w:spacing w:after="0" w:line="189" w:lineRule="exact"/>
        <w:rPr>
          <w:rFonts w:ascii="Arial" w:cs="Arial" w:eastAsia="Arial" w:hAnsi="Arial"/>
          <w:sz w:val="18"/>
          <w:szCs w:val="18"/>
          <w:color w:val="auto"/>
        </w:rPr>
      </w:pPr>
    </w:p>
    <w:p>
      <w:pPr>
        <w:ind w:left="2040" w:right="20" w:hanging="501"/>
        <w:spacing w:after="0" w:line="246" w:lineRule="auto"/>
        <w:tabs>
          <w:tab w:leader="none" w:pos="231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by notice in writing to the Borrowers require the Borrowers to immediately close out and terminate any and all Hedging Transactions between them and that Hedging Provider; or</w:t>
      </w:r>
    </w:p>
    <w:p>
      <w:pPr>
        <w:spacing w:after="0" w:line="183" w:lineRule="exact"/>
        <w:rPr>
          <w:rFonts w:ascii="Arial" w:cs="Arial" w:eastAsia="Arial" w:hAnsi="Arial"/>
          <w:sz w:val="18"/>
          <w:szCs w:val="18"/>
          <w:color w:val="auto"/>
        </w:rPr>
      </w:pPr>
    </w:p>
    <w:p>
      <w:pPr>
        <w:ind w:left="2040" w:right="20" w:hanging="501"/>
        <w:spacing w:after="0" w:line="246" w:lineRule="auto"/>
        <w:tabs>
          <w:tab w:leader="none" w:pos="2121" w:val="left"/>
        </w:tabs>
        <w:numPr>
          <w:ilvl w:val="1"/>
          <w:numId w:val="725"/>
        </w:numPr>
        <w:rPr>
          <w:rFonts w:ascii="Arial" w:cs="Arial" w:eastAsia="Arial" w:hAnsi="Arial"/>
          <w:sz w:val="18"/>
          <w:szCs w:val="18"/>
          <w:color w:val="auto"/>
        </w:rPr>
      </w:pPr>
      <w:r>
        <w:rPr>
          <w:rFonts w:ascii="Arial" w:cs="Arial" w:eastAsia="Arial" w:hAnsi="Arial"/>
          <w:sz w:val="18"/>
          <w:szCs w:val="18"/>
          <w:color w:val="auto"/>
        </w:rPr>
        <w:t>procure that one or more other Lenders agree to novate such Hedging Transactions instead of such closing out or termination.</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7"/>
          <w:szCs w:val="17"/>
          <w:b w:val="1"/>
          <w:bCs w:val="1"/>
          <w:color w:val="auto"/>
        </w:rPr>
        <w:t>Variations</w:t>
      </w:r>
    </w:p>
    <w:p>
      <w:pPr>
        <w:spacing w:after="0" w:line="202" w:lineRule="exact"/>
        <w:rPr>
          <w:sz w:val="20"/>
          <w:szCs w:val="20"/>
          <w:color w:val="auto"/>
        </w:rPr>
      </w:pPr>
    </w:p>
    <w:p>
      <w:pPr>
        <w:ind w:left="520"/>
        <w:spacing w:after="0" w:line="267" w:lineRule="auto"/>
        <w:rPr>
          <w:sz w:val="20"/>
          <w:szCs w:val="20"/>
          <w:color w:val="auto"/>
        </w:rPr>
      </w:pPr>
      <w:r>
        <w:rPr>
          <w:rFonts w:ascii="Arial" w:cs="Arial" w:eastAsia="Arial" w:hAnsi="Arial"/>
          <w:sz w:val="18"/>
          <w:szCs w:val="18"/>
          <w:color w:val="auto"/>
        </w:rPr>
        <w:t>Except with approval or as required by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 any Hedging Master Agreement and the Hedging Contracts shall not be varied.</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7"/>
          <w:szCs w:val="17"/>
          <w:b w:val="1"/>
          <w:bCs w:val="1"/>
          <w:color w:val="auto"/>
        </w:rPr>
        <w:t>Releases and waivers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3" w:name="page274"/>
    <w:bookmarkEnd w:id="273"/>
    <w:p>
      <w:pPr>
        <w:jc w:val="both"/>
        <w:ind w:left="520"/>
        <w:spacing w:after="0"/>
        <w:rPr>
          <w:sz w:val="20"/>
          <w:szCs w:val="20"/>
          <w:color w:val="auto"/>
        </w:rPr>
      </w:pPr>
      <w:r>
        <w:rPr>
          <w:rFonts w:ascii="Arial" w:cs="Arial" w:eastAsia="Arial" w:hAnsi="Arial"/>
          <w:sz w:val="18"/>
          <w:szCs w:val="18"/>
          <w:color w:val="auto"/>
        </w:rPr>
        <w:t>Except with approval, there shall be no release by the Borrowers of any obligation of any other person under the Hedging Contracts (including by way of novation), no waiver of any breach of any such obligation and no consent to anything which would otherwise be such a breach.</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7"/>
          <w:szCs w:val="17"/>
          <w:b w:val="1"/>
          <w:bCs w:val="1"/>
          <w:color w:val="auto"/>
        </w:rPr>
        <w:t>Assignment of Hedging Contracts by the Borrowers</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Except with approval or by the Hedging Contract Security, no Borrower shall assign or otherwise dispose of its rights under any Hedging Contract.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7"/>
          <w:szCs w:val="17"/>
          <w:b w:val="1"/>
          <w:bCs w:val="1"/>
          <w:color w:val="auto"/>
        </w:rPr>
        <w:t>Termination of Hedging Contracts by Borrowers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no Borrower shall terminate or rescind any Hedging Contract or close out or unwind any Hedging Transaction for any reason whatsoever except:</w:t>
      </w:r>
    </w:p>
    <w:p>
      <w:pPr>
        <w:spacing w:after="0" w:line="165" w:lineRule="exact"/>
        <w:rPr>
          <w:sz w:val="20"/>
          <w:szCs w:val="20"/>
          <w:color w:val="auto"/>
        </w:rPr>
      </w:pPr>
    </w:p>
    <w:p>
      <w:pPr>
        <w:ind w:left="1060" w:hanging="552"/>
        <w:spacing w:after="0"/>
        <w:tabs>
          <w:tab w:leader="none" w:pos="106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in accordance with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20" w:hanging="512"/>
        <w:spacing w:after="0" w:line="246" w:lineRule="auto"/>
        <w:tabs>
          <w:tab w:leader="none" w:pos="1503" w:val="left"/>
        </w:tabs>
        <w:numPr>
          <w:ilvl w:val="0"/>
          <w:numId w:val="726"/>
        </w:numPr>
        <w:rPr>
          <w:rFonts w:ascii="Arial" w:cs="Arial" w:eastAsia="Arial" w:hAnsi="Arial"/>
          <w:sz w:val="18"/>
          <w:szCs w:val="18"/>
          <w:color w:val="auto"/>
        </w:rPr>
      </w:pPr>
      <w:r>
        <w:rPr>
          <w:rFonts w:ascii="Arial" w:cs="Arial" w:eastAsia="Arial" w:hAnsi="Arial"/>
          <w:sz w:val="18"/>
          <w:szCs w:val="18"/>
          <w:color w:val="auto"/>
        </w:rPr>
        <w:t>in respect of the refinancing of the Facility and a Hedging Provider or its Affiliate ceases to be a lender following such refinancing;</w:t>
      </w:r>
    </w:p>
    <w:p>
      <w:pPr>
        <w:spacing w:after="0" w:line="183" w:lineRule="exact"/>
        <w:rPr>
          <w:rFonts w:ascii="Arial" w:cs="Arial" w:eastAsia="Arial" w:hAnsi="Arial"/>
          <w:sz w:val="18"/>
          <w:szCs w:val="18"/>
          <w:color w:val="auto"/>
        </w:rPr>
      </w:pPr>
    </w:p>
    <w:p>
      <w:pPr>
        <w:ind w:left="1020" w:hanging="512"/>
        <w:spacing w:after="0" w:line="246" w:lineRule="auto"/>
        <w:tabs>
          <w:tab w:leader="none" w:pos="1141" w:val="left"/>
        </w:tabs>
        <w:numPr>
          <w:ilvl w:val="0"/>
          <w:numId w:val="726"/>
        </w:numPr>
        <w:rPr>
          <w:rFonts w:ascii="Arial" w:cs="Arial" w:eastAsia="Arial" w:hAnsi="Arial"/>
          <w:sz w:val="18"/>
          <w:szCs w:val="18"/>
          <w:color w:val="auto"/>
        </w:rPr>
      </w:pPr>
      <w:r>
        <w:rPr>
          <w:rFonts w:ascii="Arial" w:cs="Arial" w:eastAsia="Arial" w:hAnsi="Arial"/>
          <w:sz w:val="18"/>
          <w:szCs w:val="18"/>
          <w:color w:val="auto"/>
        </w:rPr>
        <w:t>if the Loan and other amounts outstanding under the Finance Documents (other than amounts outstanding under the Hedging Contracts) have been repaid by the Borrowers in full or in part;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if the Facility is cancelled in full in accordance with the terms of this Agreement;</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206" w:val="left"/>
        </w:tabs>
        <w:numPr>
          <w:ilvl w:val="0"/>
          <w:numId w:val="726"/>
        </w:numPr>
        <w:rPr>
          <w:rFonts w:ascii="Arial" w:cs="Arial" w:eastAsia="Arial" w:hAnsi="Arial"/>
          <w:sz w:val="18"/>
          <w:szCs w:val="18"/>
          <w:color w:val="auto"/>
        </w:rPr>
      </w:pPr>
      <w:r>
        <w:rPr>
          <w:rFonts w:ascii="Arial" w:cs="Arial" w:eastAsia="Arial" w:hAnsi="Arial"/>
          <w:sz w:val="18"/>
          <w:szCs w:val="18"/>
          <w:color w:val="auto"/>
        </w:rPr>
        <w:t>if an Event of Default (as defined in the relevant Hedging Contract) has occurred as a result of an action taken by a Hedging Provider under a Hedging Contract;</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if there is overhedging (as provided in the relevant Hedging Contract); or</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206" w:val="left"/>
        </w:tabs>
        <w:numPr>
          <w:ilvl w:val="0"/>
          <w:numId w:val="726"/>
        </w:numPr>
        <w:rPr>
          <w:rFonts w:ascii="Arial" w:cs="Arial" w:eastAsia="Arial" w:hAnsi="Arial"/>
          <w:sz w:val="18"/>
          <w:szCs w:val="18"/>
          <w:color w:val="auto"/>
        </w:rPr>
      </w:pPr>
      <w:r>
        <w:rPr>
          <w:rFonts w:ascii="Arial" w:cs="Arial" w:eastAsia="Arial" w:hAnsi="Arial"/>
          <w:sz w:val="18"/>
          <w:szCs w:val="18"/>
          <w:color w:val="auto"/>
        </w:rPr>
        <w:t>upon the occurrence of any “Illegality”, “Force Majeure” or “Tax Event” (as each such term is defined in the relevant Hedging Contract).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7"/>
          <w:szCs w:val="17"/>
          <w:b w:val="1"/>
          <w:bCs w:val="1"/>
          <w:color w:val="auto"/>
        </w:rPr>
        <w:t>Performance of Hedging Contracts by Borrowers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shall perform its obligations under the Hedging Contracts.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7"/>
          <w:szCs w:val="17"/>
          <w:b w:val="1"/>
          <w:bCs w:val="1"/>
          <w:color w:val="auto"/>
        </w:rPr>
        <w:t>Information concerning Hedging Contracts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Borrower shall provide the Agent with any information it may request concerning any Hedging Contract, including all reasonable information, accounts and records that may be necessary or of assistance to enable the Agent to verify the amounts of all payments and any other amounts payable under the Hedging Contracts.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30 Events of Default</w:t>
      </w:r>
    </w:p>
    <w:p>
      <w:pPr>
        <w:spacing w:after="0" w:line="206" w:lineRule="exact"/>
        <w:rPr>
          <w:sz w:val="20"/>
          <w:szCs w:val="20"/>
          <w:color w:val="auto"/>
        </w:rPr>
      </w:pPr>
    </w:p>
    <w:p>
      <w:pPr>
        <w:jc w:val="both"/>
        <w:ind w:left="520"/>
        <w:spacing w:after="0" w:line="267" w:lineRule="auto"/>
        <w:rPr>
          <w:sz w:val="20"/>
          <w:szCs w:val="20"/>
          <w:color w:val="auto"/>
        </w:rPr>
      </w:pPr>
      <w:r>
        <w:rPr>
          <w:rFonts w:ascii="Arial" w:cs="Arial" w:eastAsia="Arial" w:hAnsi="Arial"/>
          <w:sz w:val="18"/>
          <w:szCs w:val="18"/>
          <w:color w:val="auto"/>
        </w:rPr>
        <w:t>Each of the events or circumstances set out in clauses 30.1 (</w:t>
      </w:r>
      <w:r>
        <w:rPr>
          <w:rFonts w:ascii="Arial" w:cs="Arial" w:eastAsia="Arial" w:hAnsi="Arial"/>
          <w:sz w:val="18"/>
          <w:szCs w:val="18"/>
          <w:i w:val="1"/>
          <w:iCs w:val="1"/>
          <w:color w:val="auto"/>
        </w:rPr>
        <w:t>Non-payment</w:t>
      </w:r>
      <w:r>
        <w:rPr>
          <w:rFonts w:ascii="Arial" w:cs="Arial" w:eastAsia="Arial" w:hAnsi="Arial"/>
          <w:sz w:val="18"/>
          <w:szCs w:val="18"/>
          <w:color w:val="auto"/>
        </w:rPr>
        <w:t>) to 18.21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is an Event of Default.</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7"/>
          <w:szCs w:val="17"/>
          <w:b w:val="1"/>
          <w:bCs w:val="1"/>
          <w:color w:val="auto"/>
        </w:rPr>
        <w:t>Non-payment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 a Payment Disruption Event has occurred and such payment is made within three (3) Business Days of the due date.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color w:val="auto"/>
        </w:rPr>
        <w:t>Financial covenants; liquidity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4" w:name="page275"/>
    <w:bookmarkEnd w:id="274"/>
    <w:p>
      <w:pPr>
        <w:ind w:left="1060" w:hanging="552"/>
        <w:spacing w:after="0"/>
        <w:tabs>
          <w:tab w:leader="none" w:pos="106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The Obligors do not comply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40" w:hanging="532"/>
        <w:spacing w:after="0"/>
        <w:tabs>
          <w:tab w:leader="none" w:pos="104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The Obligors do not comply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7"/>
          <w:szCs w:val="17"/>
          <w:b w:val="1"/>
          <w:bCs w:val="1"/>
          <w:color w:val="auto"/>
        </w:rPr>
        <w:t>Value of security</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do not comply with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30.4</w:t>
        <w:tab/>
        <w:t>Insurance</w:t>
      </w:r>
    </w:p>
    <w:p>
      <w:pPr>
        <w:spacing w:after="0" w:line="202" w:lineRule="exact"/>
        <w:rPr>
          <w:sz w:val="20"/>
          <w:szCs w:val="20"/>
          <w:color w:val="auto"/>
        </w:rPr>
      </w:pPr>
    </w:p>
    <w:p>
      <w:pPr>
        <w:ind w:left="1060" w:hanging="552"/>
        <w:spacing w:after="0"/>
        <w:tabs>
          <w:tab w:leader="none" w:pos="106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Insurances of a Mortgaged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hanging="532"/>
        <w:spacing w:after="0"/>
        <w:tabs>
          <w:tab w:leader="none" w:pos="104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198"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728"/>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Borrowers to the full satisfaction of all the Lenders; or</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7"/>
          <w:szCs w:val="17"/>
          <w:b w:val="1"/>
          <w:bCs w:val="1"/>
          <w:color w:val="auto"/>
        </w:rPr>
        <w:t>Other obligations</w:t>
      </w:r>
    </w:p>
    <w:p>
      <w:pPr>
        <w:spacing w:after="0" w:line="220" w:lineRule="exact"/>
        <w:rPr>
          <w:sz w:val="20"/>
          <w:szCs w:val="20"/>
          <w:color w:val="auto"/>
        </w:rPr>
      </w:pPr>
    </w:p>
    <w:p>
      <w:pPr>
        <w:jc w:val="both"/>
        <w:ind w:left="1020" w:hanging="512"/>
        <w:spacing w:after="0"/>
        <w:tabs>
          <w:tab w:leader="none" w:pos="109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those referred to in clauses 18.32 (</w:t>
      </w:r>
      <w:r>
        <w:rPr>
          <w:rFonts w:ascii="Arial" w:cs="Arial" w:eastAsia="Arial" w:hAnsi="Arial"/>
          <w:sz w:val="18"/>
          <w:szCs w:val="18"/>
          <w:i w:val="1"/>
          <w:iCs w:val="1"/>
          <w:color w:val="auto"/>
        </w:rPr>
        <w:t>Sanctions</w:t>
      </w:r>
      <w:r>
        <w:rPr>
          <w:rFonts w:ascii="Arial" w:cs="Arial" w:eastAsia="Arial" w:hAnsi="Arial"/>
          <w:sz w:val="18"/>
          <w:szCs w:val="18"/>
          <w:color w:val="auto"/>
        </w:rPr>
        <w:t>), 21.11 (</w:t>
      </w:r>
      <w:r>
        <w:rPr>
          <w:rFonts w:ascii="Arial" w:cs="Arial" w:eastAsia="Arial" w:hAnsi="Arial"/>
          <w:sz w:val="18"/>
          <w:szCs w:val="18"/>
          <w:i w:val="1"/>
          <w:iCs w:val="1"/>
          <w:color w:val="auto"/>
        </w:rPr>
        <w:t>Sanctions</w:t>
      </w:r>
      <w:r>
        <w:rPr>
          <w:rFonts w:ascii="Arial" w:cs="Arial" w:eastAsia="Arial" w:hAnsi="Arial"/>
          <w:sz w:val="18"/>
          <w:szCs w:val="18"/>
          <w:color w:val="auto"/>
        </w:rPr>
        <w:t>), 30.1 (</w:t>
      </w:r>
      <w:r>
        <w:rPr>
          <w:rFonts w:ascii="Arial" w:cs="Arial" w:eastAsia="Arial" w:hAnsi="Arial"/>
          <w:sz w:val="18"/>
          <w:szCs w:val="18"/>
          <w:i w:val="1"/>
          <w:iCs w:val="1"/>
          <w:color w:val="auto"/>
        </w:rPr>
        <w:t>Non-payment</w:t>
      </w:r>
      <w:r>
        <w:rPr>
          <w:rFonts w:ascii="Arial" w:cs="Arial" w:eastAsia="Arial" w:hAnsi="Arial"/>
          <w:sz w:val="18"/>
          <w:szCs w:val="18"/>
          <w:color w:val="auto"/>
        </w:rPr>
        <w:t>), 30.2 (</w:t>
      </w:r>
      <w:r>
        <w:rPr>
          <w:rFonts w:ascii="Arial" w:cs="Arial" w:eastAsia="Arial" w:hAnsi="Arial"/>
          <w:sz w:val="18"/>
          <w:szCs w:val="18"/>
          <w:i w:val="1"/>
          <w:iCs w:val="1"/>
          <w:color w:val="auto"/>
        </w:rPr>
        <w:t>Financial covenants; liquidity</w:t>
      </w:r>
      <w:r>
        <w:rPr>
          <w:rFonts w:ascii="Arial" w:cs="Arial" w:eastAsia="Arial" w:hAnsi="Arial"/>
          <w:sz w:val="18"/>
          <w:szCs w:val="18"/>
          <w:color w:val="auto"/>
        </w:rPr>
        <w:t>), 30.3 (</w:t>
      </w:r>
      <w:r>
        <w:rPr>
          <w:rFonts w:ascii="Arial" w:cs="Arial" w:eastAsia="Arial" w:hAnsi="Arial"/>
          <w:sz w:val="18"/>
          <w:szCs w:val="18"/>
          <w:i w:val="1"/>
          <w:iCs w:val="1"/>
          <w:color w:val="auto"/>
        </w:rPr>
        <w:t>Value of security</w:t>
      </w:r>
      <w:r>
        <w:rPr>
          <w:rFonts w:ascii="Arial" w:cs="Arial" w:eastAsia="Arial" w:hAnsi="Arial"/>
          <w:sz w:val="18"/>
          <w:szCs w:val="18"/>
          <w:color w:val="auto"/>
        </w:rPr>
        <w:t>), 30.4 (</w:t>
      </w:r>
      <w:r>
        <w:rPr>
          <w:rFonts w:ascii="Arial" w:cs="Arial" w:eastAsia="Arial" w:hAnsi="Arial"/>
          <w:sz w:val="18"/>
          <w:szCs w:val="18"/>
          <w:i w:val="1"/>
          <w:iCs w:val="1"/>
          <w:color w:val="auto"/>
        </w:rPr>
        <w:t>Insurance</w:t>
      </w:r>
      <w:r>
        <w:rPr>
          <w:rFonts w:ascii="Arial" w:cs="Arial" w:eastAsia="Arial" w:hAnsi="Arial"/>
          <w:sz w:val="18"/>
          <w:szCs w:val="18"/>
          <w:color w:val="auto"/>
        </w:rPr>
        <w:t>) and 30.22 (</w:t>
      </w:r>
      <w:r>
        <w:rPr>
          <w:rFonts w:ascii="Arial" w:cs="Arial" w:eastAsia="Arial" w:hAnsi="Arial"/>
          <w:sz w:val="18"/>
          <w:szCs w:val="18"/>
          <w:i w:val="1"/>
          <w:iCs w:val="1"/>
          <w:color w:val="auto"/>
        </w:rPr>
        <w:t>Hedging Contracts</w:t>
      </w:r>
      <w:r>
        <w:rPr>
          <w:rFonts w:ascii="Arial" w:cs="Arial" w:eastAsia="Arial" w:hAnsi="Arial"/>
          <w:sz w:val="18"/>
          <w:szCs w:val="18"/>
          <w:color w:val="auto"/>
        </w:rPr>
        <w:t>) or any other provision of this clause 30.</w:t>
      </w:r>
    </w:p>
    <w:p>
      <w:pPr>
        <w:spacing w:after="0" w:line="189" w:lineRule="exact"/>
        <w:rPr>
          <w:rFonts w:ascii="Arial" w:cs="Arial" w:eastAsia="Arial" w:hAnsi="Arial"/>
          <w:sz w:val="18"/>
          <w:szCs w:val="18"/>
          <w:color w:val="auto"/>
        </w:rPr>
      </w:pPr>
    </w:p>
    <w:p>
      <w:pPr>
        <w:jc w:val="both"/>
        <w:ind w:left="1020" w:hanging="512"/>
        <w:spacing w:after="0" w:line="234" w:lineRule="auto"/>
        <w:tabs>
          <w:tab w:leader="none" w:pos="1354" w:val="left"/>
        </w:tabs>
        <w:numPr>
          <w:ilvl w:val="0"/>
          <w:numId w:val="729"/>
        </w:numPr>
        <w:rPr>
          <w:rFonts w:ascii="Arial" w:cs="Arial" w:eastAsia="Arial" w:hAnsi="Arial"/>
          <w:sz w:val="18"/>
          <w:szCs w:val="18"/>
          <w:color w:val="auto"/>
        </w:rPr>
      </w:pPr>
      <w:r>
        <w:rPr>
          <w:rFonts w:ascii="Arial" w:cs="Arial" w:eastAsia="Arial" w:hAnsi="Arial"/>
          <w:sz w:val="18"/>
          <w:szCs w:val="18"/>
          <w:color w:val="auto"/>
        </w:rPr>
        <w:t>No Event of Default under clause 30.5(a) above will occur if the Agent (acting on the instructions of the Majority Lenders) considers that the failure to comply is capable of remedy and the failure is remedied within twenty (20) days of the earlier of</w:t>
      </w:r>
    </w:p>
    <w:p>
      <w:pPr>
        <w:spacing w:after="0" w:line="1" w:lineRule="exact"/>
        <w:rPr>
          <w:rFonts w:ascii="Arial" w:cs="Arial" w:eastAsia="Arial" w:hAnsi="Arial"/>
          <w:sz w:val="18"/>
          <w:szCs w:val="18"/>
          <w:color w:val="auto"/>
        </w:rPr>
      </w:pPr>
    </w:p>
    <w:p>
      <w:pPr>
        <w:ind w:left="1020" w:right="20" w:firstLine="9"/>
        <w:spacing w:after="0" w:line="246" w:lineRule="auto"/>
        <w:tabs>
          <w:tab w:leader="none" w:pos="1329" w:val="left"/>
        </w:tabs>
        <w:numPr>
          <w:ilvl w:val="1"/>
          <w:numId w:val="729"/>
        </w:numPr>
        <w:rPr>
          <w:rFonts w:ascii="Arial" w:cs="Arial" w:eastAsia="Arial" w:hAnsi="Arial"/>
          <w:sz w:val="18"/>
          <w:szCs w:val="18"/>
          <w:color w:val="auto"/>
        </w:rPr>
      </w:pPr>
      <w:r>
        <w:rPr>
          <w:rFonts w:ascii="Arial" w:cs="Arial" w:eastAsia="Arial" w:hAnsi="Arial"/>
          <w:sz w:val="18"/>
          <w:szCs w:val="18"/>
          <w:color w:val="auto"/>
        </w:rPr>
        <w:t>the Agent giving notice to the Borrowers and (B) any of the Borrowers becoming aware of the failure to comply. For the avoidance of doubt, a breach of clause 24.22 (</w:t>
      </w:r>
      <w:r>
        <w:rPr>
          <w:rFonts w:ascii="Arial" w:cs="Arial" w:eastAsia="Arial" w:hAnsi="Arial"/>
          <w:sz w:val="18"/>
          <w:szCs w:val="18"/>
          <w:i w:val="1"/>
          <w:iCs w:val="1"/>
          <w:color w:val="auto"/>
        </w:rPr>
        <w:t>Settlement of claims</w:t>
      </w:r>
      <w:r>
        <w:rPr>
          <w:rFonts w:ascii="Arial" w:cs="Arial" w:eastAsia="Arial" w:hAnsi="Arial"/>
          <w:sz w:val="18"/>
          <w:szCs w:val="18"/>
          <w:color w:val="auto"/>
        </w:rPr>
        <w:t>) shall not be capable of remedy.</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30.6</w:t>
        <w:tab/>
        <w:t>Misrepresentation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(excluding the representations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or proves to have been incorrect or misleading when made or deemed to be made, unless the same is capable of remedy and is remedied within twenty (20) days of the earlier of (a) the Agent giving notice to the Borrowers and (b) any of the Borrowers becoming aware of the same.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30.7</w:t>
        <w:tab/>
        <w:t>Cross default</w:t>
      </w:r>
    </w:p>
    <w:p>
      <w:pPr>
        <w:spacing w:after="0" w:line="220" w:lineRule="exact"/>
        <w:rPr>
          <w:sz w:val="20"/>
          <w:szCs w:val="20"/>
          <w:color w:val="auto"/>
        </w:rPr>
      </w:pPr>
    </w:p>
    <w:p>
      <w:pPr>
        <w:ind w:left="1020" w:hanging="512"/>
        <w:spacing w:after="0" w:line="246" w:lineRule="auto"/>
        <w:tabs>
          <w:tab w:leader="none" w:pos="1165"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Financial Indebtedness of any Obligor (other than a Guarantor who is not an Active Guarantor at the relevant time) is not paid when due nor within any originally applicable grace period.</w:t>
      </w:r>
    </w:p>
    <w:p>
      <w:pPr>
        <w:spacing w:after="0" w:line="183" w:lineRule="exact"/>
        <w:rPr>
          <w:rFonts w:ascii="Arial" w:cs="Arial" w:eastAsia="Arial" w:hAnsi="Arial"/>
          <w:sz w:val="18"/>
          <w:szCs w:val="18"/>
          <w:color w:val="auto"/>
        </w:rPr>
      </w:pPr>
    </w:p>
    <w:p>
      <w:pPr>
        <w:jc w:val="both"/>
        <w:ind w:left="1020" w:hanging="512"/>
        <w:spacing w:after="0"/>
        <w:tabs>
          <w:tab w:leader="none" w:pos="1327"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Financial Indebtedness of any Obligor (other than a Guarantor who is not an Active Guarantor at the relevant time) is declared to be or otherwise becomes due and payable prior to its specified maturity as a result of an event of default (however described).</w:t>
      </w:r>
    </w:p>
    <w:p>
      <w:pPr>
        <w:spacing w:after="0" w:line="189" w:lineRule="exact"/>
        <w:rPr>
          <w:rFonts w:ascii="Arial" w:cs="Arial" w:eastAsia="Arial" w:hAnsi="Arial"/>
          <w:sz w:val="18"/>
          <w:szCs w:val="18"/>
          <w:color w:val="auto"/>
        </w:rPr>
      </w:pPr>
    </w:p>
    <w:p>
      <w:pPr>
        <w:ind w:left="1020" w:hanging="512"/>
        <w:spacing w:after="0" w:line="246" w:lineRule="auto"/>
        <w:tabs>
          <w:tab w:leader="none" w:pos="1155"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(other than a Guarantor who is not an Active Guarantor at the relevant time) is cancelled or suspended by a creditor of that Obligor as a result of an event of default (however described).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75" w:name="page276"/>
    <w:bookmarkEnd w:id="275"/>
    <w:p>
      <w:pPr>
        <w:jc w:val="both"/>
        <w:ind w:left="1020" w:hanging="512"/>
        <w:spacing w:after="0"/>
        <w:tabs>
          <w:tab w:leader="none" w:pos="1084"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(other than a Guarantor who is not an Active Guarantor at the relevant time) becomes entitled to terminate that Treasury Transaction early by reason of an event of default (however described).</w:t>
      </w:r>
    </w:p>
    <w:p>
      <w:pPr>
        <w:spacing w:after="0" w:line="189" w:lineRule="exact"/>
        <w:rPr>
          <w:rFonts w:ascii="Arial" w:cs="Arial" w:eastAsia="Arial" w:hAnsi="Arial"/>
          <w:sz w:val="18"/>
          <w:szCs w:val="18"/>
          <w:color w:val="auto"/>
        </w:rPr>
      </w:pPr>
    </w:p>
    <w:p>
      <w:pPr>
        <w:jc w:val="both"/>
        <w:ind w:left="1020" w:hanging="512"/>
        <w:spacing w:after="0"/>
        <w:tabs>
          <w:tab w:leader="none" w:pos="1233" w:val="left"/>
        </w:tabs>
        <w:numPr>
          <w:ilvl w:val="0"/>
          <w:numId w:val="731"/>
        </w:numPr>
        <w:rPr>
          <w:rFonts w:ascii="Arial" w:cs="Arial" w:eastAsia="Arial" w:hAnsi="Arial"/>
          <w:sz w:val="18"/>
          <w:szCs w:val="18"/>
          <w:color w:val="auto"/>
        </w:rPr>
      </w:pPr>
      <w:r>
        <w:rPr>
          <w:rFonts w:ascii="Arial" w:cs="Arial" w:eastAsia="Arial" w:hAnsi="Arial"/>
          <w:sz w:val="18"/>
          <w:szCs w:val="18"/>
          <w:color w:val="auto"/>
        </w:rPr>
        <w:t>Any creditor of any Obligor (other than a Guarantor who is not an Active Guarantor at the relevant time) becomes entitled to declare any Financial Indebtedness of that Obligor due and payable prior to its specified maturity as a result of an event of default (however described).</w:t>
      </w:r>
    </w:p>
    <w:p>
      <w:pPr>
        <w:spacing w:after="0" w:line="189" w:lineRule="exact"/>
        <w:rPr>
          <w:rFonts w:ascii="Arial" w:cs="Arial" w:eastAsia="Arial" w:hAnsi="Arial"/>
          <w:sz w:val="18"/>
          <w:szCs w:val="18"/>
          <w:color w:val="auto"/>
        </w:rPr>
      </w:pPr>
    </w:p>
    <w:p>
      <w:pPr>
        <w:ind w:left="1020" w:hanging="512"/>
        <w:spacing w:after="0" w:line="246" w:lineRule="auto"/>
        <w:tabs>
          <w:tab w:leader="none" w:pos="1304" w:val="left"/>
        </w:tabs>
        <w:numPr>
          <w:ilvl w:val="0"/>
          <w:numId w:val="731"/>
        </w:numPr>
        <w:rPr>
          <w:rFonts w:ascii="Arial" w:cs="Arial" w:eastAsia="Arial" w:hAnsi="Arial"/>
          <w:sz w:val="18"/>
          <w:szCs w:val="18"/>
          <w:color w:val="auto"/>
        </w:rPr>
      </w:pPr>
      <w:r>
        <w:rPr>
          <w:rFonts w:ascii="Arial" w:cs="Arial" w:eastAsia="Arial" w:hAnsi="Arial"/>
          <w:sz w:val="18"/>
          <w:szCs w:val="18"/>
          <w:color w:val="auto"/>
        </w:rPr>
        <w:t>No Event of Default will occur under this clause 30.7 if the aggregate amount of Financial Indebtedness or commitment for Financial Indebtedness falling within clauses 30.7(a) to 30.7(e) above is:</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30.8</w:t>
        <w:tab/>
        <w:t>Insolvency</w:t>
      </w:r>
    </w:p>
    <w:p>
      <w:pPr>
        <w:spacing w:after="0" w:line="220" w:lineRule="exact"/>
        <w:rPr>
          <w:sz w:val="20"/>
          <w:szCs w:val="20"/>
          <w:color w:val="auto"/>
        </w:rPr>
      </w:pPr>
    </w:p>
    <w:p>
      <w:pPr>
        <w:jc w:val="both"/>
        <w:ind w:left="1020" w:hanging="512"/>
        <w:spacing w:after="0"/>
        <w:tabs>
          <w:tab w:leader="none" w:pos="1179" w:val="left"/>
        </w:tabs>
        <w:numPr>
          <w:ilvl w:val="0"/>
          <w:numId w:val="732"/>
        </w:numPr>
        <w:rPr>
          <w:rFonts w:ascii="Arial" w:cs="Arial" w:eastAsia="Arial" w:hAnsi="Arial"/>
          <w:sz w:val="18"/>
          <w:szCs w:val="18"/>
          <w:color w:val="auto"/>
        </w:rPr>
      </w:pPr>
      <w:r>
        <w:rPr>
          <w:rFonts w:ascii="Arial" w:cs="Arial" w:eastAsia="Arial" w:hAnsi="Arial"/>
          <w:sz w:val="18"/>
          <w:szCs w:val="18"/>
          <w:color w:val="auto"/>
        </w:rPr>
        <w:t>An Obligor (other than a Guarantor who is not an Active Guarantor at the relevant time)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189"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732"/>
        </w:numPr>
        <w:rPr>
          <w:rFonts w:ascii="Arial" w:cs="Arial" w:eastAsia="Arial" w:hAnsi="Arial"/>
          <w:sz w:val="18"/>
          <w:szCs w:val="18"/>
          <w:color w:val="auto"/>
        </w:rPr>
      </w:pPr>
      <w:r>
        <w:rPr>
          <w:rFonts w:ascii="Arial" w:cs="Arial" w:eastAsia="Arial" w:hAnsi="Arial"/>
          <w:sz w:val="18"/>
          <w:szCs w:val="18"/>
          <w:color w:val="auto"/>
        </w:rPr>
        <w:t>The value of the assets of any Obligor (other than a Guarantor who is not an Active Guarantor at the relevant time) is less than its liabilities (taking into account contingent and prospective liabilities).</w:t>
      </w:r>
    </w:p>
    <w:p>
      <w:pPr>
        <w:spacing w:after="0" w:line="183" w:lineRule="exact"/>
        <w:rPr>
          <w:rFonts w:ascii="Arial" w:cs="Arial" w:eastAsia="Arial" w:hAnsi="Arial"/>
          <w:sz w:val="18"/>
          <w:szCs w:val="18"/>
          <w:color w:val="auto"/>
        </w:rPr>
      </w:pPr>
    </w:p>
    <w:p>
      <w:pPr>
        <w:jc w:val="both"/>
        <w:ind w:left="1020" w:hanging="512"/>
        <w:spacing w:after="0"/>
        <w:tabs>
          <w:tab w:leader="none" w:pos="1074" w:val="left"/>
        </w:tabs>
        <w:numPr>
          <w:ilvl w:val="0"/>
          <w:numId w:val="732"/>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(other than a Guarantor who is not an Active Guarantor at the relevant time). If a moratorium occurs, the ending of the moratorium will not remedy any Event of Default caused by that moratorium.</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30.9</w:t>
        <w:tab/>
        <w:t>Insolvency proceedings</w:t>
      </w:r>
    </w:p>
    <w:p>
      <w:pPr>
        <w:spacing w:after="0" w:line="220" w:lineRule="exact"/>
        <w:rPr>
          <w:sz w:val="20"/>
          <w:szCs w:val="20"/>
          <w:color w:val="auto"/>
        </w:rPr>
      </w:pPr>
    </w:p>
    <w:p>
      <w:pPr>
        <w:ind w:left="1060" w:hanging="552"/>
        <w:spacing w:after="0"/>
        <w:tabs>
          <w:tab w:leader="none" w:pos="106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198" w:lineRule="exact"/>
        <w:rPr>
          <w:rFonts w:ascii="Arial" w:cs="Arial" w:eastAsia="Arial" w:hAnsi="Arial"/>
          <w:sz w:val="18"/>
          <w:szCs w:val="18"/>
          <w:color w:val="auto"/>
        </w:rPr>
      </w:pPr>
    </w:p>
    <w:p>
      <w:pPr>
        <w:jc w:val="both"/>
        <w:ind w:left="1540" w:hanging="511"/>
        <w:spacing w:after="0"/>
        <w:tabs>
          <w:tab w:leader="none" w:pos="1608"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 (other than a Guarantor who is not an Active Guarantor at the relevant time);</w:t>
      </w:r>
    </w:p>
    <w:p>
      <w:pPr>
        <w:spacing w:after="0" w:line="189"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733"/>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 (other than a Guarantor who is not an Active Guarantor at the relevant time);</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863"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(other than a Guarantor who is not an Active Guarantor at the relevant time) or any of its assets (including the directors of such Obligor requesting a person to appoint any such officer in relation to it or any of its assets); or</w:t>
      </w:r>
    </w:p>
    <w:p>
      <w:pPr>
        <w:spacing w:after="0" w:line="191" w:lineRule="exact"/>
        <w:rPr>
          <w:rFonts w:ascii="Arial" w:cs="Arial" w:eastAsia="Arial" w:hAnsi="Arial"/>
          <w:sz w:val="18"/>
          <w:szCs w:val="18"/>
          <w:color w:val="auto"/>
        </w:rPr>
      </w:pPr>
    </w:p>
    <w:p>
      <w:pPr>
        <w:ind w:left="1540" w:right="20" w:hanging="511"/>
        <w:spacing w:after="0" w:line="246" w:lineRule="auto"/>
        <w:tabs>
          <w:tab w:leader="none" w:pos="1927" w:val="left"/>
        </w:tabs>
        <w:numPr>
          <w:ilvl w:val="1"/>
          <w:numId w:val="733"/>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 (other than a Guarantor who is not an Active Guarantor at the relevant time),</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6" w:name="page277"/>
    <w:bookmarkEnd w:id="276"/>
    <w:p>
      <w:pPr>
        <w:ind w:left="1020" w:hanging="512"/>
        <w:spacing w:after="0" w:line="246" w:lineRule="auto"/>
        <w:tabs>
          <w:tab w:leader="none" w:pos="1071" w:val="left"/>
        </w:tabs>
        <w:numPr>
          <w:ilvl w:val="0"/>
          <w:numId w:val="734"/>
        </w:numPr>
        <w:rPr>
          <w:rFonts w:ascii="Arial" w:cs="Arial" w:eastAsia="Arial" w:hAnsi="Arial"/>
          <w:sz w:val="18"/>
          <w:szCs w:val="18"/>
          <w:color w:val="auto"/>
        </w:rPr>
      </w:pPr>
      <w:r>
        <w:rPr>
          <w:rFonts w:ascii="Arial" w:cs="Arial" w:eastAsia="Arial" w:hAnsi="Arial"/>
          <w:sz w:val="18"/>
          <w:szCs w:val="18"/>
          <w:color w:val="auto"/>
        </w:rPr>
        <w:t>Clause 30.9(a) shall not apply to any winding-up petition (or analogous procedure or step) which is frivolous or vexatious and is discharged, stayed or dismissed within fifteen (15) days of commencement or, if earlier, the date on which it is advertised.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30.10 Creditors’ process</w:t>
      </w:r>
    </w:p>
    <w:p>
      <w:pPr>
        <w:spacing w:after="0" w:line="220" w:lineRule="exact"/>
        <w:rPr>
          <w:sz w:val="20"/>
          <w:szCs w:val="20"/>
          <w:color w:val="auto"/>
        </w:rPr>
      </w:pPr>
    </w:p>
    <w:p>
      <w:pPr>
        <w:jc w:val="both"/>
        <w:ind w:left="1020" w:hanging="512"/>
        <w:spacing w:after="0" w:line="238" w:lineRule="auto"/>
        <w:tabs>
          <w:tab w:leader="none" w:pos="1098"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Any expropriation, attachment, sequestration, execution or analogous process affects any asset or assets of any Obligor (other than a Guarantor who is not an Active Guarantor at the relevant time)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84"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(other than a Guarantor who is not an Active Guarantor at the relevant time) and is not stayed or complied with within thirty (30) days.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30.11 Unlawfulness and invalidity</w:t>
      </w:r>
    </w:p>
    <w:p>
      <w:pPr>
        <w:spacing w:after="0" w:line="220" w:lineRule="exact"/>
        <w:rPr>
          <w:sz w:val="20"/>
          <w:szCs w:val="20"/>
          <w:color w:val="auto"/>
        </w:rPr>
      </w:pPr>
    </w:p>
    <w:p>
      <w:pPr>
        <w:ind w:left="1020" w:hanging="512"/>
        <w:spacing w:after="0" w:line="246" w:lineRule="auto"/>
        <w:tabs>
          <w:tab w:leader="none" w:pos="1125" w:val="left"/>
        </w:tabs>
        <w:numPr>
          <w:ilvl w:val="0"/>
          <w:numId w:val="736"/>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83" w:lineRule="exact"/>
        <w:rPr>
          <w:rFonts w:ascii="Arial" w:cs="Arial" w:eastAsia="Arial" w:hAnsi="Arial"/>
          <w:sz w:val="18"/>
          <w:szCs w:val="18"/>
          <w:color w:val="auto"/>
        </w:rPr>
      </w:pPr>
    </w:p>
    <w:p>
      <w:pPr>
        <w:jc w:val="both"/>
        <w:ind w:left="1020" w:hanging="512"/>
        <w:spacing w:after="0"/>
        <w:tabs>
          <w:tab w:leader="none" w:pos="1084"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189" w:lineRule="exact"/>
        <w:rPr>
          <w:rFonts w:ascii="Arial" w:cs="Arial" w:eastAsia="Arial" w:hAnsi="Arial"/>
          <w:sz w:val="18"/>
          <w:szCs w:val="18"/>
          <w:color w:val="auto"/>
        </w:rPr>
      </w:pPr>
    </w:p>
    <w:p>
      <w:pPr>
        <w:ind w:left="1020" w:hanging="512"/>
        <w:spacing w:after="0" w:line="246" w:lineRule="auto"/>
        <w:tabs>
          <w:tab w:leader="none" w:pos="1195"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183" w:lineRule="exact"/>
        <w:rPr>
          <w:rFonts w:ascii="Arial" w:cs="Arial" w:eastAsia="Arial" w:hAnsi="Arial"/>
          <w:sz w:val="18"/>
          <w:szCs w:val="18"/>
          <w:color w:val="auto"/>
        </w:rPr>
      </w:pPr>
    </w:p>
    <w:p>
      <w:pPr>
        <w:ind w:left="1020" w:hanging="512"/>
        <w:spacing w:after="0" w:line="246" w:lineRule="auto"/>
        <w:tabs>
          <w:tab w:leader="none" w:pos="1368"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30.12 Cessation of business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Obligor (other than a Guarantor who is not an Active Guarantor at the relevant time) suspends or ceases to carry on (or threatens to suspend or cease to carry on) all or a material part of its business (except in the case of an Owner as a result of the sale of its Ship in accordance with, and subject to, the provisions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30.13 Expropriation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authority or ability of any Obligor (other than a Guarantor who is not an Active Guarantor at the relevant time)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30.14 Repudiation and rescission of Finance Documents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Obligor repudiates a Finance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30.15 Litigation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7" w:name="page278"/>
    <w:bookmarkEnd w:id="277"/>
    <w:p>
      <w:pPr>
        <w:jc w:val="both"/>
        <w:ind w:left="520"/>
        <w:spacing w:after="0" w:line="246"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30.16 Material Adverse Effect</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30.17 Security enforceable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30.18 Arrest of Ship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30 days thereafter (or such longer period as may be approved).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30.19 Ship registration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with approval of the Majority Lenders,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30.20 Political risk</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Flag State of any Mortgaged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30.21 Ship A Charter</w:t>
      </w:r>
    </w:p>
    <w:p>
      <w:pPr>
        <w:spacing w:after="0" w:line="220" w:lineRule="exact"/>
        <w:rPr>
          <w:sz w:val="20"/>
          <w:szCs w:val="20"/>
          <w:color w:val="auto"/>
        </w:rPr>
      </w:pPr>
    </w:p>
    <w:p>
      <w:pPr>
        <w:jc w:val="both"/>
        <w:ind w:left="500"/>
        <w:spacing w:after="0" w:line="237" w:lineRule="auto"/>
        <w:rPr>
          <w:sz w:val="20"/>
          <w:szCs w:val="20"/>
          <w:color w:val="auto"/>
        </w:rPr>
      </w:pPr>
      <w:r>
        <w:rPr>
          <w:rFonts w:ascii="Arial" w:cs="Arial" w:eastAsia="Arial" w:hAnsi="Arial"/>
          <w:sz w:val="18"/>
          <w:szCs w:val="18"/>
          <w:color w:val="auto"/>
        </w:rPr>
        <w:t xml:space="preserve">Except with approval of the Majority Lenders, the Ship A Charter (which for the purposes of this clause 30.21 shall include any charter commitment that replaces the Ship A Charter pursuant to this clause 30.21) is terminated, cancelled or rescinded or frustrated (including as a result of Total Loss) or Ship A is withdrawn from service under the Ship A Charter before the time the Ship A Charter was scheduled to expire,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no Event of Default shall occur under this clause 30.21 in relation to the Ship A Charter, if the conditions under either paragraph (a)(i) or paragraph (a)(ii) below are satisfied in respect of the Ship A Charter and within 120 days of such termination, cancellation, rescission, frustration or withdrawal:</w:t>
      </w:r>
    </w:p>
    <w:p>
      <w:pPr>
        <w:spacing w:after="0" w:line="191" w:lineRule="exact"/>
        <w:rPr>
          <w:sz w:val="20"/>
          <w:szCs w:val="20"/>
          <w:color w:val="auto"/>
        </w:rPr>
      </w:pPr>
    </w:p>
    <w:p>
      <w:pPr>
        <w:ind w:left="1060" w:hanging="552"/>
        <w:spacing w:after="0"/>
        <w:tabs>
          <w:tab w:leader="none" w:pos="106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the Borrowers have either: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37"/>
        </w:numPr>
        <w:rPr>
          <w:rFonts w:ascii="Arial" w:cs="Arial" w:eastAsia="Arial" w:hAnsi="Arial"/>
          <w:sz w:val="18"/>
          <w:szCs w:val="18"/>
          <w:color w:val="auto"/>
        </w:rPr>
      </w:pPr>
      <w:r>
        <w:rPr>
          <w:rFonts w:ascii="Arial" w:cs="Arial" w:eastAsia="Arial" w:hAnsi="Arial"/>
          <w:sz w:val="18"/>
          <w:szCs w:val="18"/>
          <w:color w:val="auto"/>
        </w:rPr>
        <w:t>prepaid the Loan in full (but on three (3) Business Days’ notice instead of the period required by such clause); or</w:t>
      </w:r>
    </w:p>
    <w:p>
      <w:pPr>
        <w:spacing w:after="0" w:line="198" w:lineRule="exact"/>
        <w:rPr>
          <w:rFonts w:ascii="Arial" w:cs="Arial" w:eastAsia="Arial" w:hAnsi="Arial"/>
          <w:sz w:val="18"/>
          <w:szCs w:val="18"/>
          <w:color w:val="auto"/>
        </w:rPr>
      </w:pPr>
    </w:p>
    <w:p>
      <w:pPr>
        <w:jc w:val="both"/>
        <w:ind w:left="1540" w:hanging="511"/>
        <w:spacing w:after="0"/>
        <w:tabs>
          <w:tab w:leader="none" w:pos="1756" w:val="left"/>
        </w:tabs>
        <w:numPr>
          <w:ilvl w:val="1"/>
          <w:numId w:val="737"/>
        </w:numPr>
        <w:rPr>
          <w:rFonts w:ascii="Arial" w:cs="Arial" w:eastAsia="Arial" w:hAnsi="Arial"/>
          <w:sz w:val="18"/>
          <w:szCs w:val="18"/>
          <w:color w:val="auto"/>
        </w:rPr>
      </w:pPr>
      <w:r>
        <w:rPr>
          <w:rFonts w:ascii="Arial" w:cs="Arial" w:eastAsia="Arial" w:hAnsi="Arial"/>
          <w:sz w:val="18"/>
          <w:szCs w:val="18"/>
          <w:color w:val="auto"/>
        </w:rPr>
        <w:t>demonstrated to the satisfaction of the Agent that the aggregate contracted Earnings of the Ships (which shall, for the purposes of this clause 30.21, not include Earnings in connection with any charter commitment entered into pursuant to clause 22.7(a)(iii)(</w:t>
      </w:r>
      <w:r>
        <w:rPr>
          <w:rFonts w:ascii="Arial" w:cs="Arial" w:eastAsia="Arial" w:hAnsi="Arial"/>
          <w:sz w:val="18"/>
          <w:szCs w:val="18"/>
          <w:i w:val="1"/>
          <w:iCs w:val="1"/>
          <w:color w:val="auto"/>
        </w:rPr>
        <w:t>Chartering</w:t>
      </w:r>
      <w:r>
        <w:rPr>
          <w:rFonts w:ascii="Arial" w:cs="Arial" w:eastAsia="Arial" w:hAnsi="Arial"/>
          <w:sz w:val="18"/>
          <w:szCs w:val="18"/>
          <w:color w:val="auto"/>
        </w:rPr>
        <w:t>)) shall be sufficient to cover the aggregate of the operating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8" w:name="page279"/>
    <w:bookmarkEnd w:id="278"/>
    <w:p>
      <w:pPr>
        <w:jc w:val="both"/>
        <w:ind w:left="1540"/>
        <w:spacing w:after="0" w:line="238" w:lineRule="auto"/>
        <w:rPr>
          <w:sz w:val="20"/>
          <w:szCs w:val="20"/>
          <w:color w:val="auto"/>
        </w:rPr>
      </w:pPr>
      <w:r>
        <w:rPr>
          <w:rFonts w:ascii="Arial" w:cs="Arial" w:eastAsia="Arial" w:hAnsi="Arial"/>
          <w:sz w:val="18"/>
          <w:szCs w:val="18"/>
          <w:color w:val="auto"/>
        </w:rPr>
        <w:t xml:space="preserve">costs of the Ships and the amounts payable under the Finance Documents until the Ship A Charter was scheduled to expire (the </w:t>
      </w:r>
      <w:r>
        <w:rPr>
          <w:rFonts w:ascii="Arial" w:cs="Arial" w:eastAsia="Arial" w:hAnsi="Arial"/>
          <w:sz w:val="18"/>
          <w:szCs w:val="18"/>
          <w:b w:val="1"/>
          <w:bCs w:val="1"/>
          <w:color w:val="auto"/>
        </w:rPr>
        <w:t>Ship A Charter Expiry</w:t>
      </w:r>
      <w:r>
        <w:rPr>
          <w:rFonts w:ascii="Arial" w:cs="Arial" w:eastAsia="Arial" w:hAnsi="Arial"/>
          <w:sz w:val="18"/>
          <w:szCs w:val="18"/>
          <w:color w:val="auto"/>
        </w:rPr>
        <w:t>) but if during the period from when this paragraph (ii) applies and the Ship A Charter Expiry the aggregate contracted Earnings of the Ships as demonstrated to the Agent are no longer sufficient to cover the aggregate of the operating costs of the Ships and the amounts payable under the Finance Documents until the Ship A Charter was scheduled to expire, then the Borrowers shall prepay the Loan in full in accordance with paragraph (i)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30.22 Hedging Contracts</w:t>
      </w:r>
    </w:p>
    <w:p>
      <w:pPr>
        <w:spacing w:after="0" w:line="220" w:lineRule="exact"/>
        <w:rPr>
          <w:sz w:val="20"/>
          <w:szCs w:val="20"/>
          <w:color w:val="auto"/>
        </w:rPr>
      </w:pPr>
    </w:p>
    <w:p>
      <w:pPr>
        <w:ind w:left="1020" w:hanging="512"/>
        <w:spacing w:after="0" w:line="246" w:lineRule="auto"/>
        <w:tabs>
          <w:tab w:leader="none" w:pos="1084" w:val="left"/>
        </w:tabs>
        <w:numPr>
          <w:ilvl w:val="0"/>
          <w:numId w:val="738"/>
        </w:numPr>
        <w:rPr>
          <w:rFonts w:ascii="Arial" w:cs="Arial" w:eastAsia="Arial" w:hAnsi="Arial"/>
          <w:sz w:val="18"/>
          <w:szCs w:val="18"/>
          <w:color w:val="auto"/>
        </w:rPr>
      </w:pPr>
      <w:r>
        <w:rPr>
          <w:rFonts w:ascii="Arial" w:cs="Arial" w:eastAsia="Arial" w:hAnsi="Arial"/>
          <w:sz w:val="18"/>
          <w:szCs w:val="18"/>
          <w:color w:val="auto"/>
        </w:rPr>
        <w:t>An Event of Default or Potential Event of Default (in each case as defined any Hedging Master Agreement) has occurred and is continuing under any Hedging Contract.</w:t>
      </w:r>
    </w:p>
    <w:p>
      <w:pPr>
        <w:spacing w:after="0" w:line="183" w:lineRule="exact"/>
        <w:rPr>
          <w:rFonts w:ascii="Arial" w:cs="Arial" w:eastAsia="Arial" w:hAnsi="Arial"/>
          <w:sz w:val="18"/>
          <w:szCs w:val="18"/>
          <w:color w:val="auto"/>
        </w:rPr>
      </w:pPr>
    </w:p>
    <w:p>
      <w:pPr>
        <w:jc w:val="both"/>
        <w:ind w:left="1020" w:right="20" w:hanging="512"/>
        <w:spacing w:after="0"/>
        <w:tabs>
          <w:tab w:leader="none" w:pos="1192" w:val="left"/>
        </w:tabs>
        <w:numPr>
          <w:ilvl w:val="0"/>
          <w:numId w:val="738"/>
        </w:numPr>
        <w:rPr>
          <w:rFonts w:ascii="Arial" w:cs="Arial" w:eastAsia="Arial" w:hAnsi="Arial"/>
          <w:sz w:val="18"/>
          <w:szCs w:val="18"/>
          <w:color w:val="auto"/>
        </w:rPr>
      </w:pPr>
      <w:r>
        <w:rPr>
          <w:rFonts w:ascii="Arial" w:cs="Arial" w:eastAsia="Arial" w:hAnsi="Arial"/>
          <w:sz w:val="18"/>
          <w:szCs w:val="18"/>
          <w:color w:val="auto"/>
        </w:rPr>
        <w:t>An Early Termination Date (as defined in any Hedging Master Agreement) has occurred or been or become capable of being effectively designated under any Hedging Contract as a result of an Event of Default or Potential Event of Default caused by a Borrower.</w:t>
      </w:r>
    </w:p>
    <w:p>
      <w:pPr>
        <w:spacing w:after="0" w:line="189" w:lineRule="exact"/>
        <w:rPr>
          <w:rFonts w:ascii="Arial" w:cs="Arial" w:eastAsia="Arial" w:hAnsi="Arial"/>
          <w:sz w:val="18"/>
          <w:szCs w:val="18"/>
          <w:color w:val="auto"/>
        </w:rPr>
      </w:pPr>
    </w:p>
    <w:p>
      <w:pPr>
        <w:jc w:val="both"/>
        <w:ind w:left="1020" w:right="20" w:hanging="512"/>
        <w:spacing w:after="0"/>
        <w:tabs>
          <w:tab w:leader="none" w:pos="106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 xml:space="preserve">A person entitled to do so gives notice of such an Early Termination Date under any Hedging Contract as a result of an Event of Default or Potential Event of Default caused by a Borrower except with approval or as may be required by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20" w:hanging="512"/>
        <w:spacing w:after="0"/>
        <w:tabs>
          <w:tab w:leader="none" w:pos="103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Any Hedging Contract is terminated, cancelled, suspended, rescinded or revoked or otherwise ceases to remain in full force and effect following an Event of Default or Potential Event of Default caused by the Borrower unless approved, required under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 or permitted under clause 29.7 (</w:t>
      </w:r>
      <w:r>
        <w:rPr>
          <w:rFonts w:ascii="Arial" w:cs="Arial" w:eastAsia="Arial" w:hAnsi="Arial"/>
          <w:sz w:val="18"/>
          <w:szCs w:val="18"/>
          <w:i w:val="1"/>
          <w:iCs w:val="1"/>
          <w:color w:val="auto"/>
        </w:rPr>
        <w:t>Termination of Hedging Contracts by Borrowers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30.23 Acceleration</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On and at any time after the occurrence of an Event of Default which is continuing the Agent shall, if so directed by the Majority Lenders, by notice to the Borrowers:</w:t>
      </w:r>
    </w:p>
    <w:p>
      <w:pPr>
        <w:spacing w:after="0" w:line="183" w:lineRule="exact"/>
        <w:rPr>
          <w:sz w:val="20"/>
          <w:szCs w:val="20"/>
          <w:color w:val="auto"/>
        </w:rPr>
      </w:pPr>
    </w:p>
    <w:p>
      <w:pPr>
        <w:ind w:left="1060" w:hanging="552"/>
        <w:spacing w:after="0"/>
        <w:tabs>
          <w:tab w:leader="none" w:pos="106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198" w:lineRule="exact"/>
        <w:rPr>
          <w:rFonts w:ascii="Arial" w:cs="Arial" w:eastAsia="Arial" w:hAnsi="Arial"/>
          <w:sz w:val="18"/>
          <w:szCs w:val="18"/>
          <w:color w:val="auto"/>
        </w:rPr>
      </w:pPr>
    </w:p>
    <w:p>
      <w:pPr>
        <w:ind w:left="1020" w:hanging="512"/>
        <w:spacing w:after="0" w:line="246" w:lineRule="auto"/>
        <w:tabs>
          <w:tab w:leader="none" w:pos="13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declare that all or part of the Loan, together with accrued interest, and all other amounts accrued or outstanding under the Finance Documents be immediately due and payable, at which time they shall become immediately due and payable; and/or</w:t>
      </w:r>
    </w:p>
    <w:p>
      <w:pPr>
        <w:spacing w:after="0" w:line="183" w:lineRule="exact"/>
        <w:rPr>
          <w:rFonts w:ascii="Arial" w:cs="Arial" w:eastAsia="Arial" w:hAnsi="Arial"/>
          <w:sz w:val="18"/>
          <w:szCs w:val="18"/>
          <w:color w:val="auto"/>
        </w:rPr>
      </w:pPr>
    </w:p>
    <w:p>
      <w:pPr>
        <w:ind w:left="1020" w:hanging="512"/>
        <w:spacing w:after="0" w:line="246" w:lineRule="auto"/>
        <w:tabs>
          <w:tab w:leader="none" w:pos="1074"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declare that all or part of the Loan be payable on demand, at which time they shall immediately become payable on demand by the Agent on the instructions of the Majority Lenders; and/or</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138" w:val="left"/>
        </w:tabs>
        <w:numPr>
          <w:ilvl w:val="0"/>
          <w:numId w:val="739"/>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31 Position of Hedging Provider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9" w:name="page280"/>
    <w:bookmarkEnd w:id="279"/>
    <w:p>
      <w:pPr>
        <w:jc w:val="both"/>
        <w:ind w:left="520"/>
        <w:spacing w:after="0"/>
        <w:rPr>
          <w:sz w:val="20"/>
          <w:szCs w:val="20"/>
          <w:color w:val="auto"/>
        </w:rPr>
      </w:pPr>
      <w:r>
        <w:rPr>
          <w:rFonts w:ascii="Arial" w:cs="Arial" w:eastAsia="Arial" w:hAnsi="Arial"/>
          <w:sz w:val="18"/>
          <w:szCs w:val="18"/>
          <w:color w:val="auto"/>
        </w:rPr>
        <w:t>Each Hedging Provider is a Finance Party and, as such, will be entitled to share in the Trust Property in respect of any liabilities of the Obligors under the Hedging Contracts with such Hedging Provider in the manner and to the extent contemplated by the Finance Documents.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b w:val="1"/>
          <w:bCs w:val="1"/>
          <w:color w:val="auto"/>
        </w:rPr>
        <w:t>No voting rights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Hedging Provider shall be entitled to vote on any matter where a decision of the Lenders alone is required under this Agreement, whether before or after the termination or close out of the Hedging Contracts with such Hedging Provider, provided that each Hedging Provider shall be entitled to vote on any matter where a decision of all the Finance Parties is expressly required.</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Acceleration and enforcement of security</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Neither the Agent nor the Security Agent nor any other beneficiary of the Security Documents shall be obliged, in connection with any action taken or proposed to be taken under or pursuant to clause 30 (</w:t>
      </w:r>
      <w:r>
        <w:rPr>
          <w:rFonts w:ascii="Arial" w:cs="Arial" w:eastAsia="Arial" w:hAnsi="Arial"/>
          <w:sz w:val="18"/>
          <w:szCs w:val="18"/>
          <w:i w:val="1"/>
          <w:iCs w:val="1"/>
          <w:color w:val="auto"/>
        </w:rPr>
        <w:t>Events of Default</w:t>
      </w:r>
      <w:r>
        <w:rPr>
          <w:rFonts w:ascii="Arial" w:cs="Arial" w:eastAsia="Arial" w:hAnsi="Arial"/>
          <w:sz w:val="18"/>
          <w:szCs w:val="18"/>
          <w:color w:val="auto"/>
        </w:rPr>
        <w:t>) or pursuant to the other Finance Documents, to have any regard to the requirements or interests of the Hedging Provider except to the extent that the relevant Hedging Provider is also a Lender.</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Close out of Hedging Contracts</w:t>
      </w:r>
    </w:p>
    <w:p>
      <w:pPr>
        <w:spacing w:after="0" w:line="220" w:lineRule="exact"/>
        <w:rPr>
          <w:sz w:val="20"/>
          <w:szCs w:val="20"/>
          <w:color w:val="auto"/>
        </w:rPr>
      </w:pPr>
    </w:p>
    <w:p>
      <w:pPr>
        <w:jc w:val="both"/>
        <w:ind w:left="1020" w:hanging="512"/>
        <w:spacing w:after="0" w:line="238" w:lineRule="auto"/>
        <w:tabs>
          <w:tab w:leader="none" w:pos="1395"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The Parties agree that at any time on and after any Event of Default the Agent (acting on the instructions of the Majority Lenders) shall be entitled, by notice in writing to a Hedging Provider, to instruct such Hedging Provider to terminate and close out any Hedging Transactions (or part thereof) with the relevant Hedging Provider. The relevant Hedging Provider will (and shall be entitled to) terminate and close out the relevant Hedging Transactions (or parts thereof) and/or the relevant Hedging Contracts in accordance with such notice immediately upon receipt of such notice.</w:t>
      </w:r>
    </w:p>
    <w:p>
      <w:pPr>
        <w:spacing w:after="0" w:line="188" w:lineRule="exact"/>
        <w:rPr>
          <w:rFonts w:ascii="Arial" w:cs="Arial" w:eastAsia="Arial" w:hAnsi="Arial"/>
          <w:sz w:val="18"/>
          <w:szCs w:val="18"/>
          <w:color w:val="auto"/>
        </w:rPr>
      </w:pPr>
    </w:p>
    <w:p>
      <w:pPr>
        <w:jc w:val="both"/>
        <w:ind w:left="1020" w:hanging="512"/>
        <w:spacing w:after="0" w:line="238" w:lineRule="auto"/>
        <w:tabs>
          <w:tab w:leader="none" w:pos="130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Neither the Security Agent nor any Lender shall have the right to instruct a Hedging Provider to close out or terminate any Hedging Transaction save as provided in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 or where such Hedging Provider is expressly permitted to close out or terminate any Hedging Transaction in accordance with the relevant Hedging Contract and each Hedging Provider agrees that it shall not close out or terminate any Hedging Transaction save as provided in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 or as expressly permitted under the relevant Hedging Contract.</w:t>
      </w:r>
    </w:p>
    <w:p>
      <w:pPr>
        <w:spacing w:after="0" w:line="188" w:lineRule="exact"/>
        <w:rPr>
          <w:rFonts w:ascii="Arial" w:cs="Arial" w:eastAsia="Arial" w:hAnsi="Arial"/>
          <w:sz w:val="18"/>
          <w:szCs w:val="18"/>
          <w:color w:val="auto"/>
        </w:rPr>
      </w:pPr>
    </w:p>
    <w:p>
      <w:pPr>
        <w:jc w:val="both"/>
        <w:ind w:left="1020" w:hanging="512"/>
        <w:spacing w:after="0" w:line="238" w:lineRule="auto"/>
        <w:tabs>
          <w:tab w:leader="none" w:pos="1141" w:val="left"/>
        </w:tabs>
        <w:numPr>
          <w:ilvl w:val="0"/>
          <w:numId w:val="740"/>
        </w:numPr>
        <w:rPr>
          <w:rFonts w:ascii="Arial" w:cs="Arial" w:eastAsia="Arial" w:hAnsi="Arial"/>
          <w:sz w:val="18"/>
          <w:szCs w:val="18"/>
          <w:color w:val="auto"/>
        </w:rPr>
      </w:pPr>
      <w:r>
        <w:rPr>
          <w:rFonts w:ascii="Arial" w:cs="Arial" w:eastAsia="Arial" w:hAnsi="Arial"/>
          <w:sz w:val="18"/>
          <w:szCs w:val="18"/>
          <w:color w:val="auto"/>
        </w:rPr>
        <w:t>If there is a net amount payable to any Borrower under a Hedging Transaction or a Hedging Contract upon its termination and close out as a result of the occurrence of an Event of Default or the Agent taking any action under clause 30.23(</w:t>
      </w:r>
      <w:r>
        <w:rPr>
          <w:rFonts w:ascii="Arial" w:cs="Arial" w:eastAsia="Arial" w:hAnsi="Arial"/>
          <w:sz w:val="18"/>
          <w:szCs w:val="18"/>
          <w:i w:val="1"/>
          <w:iCs w:val="1"/>
          <w:color w:val="auto"/>
        </w:rPr>
        <w:t>Acceleration</w:t>
      </w:r>
      <w:r>
        <w:rPr>
          <w:rFonts w:ascii="Arial" w:cs="Arial" w:eastAsia="Arial" w:hAnsi="Arial"/>
          <w:sz w:val="18"/>
          <w:szCs w:val="18"/>
          <w:color w:val="auto"/>
        </w:rPr>
        <w:t xml:space="preserve">), the relevant Hedging Provider shall forthwith pay that net amount (together with interest earned on such amount) to the Security Agent for application in accordance with clause 34.24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020" w:hanging="512"/>
        <w:spacing w:after="0" w:line="246" w:lineRule="auto"/>
        <w:tabs>
          <w:tab w:leader="none" w:pos="103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No Hedging Provider (in any capacity) shall set-off any net amount against or exercise any right of combination in respect of any other claim it has against a Borrower.</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32 Changes to the Lenders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Assignments by the Lenders</w:t>
      </w:r>
    </w:p>
    <w:p>
      <w:pPr>
        <w:spacing w:after="0" w:line="198"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 xml:space="preserve">Subject to this clause 31,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Conditions of assignment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0" w:name="page281"/>
    <w:bookmarkEnd w:id="280"/>
    <w:p>
      <w:pPr>
        <w:ind w:left="560" w:hanging="552"/>
        <w:spacing w:after="0"/>
        <w:tabs>
          <w:tab w:leader="none" w:pos="56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prior written consent of the Borrowers is required:</w:t>
      </w:r>
    </w:p>
    <w:p>
      <w:pPr>
        <w:spacing w:after="0" w:line="198" w:lineRule="exact"/>
        <w:rPr>
          <w:rFonts w:ascii="Arial" w:cs="Arial" w:eastAsia="Arial" w:hAnsi="Arial"/>
          <w:sz w:val="18"/>
          <w:szCs w:val="18"/>
          <w:color w:val="auto"/>
        </w:rPr>
      </w:pPr>
    </w:p>
    <w:p>
      <w:pPr>
        <w:jc w:val="both"/>
        <w:ind w:left="1040" w:hanging="511"/>
        <w:spacing w:after="0"/>
        <w:tabs>
          <w:tab w:leader="none" w:pos="1094" w:val="left"/>
        </w:tabs>
        <w:numPr>
          <w:ilvl w:val="1"/>
          <w:numId w:val="741"/>
        </w:numPr>
        <w:rPr>
          <w:rFonts w:ascii="Arial" w:cs="Arial" w:eastAsia="Arial" w:hAnsi="Arial"/>
          <w:sz w:val="18"/>
          <w:szCs w:val="18"/>
          <w:color w:val="auto"/>
        </w:rPr>
      </w:pPr>
      <w:r>
        <w:rPr>
          <w:rFonts w:ascii="Arial" w:cs="Arial" w:eastAsia="Arial" w:hAnsi="Arial"/>
          <w:sz w:val="18"/>
          <w:szCs w:val="18"/>
          <w:color w:val="auto"/>
        </w:rPr>
        <w:t>for an assignment by a Lender prior to the earlier of (i) utilisation of a facility in an amount of approximately $576,887,500 to be made available to Subsidiaries of GasLog by a syndicate of banks led by, among others, ABN AMRO Bank N.V., Citigroup Global Markets Limited and Nordea Bank Abp, filial i Norge and (ii) 30 September 2020; and</w:t>
      </w:r>
    </w:p>
    <w:p>
      <w:pPr>
        <w:spacing w:after="0" w:line="189" w:lineRule="exact"/>
        <w:rPr>
          <w:rFonts w:ascii="Arial" w:cs="Arial" w:eastAsia="Arial" w:hAnsi="Arial"/>
          <w:sz w:val="18"/>
          <w:szCs w:val="18"/>
          <w:color w:val="auto"/>
        </w:rPr>
      </w:pPr>
    </w:p>
    <w:p>
      <w:pPr>
        <w:ind w:left="1060" w:hanging="531"/>
        <w:spacing w:after="0"/>
        <w:tabs>
          <w:tab w:leader="none" w:pos="1060" w:val="left"/>
        </w:tabs>
        <w:numPr>
          <w:ilvl w:val="1"/>
          <w:numId w:val="741"/>
        </w:numPr>
        <w:rPr>
          <w:rFonts w:ascii="Arial" w:cs="Arial" w:eastAsia="Arial" w:hAnsi="Arial"/>
          <w:sz w:val="18"/>
          <w:szCs w:val="18"/>
          <w:color w:val="auto"/>
        </w:rPr>
      </w:pPr>
      <w:r>
        <w:rPr>
          <w:rFonts w:ascii="Arial" w:cs="Arial" w:eastAsia="Arial" w:hAnsi="Arial"/>
          <w:sz w:val="18"/>
          <w:szCs w:val="18"/>
          <w:color w:val="auto"/>
        </w:rPr>
        <w:t>for an assignment to a fund which is not a Related Fund,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an Event of Default is continuing.</w:t>
      </w:r>
    </w:p>
    <w:p>
      <w:pPr>
        <w:spacing w:after="0" w:line="198" w:lineRule="exact"/>
        <w:rPr>
          <w:sz w:val="20"/>
          <w:szCs w:val="20"/>
          <w:color w:val="auto"/>
        </w:rPr>
      </w:pPr>
    </w:p>
    <w:p>
      <w:pPr>
        <w:ind w:left="520" w:hanging="512"/>
        <w:spacing w:after="0" w:line="246" w:lineRule="auto"/>
        <w:tabs>
          <w:tab w:leader="none" w:pos="53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The Borrowers’ consent may not be unreasonably withheld or delayed and will be deemed to have been given ten (10) Business Days after the Lender has requested consent unless consent is expressly refused within that time.</w:t>
      </w:r>
    </w:p>
    <w:p>
      <w:pPr>
        <w:spacing w:after="0" w:line="183" w:lineRule="exact"/>
        <w:rPr>
          <w:rFonts w:ascii="Arial" w:cs="Arial" w:eastAsia="Arial" w:hAnsi="Arial"/>
          <w:sz w:val="18"/>
          <w:szCs w:val="18"/>
          <w:color w:val="auto"/>
        </w:rPr>
      </w:pPr>
    </w:p>
    <w:p>
      <w:pPr>
        <w:jc w:val="both"/>
        <w:ind w:left="520" w:hanging="512"/>
        <w:spacing w:after="0" w:line="236" w:lineRule="auto"/>
        <w:tabs>
          <w:tab w:leader="none" w:pos="776" w:val="left"/>
        </w:tabs>
        <w:numPr>
          <w:ilvl w:val="0"/>
          <w:numId w:val="742"/>
        </w:numPr>
        <w:rPr>
          <w:rFonts w:ascii="Arial" w:cs="Arial" w:eastAsia="Arial" w:hAnsi="Arial"/>
          <w:sz w:val="18"/>
          <w:szCs w:val="18"/>
          <w:color w:val="auto"/>
        </w:rPr>
      </w:pPr>
      <w:r>
        <w:rPr>
          <w:rFonts w:ascii="Arial" w:cs="Arial" w:eastAsia="Arial" w:hAnsi="Arial"/>
          <w:sz w:val="18"/>
          <w:szCs w:val="18"/>
          <w:color w:val="auto"/>
        </w:rPr>
        <w:t xml:space="preserve">Subject to paragraph (a) above prior consultation with the Borrowers for a period of no more than five (5) Business Days is required for an assignment by a Lender, unless (i) the assignment is to another Lender or an Affiliate of a Lender or to a fund which is a Related Fund of that Lender or (ii) the assignment is made when an Event of Default is continuing. The Agent will immediately advise the Parent of the assignment. Save where an Event of Default is continuing, </w:t>
      </w:r>
      <w:r>
        <w:rPr>
          <w:rFonts w:ascii="Arial" w:cs="Arial" w:eastAsia="Arial" w:hAnsi="Arial"/>
          <w:sz w:val="18"/>
          <w:szCs w:val="18"/>
          <w:color w:val="1F497D"/>
        </w:rPr>
        <w:t>t</w:t>
      </w:r>
      <w:r>
        <w:rPr>
          <w:rFonts w:ascii="Arial" w:cs="Arial" w:eastAsia="Arial" w:hAnsi="Arial"/>
          <w:sz w:val="18"/>
          <w:szCs w:val="18"/>
          <w:color w:val="auto"/>
        </w:rPr>
        <w:t>he Lender which is proposing to assign all (but not part) of its participation in the Facility shall, subject to the proviso hereto, use commercially reasonable efforts (if required by the Borrowers) to procure the transfer of any Hedging Transactions to which it is a party to the proposed assignee of such participation, any other Lender or to a third party bank or financial institution proposed by the Borrowers, provided always that such Lender has a commercial relationship for trading of derivatives transactions and/or has in place agreed derivatives documentation or electronic platform with such proposed assignee, any such other Lenders or such third party bank.</w:t>
      </w:r>
    </w:p>
    <w:p>
      <w:pPr>
        <w:spacing w:after="0" w:line="192" w:lineRule="exact"/>
        <w:rPr>
          <w:rFonts w:ascii="Arial" w:cs="Arial" w:eastAsia="Arial" w:hAnsi="Arial"/>
          <w:sz w:val="18"/>
          <w:szCs w:val="18"/>
          <w:color w:val="auto"/>
        </w:rPr>
      </w:pPr>
    </w:p>
    <w:p>
      <w:pPr>
        <w:ind w:left="540" w:hanging="532"/>
        <w:spacing w:after="0"/>
        <w:tabs>
          <w:tab w:leader="none" w:pos="54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198" w:lineRule="exact"/>
        <w:rPr>
          <w:rFonts w:ascii="Arial" w:cs="Arial" w:eastAsia="Arial" w:hAnsi="Arial"/>
          <w:sz w:val="18"/>
          <w:szCs w:val="18"/>
          <w:color w:val="auto"/>
        </w:rPr>
      </w:pPr>
    </w:p>
    <w:p>
      <w:pPr>
        <w:jc w:val="both"/>
        <w:ind w:left="1040" w:hanging="511"/>
        <w:spacing w:after="0"/>
        <w:tabs>
          <w:tab w:leader="none" w:pos="1067" w:val="left"/>
        </w:tabs>
        <w:numPr>
          <w:ilvl w:val="1"/>
          <w:numId w:val="742"/>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Borrowers and the other Finance Parties as it would have been under if it was the Existing Lender;</w:t>
      </w:r>
    </w:p>
    <w:p>
      <w:pPr>
        <w:spacing w:after="0" w:line="189" w:lineRule="exact"/>
        <w:rPr>
          <w:rFonts w:ascii="Arial" w:cs="Arial" w:eastAsia="Arial" w:hAnsi="Arial"/>
          <w:sz w:val="18"/>
          <w:szCs w:val="18"/>
          <w:color w:val="auto"/>
        </w:rPr>
      </w:pPr>
    </w:p>
    <w:p>
      <w:pPr>
        <w:jc w:val="both"/>
        <w:ind w:left="1040" w:hanging="511"/>
        <w:spacing w:after="0"/>
        <w:tabs>
          <w:tab w:leader="none" w:pos="1296" w:val="left"/>
        </w:tabs>
        <w:numPr>
          <w:ilvl w:val="1"/>
          <w:numId w:val="742"/>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189" w:lineRule="exact"/>
        <w:rPr>
          <w:rFonts w:ascii="Arial" w:cs="Arial" w:eastAsia="Arial" w:hAnsi="Arial"/>
          <w:sz w:val="18"/>
          <w:szCs w:val="18"/>
          <w:color w:val="auto"/>
        </w:rPr>
      </w:pPr>
    </w:p>
    <w:p>
      <w:pPr>
        <w:jc w:val="both"/>
        <w:ind w:left="1040" w:hanging="511"/>
        <w:spacing w:after="0"/>
        <w:tabs>
          <w:tab w:leader="none" w:pos="1107" w:val="left"/>
        </w:tabs>
        <w:numPr>
          <w:ilvl w:val="1"/>
          <w:numId w:val="742"/>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 and</w:t>
      </w:r>
    </w:p>
    <w:p>
      <w:pPr>
        <w:spacing w:after="0" w:line="189" w:lineRule="exact"/>
        <w:rPr>
          <w:rFonts w:ascii="Arial" w:cs="Arial" w:eastAsia="Arial" w:hAnsi="Arial"/>
          <w:sz w:val="18"/>
          <w:szCs w:val="18"/>
          <w:color w:val="auto"/>
        </w:rPr>
      </w:pPr>
    </w:p>
    <w:p>
      <w:pPr>
        <w:jc w:val="both"/>
        <w:ind w:left="1040" w:hanging="511"/>
        <w:spacing w:after="0"/>
        <w:tabs>
          <w:tab w:leader="none" w:pos="1076" w:val="left"/>
        </w:tabs>
        <w:numPr>
          <w:ilvl w:val="1"/>
          <w:numId w:val="742"/>
        </w:numPr>
        <w:rPr>
          <w:rFonts w:ascii="Arial" w:cs="Arial" w:eastAsia="Arial" w:hAnsi="Arial"/>
          <w:sz w:val="18"/>
          <w:szCs w:val="18"/>
          <w:color w:val="auto"/>
        </w:rPr>
      </w:pPr>
      <w:r>
        <w:rPr>
          <w:rFonts w:ascii="Arial" w:cs="Arial" w:eastAsia="Arial" w:hAnsi="Arial"/>
          <w:sz w:val="18"/>
          <w:szCs w:val="18"/>
          <w:color w:val="auto"/>
        </w:rPr>
        <w:t>if an assignment takes effect after there has been a Utilisation, the assignment of an Existing Lender’s participation in the Utilisations (if any) under the Facility shall take effect in respect of the same fraction of each such Utilisation under the Facility;</w:t>
      </w:r>
    </w:p>
    <w:p>
      <w:pPr>
        <w:spacing w:after="0" w:line="189" w:lineRule="exact"/>
        <w:rPr>
          <w:rFonts w:ascii="Arial" w:cs="Arial" w:eastAsia="Arial" w:hAnsi="Arial"/>
          <w:sz w:val="18"/>
          <w:szCs w:val="18"/>
          <w:color w:val="auto"/>
        </w:rPr>
      </w:pPr>
    </w:p>
    <w:p>
      <w:pPr>
        <w:ind w:left="1040" w:hanging="511"/>
        <w:spacing w:after="0"/>
        <w:tabs>
          <w:tab w:leader="none" w:pos="1040" w:val="left"/>
        </w:tabs>
        <w:numPr>
          <w:ilvl w:val="1"/>
          <w:numId w:val="742"/>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the Facility; and</w:t>
      </w:r>
    </w:p>
    <w:p>
      <w:pPr>
        <w:spacing w:after="0" w:line="198" w:lineRule="exact"/>
        <w:rPr>
          <w:rFonts w:ascii="Arial" w:cs="Arial" w:eastAsia="Arial" w:hAnsi="Arial"/>
          <w:sz w:val="18"/>
          <w:szCs w:val="18"/>
          <w:color w:val="auto"/>
        </w:rPr>
      </w:pPr>
    </w:p>
    <w:p>
      <w:pPr>
        <w:jc w:val="both"/>
        <w:ind w:left="1040" w:hanging="511"/>
        <w:spacing w:after="0"/>
        <w:tabs>
          <w:tab w:leader="none" w:pos="1603" w:val="left"/>
        </w:tabs>
        <w:numPr>
          <w:ilvl w:val="1"/>
          <w:numId w:val="742"/>
        </w:numPr>
        <w:rPr>
          <w:rFonts w:ascii="Arial" w:cs="Arial" w:eastAsia="Arial" w:hAnsi="Arial"/>
          <w:sz w:val="18"/>
          <w:szCs w:val="18"/>
          <w:color w:val="auto"/>
        </w:rPr>
      </w:pPr>
      <w:r>
        <w:rPr>
          <w:rFonts w:ascii="Arial" w:cs="Arial" w:eastAsia="Arial" w:hAnsi="Arial"/>
          <w:sz w:val="18"/>
          <w:szCs w:val="18"/>
          <w:color w:val="auto"/>
        </w:rPr>
        <w:t>(save for an assignment where the consent of the Borrowers and the Active Guarantors is not required under clause 32.2(a)) if the total amount of participations and Commitments of the Existing Lender being assigned is not less than $10,000,000 (or its entire participations and Commitments if lower than $10,000,000).</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81" w:name="page282"/>
    <w:bookmarkEnd w:id="281"/>
    <w:p>
      <w:pPr>
        <w:jc w:val="both"/>
        <w:ind w:left="1020" w:hanging="512"/>
        <w:spacing w:after="0" w:line="238" w:lineRule="auto"/>
        <w:tabs>
          <w:tab w:leader="none" w:pos="1368" w:val="left"/>
        </w:tabs>
        <w:numPr>
          <w:ilvl w:val="0"/>
          <w:numId w:val="743"/>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188" w:lineRule="exact"/>
        <w:rPr>
          <w:rFonts w:ascii="Arial" w:cs="Arial" w:eastAsia="Arial" w:hAnsi="Arial"/>
          <w:sz w:val="18"/>
          <w:szCs w:val="18"/>
          <w:color w:val="auto"/>
        </w:rPr>
      </w:pPr>
    </w:p>
    <w:p>
      <w:pPr>
        <w:ind w:left="1020" w:hanging="512"/>
        <w:spacing w:after="0"/>
        <w:tabs>
          <w:tab w:leader="none" w:pos="102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540" w:hanging="511"/>
        <w:spacing w:after="0" w:line="246" w:lineRule="auto"/>
        <w:tabs>
          <w:tab w:leader="none" w:pos="1594" w:val="left"/>
        </w:tabs>
        <w:numPr>
          <w:ilvl w:val="1"/>
          <w:numId w:val="743"/>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83" w:lineRule="exact"/>
        <w:rPr>
          <w:rFonts w:ascii="Arial" w:cs="Arial" w:eastAsia="Arial" w:hAnsi="Arial"/>
          <w:sz w:val="18"/>
          <w:szCs w:val="18"/>
          <w:color w:val="auto"/>
        </w:rPr>
      </w:pPr>
    </w:p>
    <w:p>
      <w:pPr>
        <w:jc w:val="both"/>
        <w:ind w:left="1540" w:hanging="511"/>
        <w:spacing w:after="0"/>
        <w:tabs>
          <w:tab w:leader="none" w:pos="1634" w:val="left"/>
        </w:tabs>
        <w:numPr>
          <w:ilvl w:val="1"/>
          <w:numId w:val="743"/>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89"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32.3</w:t>
        <w:tab/>
        <w:t>Fee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b w:val="1"/>
          <w:bCs w:val="1"/>
          <w:color w:val="auto"/>
        </w:rPr>
        <w:t>Limitation of responsibility of Existing Lenders</w:t>
      </w:r>
    </w:p>
    <w:p>
      <w:pPr>
        <w:spacing w:after="0" w:line="220" w:lineRule="exact"/>
        <w:rPr>
          <w:sz w:val="20"/>
          <w:szCs w:val="20"/>
          <w:color w:val="auto"/>
        </w:rPr>
      </w:pPr>
    </w:p>
    <w:p>
      <w:pPr>
        <w:ind w:left="1020" w:hanging="512"/>
        <w:spacing w:after="0" w:line="246" w:lineRule="auto"/>
        <w:tabs>
          <w:tab w:leader="none" w:pos="1044" w:val="left"/>
        </w:tabs>
        <w:numPr>
          <w:ilvl w:val="0"/>
          <w:numId w:val="744"/>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74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44"/>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198" w:lineRule="exact"/>
        <w:rPr>
          <w:rFonts w:ascii="Arial" w:cs="Arial" w:eastAsia="Arial" w:hAnsi="Arial"/>
          <w:sz w:val="18"/>
          <w:szCs w:val="18"/>
          <w:color w:val="auto"/>
        </w:rPr>
      </w:pPr>
    </w:p>
    <w:p>
      <w:pPr>
        <w:ind w:left="1540" w:hanging="511"/>
        <w:spacing w:after="0" w:line="246" w:lineRule="auto"/>
        <w:tabs>
          <w:tab w:leader="none" w:pos="1661" w:val="left"/>
        </w:tabs>
        <w:numPr>
          <w:ilvl w:val="1"/>
          <w:numId w:val="744"/>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752" w:val="left"/>
        </w:tabs>
        <w:numPr>
          <w:ilvl w:val="1"/>
          <w:numId w:val="744"/>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 or</w:t>
      </w:r>
    </w:p>
    <w:p>
      <w:pPr>
        <w:spacing w:after="0" w:line="183" w:lineRule="exact"/>
        <w:rPr>
          <w:rFonts w:ascii="Arial" w:cs="Arial" w:eastAsia="Arial" w:hAnsi="Arial"/>
          <w:sz w:val="18"/>
          <w:szCs w:val="18"/>
          <w:color w:val="auto"/>
        </w:rPr>
      </w:pPr>
    </w:p>
    <w:p>
      <w:pPr>
        <w:ind w:left="1540" w:hanging="511"/>
        <w:spacing w:after="0" w:line="246" w:lineRule="auto"/>
        <w:tabs>
          <w:tab w:leader="none" w:pos="1779" w:val="left"/>
        </w:tabs>
        <w:numPr>
          <w:ilvl w:val="1"/>
          <w:numId w:val="744"/>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98" w:lineRule="exact"/>
        <w:rPr>
          <w:sz w:val="20"/>
          <w:szCs w:val="20"/>
          <w:color w:val="auto"/>
        </w:rPr>
      </w:pPr>
    </w:p>
    <w:p>
      <w:pPr>
        <w:ind w:left="1040" w:hanging="532"/>
        <w:spacing w:after="0"/>
        <w:tabs>
          <w:tab w:leader="none" w:pos="104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45"/>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198" w:lineRule="exact"/>
        <w:rPr>
          <w:sz w:val="20"/>
          <w:szCs w:val="20"/>
          <w:color w:val="auto"/>
        </w:rPr>
      </w:pPr>
    </w:p>
    <w:p>
      <w:pPr>
        <w:ind w:left="2040" w:right="20" w:hanging="501"/>
        <w:spacing w:after="0" w:line="246" w:lineRule="auto"/>
        <w:tabs>
          <w:tab w:leader="none" w:pos="2107" w:val="left"/>
        </w:tabs>
        <w:numPr>
          <w:ilvl w:val="0"/>
          <w:numId w:val="746"/>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2" w:name="page283"/>
    <w:bookmarkEnd w:id="282"/>
    <w:p>
      <w:pPr>
        <w:ind w:left="2040" w:right="20" w:hanging="501"/>
        <w:spacing w:after="0" w:line="246" w:lineRule="auto"/>
        <w:tabs>
          <w:tab w:leader="none" w:pos="2364"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83"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83" w:lineRule="exact"/>
        <w:rPr>
          <w:sz w:val="20"/>
          <w:szCs w:val="20"/>
          <w:color w:val="auto"/>
        </w:rPr>
      </w:pPr>
    </w:p>
    <w:p>
      <w:pPr>
        <w:ind w:left="1540" w:hanging="511"/>
        <w:spacing w:after="0" w:line="246" w:lineRule="auto"/>
        <w:tabs>
          <w:tab w:leader="none" w:pos="1580" w:val="left"/>
        </w:tabs>
        <w:numPr>
          <w:ilvl w:val="1"/>
          <w:numId w:val="748"/>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83"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748"/>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32; or</w:t>
      </w:r>
    </w:p>
    <w:p>
      <w:pPr>
        <w:spacing w:after="0" w:line="198" w:lineRule="exact"/>
        <w:rPr>
          <w:rFonts w:ascii="Arial" w:cs="Arial" w:eastAsia="Arial" w:hAnsi="Arial"/>
          <w:sz w:val="18"/>
          <w:szCs w:val="18"/>
          <w:color w:val="auto"/>
        </w:rPr>
      </w:pPr>
    </w:p>
    <w:p>
      <w:pPr>
        <w:jc w:val="both"/>
        <w:ind w:left="1540" w:hanging="511"/>
        <w:spacing w:after="0"/>
        <w:tabs>
          <w:tab w:leader="none" w:pos="1607" w:val="left"/>
        </w:tabs>
        <w:numPr>
          <w:ilvl w:val="1"/>
          <w:numId w:val="749"/>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7"/>
          <w:szCs w:val="17"/>
          <w:b w:val="1"/>
          <w:bCs w:val="1"/>
          <w:color w:val="auto"/>
        </w:rPr>
        <w:t>Procedure for assignment</w:t>
      </w:r>
    </w:p>
    <w:p>
      <w:pPr>
        <w:spacing w:after="0" w:line="202" w:lineRule="exact"/>
        <w:rPr>
          <w:sz w:val="20"/>
          <w:szCs w:val="20"/>
          <w:color w:val="auto"/>
        </w:rPr>
      </w:pPr>
    </w:p>
    <w:p>
      <w:pPr>
        <w:jc w:val="both"/>
        <w:ind w:left="1020" w:hanging="512"/>
        <w:spacing w:after="0" w:line="238" w:lineRule="auto"/>
        <w:tabs>
          <w:tab w:leader="none" w:pos="1152" w:val="left"/>
        </w:tabs>
        <w:numPr>
          <w:ilvl w:val="0"/>
          <w:numId w:val="750"/>
        </w:numPr>
        <w:rPr>
          <w:rFonts w:ascii="Arial" w:cs="Arial" w:eastAsia="Arial" w:hAnsi="Arial"/>
          <w:sz w:val="18"/>
          <w:szCs w:val="18"/>
          <w:color w:val="auto"/>
        </w:rPr>
      </w:pPr>
      <w:r>
        <w:rPr>
          <w:rFonts w:ascii="Arial" w:cs="Arial" w:eastAsia="Arial" w:hAnsi="Arial"/>
          <w:sz w:val="18"/>
          <w:szCs w:val="18"/>
          <w:color w:val="auto"/>
        </w:rPr>
        <w:t>Subject to the conditions set out in clause 32.2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 clause 32.5(d) below when (a) the Agent executes an otherwise duly completed Transfer Certificate and (b) the Agent executes any document required under clause 32.2(d)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which it may be necessary for it to execute in each case delivered to it by the Existing Lender and the New Lender duly executed by them and, in the case of any such other document, any other relevant person. The Agent shall, subject to clause 32.5(b)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195" w:lineRule="exact"/>
        <w:rPr>
          <w:rFonts w:ascii="Arial" w:cs="Arial" w:eastAsia="Arial" w:hAnsi="Arial"/>
          <w:sz w:val="18"/>
          <w:szCs w:val="18"/>
          <w:color w:val="auto"/>
        </w:rPr>
      </w:pPr>
    </w:p>
    <w:p>
      <w:pPr>
        <w:jc w:val="both"/>
        <w:ind w:left="1020" w:hanging="512"/>
        <w:spacing w:after="0"/>
        <w:tabs>
          <w:tab w:leader="none" w:pos="103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89" w:lineRule="exact"/>
        <w:rPr>
          <w:rFonts w:ascii="Arial" w:cs="Arial" w:eastAsia="Arial" w:hAnsi="Arial"/>
          <w:sz w:val="18"/>
          <w:szCs w:val="18"/>
          <w:color w:val="auto"/>
        </w:rPr>
      </w:pPr>
    </w:p>
    <w:p>
      <w:pPr>
        <w:ind w:left="1020" w:hanging="512"/>
        <w:spacing w:after="0" w:line="246" w:lineRule="auto"/>
        <w:tabs>
          <w:tab w:leader="none" w:pos="1168"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65" w:lineRule="exact"/>
        <w:rPr>
          <w:rFonts w:ascii="Arial" w:cs="Arial" w:eastAsia="Arial" w:hAnsi="Arial"/>
          <w:sz w:val="18"/>
          <w:szCs w:val="18"/>
          <w:color w:val="auto"/>
        </w:rPr>
      </w:pPr>
    </w:p>
    <w:p>
      <w:pPr>
        <w:ind w:left="1040" w:hanging="532"/>
        <w:spacing w:after="0"/>
        <w:tabs>
          <w:tab w:leader="none" w:pos="104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Subject to clause 32.8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16" w:lineRule="exact"/>
        <w:rPr>
          <w:rFonts w:ascii="Arial" w:cs="Arial" w:eastAsia="Arial" w:hAnsi="Arial"/>
          <w:sz w:val="18"/>
          <w:szCs w:val="18"/>
          <w:color w:val="auto"/>
        </w:rPr>
      </w:pPr>
    </w:p>
    <w:p>
      <w:pPr>
        <w:ind w:left="1540" w:hanging="511"/>
        <w:spacing w:after="0" w:line="246" w:lineRule="auto"/>
        <w:tabs>
          <w:tab w:leader="none" w:pos="1554" w:val="left"/>
        </w:tabs>
        <w:numPr>
          <w:ilvl w:val="1"/>
          <w:numId w:val="750"/>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83" w:lineRule="exact"/>
        <w:rPr>
          <w:rFonts w:ascii="Arial" w:cs="Arial" w:eastAsia="Arial" w:hAnsi="Arial"/>
          <w:sz w:val="18"/>
          <w:szCs w:val="18"/>
          <w:color w:val="auto"/>
        </w:rPr>
      </w:pPr>
    </w:p>
    <w:p>
      <w:pPr>
        <w:jc w:val="both"/>
        <w:ind w:left="1540" w:hanging="511"/>
        <w:spacing w:after="0"/>
        <w:tabs>
          <w:tab w:leader="none" w:pos="1702" w:val="left"/>
        </w:tabs>
        <w:numPr>
          <w:ilvl w:val="1"/>
          <w:numId w:val="750"/>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Transfer Certificate (but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owed by the Obligors under the Finance Documents shall not be released);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3" w:name="page284"/>
    <w:bookmarkEnd w:id="283"/>
    <w:p>
      <w:pPr>
        <w:ind w:left="1540" w:hanging="511"/>
        <w:spacing w:after="0" w:line="246" w:lineRule="auto"/>
        <w:tabs>
          <w:tab w:leader="none" w:pos="1904" w:val="left"/>
        </w:tabs>
        <w:numPr>
          <w:ilvl w:val="1"/>
          <w:numId w:val="751"/>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65" w:lineRule="exact"/>
        <w:rPr>
          <w:rFonts w:ascii="Arial" w:cs="Arial" w:eastAsia="Arial" w:hAnsi="Arial"/>
          <w:sz w:val="18"/>
          <w:szCs w:val="18"/>
          <w:color w:val="auto"/>
        </w:rPr>
      </w:pPr>
    </w:p>
    <w:p>
      <w:pPr>
        <w:jc w:val="both"/>
        <w:ind w:left="1020" w:hanging="512"/>
        <w:spacing w:after="0" w:line="242" w:lineRule="auto"/>
        <w:tabs>
          <w:tab w:leader="none" w:pos="124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32.5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assign their rights under the Finance Documents (but not, without the consent of the relevant Obligor or unless in accordance with clauses 32.5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obtain a release by that Obligor from the obligations owed to that Obligor by the Lenders nor the assumption of equivalent obligations by a New Lender) provided that they comply with the conditions set out in clause 32.2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b w:val="1"/>
          <w:bCs w:val="1"/>
          <w:color w:val="auto"/>
        </w:rPr>
        <w:t>Copy of Transfer Certificate to Borrowers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Agent shall, as soon as reasonably practicable after it has executed a Transfer Certificate and any other document required under clause 32.2(d)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send a copy of that Transfer Certificate and such other documents to the Borrowers.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32.7</w:t>
        <w:tab/>
        <w:t>Security over Lenders’ rights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In addition to the other rights provided to Lenders under this clause 32.7,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189" w:lineRule="exact"/>
        <w:rPr>
          <w:sz w:val="20"/>
          <w:szCs w:val="20"/>
          <w:color w:val="auto"/>
        </w:rPr>
      </w:pPr>
    </w:p>
    <w:p>
      <w:pPr>
        <w:ind w:left="1060" w:hanging="552"/>
        <w:spacing w:after="0"/>
        <w:tabs>
          <w:tab w:leader="none" w:pos="106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98" w:lineRule="exact"/>
        <w:rPr>
          <w:rFonts w:ascii="Arial" w:cs="Arial" w:eastAsia="Arial" w:hAnsi="Arial"/>
          <w:sz w:val="18"/>
          <w:szCs w:val="18"/>
          <w:color w:val="auto"/>
        </w:rPr>
      </w:pPr>
    </w:p>
    <w:p>
      <w:pPr>
        <w:jc w:val="both"/>
        <w:ind w:left="1020" w:hanging="512"/>
        <w:spacing w:after="0"/>
        <w:tabs>
          <w:tab w:leader="none" w:pos="1125" w:val="left"/>
        </w:tabs>
        <w:numPr>
          <w:ilvl w:val="0"/>
          <w:numId w:val="753"/>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except that no such charge, assignment or Security Interest shall:</w:t>
      </w:r>
    </w:p>
    <w:p>
      <w:pPr>
        <w:spacing w:after="0" w:line="198" w:lineRule="exact"/>
        <w:rPr>
          <w:sz w:val="20"/>
          <w:szCs w:val="20"/>
          <w:color w:val="auto"/>
        </w:rPr>
      </w:pPr>
    </w:p>
    <w:p>
      <w:pPr>
        <w:ind w:left="1540" w:hanging="511"/>
        <w:spacing w:after="0" w:line="246" w:lineRule="auto"/>
        <w:tabs>
          <w:tab w:leader="none" w:pos="175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83" w:lineRule="exact"/>
        <w:rPr>
          <w:rFonts w:ascii="Arial" w:cs="Arial" w:eastAsia="Arial" w:hAnsi="Arial"/>
          <w:sz w:val="18"/>
          <w:szCs w:val="18"/>
          <w:color w:val="auto"/>
        </w:rPr>
      </w:pPr>
    </w:p>
    <w:p>
      <w:pPr>
        <w:ind w:left="1540" w:hanging="511"/>
        <w:spacing w:after="0" w:line="246" w:lineRule="auto"/>
        <w:tabs>
          <w:tab w:leader="none" w:pos="1729" w:val="left"/>
        </w:tabs>
        <w:numPr>
          <w:ilvl w:val="0"/>
          <w:numId w:val="754"/>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32.8</w:t>
        <w:tab/>
        <w:t>Pro rata interest settlement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 clause 32.5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89" w:lineRule="exact"/>
        <w:rPr>
          <w:sz w:val="20"/>
          <w:szCs w:val="20"/>
          <w:color w:val="auto"/>
        </w:rPr>
      </w:pPr>
    </w:p>
    <w:p>
      <w:pPr>
        <w:jc w:val="both"/>
        <w:ind w:left="1020" w:hanging="512"/>
        <w:spacing w:after="0" w:line="238" w:lineRule="auto"/>
        <w:tabs>
          <w:tab w:leader="none" w:pos="108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(6) months, on the next of the dates which falls at six monthly intervals after the first day of that Interest Period); and</w:t>
      </w:r>
    </w:p>
    <w:p>
      <w:pPr>
        <w:spacing w:after="0" w:line="188" w:lineRule="exact"/>
        <w:rPr>
          <w:rFonts w:ascii="Arial" w:cs="Arial" w:eastAsia="Arial" w:hAnsi="Arial"/>
          <w:sz w:val="18"/>
          <w:szCs w:val="18"/>
          <w:color w:val="auto"/>
        </w:rPr>
      </w:pPr>
    </w:p>
    <w:p>
      <w:pPr>
        <w:ind w:left="1020" w:hanging="512"/>
        <w:spacing w:after="0" w:line="246" w:lineRule="auto"/>
        <w:tabs>
          <w:tab w:leader="none" w:pos="1327" w:val="left"/>
        </w:tabs>
        <w:numPr>
          <w:ilvl w:val="0"/>
          <w:numId w:val="755"/>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4" w:name="page285"/>
    <w:bookmarkEnd w:id="284"/>
    <w:p>
      <w:pPr>
        <w:ind w:left="1560" w:hanging="531"/>
        <w:spacing w:after="0"/>
        <w:tabs>
          <w:tab w:leader="none" w:pos="156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98" w:lineRule="exact"/>
        <w:rPr>
          <w:rFonts w:ascii="Arial" w:cs="Arial" w:eastAsia="Arial" w:hAnsi="Arial"/>
          <w:sz w:val="18"/>
          <w:szCs w:val="18"/>
          <w:color w:val="auto"/>
        </w:rPr>
      </w:pPr>
    </w:p>
    <w:p>
      <w:pPr>
        <w:ind w:left="1540" w:hanging="511"/>
        <w:spacing w:after="0" w:line="246" w:lineRule="auto"/>
        <w:tabs>
          <w:tab w:leader="none" w:pos="1918" w:val="left"/>
        </w:tabs>
        <w:numPr>
          <w:ilvl w:val="0"/>
          <w:numId w:val="756"/>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32.8, have been payable to it on that date, but after deduction of the Accrued Amounts.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33 Changes to the Obligors/Restriction on Debt Purchase Transactions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7"/>
          <w:szCs w:val="17"/>
          <w:b w:val="1"/>
          <w:bCs w:val="1"/>
          <w:color w:val="auto"/>
        </w:rPr>
        <w:t>Changes to the Obligors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Prohibition on Debt Purchase Transactions by the Group or the Parent Group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Obligors shall not, and each Guarantor shall procure that each Group Member and each Parent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b w:val="1"/>
          <w:bCs w:val="1"/>
          <w:color w:val="auto"/>
        </w:rPr>
        <w:t>Disenfranchisement of Debt Purchase Transactions entered into by Affiliates</w:t>
      </w:r>
    </w:p>
    <w:p>
      <w:pPr>
        <w:spacing w:after="0" w:line="220" w:lineRule="exact"/>
        <w:rPr>
          <w:sz w:val="20"/>
          <w:szCs w:val="20"/>
          <w:color w:val="auto"/>
        </w:rPr>
      </w:pPr>
    </w:p>
    <w:p>
      <w:pPr>
        <w:jc w:val="both"/>
        <w:ind w:left="1020" w:hanging="512"/>
        <w:spacing w:after="0"/>
        <w:tabs>
          <w:tab w:leader="none" w:pos="1381" w:val="left"/>
        </w:tabs>
        <w:numPr>
          <w:ilvl w:val="0"/>
          <w:numId w:val="757"/>
        </w:numPr>
        <w:rPr>
          <w:rFonts w:ascii="Arial" w:cs="Arial" w:eastAsia="Arial" w:hAnsi="Arial"/>
          <w:sz w:val="18"/>
          <w:szCs w:val="18"/>
          <w:color w:val="auto"/>
        </w:rPr>
      </w:pPr>
      <w:r>
        <w:rPr>
          <w:rFonts w:ascii="Arial" w:cs="Arial" w:eastAsia="Arial" w:hAnsi="Arial"/>
          <w:sz w:val="18"/>
          <w:szCs w:val="18"/>
          <w:color w:val="auto"/>
        </w:rPr>
        <w:t>For so long as a Parent Affiliate (i) beneficially owns a Commitment or (ii) has entered into a sub-participation agreement relating to a Commitment or other agreement or arrangement having a substantially similar economic effect and such agreement or arrangement has not been terminated:</w:t>
      </w:r>
    </w:p>
    <w:p>
      <w:pPr>
        <w:spacing w:after="0" w:line="189" w:lineRule="exact"/>
        <w:rPr>
          <w:rFonts w:ascii="Arial" w:cs="Arial" w:eastAsia="Arial" w:hAnsi="Arial"/>
          <w:sz w:val="18"/>
          <w:szCs w:val="18"/>
          <w:color w:val="auto"/>
        </w:rPr>
      </w:pPr>
    </w:p>
    <w:p>
      <w:pPr>
        <w:jc w:val="both"/>
        <w:ind w:left="1540" w:hanging="511"/>
        <w:spacing w:after="0" w:line="238" w:lineRule="auto"/>
        <w:tabs>
          <w:tab w:leader="none" w:pos="1581" w:val="left"/>
        </w:tabs>
        <w:numPr>
          <w:ilvl w:val="1"/>
          <w:numId w:val="757"/>
        </w:numPr>
        <w:rPr>
          <w:rFonts w:ascii="Arial" w:cs="Arial" w:eastAsia="Arial" w:hAnsi="Arial"/>
          <w:sz w:val="18"/>
          <w:szCs w:val="18"/>
          <w:color w:val="auto"/>
        </w:rPr>
      </w:pPr>
      <w:r>
        <w:rPr>
          <w:rFonts w:ascii="Arial" w:cs="Arial" w:eastAsia="Arial" w:hAnsi="Arial"/>
          <w:sz w:val="18"/>
          <w:szCs w:val="18"/>
          <w:color w:val="auto"/>
        </w:rPr>
        <w:t>in ascertaining the Majority Lenders or whether any given percentage (including, for the avoidance of doubt, unanimity) of the Total Commitments or any agreement of any specified group of Lenders (whether Majority Lenders, all Lenders or otherwise) has been obtained to approve any request for a consent, waiver, amendment or other vote under the Finance Documents, such Commitment shall be deemed to be zero; and</w:t>
      </w:r>
    </w:p>
    <w:p>
      <w:pPr>
        <w:spacing w:after="0" w:line="173" w:lineRule="exact"/>
        <w:rPr>
          <w:rFonts w:ascii="Arial" w:cs="Arial" w:eastAsia="Arial" w:hAnsi="Arial"/>
          <w:sz w:val="18"/>
          <w:szCs w:val="18"/>
          <w:color w:val="auto"/>
        </w:rPr>
      </w:pPr>
    </w:p>
    <w:p>
      <w:pPr>
        <w:jc w:val="both"/>
        <w:ind w:left="1540" w:hanging="511"/>
        <w:spacing w:after="0" w:line="245" w:lineRule="auto"/>
        <w:tabs>
          <w:tab w:leader="none" w:pos="1769" w:val="left"/>
        </w:tabs>
        <w:numPr>
          <w:ilvl w:val="1"/>
          <w:numId w:val="757"/>
        </w:numPr>
        <w:rPr>
          <w:rFonts w:ascii="Arial" w:cs="Arial" w:eastAsia="Arial" w:hAnsi="Arial"/>
          <w:sz w:val="18"/>
          <w:szCs w:val="18"/>
          <w:color w:val="auto"/>
        </w:rPr>
      </w:pPr>
      <w:r>
        <w:rPr>
          <w:rFonts w:ascii="Arial" w:cs="Arial" w:eastAsia="Arial" w:hAnsi="Arial"/>
          <w:sz w:val="18"/>
          <w:szCs w:val="18"/>
          <w:color w:val="auto"/>
        </w:rPr>
        <w:t>for the purposes of clause 43.2 (</w:t>
      </w:r>
      <w:r>
        <w:rPr>
          <w:rFonts w:ascii="Arial" w:cs="Arial" w:eastAsia="Arial" w:hAnsi="Arial"/>
          <w:sz w:val="18"/>
          <w:szCs w:val="18"/>
          <w:i w:val="1"/>
          <w:iCs w:val="1"/>
          <w:color w:val="auto"/>
        </w:rPr>
        <w:t>All Lender matters</w:t>
      </w:r>
      <w:r>
        <w:rPr>
          <w:rFonts w:ascii="Arial" w:cs="Arial" w:eastAsia="Arial" w:hAnsi="Arial"/>
          <w:sz w:val="18"/>
          <w:szCs w:val="18"/>
          <w:color w:val="auto"/>
        </w:rPr>
        <w:t>), such Parent Affiliate or the person with whom it has entered into such sub-participation, other agreement or arrangement shall be deemed not to be a Lender for the purpose of paragraph</w:t>
      </w:r>
    </w:p>
    <w:p>
      <w:pPr>
        <w:ind w:left="1540" w:hanging="1"/>
        <w:spacing w:after="0" w:line="246" w:lineRule="auto"/>
        <w:tabs>
          <w:tab w:leader="none" w:pos="1751" w:val="left"/>
        </w:tabs>
        <w:numPr>
          <w:ilvl w:val="2"/>
          <w:numId w:val="757"/>
        </w:numPr>
        <w:rPr>
          <w:rFonts w:ascii="Arial" w:cs="Arial" w:eastAsia="Arial" w:hAnsi="Arial"/>
          <w:sz w:val="18"/>
          <w:szCs w:val="18"/>
          <w:color w:val="auto"/>
        </w:rPr>
      </w:pPr>
      <w:r>
        <w:rPr>
          <w:rFonts w:ascii="Arial" w:cs="Arial" w:eastAsia="Arial" w:hAnsi="Arial"/>
          <w:sz w:val="18"/>
          <w:szCs w:val="18"/>
          <w:color w:val="auto"/>
        </w:rPr>
        <w:t>above (unless, in the case of a person not being a Parent Affiliate, it is a Lender by virtue otherwise than by beneficially owning the relevant Commitment).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757"/>
        </w:numPr>
        <w:rPr>
          <w:rFonts w:ascii="Arial" w:cs="Arial" w:eastAsia="Arial" w:hAnsi="Arial"/>
          <w:sz w:val="18"/>
          <w:szCs w:val="18"/>
          <w:color w:val="auto"/>
        </w:rPr>
      </w:pPr>
      <w:r>
        <w:rPr>
          <w:rFonts w:ascii="Arial" w:cs="Arial" w:eastAsia="Arial" w:hAnsi="Arial"/>
          <w:sz w:val="18"/>
          <w:szCs w:val="18"/>
          <w:color w:val="auto"/>
        </w:rPr>
        <w:t xml:space="preserve">Each Lender shall, unless such Debt Purchase Transaction is an assignment or transfer, promptly notify the Agent in writing if it knowingly enters into a Debt Purchase Transaction with a Parent Affiliate (a </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such notification to be substantially in the form set out in Part 1 of Schedule 7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020" w:hanging="512"/>
        <w:spacing w:after="0" w:line="246" w:lineRule="auto"/>
        <w:tabs>
          <w:tab w:leader="none" w:pos="1573" w:val="left"/>
        </w:tabs>
        <w:numPr>
          <w:ilvl w:val="0"/>
          <w:numId w:val="757"/>
        </w:numPr>
        <w:rPr>
          <w:rFonts w:ascii="Arial" w:cs="Arial" w:eastAsia="Arial" w:hAnsi="Arial"/>
          <w:sz w:val="18"/>
          <w:szCs w:val="18"/>
          <w:color w:val="auto"/>
        </w:rPr>
      </w:pPr>
      <w:r>
        <w:rPr>
          <w:rFonts w:ascii="Arial" w:cs="Arial" w:eastAsia="Arial" w:hAnsi="Arial"/>
          <w:sz w:val="18"/>
          <w:szCs w:val="18"/>
          <w:color w:val="auto"/>
        </w:rPr>
        <w:t>No Lender shall knowingly enter into any Notifiable Debt Purchase Transaction unless such Notifiable Debt Purchase Transaction relates to the entirety of its Commitment.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A Lender shall promptly notify the Agent if a Notifiable Debt Purchase Transaction to which it is a party:</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57"/>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757"/>
        </w:numPr>
        <w:rPr>
          <w:rFonts w:ascii="Arial" w:cs="Arial" w:eastAsia="Arial" w:hAnsi="Arial"/>
          <w:sz w:val="18"/>
          <w:szCs w:val="18"/>
          <w:color w:val="auto"/>
        </w:rPr>
      </w:pPr>
      <w:r>
        <w:rPr>
          <w:rFonts w:ascii="Arial" w:cs="Arial" w:eastAsia="Arial" w:hAnsi="Arial"/>
          <w:sz w:val="18"/>
          <w:szCs w:val="18"/>
          <w:color w:val="auto"/>
        </w:rPr>
        <w:t>ceases to be with a Parent Affiliate,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5" w:name="page286"/>
    <w:bookmarkEnd w:id="285"/>
    <w:p>
      <w:pPr>
        <w:ind w:left="1020"/>
        <w:spacing w:after="0" w:line="267" w:lineRule="auto"/>
        <w:rPr>
          <w:sz w:val="20"/>
          <w:szCs w:val="20"/>
          <w:color w:val="auto"/>
        </w:rPr>
      </w:pPr>
      <w:r>
        <w:rPr>
          <w:rFonts w:ascii="Arial" w:cs="Arial" w:eastAsia="Arial" w:hAnsi="Arial"/>
          <w:sz w:val="18"/>
          <w:szCs w:val="18"/>
          <w:color w:val="auto"/>
        </w:rPr>
        <w:t>such notification to be substantially in the form set out in Schedule 7, Part 2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178" w:lineRule="exact"/>
        <w:rPr>
          <w:sz w:val="20"/>
          <w:szCs w:val="20"/>
          <w:color w:val="auto"/>
        </w:rPr>
      </w:pPr>
    </w:p>
    <w:p>
      <w:pPr>
        <w:ind w:left="1040" w:hanging="532"/>
        <w:spacing w:after="0"/>
        <w:tabs>
          <w:tab w:leader="none" w:pos="104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Each Parent Affiliate that is a Lender agrees that:</w:t>
      </w:r>
    </w:p>
    <w:p>
      <w:pPr>
        <w:spacing w:after="0" w:line="211" w:lineRule="exact"/>
        <w:rPr>
          <w:rFonts w:ascii="Arial" w:cs="Arial" w:eastAsia="Arial" w:hAnsi="Arial"/>
          <w:sz w:val="18"/>
          <w:szCs w:val="18"/>
          <w:color w:val="auto"/>
        </w:rPr>
      </w:pPr>
    </w:p>
    <w:p>
      <w:pPr>
        <w:jc w:val="both"/>
        <w:ind w:left="1540" w:right="20" w:hanging="511"/>
        <w:spacing w:after="0"/>
        <w:tabs>
          <w:tab w:leader="none" w:pos="1560" w:val="left"/>
        </w:tabs>
        <w:numPr>
          <w:ilvl w:val="1"/>
          <w:numId w:val="758"/>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202" w:lineRule="exact"/>
        <w:rPr>
          <w:rFonts w:ascii="Arial" w:cs="Arial" w:eastAsia="Arial" w:hAnsi="Arial"/>
          <w:sz w:val="18"/>
          <w:szCs w:val="18"/>
          <w:color w:val="auto"/>
        </w:rPr>
      </w:pPr>
    </w:p>
    <w:p>
      <w:pPr>
        <w:jc w:val="both"/>
        <w:ind w:left="1540" w:hanging="511"/>
        <w:spacing w:after="0" w:line="238" w:lineRule="auto"/>
        <w:tabs>
          <w:tab w:leader="none" w:pos="1751" w:val="left"/>
        </w:tabs>
        <w:numPr>
          <w:ilvl w:val="1"/>
          <w:numId w:val="758"/>
        </w:numPr>
        <w:rPr>
          <w:rFonts w:ascii="Arial" w:cs="Arial" w:eastAsia="Arial" w:hAnsi="Arial"/>
          <w:sz w:val="18"/>
          <w:szCs w:val="18"/>
          <w:color w:val="auto"/>
        </w:rPr>
      </w:pPr>
      <w:r>
        <w:rPr>
          <w:rFonts w:ascii="Arial" w:cs="Arial" w:eastAsia="Arial" w:hAnsi="Arial"/>
          <w:sz w:val="18"/>
          <w:szCs w:val="18"/>
          <w:color w:val="auto"/>
        </w:rPr>
        <w:t>in its capacity as Lender, unless the Agent otherwise agrees, it shall not be entitled to receive any report or other document prepared at the behest of, or on the instructions of or addressed to, the Agent or one or more of the Lenders. For the avoidance of doubt the only information the Lender is entitled to receive are operational notices for that Lender in connection with their Commitment.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7"/>
          <w:szCs w:val="17"/>
          <w:b w:val="1"/>
          <w:bCs w:val="1"/>
          <w:color w:val="auto"/>
        </w:rPr>
        <w:t>Parent Affiliates’ notification to other Lenders of Debt Purchase Transactions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Any Parent Affiliate which is or becomes a Lender and which enters into a Debt Purchase Transaction as a purchaser or a participant shall, by 5.00 pm on the Business Day following the day on which it entered into the Debt Purchase Transaction, notify the Agent of the extent of the Commitment(s) or amount outstanding to which that Debt Purchase Transaction relates. The Agent shall promptly disclose such information to the Lenders.</w:t>
      </w:r>
    </w:p>
    <w:p>
      <w:pPr>
        <w:spacing w:after="0" w:line="210" w:lineRule="exact"/>
        <w:rPr>
          <w:sz w:val="20"/>
          <w:szCs w:val="20"/>
          <w:color w:val="auto"/>
        </w:rPr>
      </w:pPr>
    </w:p>
    <w:p>
      <w:pPr>
        <w:ind w:right="6820" w:firstLine="138"/>
        <w:spacing w:after="0" w:line="455" w:lineRule="auto"/>
        <w:tabs>
          <w:tab w:leader="none" w:pos="485" w:val="left"/>
        </w:tabs>
        <w:numPr>
          <w:ilvl w:val="0"/>
          <w:numId w:val="759"/>
        </w:numPr>
        <w:rPr>
          <w:rFonts w:ascii="Arial" w:cs="Arial" w:eastAsia="Arial" w:hAnsi="Arial"/>
          <w:sz w:val="22"/>
          <w:szCs w:val="22"/>
          <w:b w:val="1"/>
          <w:bCs w:val="1"/>
          <w:color w:val="auto"/>
        </w:rPr>
      </w:pPr>
      <w:r>
        <w:rPr>
          <w:rFonts w:ascii="Arial" w:cs="Arial" w:eastAsia="Arial" w:hAnsi="Arial"/>
          <w:sz w:val="18"/>
          <w:szCs w:val="18"/>
          <w:b w:val="1"/>
          <w:bCs w:val="1"/>
          <w:color w:val="auto"/>
        </w:rPr>
        <w:t>Roles of Agent, Security Agent and Arrangers 34.1 Appointment of the Agent</w:t>
      </w:r>
    </w:p>
    <w:p>
      <w:pPr>
        <w:ind w:left="1020" w:right="20" w:hanging="512"/>
        <w:spacing w:after="0" w:line="246" w:lineRule="auto"/>
        <w:tabs>
          <w:tab w:leader="none" w:pos="1025" w:val="left"/>
        </w:tabs>
        <w:numPr>
          <w:ilvl w:val="1"/>
          <w:numId w:val="759"/>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211" w:lineRule="exact"/>
        <w:rPr>
          <w:rFonts w:ascii="Arial" w:cs="Arial" w:eastAsia="Arial" w:hAnsi="Arial"/>
          <w:sz w:val="18"/>
          <w:szCs w:val="18"/>
          <w:color w:val="auto"/>
        </w:rPr>
      </w:pPr>
    </w:p>
    <w:p>
      <w:pPr>
        <w:jc w:val="both"/>
        <w:ind w:left="1540" w:hanging="511"/>
        <w:spacing w:after="0"/>
        <w:tabs>
          <w:tab w:leader="none" w:pos="1749" w:val="left"/>
        </w:tabs>
        <w:numPr>
          <w:ilvl w:val="2"/>
          <w:numId w:val="759"/>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202" w:lineRule="exact"/>
        <w:rPr>
          <w:rFonts w:ascii="Arial" w:cs="Arial" w:eastAsia="Arial" w:hAnsi="Arial"/>
          <w:sz w:val="18"/>
          <w:szCs w:val="18"/>
          <w:color w:val="auto"/>
        </w:rPr>
      </w:pPr>
    </w:p>
    <w:p>
      <w:pPr>
        <w:ind w:left="1540" w:right="20" w:hanging="511"/>
        <w:spacing w:after="0" w:line="246" w:lineRule="auto"/>
        <w:tabs>
          <w:tab w:leader="none" w:pos="1630" w:val="left"/>
        </w:tabs>
        <w:numPr>
          <w:ilvl w:val="2"/>
          <w:numId w:val="759"/>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Majority Lenders for execution by it.</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164"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The Agent accepts its appointment under clause 34.1(a) as agent for the Finance Parties (for so long as they are Finance Parties) on and subject to the terms of this clause 34, and any Finance Documents to which it is a Party.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7"/>
          <w:szCs w:val="17"/>
          <w:b w:val="1"/>
          <w:bCs w:val="1"/>
          <w:color w:val="auto"/>
        </w:rPr>
        <w:t>Instructions to Agent</w:t>
      </w:r>
    </w:p>
    <w:p>
      <w:pPr>
        <w:spacing w:after="0" w:line="234" w:lineRule="exact"/>
        <w:rPr>
          <w:sz w:val="20"/>
          <w:szCs w:val="20"/>
          <w:color w:val="auto"/>
        </w:rPr>
      </w:pPr>
    </w:p>
    <w:p>
      <w:pPr>
        <w:ind w:left="1040" w:hanging="532"/>
        <w:spacing w:after="0"/>
        <w:tabs>
          <w:tab w:leader="none" w:pos="104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11" w:lineRule="exact"/>
        <w:rPr>
          <w:rFonts w:ascii="Arial" w:cs="Arial" w:eastAsia="Arial" w:hAnsi="Arial"/>
          <w:sz w:val="18"/>
          <w:szCs w:val="18"/>
          <w:color w:val="auto"/>
        </w:rPr>
      </w:pPr>
    </w:p>
    <w:p>
      <w:pPr>
        <w:ind w:left="1540" w:hanging="511"/>
        <w:spacing w:after="0" w:line="246" w:lineRule="auto"/>
        <w:tabs>
          <w:tab w:leader="none" w:pos="1533" w:val="left"/>
        </w:tabs>
        <w:numPr>
          <w:ilvl w:val="1"/>
          <w:numId w:val="760"/>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96" w:lineRule="exact"/>
        <w:rPr>
          <w:rFonts w:ascii="Arial" w:cs="Arial" w:eastAsia="Arial" w:hAnsi="Arial"/>
          <w:sz w:val="18"/>
          <w:szCs w:val="18"/>
          <w:color w:val="auto"/>
        </w:rPr>
      </w:pPr>
    </w:p>
    <w:p>
      <w:pPr>
        <w:ind w:left="2040" w:hanging="501"/>
        <w:spacing w:after="0" w:line="246" w:lineRule="auto"/>
        <w:tabs>
          <w:tab w:leader="none" w:pos="2118" w:val="left"/>
        </w:tabs>
        <w:numPr>
          <w:ilvl w:val="2"/>
          <w:numId w:val="760"/>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760"/>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6" w:name="page287"/>
    <w:bookmarkEnd w:id="286"/>
    <w:p>
      <w:pPr>
        <w:ind w:left="1540" w:hanging="511"/>
        <w:spacing w:after="0"/>
        <w:tabs>
          <w:tab w:leader="none" w:pos="154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34.2(a)(i) above.</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39"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123" w:val="left"/>
        </w:tabs>
        <w:numPr>
          <w:ilvl w:val="0"/>
          <w:numId w:val="762"/>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93"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04" w:lineRule="exact"/>
        <w:rPr>
          <w:rFonts w:ascii="Arial" w:cs="Arial" w:eastAsia="Arial" w:hAnsi="Arial"/>
          <w:sz w:val="18"/>
          <w:szCs w:val="18"/>
          <w:color w:val="auto"/>
        </w:rPr>
      </w:pPr>
    </w:p>
    <w:p>
      <w:pPr>
        <w:ind w:left="1040" w:hanging="532"/>
        <w:spacing w:after="0"/>
        <w:tabs>
          <w:tab w:leader="none" w:pos="104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11" w:lineRule="exact"/>
        <w:rPr>
          <w:rFonts w:ascii="Arial" w:cs="Arial" w:eastAsia="Arial" w:hAnsi="Arial"/>
          <w:sz w:val="18"/>
          <w:szCs w:val="18"/>
          <w:color w:val="auto"/>
        </w:rPr>
      </w:pPr>
    </w:p>
    <w:p>
      <w:pPr>
        <w:jc w:val="both"/>
        <w:ind w:left="1020" w:hanging="512"/>
        <w:spacing w:after="0"/>
        <w:tabs>
          <w:tab w:leader="none" w:pos="1041"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clause 34.2(f) shall not apply to any legal or arbitration proceeding relating to the perfection, preservation or protection of rights under the Security Documents or enforcement of the Security Documents.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7"/>
          <w:szCs w:val="17"/>
          <w:b w:val="1"/>
          <w:bCs w:val="1"/>
          <w:color w:val="auto"/>
        </w:rPr>
        <w:t>Duties of the Agent</w:t>
      </w:r>
    </w:p>
    <w:p>
      <w:pPr>
        <w:spacing w:after="0" w:line="234" w:lineRule="exact"/>
        <w:rPr>
          <w:sz w:val="20"/>
          <w:szCs w:val="20"/>
          <w:color w:val="auto"/>
        </w:rPr>
      </w:pPr>
    </w:p>
    <w:p>
      <w:pPr>
        <w:ind w:left="1040" w:hanging="532"/>
        <w:spacing w:after="0"/>
        <w:tabs>
          <w:tab w:leader="none" w:pos="104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11" w:lineRule="exact"/>
        <w:rPr>
          <w:rFonts w:ascii="Arial" w:cs="Arial" w:eastAsia="Arial" w:hAnsi="Arial"/>
          <w:sz w:val="18"/>
          <w:szCs w:val="18"/>
          <w:color w:val="auto"/>
        </w:rPr>
      </w:pPr>
    </w:p>
    <w:p>
      <w:pPr>
        <w:ind w:left="1020" w:hanging="512"/>
        <w:spacing w:after="0" w:line="246" w:lineRule="auto"/>
        <w:tabs>
          <w:tab w:leader="none" w:pos="1039"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78" w:lineRule="exact"/>
        <w:rPr>
          <w:rFonts w:ascii="Arial" w:cs="Arial" w:eastAsia="Arial" w:hAnsi="Arial"/>
          <w:sz w:val="18"/>
          <w:szCs w:val="18"/>
          <w:color w:val="auto"/>
        </w:rPr>
      </w:pPr>
    </w:p>
    <w:p>
      <w:pPr>
        <w:ind w:left="1020" w:hanging="512"/>
        <w:spacing w:after="0" w:line="267" w:lineRule="auto"/>
        <w:tabs>
          <w:tab w:leader="none" w:pos="1177" w:val="left"/>
        </w:tabs>
        <w:numPr>
          <w:ilvl w:val="0"/>
          <w:numId w:val="763"/>
        </w:numPr>
        <w:rPr>
          <w:rFonts w:ascii="Arial" w:cs="Arial" w:eastAsia="Arial" w:hAnsi="Arial"/>
          <w:sz w:val="18"/>
          <w:szCs w:val="18"/>
          <w:color w:val="auto"/>
        </w:rPr>
      </w:pPr>
      <w:r>
        <w:rPr>
          <w:rFonts w:ascii="Arial" w:cs="Arial" w:eastAsia="Arial" w:hAnsi="Arial"/>
          <w:sz w:val="18"/>
          <w:szCs w:val="18"/>
          <w:color w:val="auto"/>
        </w:rPr>
        <w:t>Without prejudice to clause 32.6 (</w:t>
      </w:r>
      <w:r>
        <w:rPr>
          <w:rFonts w:ascii="Arial" w:cs="Arial" w:eastAsia="Arial" w:hAnsi="Arial"/>
          <w:sz w:val="18"/>
          <w:szCs w:val="18"/>
          <w:i w:val="1"/>
          <w:iCs w:val="1"/>
          <w:color w:val="auto"/>
        </w:rPr>
        <w:t>Copy of Transfer Certificate to Borrowers</w:t>
      </w:r>
      <w:r>
        <w:rPr>
          <w:rFonts w:ascii="Arial" w:cs="Arial" w:eastAsia="Arial" w:hAnsi="Arial"/>
          <w:sz w:val="18"/>
          <w:szCs w:val="18"/>
          <w:color w:val="auto"/>
        </w:rPr>
        <w:t>), clause 34.3(b) shall not apply to any Transfer Certificate.</w:t>
      </w:r>
    </w:p>
    <w:p>
      <w:pPr>
        <w:spacing w:after="0" w:line="178" w:lineRule="exact"/>
        <w:rPr>
          <w:rFonts w:ascii="Arial" w:cs="Arial" w:eastAsia="Arial" w:hAnsi="Arial"/>
          <w:sz w:val="18"/>
          <w:szCs w:val="18"/>
          <w:color w:val="auto"/>
        </w:rPr>
      </w:pPr>
    </w:p>
    <w:p>
      <w:pPr>
        <w:ind w:left="1020" w:hanging="512"/>
        <w:spacing w:after="0" w:line="246" w:lineRule="auto"/>
        <w:tabs>
          <w:tab w:leader="none" w:pos="1106" w:val="left"/>
        </w:tabs>
        <w:numPr>
          <w:ilvl w:val="0"/>
          <w:numId w:val="763"/>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147" w:val="left"/>
        </w:tabs>
        <w:numPr>
          <w:ilvl w:val="0"/>
          <w:numId w:val="763"/>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96" w:lineRule="exact"/>
        <w:rPr>
          <w:rFonts w:ascii="Arial" w:cs="Arial" w:eastAsia="Arial" w:hAnsi="Arial"/>
          <w:sz w:val="18"/>
          <w:szCs w:val="18"/>
          <w:color w:val="auto"/>
        </w:rPr>
      </w:pPr>
    </w:p>
    <w:p>
      <w:pPr>
        <w:jc w:val="both"/>
        <w:ind w:left="1020" w:hanging="512"/>
        <w:spacing w:after="0"/>
        <w:tabs>
          <w:tab w:leader="none" w:pos="1149" w:val="left"/>
        </w:tabs>
        <w:numPr>
          <w:ilvl w:val="0"/>
          <w:numId w:val="763"/>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202" w:lineRule="exact"/>
        <w:rPr>
          <w:rFonts w:ascii="Arial" w:cs="Arial" w:eastAsia="Arial" w:hAnsi="Arial"/>
          <w:sz w:val="18"/>
          <w:szCs w:val="18"/>
          <w:color w:val="auto"/>
        </w:rPr>
      </w:pPr>
    </w:p>
    <w:p>
      <w:pPr>
        <w:ind w:left="1020" w:hanging="512"/>
        <w:spacing w:after="0" w:line="246" w:lineRule="auto"/>
        <w:tabs>
          <w:tab w:leader="none" w:pos="1025"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7"/>
          <w:szCs w:val="17"/>
          <w:b w:val="1"/>
          <w:bCs w:val="1"/>
          <w:color w:val="auto"/>
        </w:rPr>
        <w:t>Role of the Arrangers, Bookrunners and Structuring and Documentation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7" w:name="page288"/>
    <w:bookmarkEnd w:id="287"/>
    <w:p>
      <w:pPr>
        <w:jc w:val="both"/>
        <w:ind w:left="520"/>
        <w:spacing w:after="0"/>
        <w:rPr>
          <w:sz w:val="20"/>
          <w:szCs w:val="20"/>
          <w:color w:val="auto"/>
        </w:rPr>
      </w:pPr>
      <w:r>
        <w:rPr>
          <w:rFonts w:ascii="Arial" w:cs="Arial" w:eastAsia="Arial" w:hAnsi="Arial"/>
          <w:sz w:val="18"/>
          <w:szCs w:val="18"/>
          <w:color w:val="auto"/>
        </w:rPr>
        <w:t>Except as specifically provided in the Finance Documents, the Arrangers, the Bookrunners and the Structuring and Documentation Bank have no obligations of any kind to any other Party under or in connection with any Finance Document or the transactions contemplated by the Finance Documents.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7"/>
          <w:szCs w:val="17"/>
          <w:b w:val="1"/>
          <w:bCs w:val="1"/>
          <w:color w:val="auto"/>
        </w:rPr>
        <w:t>No fiduciary duties</w:t>
      </w:r>
    </w:p>
    <w:p>
      <w:pPr>
        <w:spacing w:after="0" w:line="234" w:lineRule="exact"/>
        <w:rPr>
          <w:sz w:val="20"/>
          <w:szCs w:val="20"/>
          <w:color w:val="auto"/>
        </w:rPr>
      </w:pPr>
    </w:p>
    <w:p>
      <w:pPr>
        <w:ind w:left="1020" w:hanging="512"/>
        <w:spacing w:after="0" w:line="246" w:lineRule="auto"/>
        <w:tabs>
          <w:tab w:leader="none" w:pos="1066" w:val="left"/>
        </w:tabs>
        <w:numPr>
          <w:ilvl w:val="0"/>
          <w:numId w:val="764"/>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Arrangers, the Bookrunners and the Structuring and Documentation Bank as a trustee or fiduciary of any other person.</w:t>
      </w:r>
    </w:p>
    <w:p>
      <w:pPr>
        <w:spacing w:after="0" w:line="196" w:lineRule="exact"/>
        <w:rPr>
          <w:rFonts w:ascii="Arial" w:cs="Arial" w:eastAsia="Arial" w:hAnsi="Arial"/>
          <w:sz w:val="18"/>
          <w:szCs w:val="18"/>
          <w:color w:val="auto"/>
        </w:rPr>
      </w:pPr>
    </w:p>
    <w:p>
      <w:pPr>
        <w:jc w:val="both"/>
        <w:ind w:left="1020" w:hanging="512"/>
        <w:spacing w:after="0"/>
        <w:tabs>
          <w:tab w:leader="none" w:pos="1068" w:val="left"/>
        </w:tabs>
        <w:numPr>
          <w:ilvl w:val="0"/>
          <w:numId w:val="764"/>
        </w:numPr>
        <w:rPr>
          <w:rFonts w:ascii="Arial" w:cs="Arial" w:eastAsia="Arial" w:hAnsi="Arial"/>
          <w:sz w:val="18"/>
          <w:szCs w:val="18"/>
          <w:color w:val="auto"/>
        </w:rPr>
      </w:pPr>
      <w:r>
        <w:rPr>
          <w:rFonts w:ascii="Arial" w:cs="Arial" w:eastAsia="Arial" w:hAnsi="Arial"/>
          <w:sz w:val="18"/>
          <w:szCs w:val="18"/>
          <w:color w:val="auto"/>
        </w:rPr>
        <w:t>None of the Agent, the Security Agent, the Arrangers, the Bookrunners and the Structuring and Documentation Bank shall be bound to account to any Lender for any sum or the profit element of any sum received by it for its own account or have any obligations to the other Finance Parties beyond those expressly stated in the Finance Documents.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34.6</w:t>
      </w:r>
      <w:r>
        <w:rPr>
          <w:sz w:val="20"/>
          <w:szCs w:val="20"/>
          <w:color w:val="auto"/>
        </w:rPr>
        <w:tab/>
      </w:r>
      <w:r>
        <w:rPr>
          <w:rFonts w:ascii="Arial" w:cs="Arial" w:eastAsia="Arial" w:hAnsi="Arial"/>
          <w:sz w:val="17"/>
          <w:szCs w:val="17"/>
          <w:b w:val="1"/>
          <w:bCs w:val="1"/>
          <w:color w:val="auto"/>
        </w:rPr>
        <w:t>Business with the Group or the Parent Group</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the Security Agent, the Arrangers, the Bookrunners and the Structuring and Documentation Bank may accept deposits from, lend money to and generally engage in any kind of banking or other business with any Obligor or other Group Member or other Parent Group Member or their Affiliates and shall not be obliged to account to the other Finance Parties for any profits.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34.7</w:t>
      </w:r>
      <w:r>
        <w:rPr>
          <w:sz w:val="20"/>
          <w:szCs w:val="20"/>
          <w:color w:val="auto"/>
        </w:rPr>
        <w:tab/>
      </w:r>
      <w:r>
        <w:rPr>
          <w:rFonts w:ascii="Arial" w:cs="Arial" w:eastAsia="Arial" w:hAnsi="Arial"/>
          <w:sz w:val="17"/>
          <w:szCs w:val="17"/>
          <w:b w:val="1"/>
          <w:bCs w:val="1"/>
          <w:color w:val="auto"/>
        </w:rPr>
        <w:t>Rights and discretions of the Agent</w:t>
      </w:r>
    </w:p>
    <w:p>
      <w:pPr>
        <w:spacing w:after="0" w:line="234" w:lineRule="exact"/>
        <w:rPr>
          <w:sz w:val="20"/>
          <w:szCs w:val="20"/>
          <w:color w:val="auto"/>
        </w:rPr>
      </w:pPr>
    </w:p>
    <w:p>
      <w:pPr>
        <w:ind w:left="1040" w:hanging="532"/>
        <w:spacing w:after="0"/>
        <w:tabs>
          <w:tab w:leader="none" w:pos="104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11" w:lineRule="exact"/>
        <w:rPr>
          <w:rFonts w:ascii="Arial" w:cs="Arial" w:eastAsia="Arial" w:hAnsi="Arial"/>
          <w:sz w:val="18"/>
          <w:szCs w:val="18"/>
          <w:color w:val="auto"/>
        </w:rPr>
      </w:pPr>
    </w:p>
    <w:p>
      <w:pPr>
        <w:jc w:val="both"/>
        <w:ind w:left="1540" w:hanging="511"/>
        <w:spacing w:after="0" w:line="238" w:lineRule="auto"/>
        <w:tabs>
          <w:tab w:leader="none" w:pos="1533" w:val="left"/>
        </w:tabs>
        <w:numPr>
          <w:ilvl w:val="1"/>
          <w:numId w:val="765"/>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(including, without limitation, any notice given by a Lender pursuant to clauses 33.3(b) and 33.3(d) (</w:t>
      </w:r>
      <w:r>
        <w:rPr>
          <w:rFonts w:ascii="Arial" w:cs="Arial" w:eastAsia="Arial" w:hAnsi="Arial"/>
          <w:sz w:val="18"/>
          <w:szCs w:val="18"/>
          <w:i w:val="1"/>
          <w:iCs w:val="1"/>
          <w:color w:val="auto"/>
        </w:rPr>
        <w:t>Disenfranchisement on Debt Purchase Transactions entered into by Affiliates</w:t>
      </w:r>
      <w:r>
        <w:rPr>
          <w:rFonts w:ascii="Arial" w:cs="Arial" w:eastAsia="Arial" w:hAnsi="Arial"/>
          <w:sz w:val="18"/>
          <w:szCs w:val="18"/>
          <w:color w:val="auto"/>
        </w:rPr>
        <w: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11" w:lineRule="exact"/>
        <w:rPr>
          <w:rFonts w:ascii="Arial" w:cs="Arial" w:eastAsia="Arial" w:hAnsi="Arial"/>
          <w:sz w:val="18"/>
          <w:szCs w:val="18"/>
          <w:color w:val="auto"/>
        </w:rPr>
      </w:pPr>
    </w:p>
    <w:p>
      <w:pPr>
        <w:ind w:left="2040" w:hanging="501"/>
        <w:spacing w:after="0" w:line="246" w:lineRule="auto"/>
        <w:tabs>
          <w:tab w:leader="none" w:pos="2118" w:val="left"/>
        </w:tabs>
        <w:numPr>
          <w:ilvl w:val="2"/>
          <w:numId w:val="765"/>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765"/>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11" w:lineRule="exact"/>
        <w:rPr>
          <w:rFonts w:ascii="Arial" w:cs="Arial" w:eastAsia="Arial" w:hAnsi="Arial"/>
          <w:sz w:val="18"/>
          <w:szCs w:val="18"/>
          <w:color w:val="auto"/>
        </w:rPr>
      </w:pPr>
    </w:p>
    <w:p>
      <w:pPr>
        <w:ind w:left="2040" w:right="20" w:hanging="501"/>
        <w:spacing w:after="0" w:line="246" w:lineRule="auto"/>
        <w:tabs>
          <w:tab w:leader="none" w:pos="2132" w:val="left"/>
        </w:tabs>
        <w:numPr>
          <w:ilvl w:val="2"/>
          <w:numId w:val="765"/>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765"/>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12"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as sufficient evidence that that is the case and, in the case of paragraph (i) above, may assume the truth and accuracy of that certificate.</w:t>
      </w:r>
    </w:p>
    <w:p>
      <w:pPr>
        <w:spacing w:after="0" w:line="197" w:lineRule="exact"/>
        <w:rPr>
          <w:sz w:val="20"/>
          <w:szCs w:val="20"/>
          <w:color w:val="auto"/>
        </w:rPr>
      </w:pPr>
    </w:p>
    <w:p>
      <w:pPr>
        <w:ind w:left="1040" w:hanging="532"/>
        <w:spacing w:after="0"/>
        <w:tabs>
          <w:tab w:leader="none" w:pos="104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193" w:lineRule="exact"/>
        <w:rPr>
          <w:rFonts w:ascii="Arial" w:cs="Arial" w:eastAsia="Arial" w:hAnsi="Arial"/>
          <w:sz w:val="18"/>
          <w:szCs w:val="18"/>
          <w:color w:val="auto"/>
        </w:rPr>
      </w:pPr>
    </w:p>
    <w:p>
      <w:pPr>
        <w:ind w:left="1540" w:hanging="511"/>
        <w:spacing w:after="0"/>
        <w:tabs>
          <w:tab w:leader="none" w:pos="1540" w:val="left"/>
        </w:tabs>
        <w:numPr>
          <w:ilvl w:val="1"/>
          <w:numId w:val="766"/>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30.1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8" w:name="page289"/>
    <w:bookmarkEnd w:id="288"/>
    <w:p>
      <w:pPr>
        <w:ind w:left="1040" w:hanging="511"/>
        <w:spacing w:after="0" w:line="246" w:lineRule="auto"/>
        <w:tabs>
          <w:tab w:leader="none" w:pos="1089" w:val="left"/>
        </w:tabs>
        <w:numPr>
          <w:ilvl w:val="1"/>
          <w:numId w:val="767"/>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w:t>
      </w:r>
    </w:p>
    <w:p>
      <w:pPr>
        <w:spacing w:after="0" w:line="196" w:lineRule="exact"/>
        <w:rPr>
          <w:rFonts w:ascii="Arial" w:cs="Arial" w:eastAsia="Arial" w:hAnsi="Arial"/>
          <w:sz w:val="18"/>
          <w:szCs w:val="18"/>
          <w:color w:val="auto"/>
        </w:rPr>
      </w:pPr>
    </w:p>
    <w:p>
      <w:pPr>
        <w:ind w:left="1040" w:hanging="511"/>
        <w:spacing w:after="0" w:line="246" w:lineRule="auto"/>
        <w:tabs>
          <w:tab w:leader="none" w:pos="1104" w:val="left"/>
        </w:tabs>
        <w:numPr>
          <w:ilvl w:val="1"/>
          <w:numId w:val="767"/>
        </w:numPr>
        <w:rPr>
          <w:rFonts w:ascii="Arial" w:cs="Arial" w:eastAsia="Arial" w:hAnsi="Arial"/>
          <w:sz w:val="18"/>
          <w:szCs w:val="18"/>
          <w:color w:val="auto"/>
        </w:rPr>
      </w:pPr>
      <w:r>
        <w:rPr>
          <w:rFonts w:ascii="Arial" w:cs="Arial" w:eastAsia="Arial" w:hAnsi="Arial"/>
          <w:sz w:val="18"/>
          <w:szCs w:val="18"/>
          <w:color w:val="auto"/>
        </w:rPr>
        <w:t>any notice or request made by a Borrower (other than a Utilisation Request) is made on behalf of and with the consent and knowledge of all the Obligors; and</w:t>
      </w:r>
    </w:p>
    <w:p>
      <w:pPr>
        <w:spacing w:after="0" w:line="196" w:lineRule="exact"/>
        <w:rPr>
          <w:rFonts w:ascii="Arial" w:cs="Arial" w:eastAsia="Arial" w:hAnsi="Arial"/>
          <w:sz w:val="18"/>
          <w:szCs w:val="18"/>
          <w:color w:val="auto"/>
        </w:rPr>
      </w:pPr>
    </w:p>
    <w:p>
      <w:pPr>
        <w:ind w:left="1040" w:hanging="511"/>
        <w:spacing w:after="0"/>
        <w:tabs>
          <w:tab w:leader="none" w:pos="1040" w:val="left"/>
        </w:tabs>
        <w:numPr>
          <w:ilvl w:val="1"/>
          <w:numId w:val="767"/>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211" w:lineRule="exact"/>
        <w:rPr>
          <w:rFonts w:ascii="Arial" w:cs="Arial" w:eastAsia="Arial" w:hAnsi="Arial"/>
          <w:sz w:val="18"/>
          <w:szCs w:val="18"/>
          <w:color w:val="auto"/>
        </w:rPr>
      </w:pPr>
    </w:p>
    <w:p>
      <w:pPr>
        <w:ind w:left="1540" w:hanging="501"/>
        <w:spacing w:after="0"/>
        <w:tabs>
          <w:tab w:leader="none" w:pos="1540" w:val="left"/>
        </w:tabs>
        <w:numPr>
          <w:ilvl w:val="2"/>
          <w:numId w:val="767"/>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211" w:lineRule="exact"/>
        <w:rPr>
          <w:rFonts w:ascii="Arial" w:cs="Arial" w:eastAsia="Arial" w:hAnsi="Arial"/>
          <w:sz w:val="18"/>
          <w:szCs w:val="18"/>
          <w:color w:val="auto"/>
        </w:rPr>
      </w:pPr>
    </w:p>
    <w:p>
      <w:pPr>
        <w:ind w:left="1540" w:hanging="501"/>
        <w:spacing w:after="0"/>
        <w:tabs>
          <w:tab w:leader="none" w:pos="1540" w:val="left"/>
        </w:tabs>
        <w:numPr>
          <w:ilvl w:val="2"/>
          <w:numId w:val="767"/>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211" w:lineRule="exact"/>
        <w:rPr>
          <w:rFonts w:ascii="Arial" w:cs="Arial" w:eastAsia="Arial" w:hAnsi="Arial"/>
          <w:sz w:val="18"/>
          <w:szCs w:val="18"/>
          <w:color w:val="auto"/>
        </w:rPr>
      </w:pPr>
    </w:p>
    <w:p>
      <w:pPr>
        <w:ind w:left="1560" w:hanging="521"/>
        <w:spacing w:after="0"/>
        <w:tabs>
          <w:tab w:leader="none" w:pos="1560" w:val="left"/>
        </w:tabs>
        <w:numPr>
          <w:ilvl w:val="2"/>
          <w:numId w:val="767"/>
        </w:numPr>
        <w:rPr>
          <w:rFonts w:ascii="Arial" w:cs="Arial" w:eastAsia="Arial" w:hAnsi="Arial"/>
          <w:sz w:val="18"/>
          <w:szCs w:val="18"/>
          <w:color w:val="auto"/>
        </w:rPr>
      </w:pPr>
      <w:r>
        <w:rPr>
          <w:rFonts w:ascii="Arial" w:cs="Arial" w:eastAsia="Arial" w:hAnsi="Arial"/>
          <w:sz w:val="18"/>
          <w:szCs w:val="18"/>
          <w:color w:val="auto"/>
        </w:rPr>
        <w:t>has ceased to be with a Parent Affiliate.</w:t>
      </w:r>
    </w:p>
    <w:p>
      <w:pPr>
        <w:spacing w:after="0" w:line="211" w:lineRule="exact"/>
        <w:rPr>
          <w:rFonts w:ascii="Arial" w:cs="Arial" w:eastAsia="Arial" w:hAnsi="Arial"/>
          <w:sz w:val="18"/>
          <w:szCs w:val="18"/>
          <w:color w:val="auto"/>
        </w:rPr>
      </w:pPr>
    </w:p>
    <w:p>
      <w:pPr>
        <w:ind w:left="520" w:hanging="512"/>
        <w:spacing w:after="0" w:line="246" w:lineRule="auto"/>
        <w:tabs>
          <w:tab w:leader="none" w:pos="718" w:val="left"/>
        </w:tabs>
        <w:numPr>
          <w:ilvl w:val="0"/>
          <w:numId w:val="768"/>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96" w:lineRule="exact"/>
        <w:rPr>
          <w:rFonts w:ascii="Arial" w:cs="Arial" w:eastAsia="Arial" w:hAnsi="Arial"/>
          <w:sz w:val="18"/>
          <w:szCs w:val="18"/>
          <w:color w:val="auto"/>
        </w:rPr>
      </w:pPr>
    </w:p>
    <w:p>
      <w:pPr>
        <w:jc w:val="both"/>
        <w:ind w:left="520" w:hanging="512"/>
        <w:spacing w:after="0"/>
        <w:tabs>
          <w:tab w:leader="none" w:pos="687"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Without prejudice to the generality of clause 34.7(c) or clause 34.7(e),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202" w:lineRule="exact"/>
        <w:rPr>
          <w:rFonts w:ascii="Arial" w:cs="Arial" w:eastAsia="Arial" w:hAnsi="Arial"/>
          <w:sz w:val="18"/>
          <w:szCs w:val="18"/>
          <w:color w:val="auto"/>
        </w:rPr>
      </w:pPr>
    </w:p>
    <w:p>
      <w:pPr>
        <w:jc w:val="both"/>
        <w:ind w:left="520" w:hanging="512"/>
        <w:spacing w:after="0" w:line="237" w:lineRule="auto"/>
        <w:tabs>
          <w:tab w:leader="none" w:pos="741" w:val="left"/>
        </w:tabs>
        <w:numPr>
          <w:ilvl w:val="0"/>
          <w:numId w:val="768"/>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under the provisions of the Finance Documents.</w:t>
      </w:r>
    </w:p>
    <w:p>
      <w:pPr>
        <w:spacing w:after="0" w:line="204" w:lineRule="exact"/>
        <w:rPr>
          <w:rFonts w:ascii="Arial" w:cs="Arial" w:eastAsia="Arial" w:hAnsi="Arial"/>
          <w:sz w:val="18"/>
          <w:szCs w:val="18"/>
          <w:color w:val="auto"/>
        </w:rPr>
      </w:pPr>
    </w:p>
    <w:p>
      <w:pPr>
        <w:ind w:left="520" w:hanging="512"/>
        <w:spacing w:after="0"/>
        <w:tabs>
          <w:tab w:leader="none" w:pos="5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211" w:lineRule="exact"/>
        <w:rPr>
          <w:rFonts w:ascii="Arial" w:cs="Arial" w:eastAsia="Arial" w:hAnsi="Arial"/>
          <w:sz w:val="18"/>
          <w:szCs w:val="18"/>
          <w:color w:val="auto"/>
        </w:rPr>
      </w:pPr>
    </w:p>
    <w:p>
      <w:pPr>
        <w:ind w:left="520" w:hanging="512"/>
        <w:spacing w:after="0" w:line="246" w:lineRule="auto"/>
        <w:tabs>
          <w:tab w:leader="none" w:pos="755" w:val="left"/>
        </w:tabs>
        <w:numPr>
          <w:ilvl w:val="0"/>
          <w:numId w:val="768"/>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6" w:lineRule="exact"/>
        <w:rPr>
          <w:rFonts w:ascii="Arial" w:cs="Arial" w:eastAsia="Arial" w:hAnsi="Arial"/>
          <w:sz w:val="18"/>
          <w:szCs w:val="18"/>
          <w:color w:val="auto"/>
        </w:rPr>
      </w:pPr>
    </w:p>
    <w:p>
      <w:pPr>
        <w:jc w:val="both"/>
        <w:ind w:left="520" w:hanging="512"/>
        <w:spacing w:after="0" w:line="238" w:lineRule="auto"/>
        <w:tabs>
          <w:tab w:leader="none" w:pos="579" w:val="left"/>
        </w:tabs>
        <w:numPr>
          <w:ilvl w:val="0"/>
          <w:numId w:val="768"/>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204" w:lineRule="exact"/>
        <w:rPr>
          <w:rFonts w:ascii="Arial" w:cs="Arial" w:eastAsia="Arial" w:hAnsi="Arial"/>
          <w:sz w:val="18"/>
          <w:szCs w:val="18"/>
          <w:color w:val="auto"/>
        </w:rPr>
      </w:pPr>
    </w:p>
    <w:p>
      <w:pPr>
        <w:jc w:val="both"/>
        <w:ind w:left="520" w:right="20" w:hanging="512"/>
        <w:spacing w:after="0"/>
        <w:tabs>
          <w:tab w:leader="none" w:pos="652" w:val="left"/>
        </w:tabs>
        <w:numPr>
          <w:ilvl w:val="0"/>
          <w:numId w:val="768"/>
        </w:numPr>
        <w:rPr>
          <w:rFonts w:ascii="Arial" w:cs="Arial" w:eastAsia="Arial" w:hAnsi="Arial"/>
          <w:sz w:val="18"/>
          <w:szCs w:val="18"/>
          <w:color w:val="auto"/>
        </w:rPr>
      </w:pPr>
      <w:r>
        <w:rPr>
          <w:rFonts w:ascii="Arial" w:cs="Arial" w:eastAsia="Arial" w:hAnsi="Arial"/>
          <w:sz w:val="18"/>
          <w:szCs w:val="18"/>
          <w:color w:val="auto"/>
        </w:rPr>
        <w:t>Without prejudice to the generality of clause 34.7(h), the Agent may (but is not obliged) disclose the identity of a Defaulting Lender to the other Finance Parties and the Borrowers and the Agent shall disclose the same upon the written request of the Majority Lenders</w:t>
      </w:r>
    </w:p>
    <w:p>
      <w:pPr>
        <w:spacing w:after="0" w:line="202" w:lineRule="exact"/>
        <w:rPr>
          <w:rFonts w:ascii="Arial" w:cs="Arial" w:eastAsia="Arial" w:hAnsi="Arial"/>
          <w:sz w:val="18"/>
          <w:szCs w:val="18"/>
          <w:color w:val="auto"/>
        </w:rPr>
      </w:pPr>
    </w:p>
    <w:p>
      <w:pPr>
        <w:jc w:val="both"/>
        <w:ind w:left="520" w:hanging="512"/>
        <w:spacing w:after="0" w:line="238" w:lineRule="auto"/>
        <w:tabs>
          <w:tab w:leader="none" w:pos="517" w:val="left"/>
        </w:tabs>
        <w:numPr>
          <w:ilvl w:val="0"/>
          <w:numId w:val="768"/>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204" w:lineRule="exact"/>
        <w:rPr>
          <w:rFonts w:ascii="Arial" w:cs="Arial" w:eastAsia="Arial" w:hAnsi="Arial"/>
          <w:sz w:val="18"/>
          <w:szCs w:val="18"/>
          <w:color w:val="auto"/>
        </w:rPr>
      </w:pPr>
    </w:p>
    <w:p>
      <w:pPr>
        <w:jc w:val="both"/>
        <w:ind w:left="520" w:right="20" w:hanging="512"/>
        <w:spacing w:after="0"/>
        <w:tabs>
          <w:tab w:leader="none" w:pos="65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unless so required in writing by a Lender or any Hedging Provider, in which case the Agent shall promptly make the</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55" w:right="339" w:bottom="1440" w:gutter="0" w:footer="0" w:header="0"/>
        </w:sectPr>
      </w:pPr>
    </w:p>
    <w:bookmarkStart w:id="289" w:name="page290"/>
    <w:bookmarkEnd w:id="289"/>
    <w:p>
      <w:pPr>
        <w:ind w:left="1040"/>
        <w:spacing w:after="0"/>
        <w:rPr>
          <w:sz w:val="20"/>
          <w:szCs w:val="20"/>
          <w:color w:val="auto"/>
        </w:rPr>
      </w:pPr>
      <w:r>
        <w:rPr>
          <w:rFonts w:ascii="Arial" w:cs="Arial" w:eastAsia="Arial" w:hAnsi="Arial"/>
          <w:sz w:val="18"/>
          <w:szCs w:val="18"/>
          <w:color w:val="auto"/>
        </w:rPr>
        <w:t>appropriate request of the Borrowers if such request would be in accordance with the terms of this Agreement.</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34.8</w:t>
      </w:r>
      <w:r>
        <w:rPr>
          <w:sz w:val="20"/>
          <w:szCs w:val="20"/>
          <w:color w:val="auto"/>
        </w:rPr>
        <w:tab/>
      </w:r>
      <w:r>
        <w:rPr>
          <w:rFonts w:ascii="Arial" w:cs="Arial" w:eastAsia="Arial" w:hAnsi="Arial"/>
          <w:sz w:val="17"/>
          <w:szCs w:val="17"/>
          <w:b w:val="1"/>
          <w:bCs w:val="1"/>
          <w:color w:val="auto"/>
        </w:rPr>
        <w:t>Responsibility for documentation and other matters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212" w:lineRule="exact"/>
        <w:rPr>
          <w:sz w:val="20"/>
          <w:szCs w:val="20"/>
          <w:color w:val="auto"/>
        </w:rPr>
      </w:pPr>
    </w:p>
    <w:p>
      <w:pPr>
        <w:jc w:val="both"/>
        <w:ind w:left="1020" w:hanging="512"/>
        <w:spacing w:after="0" w:line="238" w:lineRule="auto"/>
        <w:tabs>
          <w:tab w:leader="none" w:pos="1079"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202" w:lineRule="exact"/>
        <w:rPr>
          <w:rFonts w:ascii="Arial" w:cs="Arial" w:eastAsia="Arial" w:hAnsi="Arial"/>
          <w:sz w:val="18"/>
          <w:szCs w:val="18"/>
          <w:color w:val="auto"/>
        </w:rPr>
      </w:pPr>
    </w:p>
    <w:p>
      <w:pPr>
        <w:jc w:val="both"/>
        <w:ind w:left="1020" w:hanging="512"/>
        <w:spacing w:after="0"/>
        <w:tabs>
          <w:tab w:leader="none" w:pos="1133"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other agreement, arrangement or document entered into, made or executed in anticipation of, under or in connection with any Finance Document or any Charter Document;</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11" w:lineRule="exact"/>
        <w:rPr>
          <w:rFonts w:ascii="Arial" w:cs="Arial" w:eastAsia="Arial" w:hAnsi="Arial"/>
          <w:sz w:val="18"/>
          <w:szCs w:val="18"/>
          <w:color w:val="auto"/>
        </w:rPr>
      </w:pPr>
    </w:p>
    <w:p>
      <w:pPr>
        <w:ind w:left="1020" w:hanging="512"/>
        <w:spacing w:after="0" w:line="246" w:lineRule="auto"/>
        <w:tabs>
          <w:tab w:leader="none" w:pos="1228" w:val="left"/>
        </w:tabs>
        <w:numPr>
          <w:ilvl w:val="0"/>
          <w:numId w:val="769"/>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11" w:lineRule="exact"/>
        <w:rPr>
          <w:rFonts w:ascii="Arial" w:cs="Arial" w:eastAsia="Arial" w:hAnsi="Arial"/>
          <w:sz w:val="18"/>
          <w:szCs w:val="18"/>
          <w:color w:val="auto"/>
        </w:rPr>
      </w:pPr>
    </w:p>
    <w:p>
      <w:pPr>
        <w:ind w:left="1020" w:hanging="512"/>
        <w:spacing w:after="0" w:line="246" w:lineRule="auto"/>
        <w:tabs>
          <w:tab w:leader="none" w:pos="1081"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or the financial condition of any such person;</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025" w:val="left"/>
        </w:tabs>
        <w:numPr>
          <w:ilvl w:val="0"/>
          <w:numId w:val="769"/>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96" w:lineRule="exact"/>
        <w:rPr>
          <w:rFonts w:ascii="Arial" w:cs="Arial" w:eastAsia="Arial" w:hAnsi="Arial"/>
          <w:sz w:val="18"/>
          <w:szCs w:val="18"/>
          <w:color w:val="auto"/>
        </w:rPr>
      </w:pPr>
    </w:p>
    <w:p>
      <w:pPr>
        <w:ind w:left="1020" w:hanging="512"/>
        <w:spacing w:after="0" w:line="246" w:lineRule="auto"/>
        <w:tabs>
          <w:tab w:leader="none" w:pos="112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investigating or making any enquiry into the title of any Obligor to any of the Charged Property or any of its other property or assets;</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11" w:lineRule="exact"/>
        <w:rPr>
          <w:rFonts w:ascii="Arial" w:cs="Arial" w:eastAsia="Arial" w:hAnsi="Arial"/>
          <w:sz w:val="18"/>
          <w:szCs w:val="18"/>
          <w:color w:val="auto"/>
        </w:rPr>
      </w:pPr>
    </w:p>
    <w:p>
      <w:pPr>
        <w:ind w:left="1020" w:hanging="512"/>
        <w:spacing w:after="0" w:line="246" w:lineRule="auto"/>
        <w:tabs>
          <w:tab w:leader="none" w:pos="1003" w:val="left"/>
        </w:tabs>
        <w:numPr>
          <w:ilvl w:val="0"/>
          <w:numId w:val="769"/>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04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96" w:lineRule="exact"/>
        <w:rPr>
          <w:rFonts w:ascii="Arial" w:cs="Arial" w:eastAsia="Arial" w:hAnsi="Arial"/>
          <w:sz w:val="18"/>
          <w:szCs w:val="18"/>
          <w:color w:val="auto"/>
        </w:rPr>
      </w:pPr>
    </w:p>
    <w:p>
      <w:pPr>
        <w:ind w:left="1020" w:hanging="512"/>
        <w:spacing w:after="0" w:line="246" w:lineRule="auto"/>
        <w:tabs>
          <w:tab w:leader="none" w:pos="11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091" w:val="left"/>
        </w:tabs>
        <w:numPr>
          <w:ilvl w:val="0"/>
          <w:numId w:val="769"/>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066" w:val="left"/>
        </w:tabs>
        <w:numPr>
          <w:ilvl w:val="0"/>
          <w:numId w:val="769"/>
        </w:numPr>
        <w:rPr>
          <w:rFonts w:ascii="Arial" w:cs="Arial" w:eastAsia="Arial" w:hAnsi="Arial"/>
          <w:sz w:val="18"/>
          <w:szCs w:val="18"/>
          <w:color w:val="auto"/>
        </w:rPr>
      </w:pPr>
      <w:r>
        <w:rPr>
          <w:rFonts w:ascii="Arial" w:cs="Arial" w:eastAsia="Arial" w:hAnsi="Arial"/>
          <w:sz w:val="18"/>
          <w:szCs w:val="18"/>
          <w:color w:val="auto"/>
        </w:rPr>
        <w:t>making any investigation in respect of or in any way be liable whatsoever for the existence, accuracy or sufficiency of any legal or other opinions, reports, certificates or investigations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0" w:name="page291"/>
    <w:bookmarkEnd w:id="290"/>
    <w:p>
      <w:pPr>
        <w:ind w:left="1040"/>
        <w:spacing w:after="0"/>
        <w:rPr>
          <w:sz w:val="20"/>
          <w:szCs w:val="20"/>
          <w:color w:val="auto"/>
        </w:rPr>
      </w:pPr>
      <w:r>
        <w:rPr>
          <w:rFonts w:ascii="Arial" w:cs="Arial" w:eastAsia="Arial" w:hAnsi="Arial"/>
          <w:sz w:val="18"/>
          <w:szCs w:val="18"/>
          <w:color w:val="auto"/>
        </w:rPr>
        <w:t>delivered or obtained or required to be delivered or obtained at any time in connection herewith;</w:t>
      </w:r>
    </w:p>
    <w:p>
      <w:pPr>
        <w:spacing w:after="0" w:line="212" w:lineRule="exact"/>
        <w:rPr>
          <w:sz w:val="20"/>
          <w:szCs w:val="20"/>
          <w:color w:val="auto"/>
        </w:rPr>
      </w:pPr>
    </w:p>
    <w:p>
      <w:pPr>
        <w:jc w:val="both"/>
        <w:ind w:left="1020" w:hanging="512"/>
        <w:spacing w:after="0"/>
        <w:tabs>
          <w:tab w:leader="none" w:pos="1025" w:val="left"/>
        </w:tabs>
        <w:numPr>
          <w:ilvl w:val="0"/>
          <w:numId w:val="770"/>
        </w:numPr>
        <w:rPr>
          <w:rFonts w:ascii="Arial" w:cs="Arial" w:eastAsia="Arial" w:hAnsi="Arial"/>
          <w:sz w:val="18"/>
          <w:szCs w:val="18"/>
          <w:color w:val="auto"/>
        </w:rPr>
      </w:pPr>
      <w:r>
        <w:rPr>
          <w:rFonts w:ascii="Arial" w:cs="Arial" w:eastAsia="Arial" w:hAnsi="Arial"/>
          <w:sz w:val="18"/>
          <w:szCs w:val="18"/>
          <w:color w:val="auto"/>
        </w:rPr>
        <w:t>any unsuitability, inadequacy or unfitness of any Charged Property as security for the Loan and shall not be obliged to make any investigation into, and shall be entitled to assume, the suitability, adequacy and fitness of the Charged Property as security for the Loan; or</w:t>
      </w:r>
    </w:p>
    <w:p>
      <w:pPr>
        <w:spacing w:after="0" w:line="202" w:lineRule="exact"/>
        <w:rPr>
          <w:rFonts w:ascii="Arial" w:cs="Arial" w:eastAsia="Arial" w:hAnsi="Arial"/>
          <w:sz w:val="18"/>
          <w:szCs w:val="18"/>
          <w:color w:val="auto"/>
        </w:rPr>
      </w:pPr>
    </w:p>
    <w:p>
      <w:pPr>
        <w:jc w:val="both"/>
        <w:ind w:left="1020" w:hanging="512"/>
        <w:spacing w:after="0"/>
        <w:tabs>
          <w:tab w:leader="none" w:pos="1039" w:val="left"/>
        </w:tabs>
        <w:numPr>
          <w:ilvl w:val="0"/>
          <w:numId w:val="770"/>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34.9</w:t>
      </w:r>
      <w:r>
        <w:rPr>
          <w:sz w:val="20"/>
          <w:szCs w:val="20"/>
          <w:color w:val="auto"/>
        </w:rPr>
        <w:tab/>
      </w:r>
      <w:r>
        <w:rPr>
          <w:rFonts w:ascii="Arial" w:cs="Arial" w:eastAsia="Arial" w:hAnsi="Arial"/>
          <w:sz w:val="17"/>
          <w:szCs w:val="17"/>
          <w:b w:val="1"/>
          <w:bCs w:val="1"/>
          <w:color w:val="auto"/>
        </w:rPr>
        <w:t>No duty to monitor</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not be bound to enquire:</w:t>
      </w:r>
    </w:p>
    <w:p>
      <w:pPr>
        <w:spacing w:after="0" w:line="212" w:lineRule="exact"/>
        <w:rPr>
          <w:sz w:val="20"/>
          <w:szCs w:val="20"/>
          <w:color w:val="auto"/>
        </w:rPr>
      </w:pPr>
    </w:p>
    <w:p>
      <w:pPr>
        <w:ind w:left="1040" w:hanging="532"/>
        <w:spacing w:after="0"/>
        <w:tabs>
          <w:tab w:leader="none" w:pos="10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34.10 Exclusion of liability</w:t>
      </w:r>
    </w:p>
    <w:p>
      <w:pPr>
        <w:spacing w:after="0" w:line="234" w:lineRule="exact"/>
        <w:rPr>
          <w:sz w:val="20"/>
          <w:szCs w:val="20"/>
          <w:color w:val="auto"/>
        </w:rPr>
      </w:pPr>
    </w:p>
    <w:p>
      <w:pPr>
        <w:jc w:val="both"/>
        <w:ind w:left="1020" w:hanging="512"/>
        <w:spacing w:after="0"/>
        <w:tabs>
          <w:tab w:leader="none" w:pos="1025" w:val="left"/>
        </w:tabs>
        <w:numPr>
          <w:ilvl w:val="0"/>
          <w:numId w:val="772"/>
        </w:numPr>
        <w:rPr>
          <w:rFonts w:ascii="Arial" w:cs="Arial" w:eastAsia="Arial" w:hAnsi="Arial"/>
          <w:sz w:val="18"/>
          <w:szCs w:val="18"/>
          <w:color w:val="auto"/>
        </w:rPr>
      </w:pPr>
      <w:r>
        <w:rPr>
          <w:rFonts w:ascii="Arial" w:cs="Arial" w:eastAsia="Arial" w:hAnsi="Arial"/>
          <w:sz w:val="18"/>
          <w:szCs w:val="18"/>
          <w:color w:val="auto"/>
        </w:rPr>
        <w:t>Without limiting clause 34.10(b)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202" w:lineRule="exact"/>
        <w:rPr>
          <w:rFonts w:ascii="Arial" w:cs="Arial" w:eastAsia="Arial" w:hAnsi="Arial"/>
          <w:sz w:val="18"/>
          <w:szCs w:val="18"/>
          <w:color w:val="auto"/>
        </w:rPr>
      </w:pPr>
    </w:p>
    <w:p>
      <w:pPr>
        <w:jc w:val="both"/>
        <w:ind w:left="1540" w:hanging="511"/>
        <w:spacing w:after="0" w:line="237" w:lineRule="auto"/>
        <w:tabs>
          <w:tab w:leader="none" w:pos="1668" w:val="left"/>
        </w:tabs>
        <w:numPr>
          <w:ilvl w:val="1"/>
          <w:numId w:val="772"/>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204" w:lineRule="exact"/>
        <w:rPr>
          <w:rFonts w:ascii="Arial" w:cs="Arial" w:eastAsia="Arial" w:hAnsi="Arial"/>
          <w:sz w:val="18"/>
          <w:szCs w:val="18"/>
          <w:color w:val="auto"/>
        </w:rPr>
      </w:pPr>
    </w:p>
    <w:p>
      <w:pPr>
        <w:jc w:val="both"/>
        <w:ind w:left="1540" w:hanging="511"/>
        <w:spacing w:after="0" w:line="238" w:lineRule="auto"/>
        <w:tabs>
          <w:tab w:leader="none" w:pos="1657" w:val="left"/>
        </w:tabs>
        <w:numPr>
          <w:ilvl w:val="1"/>
          <w:numId w:val="772"/>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the gross negligence or wilful default of the Agent and in the course of the exercise or non-exercise by it of any right, power, authority or discretion given to it expressly under a Finance Document; or</w:t>
      </w:r>
    </w:p>
    <w:p>
      <w:pPr>
        <w:spacing w:after="0" w:line="202" w:lineRule="exact"/>
        <w:rPr>
          <w:rFonts w:ascii="Arial" w:cs="Arial" w:eastAsia="Arial" w:hAnsi="Arial"/>
          <w:sz w:val="18"/>
          <w:szCs w:val="18"/>
          <w:color w:val="auto"/>
        </w:rPr>
      </w:pPr>
    </w:p>
    <w:p>
      <w:pPr>
        <w:ind w:left="1540" w:hanging="511"/>
        <w:spacing w:after="0" w:line="246" w:lineRule="auto"/>
        <w:tabs>
          <w:tab w:leader="none" w:pos="1645" w:val="left"/>
        </w:tabs>
        <w:numPr>
          <w:ilvl w:val="1"/>
          <w:numId w:val="772"/>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772"/>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772"/>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12" w:lineRule="exact"/>
        <w:rPr>
          <w:sz w:val="20"/>
          <w:szCs w:val="20"/>
          <w:color w:val="auto"/>
        </w:rPr>
      </w:pPr>
    </w:p>
    <w:p>
      <w:pPr>
        <w:jc w:val="both"/>
        <w:ind w:left="1540"/>
        <w:spacing w:after="0"/>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1" w:name="page292"/>
    <w:bookmarkEnd w:id="291"/>
    <w:p>
      <w:pPr>
        <w:jc w:val="both"/>
        <w:ind w:left="1540"/>
        <w:spacing w:after="0"/>
        <w:rPr>
          <w:sz w:val="20"/>
          <w:szCs w:val="20"/>
          <w:color w:val="auto"/>
        </w:rPr>
      </w:pPr>
      <w:r>
        <w:rPr>
          <w:rFonts w:ascii="Arial" w:cs="Arial" w:eastAsia="Arial" w:hAnsi="Arial"/>
          <w:sz w:val="18"/>
          <w:szCs w:val="18"/>
          <w:color w:val="auto"/>
        </w:rPr>
        <w:t>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203" w:lineRule="exact"/>
        <w:rPr>
          <w:sz w:val="20"/>
          <w:szCs w:val="20"/>
          <w:color w:val="auto"/>
        </w:rPr>
      </w:pPr>
    </w:p>
    <w:p>
      <w:pPr>
        <w:jc w:val="both"/>
        <w:ind w:left="1020" w:hanging="512"/>
        <w:spacing w:after="0" w:line="238" w:lineRule="auto"/>
        <w:tabs>
          <w:tab w:leader="none" w:pos="1039" w:val="left"/>
        </w:tabs>
        <w:numPr>
          <w:ilvl w:val="0"/>
          <w:numId w:val="773"/>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34.10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56"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204" w:lineRule="exact"/>
        <w:rPr>
          <w:rFonts w:ascii="Arial" w:cs="Arial" w:eastAsia="Arial" w:hAnsi="Arial"/>
          <w:sz w:val="18"/>
          <w:szCs w:val="18"/>
          <w:color w:val="auto"/>
        </w:rPr>
      </w:pPr>
    </w:p>
    <w:p>
      <w:pPr>
        <w:ind w:left="1040" w:hanging="532"/>
        <w:spacing w:after="0"/>
        <w:tabs>
          <w:tab w:leader="none" w:pos="104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773"/>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773"/>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12"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203" w:lineRule="exact"/>
        <w:rPr>
          <w:sz w:val="20"/>
          <w:szCs w:val="20"/>
          <w:color w:val="auto"/>
        </w:rPr>
      </w:pPr>
    </w:p>
    <w:p>
      <w:pPr>
        <w:jc w:val="both"/>
        <w:ind w:left="1020" w:hanging="512"/>
        <w:spacing w:after="0" w:line="237" w:lineRule="auto"/>
        <w:tabs>
          <w:tab w:leader="none" w:pos="1093" w:val="left"/>
        </w:tabs>
        <w:numPr>
          <w:ilvl w:val="0"/>
          <w:numId w:val="774"/>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34.11 Lenders’ indemnity to the Agent</w:t>
      </w:r>
    </w:p>
    <w:p>
      <w:pPr>
        <w:spacing w:after="0" w:line="234" w:lineRule="exact"/>
        <w:rPr>
          <w:sz w:val="20"/>
          <w:szCs w:val="20"/>
          <w:color w:val="auto"/>
        </w:rPr>
      </w:pPr>
    </w:p>
    <w:p>
      <w:pPr>
        <w:jc w:val="both"/>
        <w:ind w:left="1020" w:hanging="512"/>
        <w:spacing w:after="0"/>
        <w:tabs>
          <w:tab w:leader="none" w:pos="1039" w:val="left"/>
        </w:tabs>
        <w:numPr>
          <w:ilvl w:val="0"/>
          <w:numId w:val="775"/>
        </w:numPr>
        <w:rPr>
          <w:rFonts w:ascii="Arial" w:cs="Arial" w:eastAsia="Arial" w:hAnsi="Arial"/>
          <w:sz w:val="18"/>
          <w:szCs w:val="18"/>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the Agent, within five Business Days of demand, against:</w:t>
      </w:r>
    </w:p>
    <w:p>
      <w:pPr>
        <w:spacing w:after="0" w:line="202" w:lineRule="exact"/>
        <w:rPr>
          <w:rFonts w:ascii="Arial" w:cs="Arial" w:eastAsia="Arial" w:hAnsi="Arial"/>
          <w:sz w:val="18"/>
          <w:szCs w:val="18"/>
          <w:color w:val="auto"/>
        </w:rPr>
      </w:pPr>
    </w:p>
    <w:p>
      <w:pPr>
        <w:jc w:val="both"/>
        <w:ind w:left="1540" w:hanging="511"/>
        <w:spacing w:after="0" w:line="238" w:lineRule="auto"/>
        <w:tabs>
          <w:tab w:leader="none" w:pos="1749" w:val="left"/>
        </w:tabs>
        <w:numPr>
          <w:ilvl w:val="1"/>
          <w:numId w:val="775"/>
        </w:numPr>
        <w:rPr>
          <w:rFonts w:ascii="Arial" w:cs="Arial" w:eastAsia="Arial" w:hAnsi="Arial"/>
          <w:sz w:val="18"/>
          <w:szCs w:val="18"/>
          <w:color w:val="auto"/>
        </w:rPr>
      </w:pPr>
      <w:r>
        <w:rPr>
          <w:rFonts w:ascii="Arial" w:cs="Arial" w:eastAsia="Arial" w:hAnsi="Arial"/>
          <w:sz w:val="18"/>
          <w:szCs w:val="18"/>
          <w:color w:val="auto"/>
        </w:rPr>
        <w:t>any Losses for negligence or any other category of liability whatsoever incurred by the Agent in the circumstances contemplated pursuant to clause 37.11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204" w:lineRule="exact"/>
        <w:rPr>
          <w:rFonts w:ascii="Arial" w:cs="Arial" w:eastAsia="Arial" w:hAnsi="Arial"/>
          <w:sz w:val="18"/>
          <w:szCs w:val="18"/>
          <w:color w:val="auto"/>
        </w:rPr>
      </w:pPr>
    </w:p>
    <w:p>
      <w:pPr>
        <w:jc w:val="both"/>
        <w:ind w:left="1540" w:hanging="511"/>
        <w:spacing w:after="0"/>
        <w:tabs>
          <w:tab w:leader="none" w:pos="1616" w:val="left"/>
        </w:tabs>
        <w:numPr>
          <w:ilvl w:val="1"/>
          <w:numId w:val="775"/>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34.7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203" w:lineRule="exact"/>
        <w:rPr>
          <w:sz w:val="20"/>
          <w:szCs w:val="20"/>
          <w:color w:val="auto"/>
        </w:rPr>
      </w:pPr>
    </w:p>
    <w:p>
      <w:pPr>
        <w:ind w:left="1020" w:right="20"/>
        <w:spacing w:after="0" w:line="246" w:lineRule="auto"/>
        <w:rPr>
          <w:sz w:val="20"/>
          <w:szCs w:val="20"/>
          <w:color w:val="auto"/>
        </w:rPr>
      </w:pPr>
      <w:r>
        <w:rPr>
          <w:rFonts w:ascii="Arial" w:cs="Arial" w:eastAsia="Arial" w:hAnsi="Arial"/>
          <w:sz w:val="18"/>
          <w:szCs w:val="18"/>
          <w:color w:val="auto"/>
        </w:rPr>
        <w:t>in each case incurred by the Agent in acting as such under the Finance Documents (unless the Agent has been reimbursed by an Obligor pursuant to a Finance Document or out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2" w:name="page293"/>
    <w:bookmarkEnd w:id="292"/>
    <w:p>
      <w:pPr>
        <w:jc w:val="both"/>
        <w:ind w:left="1020"/>
        <w:spacing w:after="0" w:line="250" w:lineRule="auto"/>
        <w:rPr>
          <w:sz w:val="20"/>
          <w:szCs w:val="20"/>
          <w:color w:val="auto"/>
        </w:rPr>
      </w:pPr>
      <w:r>
        <w:rPr>
          <w:rFonts w:ascii="Arial" w:cs="Arial" w:eastAsia="Arial" w:hAnsi="Arial"/>
          <w:sz w:val="18"/>
          <w:szCs w:val="18"/>
          <w:color w:val="auto"/>
        </w:rPr>
        <w:t>the Trust Property) and this clause 34.11 as applied in favour of the Security Agent pursuant to clause 34.21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clauses to Security Agent</w:t>
      </w:r>
      <w:r>
        <w:rPr>
          <w:rFonts w:ascii="Arial" w:cs="Arial" w:eastAsia="Arial" w:hAnsi="Arial"/>
          <w:sz w:val="18"/>
          <w:szCs w:val="18"/>
          <w:color w:val="auto"/>
        </w:rPr>
        <w:t>) shall be without prejudice to any right to indemnity by law given to trustees generally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indemnity in the Security Agent’s favour in any other Finance Document.</w:t>
      </w:r>
    </w:p>
    <w:p>
      <w:pPr>
        <w:spacing w:after="0" w:line="195"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indemnities contained in this clause 34.11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203" w:lineRule="exact"/>
        <w:rPr>
          <w:sz w:val="20"/>
          <w:szCs w:val="20"/>
          <w:color w:val="auto"/>
        </w:rPr>
      </w:pPr>
    </w:p>
    <w:p>
      <w:pPr>
        <w:ind w:left="1020" w:hanging="512"/>
        <w:spacing w:after="0" w:line="246" w:lineRule="auto"/>
        <w:tabs>
          <w:tab w:leader="none" w:pos="116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Subject to clause 34.11(c), the Borrowers shall immediately on demand reimburse any Lender for any payment that Lender makes to the Agent pursuant to clause 34.11(a).</w:t>
      </w:r>
    </w:p>
    <w:p>
      <w:pPr>
        <w:spacing w:after="0" w:line="196" w:lineRule="exact"/>
        <w:rPr>
          <w:rFonts w:ascii="Arial" w:cs="Arial" w:eastAsia="Arial" w:hAnsi="Arial"/>
          <w:sz w:val="18"/>
          <w:szCs w:val="18"/>
          <w:color w:val="auto"/>
        </w:rPr>
      </w:pPr>
    </w:p>
    <w:p>
      <w:pPr>
        <w:ind w:left="1020" w:hanging="512"/>
        <w:spacing w:after="0" w:line="246" w:lineRule="auto"/>
        <w:tabs>
          <w:tab w:leader="none" w:pos="1069" w:val="left"/>
        </w:tabs>
        <w:numPr>
          <w:ilvl w:val="0"/>
          <w:numId w:val="776"/>
        </w:numPr>
        <w:rPr>
          <w:rFonts w:ascii="Arial" w:cs="Arial" w:eastAsia="Arial" w:hAnsi="Arial"/>
          <w:sz w:val="18"/>
          <w:szCs w:val="18"/>
          <w:color w:val="auto"/>
        </w:rPr>
      </w:pPr>
      <w:r>
        <w:rPr>
          <w:rFonts w:ascii="Arial" w:cs="Arial" w:eastAsia="Arial" w:hAnsi="Arial"/>
          <w:sz w:val="18"/>
          <w:szCs w:val="18"/>
          <w:color w:val="auto"/>
        </w:rPr>
        <w:t>Clause 34.11(b) shall not apply to the extent that the indemnity payment in respect of which the Lender claims reimbursement relates to a liability of the Agent to an Obligor.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34.12 Resignation of the Agent</w:t>
      </w:r>
    </w:p>
    <w:p>
      <w:pPr>
        <w:spacing w:after="0" w:line="234" w:lineRule="exact"/>
        <w:rPr>
          <w:sz w:val="20"/>
          <w:szCs w:val="20"/>
          <w:color w:val="auto"/>
        </w:rPr>
      </w:pPr>
    </w:p>
    <w:p>
      <w:pPr>
        <w:ind w:left="1020" w:right="20" w:hanging="512"/>
        <w:spacing w:after="0" w:line="246" w:lineRule="auto"/>
        <w:tabs>
          <w:tab w:leader="none" w:pos="1106"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Borrowers.</w:t>
      </w:r>
    </w:p>
    <w:p>
      <w:pPr>
        <w:spacing w:after="0" w:line="196" w:lineRule="exact"/>
        <w:rPr>
          <w:rFonts w:ascii="Arial" w:cs="Arial" w:eastAsia="Arial" w:hAnsi="Arial"/>
          <w:sz w:val="18"/>
          <w:szCs w:val="18"/>
          <w:color w:val="auto"/>
        </w:rPr>
      </w:pPr>
    </w:p>
    <w:p>
      <w:pPr>
        <w:jc w:val="both"/>
        <w:ind w:left="1020" w:hanging="512"/>
        <w:spacing w:after="0"/>
        <w:tabs>
          <w:tab w:leader="none" w:pos="10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Alternatively the Agent may without giving any reason therefor resign by giving 30 days’ notice to the other Finance Parties and the Borrowers, in which case the Majority Lenders (after consultation with the Borrowers) may appoint a successor Agent acting through an office in London.</w:t>
      </w:r>
    </w:p>
    <w:p>
      <w:pPr>
        <w:spacing w:after="0" w:line="202" w:lineRule="exact"/>
        <w:rPr>
          <w:rFonts w:ascii="Arial" w:cs="Arial" w:eastAsia="Arial" w:hAnsi="Arial"/>
          <w:sz w:val="18"/>
          <w:szCs w:val="18"/>
          <w:color w:val="auto"/>
        </w:rPr>
      </w:pPr>
    </w:p>
    <w:p>
      <w:pPr>
        <w:ind w:left="1020" w:hanging="512"/>
        <w:spacing w:after="0" w:line="246" w:lineRule="auto"/>
        <w:tabs>
          <w:tab w:leader="none" w:pos="111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clause 34.12(b) above within 30 days after notice of resignation was given, the retiring Agent (after consultation with the Borrowers) may appoint a successor Agent.</w:t>
      </w:r>
    </w:p>
    <w:p>
      <w:pPr>
        <w:spacing w:after="0" w:line="178" w:lineRule="exact"/>
        <w:rPr>
          <w:rFonts w:ascii="Arial" w:cs="Arial" w:eastAsia="Arial" w:hAnsi="Arial"/>
          <w:sz w:val="18"/>
          <w:szCs w:val="18"/>
          <w:color w:val="auto"/>
        </w:rPr>
      </w:pPr>
    </w:p>
    <w:p>
      <w:pPr>
        <w:jc w:val="both"/>
        <w:ind w:left="1020" w:hanging="512"/>
        <w:spacing w:after="0" w:line="241" w:lineRule="auto"/>
        <w:tabs>
          <w:tab w:leader="none" w:pos="105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retiring Agent shall, either at the Lenders’ expense if it has been required to resign pursuant to clause 34.13 (</w:t>
      </w:r>
      <w:r>
        <w:rPr>
          <w:rFonts w:ascii="Arial" w:cs="Arial" w:eastAsia="Arial" w:hAnsi="Arial"/>
          <w:sz w:val="18"/>
          <w:szCs w:val="18"/>
          <w:i w:val="1"/>
          <w:iCs w:val="1"/>
          <w:color w:val="auto"/>
        </w:rPr>
        <w:t>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Agent</w:t>
      </w:r>
      <w:r>
        <w:rPr>
          <w:rFonts w:ascii="Arial" w:cs="Arial" w:eastAsia="Arial" w:hAnsi="Arial"/>
          <w:sz w:val="18"/>
          <w:szCs w:val="18"/>
          <w:color w:val="auto"/>
        </w:rPr>
        <w:t>) or otherwise at its own cost, make available to the successor Agent such documents and records and provide such</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as the successor Agent may reasonably request for the purposes of performing its functions as Agent under the Finance Documents. The Borrowers shall, within three Business Days of demand, reimburse the retiring Agent for the amount of all costs and expenses (including legal fees) properly incurred by it in making available such documents and records and providing such assistance.</w:t>
      </w:r>
    </w:p>
    <w:p>
      <w:pPr>
        <w:spacing w:after="0" w:line="201" w:lineRule="exact"/>
        <w:rPr>
          <w:rFonts w:ascii="Arial" w:cs="Arial" w:eastAsia="Arial" w:hAnsi="Arial"/>
          <w:sz w:val="18"/>
          <w:szCs w:val="18"/>
          <w:color w:val="auto"/>
        </w:rPr>
      </w:pPr>
    </w:p>
    <w:p>
      <w:pPr>
        <w:ind w:left="1040" w:hanging="532"/>
        <w:spacing w:after="0"/>
        <w:tabs>
          <w:tab w:leader="none" w:pos="104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11" w:lineRule="exact"/>
        <w:rPr>
          <w:rFonts w:ascii="Arial" w:cs="Arial" w:eastAsia="Arial" w:hAnsi="Arial"/>
          <w:sz w:val="18"/>
          <w:szCs w:val="18"/>
          <w:color w:val="auto"/>
        </w:rPr>
      </w:pPr>
    </w:p>
    <w:p>
      <w:pPr>
        <w:jc w:val="both"/>
        <w:ind w:left="1020" w:hanging="512"/>
        <w:spacing w:after="0" w:line="237" w:lineRule="auto"/>
        <w:tabs>
          <w:tab w:leader="none" w:pos="1122"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34.12(d)) but shall remain entitled to the benefit of clause 14.3 (</w:t>
      </w:r>
      <w:r>
        <w:rPr>
          <w:rFonts w:ascii="Arial" w:cs="Arial" w:eastAsia="Arial" w:hAnsi="Arial"/>
          <w:sz w:val="18"/>
          <w:szCs w:val="18"/>
          <w:i w:val="1"/>
          <w:iCs w:val="1"/>
          <w:color w:val="auto"/>
        </w:rPr>
        <w:t>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 Security Agent</w:t>
      </w:r>
      <w:r>
        <w:rPr>
          <w:rFonts w:ascii="Arial" w:cs="Arial" w:eastAsia="Arial" w:hAnsi="Arial"/>
          <w:sz w:val="18"/>
          <w:szCs w:val="18"/>
          <w:color w:val="auto"/>
        </w:rPr>
        <w:t>) and this clause 34 (and any agency fees for the account of the retiring Agent shall cease to accrue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shall be payable on) that date). Any successor and each of the other Parties shall have the same rights and obligations amongst themselves as they would have had if such successor had been an original Party.</w:t>
      </w:r>
    </w:p>
    <w:p>
      <w:pPr>
        <w:spacing w:after="0" w:line="204" w:lineRule="exact"/>
        <w:rPr>
          <w:rFonts w:ascii="Arial" w:cs="Arial" w:eastAsia="Arial" w:hAnsi="Arial"/>
          <w:sz w:val="18"/>
          <w:szCs w:val="18"/>
          <w:color w:val="auto"/>
        </w:rPr>
      </w:pPr>
    </w:p>
    <w:p>
      <w:pPr>
        <w:jc w:val="both"/>
        <w:ind w:left="1020" w:right="20" w:hanging="512"/>
        <w:spacing w:after="0"/>
        <w:tabs>
          <w:tab w:leader="none" w:pos="1228"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34.12(b) above (and, to the extent applicable, shall use reasonable endeavours to appoint a successor Agent pursuant to paragraph 34.12(c) above) if on or after the date which is three months before the earliest FATCA Application Date relating to any payment to the Agent under the Finance Documents, either:</w:t>
      </w:r>
    </w:p>
    <w:p>
      <w:pPr>
        <w:spacing w:after="0" w:line="185" w:lineRule="exact"/>
        <w:rPr>
          <w:sz w:val="20"/>
          <w:szCs w:val="20"/>
          <w:color w:val="auto"/>
        </w:rPr>
      </w:pPr>
    </w:p>
    <w:p>
      <w:pPr>
        <w:jc w:val="both"/>
        <w:ind w:left="1540" w:hanging="511"/>
        <w:spacing w:after="0" w:line="250" w:lineRule="auto"/>
        <w:tabs>
          <w:tab w:leader="none" w:pos="1628"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and a Borrower or a Lender reasonably believes that the Agent will not be (or will have ceased to be) a FATCA Exempt Party on or after that FATCA Application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3" w:name="page294"/>
    <w:bookmarkEnd w:id="293"/>
    <w:p>
      <w:pPr>
        <w:ind w:left="1540" w:hanging="511"/>
        <w:spacing w:after="0" w:line="267" w:lineRule="auto"/>
        <w:tabs>
          <w:tab w:leader="none" w:pos="1549" w:val="left"/>
        </w:tabs>
        <w:numPr>
          <w:ilvl w:val="0"/>
          <w:numId w:val="779"/>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8" w:lineRule="exact"/>
        <w:rPr>
          <w:rFonts w:ascii="Arial" w:cs="Arial" w:eastAsia="Arial" w:hAnsi="Arial"/>
          <w:sz w:val="18"/>
          <w:szCs w:val="18"/>
          <w:color w:val="auto"/>
        </w:rPr>
      </w:pPr>
    </w:p>
    <w:p>
      <w:pPr>
        <w:ind w:left="1540" w:hanging="511"/>
        <w:spacing w:after="0" w:line="246" w:lineRule="auto"/>
        <w:tabs>
          <w:tab w:leader="none" w:pos="1577" w:val="left"/>
        </w:tabs>
        <w:numPr>
          <w:ilvl w:val="0"/>
          <w:numId w:val="779"/>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197"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and (in each case) a Borrower or a Lender reasonably believes that a Party will be required to make a FATCA Deduction that would not be required if the Agent were a FATCA Exempt Party, and a Borrower or that Lender, by notice to the Agent, requires it to resign.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34.13 Replacement of the Agent</w:t>
      </w:r>
    </w:p>
    <w:p>
      <w:pPr>
        <w:spacing w:after="0" w:line="234" w:lineRule="exact"/>
        <w:rPr>
          <w:sz w:val="20"/>
          <w:szCs w:val="20"/>
          <w:color w:val="auto"/>
        </w:rPr>
      </w:pPr>
    </w:p>
    <w:p>
      <w:pPr>
        <w:jc w:val="both"/>
        <w:ind w:left="1020" w:hanging="512"/>
        <w:spacing w:after="0"/>
        <w:tabs>
          <w:tab w:leader="none" w:pos="1025"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After consultation with the Borrowers, the Majority Lenders may, by giving 30 days’ notice to the Agent (or, at any time the Agent is an Impaired Agent, by giving any shorter notice determined by the Majority Lenders) replace the Agent by appointing a successor Agent.</w:t>
      </w:r>
    </w:p>
    <w:p>
      <w:pPr>
        <w:spacing w:after="0" w:line="202" w:lineRule="exact"/>
        <w:rPr>
          <w:rFonts w:ascii="Arial" w:cs="Arial" w:eastAsia="Arial" w:hAnsi="Arial"/>
          <w:sz w:val="18"/>
          <w:szCs w:val="18"/>
          <w:color w:val="auto"/>
        </w:rPr>
      </w:pPr>
    </w:p>
    <w:p>
      <w:pPr>
        <w:jc w:val="both"/>
        <w:ind w:left="1020" w:hanging="512"/>
        <w:spacing w:after="0"/>
        <w:tabs>
          <w:tab w:leader="none" w:pos="1025"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1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34.13(b)) (and any agency fees for the account of the retiring Agent shall cease to accrue from (and shall be payable on) that date).</w:t>
      </w:r>
    </w:p>
    <w:p>
      <w:pPr>
        <w:spacing w:after="0" w:line="204" w:lineRule="exact"/>
        <w:rPr>
          <w:rFonts w:ascii="Arial" w:cs="Arial" w:eastAsia="Arial" w:hAnsi="Arial"/>
          <w:sz w:val="18"/>
          <w:szCs w:val="18"/>
          <w:color w:val="auto"/>
        </w:rPr>
      </w:pPr>
    </w:p>
    <w:p>
      <w:pPr>
        <w:ind w:left="1020" w:hanging="512"/>
        <w:spacing w:after="0" w:line="246" w:lineRule="auto"/>
        <w:tabs>
          <w:tab w:leader="none" w:pos="1147"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34.14 Confidentiality</w:t>
      </w:r>
    </w:p>
    <w:p>
      <w:pPr>
        <w:spacing w:after="0" w:line="234" w:lineRule="exact"/>
        <w:rPr>
          <w:sz w:val="20"/>
          <w:szCs w:val="20"/>
          <w:color w:val="auto"/>
        </w:rPr>
      </w:pPr>
    </w:p>
    <w:p>
      <w:pPr>
        <w:jc w:val="both"/>
        <w:ind w:left="1020" w:hanging="512"/>
        <w:spacing w:after="0"/>
        <w:tabs>
          <w:tab w:leader="none" w:pos="1025" w:val="left"/>
        </w:tabs>
        <w:numPr>
          <w:ilvl w:val="0"/>
          <w:numId w:val="781"/>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202" w:lineRule="exact"/>
        <w:rPr>
          <w:rFonts w:ascii="Arial" w:cs="Arial" w:eastAsia="Arial" w:hAnsi="Arial"/>
          <w:sz w:val="18"/>
          <w:szCs w:val="18"/>
          <w:color w:val="auto"/>
        </w:rPr>
      </w:pPr>
    </w:p>
    <w:p>
      <w:pPr>
        <w:ind w:left="1020" w:hanging="512"/>
        <w:spacing w:after="0" w:line="246" w:lineRule="auto"/>
        <w:tabs>
          <w:tab w:leader="none" w:pos="1147" w:val="left"/>
        </w:tabs>
        <w:numPr>
          <w:ilvl w:val="0"/>
          <w:numId w:val="781"/>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96" w:lineRule="exact"/>
        <w:rPr>
          <w:rFonts w:ascii="Arial" w:cs="Arial" w:eastAsia="Arial" w:hAnsi="Arial"/>
          <w:sz w:val="18"/>
          <w:szCs w:val="18"/>
          <w:color w:val="auto"/>
        </w:rPr>
      </w:pPr>
    </w:p>
    <w:p>
      <w:pPr>
        <w:jc w:val="both"/>
        <w:ind w:left="1020" w:hanging="512"/>
        <w:spacing w:after="0"/>
        <w:tabs>
          <w:tab w:leader="none" w:pos="1069" w:val="left"/>
        </w:tabs>
        <w:numPr>
          <w:ilvl w:val="0"/>
          <w:numId w:val="781"/>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34.15 Relationship with the Lenders and Hedging Provider</w:t>
      </w:r>
    </w:p>
    <w:p>
      <w:pPr>
        <w:spacing w:after="0" w:line="216" w:lineRule="exact"/>
        <w:rPr>
          <w:sz w:val="20"/>
          <w:szCs w:val="20"/>
          <w:color w:val="auto"/>
        </w:rPr>
      </w:pPr>
    </w:p>
    <w:p>
      <w:pPr>
        <w:jc w:val="both"/>
        <w:ind w:left="1020" w:hanging="512"/>
        <w:spacing w:after="0" w:line="250" w:lineRule="auto"/>
        <w:tabs>
          <w:tab w:leader="none" w:pos="1039" w:val="left"/>
        </w:tabs>
        <w:numPr>
          <w:ilvl w:val="0"/>
          <w:numId w:val="782"/>
        </w:numPr>
        <w:rPr>
          <w:rFonts w:ascii="Arial" w:cs="Arial" w:eastAsia="Arial" w:hAnsi="Arial"/>
          <w:sz w:val="18"/>
          <w:szCs w:val="18"/>
          <w:color w:val="auto"/>
        </w:rPr>
      </w:pPr>
      <w:r>
        <w:rPr>
          <w:rFonts w:ascii="Arial" w:cs="Arial" w:eastAsia="Arial" w:hAnsi="Arial"/>
          <w:sz w:val="18"/>
          <w:szCs w:val="18"/>
          <w:color w:val="auto"/>
        </w:rPr>
        <w:t>Subject to clause 32.8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or as a Hedging Provider at the opening of business (in the place of the Agent’s principal office as notified to the Finance Parties from time to time) as a Lender (or as the case may be) as a Hedging Provider acting through its Facility Office:</w:t>
      </w:r>
    </w:p>
    <w:p>
      <w:pPr>
        <w:spacing w:after="0" w:line="194" w:lineRule="exact"/>
        <w:rPr>
          <w:rFonts w:ascii="Arial" w:cs="Arial" w:eastAsia="Arial" w:hAnsi="Arial"/>
          <w:sz w:val="18"/>
          <w:szCs w:val="18"/>
          <w:color w:val="auto"/>
        </w:rPr>
      </w:pPr>
    </w:p>
    <w:p>
      <w:pPr>
        <w:ind w:left="1540" w:hanging="511"/>
        <w:spacing w:after="0"/>
        <w:tabs>
          <w:tab w:leader="none" w:pos="154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4" w:name="page295"/>
    <w:bookmarkEnd w:id="294"/>
    <w:p>
      <w:pPr>
        <w:jc w:val="both"/>
        <w:ind w:left="1540" w:hanging="511"/>
        <w:spacing w:after="0" w:line="238" w:lineRule="auto"/>
        <w:tabs>
          <w:tab w:leader="none" w:pos="1589" w:val="left"/>
        </w:tabs>
        <w:numPr>
          <w:ilvl w:val="1"/>
          <w:numId w:val="783"/>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 unless it has received not less than five Business Days prior notice from that Lender or (as the case may be) the Hedging Provider to the contrary in accordance with the terms of this Agreement.</w:t>
      </w:r>
    </w:p>
    <w:p>
      <w:pPr>
        <w:spacing w:after="0" w:line="204" w:lineRule="exact"/>
        <w:rPr>
          <w:rFonts w:ascii="Arial" w:cs="Arial" w:eastAsia="Arial" w:hAnsi="Arial"/>
          <w:sz w:val="18"/>
          <w:szCs w:val="18"/>
          <w:color w:val="auto"/>
        </w:rPr>
      </w:pPr>
    </w:p>
    <w:p>
      <w:pPr>
        <w:jc w:val="both"/>
        <w:ind w:left="1020" w:hanging="512"/>
        <w:spacing w:after="0" w:line="236" w:lineRule="auto"/>
        <w:tabs>
          <w:tab w:leader="none" w:pos="1336" w:val="left"/>
        </w:tabs>
        <w:numPr>
          <w:ilvl w:val="0"/>
          <w:numId w:val="784"/>
        </w:numPr>
        <w:rPr>
          <w:rFonts w:ascii="Arial" w:cs="Arial" w:eastAsia="Arial" w:hAnsi="Arial"/>
          <w:sz w:val="18"/>
          <w:szCs w:val="18"/>
          <w:color w:val="auto"/>
        </w:rPr>
      </w:pPr>
      <w:r>
        <w:rPr>
          <w:rFonts w:ascii="Arial" w:cs="Arial" w:eastAsia="Arial" w:hAnsi="Arial"/>
          <w:sz w:val="18"/>
          <w:szCs w:val="18"/>
          <w:color w:val="auto"/>
        </w:rPr>
        <w:t>Any Lender or a Hedging Provider may by notice to the Agent appoint a person to receive on its behalf all notices, communications, information and documents to be made or despatched to that Lender or (as the case may be) a Hedging Provider under the Finance Documents. Such notice shall contain the address and (where communication by electronic mail or other electronic means is permitted under clause 39.5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or (as the case may be) a Hedging Provider for the purposes of clause 39.2 (</w:t>
      </w:r>
      <w:r>
        <w:rPr>
          <w:rFonts w:ascii="Arial" w:cs="Arial" w:eastAsia="Arial" w:hAnsi="Arial"/>
          <w:sz w:val="18"/>
          <w:szCs w:val="18"/>
          <w:i w:val="1"/>
          <w:iCs w:val="1"/>
          <w:color w:val="auto"/>
        </w:rPr>
        <w:t>Addresses</w:t>
      </w:r>
      <w:r>
        <w:rPr>
          <w:rFonts w:ascii="Arial" w:cs="Arial" w:eastAsia="Arial" w:hAnsi="Arial"/>
          <w:sz w:val="18"/>
          <w:szCs w:val="18"/>
          <w:color w:val="auto"/>
        </w:rPr>
        <w:t>) and clause 39.5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 or (as the case may be) a Hedging Provider.</w:t>
      </w:r>
    </w:p>
    <w:p>
      <w:pPr>
        <w:spacing w:after="0" w:line="205" w:lineRule="exact"/>
        <w:rPr>
          <w:rFonts w:ascii="Arial" w:cs="Arial" w:eastAsia="Arial" w:hAnsi="Arial"/>
          <w:sz w:val="18"/>
          <w:szCs w:val="18"/>
          <w:color w:val="auto"/>
        </w:rPr>
      </w:pPr>
    </w:p>
    <w:p>
      <w:pPr>
        <w:ind w:left="1020" w:hanging="512"/>
        <w:spacing w:after="0" w:line="246" w:lineRule="auto"/>
        <w:tabs>
          <w:tab w:leader="none" w:pos="1015" w:val="left"/>
        </w:tabs>
        <w:numPr>
          <w:ilvl w:val="0"/>
          <w:numId w:val="784"/>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211" w:lineRule="exact"/>
        <w:rPr>
          <w:rFonts w:ascii="Arial" w:cs="Arial" w:eastAsia="Arial" w:hAnsi="Arial"/>
          <w:sz w:val="18"/>
          <w:szCs w:val="18"/>
          <w:color w:val="auto"/>
        </w:rPr>
      </w:pPr>
    </w:p>
    <w:p>
      <w:pPr>
        <w:ind w:left="1020" w:hanging="512"/>
        <w:spacing w:after="0" w:line="246" w:lineRule="auto"/>
        <w:tabs>
          <w:tab w:leader="none" w:pos="1039" w:val="left"/>
        </w:tabs>
        <w:numPr>
          <w:ilvl w:val="0"/>
          <w:numId w:val="784"/>
        </w:numPr>
        <w:rPr>
          <w:rFonts w:ascii="Arial" w:cs="Arial" w:eastAsia="Arial" w:hAnsi="Arial"/>
          <w:sz w:val="18"/>
          <w:szCs w:val="18"/>
          <w:color w:val="auto"/>
        </w:rPr>
      </w:pPr>
      <w:r>
        <w:rPr>
          <w:rFonts w:ascii="Arial" w:cs="Arial" w:eastAsia="Arial" w:hAnsi="Arial"/>
          <w:sz w:val="18"/>
          <w:szCs w:val="18"/>
          <w:color w:val="auto"/>
        </w:rPr>
        <w:t>The Agent shall not be under any obligation to act as agent or otherwise on behalf of any Hedging Provider except as expressly provided in, and for the purposes of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34.16 Credit appraisal by the Lenders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205" w:lineRule="exact"/>
        <w:rPr>
          <w:sz w:val="20"/>
          <w:szCs w:val="20"/>
          <w:color w:val="auto"/>
        </w:rPr>
      </w:pPr>
    </w:p>
    <w:p>
      <w:pPr>
        <w:ind w:left="1040" w:hanging="532"/>
        <w:spacing w:after="0"/>
        <w:tabs>
          <w:tab w:leader="none" w:pos="104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 or other Parent Group Member;</w:t>
      </w:r>
    </w:p>
    <w:p>
      <w:pPr>
        <w:spacing w:after="0" w:line="211" w:lineRule="exact"/>
        <w:rPr>
          <w:rFonts w:ascii="Arial" w:cs="Arial" w:eastAsia="Arial" w:hAnsi="Arial"/>
          <w:sz w:val="18"/>
          <w:szCs w:val="18"/>
          <w:color w:val="auto"/>
        </w:rPr>
      </w:pPr>
    </w:p>
    <w:p>
      <w:pPr>
        <w:jc w:val="both"/>
        <w:ind w:left="1020" w:hanging="512"/>
        <w:spacing w:after="0"/>
        <w:tabs>
          <w:tab w:leader="none" w:pos="1066"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or any Charter Document;</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66" w:val="left"/>
        </w:tabs>
        <w:numPr>
          <w:ilvl w:val="0"/>
          <w:numId w:val="785"/>
        </w:numPr>
        <w:rPr>
          <w:rFonts w:ascii="Arial" w:cs="Arial" w:eastAsia="Arial" w:hAnsi="Arial"/>
          <w:sz w:val="18"/>
          <w:szCs w:val="18"/>
          <w:color w:val="auto"/>
        </w:rPr>
      </w:pPr>
      <w:r>
        <w:rPr>
          <w:rFonts w:ascii="Arial" w:cs="Arial" w:eastAsia="Arial" w:hAnsi="Arial"/>
          <w:sz w:val="18"/>
          <w:szCs w:val="18"/>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204" w:lineRule="exact"/>
        <w:rPr>
          <w:rFonts w:ascii="Arial" w:cs="Arial" w:eastAsia="Arial" w:hAnsi="Arial"/>
          <w:sz w:val="18"/>
          <w:szCs w:val="18"/>
          <w:color w:val="auto"/>
        </w:rPr>
      </w:pPr>
    </w:p>
    <w:p>
      <w:pPr>
        <w:ind w:left="1020" w:hanging="512"/>
        <w:spacing w:after="0" w:line="246" w:lineRule="auto"/>
        <w:tabs>
          <w:tab w:leader="none" w:pos="1052"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5" w:name="page296"/>
    <w:bookmarkEnd w:id="295"/>
    <w:p>
      <w:pPr>
        <w:jc w:val="both"/>
        <w:ind w:left="1040"/>
        <w:spacing w:after="0"/>
        <w:rPr>
          <w:sz w:val="20"/>
          <w:szCs w:val="20"/>
          <w:color w:val="auto"/>
        </w:rPr>
      </w:pPr>
      <w:r>
        <w:rPr>
          <w:rFonts w:ascii="Arial" w:cs="Arial" w:eastAsia="Arial" w:hAnsi="Arial"/>
          <w:sz w:val="18"/>
          <w:szCs w:val="18"/>
          <w:color w:val="auto"/>
        </w:rPr>
        <w:t>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203" w:lineRule="exact"/>
        <w:rPr>
          <w:sz w:val="20"/>
          <w:szCs w:val="20"/>
          <w:color w:val="auto"/>
        </w:rPr>
      </w:pPr>
    </w:p>
    <w:p>
      <w:pPr>
        <w:ind w:left="1020" w:hanging="512"/>
        <w:spacing w:after="0" w:line="246" w:lineRule="auto"/>
        <w:tabs>
          <w:tab w:leader="none" w:pos="1027" w:val="left"/>
        </w:tabs>
        <w:numPr>
          <w:ilvl w:val="0"/>
          <w:numId w:val="786"/>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34.17 Agent’s management time and additional remuneration</w:t>
      </w:r>
    </w:p>
    <w:p>
      <w:pPr>
        <w:spacing w:after="0" w:line="216" w:lineRule="exact"/>
        <w:rPr>
          <w:sz w:val="20"/>
          <w:szCs w:val="20"/>
          <w:color w:val="auto"/>
        </w:rPr>
      </w:pPr>
    </w:p>
    <w:p>
      <w:pPr>
        <w:jc w:val="both"/>
        <w:ind w:left="1020" w:hanging="512"/>
        <w:spacing w:after="0" w:line="242" w:lineRule="auto"/>
        <w:tabs>
          <w:tab w:leader="none" w:pos="1241" w:val="left"/>
        </w:tabs>
        <w:numPr>
          <w:ilvl w:val="0"/>
          <w:numId w:val="787"/>
        </w:numPr>
        <w:rPr>
          <w:rFonts w:ascii="Arial" w:cs="Arial" w:eastAsia="Arial" w:hAnsi="Arial"/>
          <w:sz w:val="18"/>
          <w:szCs w:val="18"/>
          <w:color w:val="auto"/>
        </w:rPr>
      </w:pPr>
      <w:r>
        <w:rPr>
          <w:rFonts w:ascii="Arial" w:cs="Arial" w:eastAsia="Arial" w:hAnsi="Arial"/>
          <w:sz w:val="18"/>
          <w:szCs w:val="18"/>
          <w:color w:val="auto"/>
        </w:rPr>
        <w:t>Any amount payable to the Agent under clause 14.3 (</w:t>
      </w:r>
      <w:r>
        <w:rPr>
          <w:rFonts w:ascii="Arial" w:cs="Arial" w:eastAsia="Arial" w:hAnsi="Arial"/>
          <w:sz w:val="18"/>
          <w:szCs w:val="18"/>
          <w:i w:val="1"/>
          <w:iCs w:val="1"/>
          <w:color w:val="auto"/>
        </w:rPr>
        <w:t>Indemnity to the Agent and Security Agent</w:t>
      </w:r>
      <w:r>
        <w:rPr>
          <w:rFonts w:ascii="Arial" w:cs="Arial" w:eastAsia="Arial" w:hAnsi="Arial"/>
          <w:sz w:val="18"/>
          <w:szCs w:val="18"/>
          <w:color w:val="auto"/>
        </w:rPr>
        <w:t>), clause 16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 clause 34.11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w:t>
      </w:r>
      <w:r>
        <w:rPr>
          <w:rFonts w:ascii="Arial" w:cs="Arial" w:eastAsia="Arial" w:hAnsi="Arial"/>
          <w:sz w:val="18"/>
          <w:szCs w:val="18"/>
          <w:i w:val="1"/>
          <w:iCs w:val="1"/>
          <w:color w:val="auto"/>
        </w:rPr>
        <w:t xml:space="preserve"> </w:t>
      </w:r>
      <w:r>
        <w:rPr>
          <w:rFonts w:ascii="Arial" w:cs="Arial" w:eastAsia="Arial" w:hAnsi="Arial"/>
          <w:sz w:val="18"/>
          <w:szCs w:val="18"/>
          <w:color w:val="auto"/>
        </w:rPr>
        <w:t>of clause 34.21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Borrowers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787"/>
        </w:numPr>
        <w:rPr>
          <w:rFonts w:ascii="Arial" w:cs="Arial" w:eastAsia="Arial" w:hAnsi="Arial"/>
          <w:sz w:val="18"/>
          <w:szCs w:val="18"/>
          <w:color w:val="auto"/>
        </w:rPr>
      </w:pPr>
      <w:r>
        <w:rPr>
          <w:rFonts w:ascii="Arial" w:cs="Arial" w:eastAsia="Arial" w:hAnsi="Arial"/>
          <w:sz w:val="18"/>
          <w:szCs w:val="18"/>
          <w:color w:val="auto"/>
        </w:rPr>
        <w:t>a Default;</w:t>
      </w:r>
    </w:p>
    <w:p>
      <w:pPr>
        <w:spacing w:after="0" w:line="211" w:lineRule="exact"/>
        <w:rPr>
          <w:rFonts w:ascii="Arial" w:cs="Arial" w:eastAsia="Arial" w:hAnsi="Arial"/>
          <w:sz w:val="18"/>
          <w:szCs w:val="18"/>
          <w:color w:val="auto"/>
        </w:rPr>
      </w:pPr>
    </w:p>
    <w:p>
      <w:pPr>
        <w:jc w:val="both"/>
        <w:ind w:left="1540" w:hanging="511"/>
        <w:spacing w:after="0"/>
        <w:tabs>
          <w:tab w:leader="none" w:pos="1576" w:val="left"/>
        </w:tabs>
        <w:numPr>
          <w:ilvl w:val="1"/>
          <w:numId w:val="787"/>
        </w:numPr>
        <w:rPr>
          <w:rFonts w:ascii="Arial" w:cs="Arial" w:eastAsia="Arial" w:hAnsi="Arial"/>
          <w:sz w:val="18"/>
          <w:szCs w:val="18"/>
          <w:color w:val="auto"/>
        </w:rPr>
      </w:pPr>
      <w:r>
        <w:rPr>
          <w:rFonts w:ascii="Arial" w:cs="Arial" w:eastAsia="Arial" w:hAnsi="Arial"/>
          <w:sz w:val="18"/>
          <w:szCs w:val="18"/>
          <w:color w:val="auto"/>
        </w:rPr>
        <w:t>the Agent being requested by an Obligor or the Majority Lenders to undertake duties which the Agent and the Borrowers agree to be of an exceptional nature or outside the scope of the normal duties of the Agent under the Finance Documents; or</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787"/>
        </w:numPr>
        <w:rPr>
          <w:rFonts w:ascii="Arial" w:cs="Arial" w:eastAsia="Arial" w:hAnsi="Arial"/>
          <w:sz w:val="18"/>
          <w:szCs w:val="18"/>
          <w:color w:val="auto"/>
        </w:rPr>
      </w:pPr>
      <w:r>
        <w:rPr>
          <w:rFonts w:ascii="Arial" w:cs="Arial" w:eastAsia="Arial" w:hAnsi="Arial"/>
          <w:sz w:val="18"/>
          <w:szCs w:val="18"/>
          <w:color w:val="auto"/>
        </w:rPr>
        <w:t>the Agent and the Borrowers agreeing that it is otherwise appropriate in the circumstances,</w:t>
      </w:r>
    </w:p>
    <w:p>
      <w:pPr>
        <w:spacing w:after="0" w:line="212"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the Borrowers shall pay to the Agent any additional remuneration that may be agreed between them or determined pursuant to clause 34.17(c).</w:t>
      </w:r>
    </w:p>
    <w:p>
      <w:pPr>
        <w:spacing w:after="0" w:line="197" w:lineRule="exact"/>
        <w:rPr>
          <w:sz w:val="20"/>
          <w:szCs w:val="20"/>
          <w:color w:val="auto"/>
        </w:rPr>
      </w:pPr>
    </w:p>
    <w:p>
      <w:pPr>
        <w:jc w:val="both"/>
        <w:ind w:left="1020" w:hanging="512"/>
        <w:spacing w:after="0" w:line="237" w:lineRule="auto"/>
        <w:tabs>
          <w:tab w:leader="none" w:pos="1123" w:val="left"/>
        </w:tabs>
        <w:numPr>
          <w:ilvl w:val="0"/>
          <w:numId w:val="788"/>
        </w:numPr>
        <w:rPr>
          <w:rFonts w:ascii="Arial" w:cs="Arial" w:eastAsia="Arial" w:hAnsi="Arial"/>
          <w:sz w:val="18"/>
          <w:szCs w:val="18"/>
          <w:color w:val="auto"/>
        </w:rPr>
      </w:pPr>
      <w:r>
        <w:rPr>
          <w:rFonts w:ascii="Arial" w:cs="Arial" w:eastAsia="Arial" w:hAnsi="Arial"/>
          <w:sz w:val="18"/>
          <w:szCs w:val="18"/>
          <w:color w:val="auto"/>
        </w:rPr>
        <w:t>If the Agent and the Borrowers fail to agree upon the nature of the duties, or upon the additional remuneration referred to in clause 34.17(b)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34.18 Deduction from amounts payable by the Agent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34.19 Common parties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34.20 Security Agent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6" w:name="page297"/>
    <w:bookmarkEnd w:id="296"/>
    <w:p>
      <w:pPr>
        <w:jc w:val="both"/>
        <w:ind w:left="1020" w:hanging="512"/>
        <w:spacing w:after="0" w:line="238" w:lineRule="auto"/>
        <w:tabs>
          <w:tab w:leader="none" w:pos="1052" w:val="left"/>
        </w:tabs>
        <w:numPr>
          <w:ilvl w:val="0"/>
          <w:numId w:val="789"/>
        </w:numPr>
        <w:rPr>
          <w:rFonts w:ascii="Arial" w:cs="Arial" w:eastAsia="Arial" w:hAnsi="Arial"/>
          <w:sz w:val="18"/>
          <w:szCs w:val="18"/>
          <w:color w:val="auto"/>
        </w:rPr>
      </w:pPr>
      <w:r>
        <w:rPr>
          <w:rFonts w:ascii="Arial" w:cs="Arial" w:eastAsia="Arial" w:hAnsi="Arial"/>
          <w:sz w:val="18"/>
          <w:szCs w:val="18"/>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pacing w:after="0" w:line="204" w:lineRule="exact"/>
        <w:rPr>
          <w:rFonts w:ascii="Arial" w:cs="Arial" w:eastAsia="Arial" w:hAnsi="Arial"/>
          <w:sz w:val="18"/>
          <w:szCs w:val="18"/>
          <w:color w:val="auto"/>
        </w:rPr>
      </w:pPr>
    </w:p>
    <w:p>
      <w:pPr>
        <w:ind w:left="1040" w:hanging="532"/>
        <w:spacing w:after="0"/>
        <w:tabs>
          <w:tab w:leader="none" w:pos="104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11" w:lineRule="exact"/>
        <w:rPr>
          <w:rFonts w:ascii="Arial" w:cs="Arial" w:eastAsia="Arial" w:hAnsi="Arial"/>
          <w:sz w:val="18"/>
          <w:szCs w:val="18"/>
          <w:color w:val="auto"/>
        </w:rPr>
      </w:pPr>
    </w:p>
    <w:p>
      <w:pPr>
        <w:jc w:val="both"/>
        <w:ind w:left="1540" w:hanging="511"/>
        <w:spacing w:after="0"/>
        <w:tabs>
          <w:tab w:leader="none" w:pos="1749" w:val="left"/>
        </w:tabs>
        <w:numPr>
          <w:ilvl w:val="1"/>
          <w:numId w:val="789"/>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202" w:lineRule="exact"/>
        <w:rPr>
          <w:rFonts w:ascii="Arial" w:cs="Arial" w:eastAsia="Arial" w:hAnsi="Arial"/>
          <w:sz w:val="18"/>
          <w:szCs w:val="18"/>
          <w:color w:val="auto"/>
        </w:rPr>
      </w:pPr>
    </w:p>
    <w:p>
      <w:pPr>
        <w:ind w:left="1540" w:hanging="511"/>
        <w:spacing w:after="0" w:line="246" w:lineRule="auto"/>
        <w:tabs>
          <w:tab w:leader="none" w:pos="1711" w:val="left"/>
        </w:tabs>
        <w:numPr>
          <w:ilvl w:val="1"/>
          <w:numId w:val="789"/>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78" w:lineRule="exact"/>
        <w:rPr>
          <w:rFonts w:ascii="Arial" w:cs="Arial" w:eastAsia="Arial" w:hAnsi="Arial"/>
          <w:sz w:val="18"/>
          <w:szCs w:val="18"/>
          <w:color w:val="auto"/>
        </w:rPr>
      </w:pPr>
    </w:p>
    <w:p>
      <w:pPr>
        <w:jc w:val="both"/>
        <w:ind w:left="1020" w:hanging="512"/>
        <w:spacing w:after="0" w:line="245" w:lineRule="auto"/>
        <w:tabs>
          <w:tab w:leader="none" w:pos="1042"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34.20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34.20 - 34.32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34.21 Application of certain clauses to Security Agent</w:t>
      </w:r>
    </w:p>
    <w:p>
      <w:pPr>
        <w:spacing w:after="0" w:line="216" w:lineRule="exact"/>
        <w:rPr>
          <w:sz w:val="20"/>
          <w:szCs w:val="20"/>
          <w:color w:val="auto"/>
        </w:rPr>
      </w:pPr>
    </w:p>
    <w:p>
      <w:pPr>
        <w:jc w:val="both"/>
        <w:ind w:left="1020" w:hanging="512"/>
        <w:spacing w:after="0"/>
        <w:tabs>
          <w:tab w:leader="none" w:pos="1066" w:val="left"/>
        </w:tabs>
        <w:numPr>
          <w:ilvl w:val="0"/>
          <w:numId w:val="790"/>
        </w:numPr>
        <w:rPr>
          <w:rFonts w:ascii="Arial" w:cs="Arial" w:eastAsia="Arial" w:hAnsi="Arial"/>
          <w:sz w:val="18"/>
          <w:szCs w:val="18"/>
          <w:color w:val="auto"/>
        </w:rPr>
      </w:pPr>
      <w:r>
        <w:rPr>
          <w:rFonts w:ascii="Arial" w:cs="Arial" w:eastAsia="Arial" w:hAnsi="Arial"/>
          <w:sz w:val="18"/>
          <w:szCs w:val="18"/>
          <w:color w:val="auto"/>
        </w:rPr>
        <w:t>Clauses 34.7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34.8 (</w:t>
      </w:r>
      <w:r>
        <w:rPr>
          <w:rFonts w:ascii="Arial" w:cs="Arial" w:eastAsia="Arial" w:hAnsi="Arial"/>
          <w:sz w:val="18"/>
          <w:szCs w:val="18"/>
          <w:i w:val="1"/>
          <w:iCs w:val="1"/>
          <w:color w:val="auto"/>
        </w:rPr>
        <w:t>Responsibility for documentation and other matters</w:t>
      </w:r>
      <w:r>
        <w:rPr>
          <w:rFonts w:ascii="Arial" w:cs="Arial" w:eastAsia="Arial" w:hAnsi="Arial"/>
          <w:sz w:val="18"/>
          <w:szCs w:val="18"/>
          <w:color w:val="auto"/>
        </w:rPr>
        <w:t xml:space="preserve">), 34.9 </w:t>
      </w:r>
      <w:r>
        <w:rPr>
          <w:rFonts w:ascii="Arial" w:cs="Arial" w:eastAsia="Arial" w:hAnsi="Arial"/>
          <w:sz w:val="18"/>
          <w:szCs w:val="18"/>
          <w:i w:val="1"/>
          <w:iCs w:val="1"/>
          <w:color w:val="auto"/>
        </w:rPr>
        <w:t>(No duty to</w:t>
      </w:r>
      <w:r>
        <w:rPr>
          <w:rFonts w:ascii="Arial" w:cs="Arial" w:eastAsia="Arial" w:hAnsi="Arial"/>
          <w:sz w:val="18"/>
          <w:szCs w:val="18"/>
          <w:color w:val="auto"/>
        </w:rPr>
        <w:t xml:space="preserve"> </w:t>
      </w:r>
      <w:r>
        <w:rPr>
          <w:rFonts w:ascii="Arial" w:cs="Arial" w:eastAsia="Arial" w:hAnsi="Arial"/>
          <w:sz w:val="18"/>
          <w:szCs w:val="18"/>
          <w:i w:val="1"/>
          <w:iCs w:val="1"/>
          <w:color w:val="auto"/>
        </w:rPr>
        <w:t>monitor)</w:t>
      </w:r>
      <w:r>
        <w:rPr>
          <w:rFonts w:ascii="Arial" w:cs="Arial" w:eastAsia="Arial" w:hAnsi="Arial"/>
          <w:sz w:val="18"/>
          <w:szCs w:val="18"/>
          <w:color w:val="auto"/>
        </w:rPr>
        <w:t>, 34.10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34.11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34.12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34.13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Replacement of the Agent</w:t>
      </w:r>
      <w:r>
        <w:rPr>
          <w:rFonts w:ascii="Arial" w:cs="Arial" w:eastAsia="Arial" w:hAnsi="Arial"/>
          <w:sz w:val="18"/>
          <w:szCs w:val="18"/>
          <w:color w:val="auto"/>
        </w:rPr>
        <w:t>), 34.14 (</w:t>
      </w:r>
      <w:r>
        <w:rPr>
          <w:rFonts w:ascii="Arial" w:cs="Arial" w:eastAsia="Arial" w:hAnsi="Arial"/>
          <w:sz w:val="18"/>
          <w:szCs w:val="18"/>
          <w:i w:val="1"/>
          <w:iCs w:val="1"/>
          <w:color w:val="auto"/>
        </w:rPr>
        <w:t>Confidentiality</w:t>
      </w:r>
      <w:r>
        <w:rPr>
          <w:rFonts w:ascii="Arial" w:cs="Arial" w:eastAsia="Arial" w:hAnsi="Arial"/>
          <w:sz w:val="18"/>
          <w:szCs w:val="18"/>
          <w:color w:val="auto"/>
        </w:rPr>
        <w:t>), 34.15 (</w:t>
      </w:r>
      <w:r>
        <w:rPr>
          <w:rFonts w:ascii="Arial" w:cs="Arial" w:eastAsia="Arial" w:hAnsi="Arial"/>
          <w:sz w:val="18"/>
          <w:szCs w:val="18"/>
          <w:i w:val="1"/>
          <w:iCs w:val="1"/>
          <w:color w:val="auto"/>
        </w:rPr>
        <w:t>Relationship with the Lenders</w:t>
      </w:r>
      <w:r>
        <w:rPr>
          <w:rFonts w:ascii="Arial" w:cs="Arial" w:eastAsia="Arial" w:hAnsi="Arial"/>
          <w:sz w:val="18"/>
          <w:szCs w:val="18"/>
          <w:color w:val="auto"/>
        </w:rPr>
        <w:t>), 34.16 (</w:t>
      </w:r>
      <w:r>
        <w:rPr>
          <w:rFonts w:ascii="Arial" w:cs="Arial" w:eastAsia="Arial" w:hAnsi="Arial"/>
          <w:sz w:val="18"/>
          <w:szCs w:val="18"/>
          <w:i w:val="1"/>
          <w:iCs w:val="1"/>
          <w:color w:val="auto"/>
        </w:rPr>
        <w:t>Credit appraisal by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34.17</w:t>
      </w:r>
      <w:r>
        <w:rPr>
          <w:rFonts w:ascii="Arial" w:cs="Arial" w:eastAsia="Arial" w:hAnsi="Arial"/>
          <w:sz w:val="18"/>
          <w:szCs w:val="18"/>
          <w:i w:val="1"/>
          <w:iCs w:val="1"/>
          <w:color w:val="auto"/>
        </w:rPr>
        <w:t xml:space="preserve"> (Agent’s management time and additional remuneration) </w:t>
      </w:r>
      <w:r>
        <w:rPr>
          <w:rFonts w:ascii="Arial" w:cs="Arial" w:eastAsia="Arial" w:hAnsi="Arial"/>
          <w:sz w:val="18"/>
          <w:szCs w:val="18"/>
          <w:color w:val="auto"/>
        </w:rPr>
        <w:t>and 34.18 (</w:t>
      </w:r>
      <w:r>
        <w:rPr>
          <w:rFonts w:ascii="Arial" w:cs="Arial" w:eastAsia="Arial" w:hAnsi="Arial"/>
          <w:sz w:val="18"/>
          <w:szCs w:val="18"/>
          <w:i w:val="1"/>
          <w:iCs w:val="1"/>
          <w:color w:val="auto"/>
        </w:rPr>
        <w:t>Deduction from amounts payable by the Agent</w:t>
      </w:r>
      <w:r>
        <w:rPr>
          <w:rFonts w:ascii="Arial" w:cs="Arial" w:eastAsia="Arial" w:hAnsi="Arial"/>
          <w:sz w:val="18"/>
          <w:szCs w:val="18"/>
          <w:color w:val="auto"/>
        </w:rPr>
        <w:t>) shall each extend so as to apply to the Security Agent in its capacity as such and for that purpose each 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these clauses shall extend to include in addition a reference to the “Security Agent” in its capacity as such and, in clause 34.7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84" w:lineRule="exact"/>
        <w:rPr>
          <w:rFonts w:ascii="Arial" w:cs="Arial" w:eastAsia="Arial" w:hAnsi="Arial"/>
          <w:sz w:val="18"/>
          <w:szCs w:val="18"/>
          <w:color w:val="auto"/>
        </w:rPr>
      </w:pPr>
    </w:p>
    <w:p>
      <w:pPr>
        <w:ind w:left="1020" w:hanging="512"/>
        <w:spacing w:after="0" w:line="267" w:lineRule="auto"/>
        <w:tabs>
          <w:tab w:leader="none" w:pos="1079"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In addition, clause 34.12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34.13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34.21(a), have the following additional sub-clause inserted after them:</w:t>
      </w:r>
    </w:p>
    <w:p>
      <w:pPr>
        <w:spacing w:after="0" w:line="178" w:lineRule="exact"/>
        <w:rPr>
          <w:sz w:val="20"/>
          <w:szCs w:val="20"/>
          <w:color w:val="auto"/>
        </w:rPr>
      </w:pPr>
    </w:p>
    <w:p>
      <w:pPr>
        <w:jc w:val="both"/>
        <w:ind w:left="1020"/>
        <w:spacing w:after="0" w:line="237" w:lineRule="auto"/>
        <w:rPr>
          <w:sz w:val="20"/>
          <w:szCs w:val="20"/>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Borrowers (except where the Security Agent is retiring under clause 34.12(a) as extended to it by clause 34.21(a), in which case such costs shall be borne by the Lenders (in proportion to its share of the Total Commitments or, if the Total Commitments are then zero, to its share of the Total Commitments immediately prior to their reduction to zero)).”.</w:t>
      </w:r>
    </w:p>
    <w:p>
      <w:pPr>
        <w:spacing w:after="0" w:line="203" w:lineRule="exact"/>
        <w:rPr>
          <w:sz w:val="20"/>
          <w:szCs w:val="20"/>
          <w:color w:val="auto"/>
        </w:rPr>
      </w:pPr>
    </w:p>
    <w:p>
      <w:pPr>
        <w:ind w:left="1020" w:hanging="512"/>
        <w:spacing w:after="0"/>
        <w:tabs>
          <w:tab w:leader="none" w:pos="102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Clause 34.7(e) shall, for the purposes of its application to the Security Agent pursuant to clause 34.21(a), read as follows:</w:t>
      </w:r>
    </w:p>
    <w:p>
      <w:pPr>
        <w:spacing w:after="0" w:line="212"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“The Security Agent may, at the cost of the Borrowers,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7" w:name="page298"/>
    <w:bookmarkEnd w:id="297"/>
    <w:p>
      <w:pPr>
        <w:ind w:left="1020" w:hanging="512"/>
        <w:spacing w:after="0" w:line="267" w:lineRule="auto"/>
        <w:tabs>
          <w:tab w:leader="none" w:pos="1093" w:val="left"/>
        </w:tabs>
        <w:numPr>
          <w:ilvl w:val="0"/>
          <w:numId w:val="792"/>
        </w:numPr>
        <w:rPr>
          <w:rFonts w:ascii="Arial" w:cs="Arial" w:eastAsia="Arial" w:hAnsi="Arial"/>
          <w:sz w:val="18"/>
          <w:szCs w:val="18"/>
          <w:color w:val="auto"/>
        </w:rPr>
      </w:pPr>
      <w:r>
        <w:rPr>
          <w:rFonts w:ascii="Arial" w:cs="Arial" w:eastAsia="Arial" w:hAnsi="Arial"/>
          <w:sz w:val="18"/>
          <w:szCs w:val="18"/>
          <w:color w:val="auto"/>
        </w:rPr>
        <w:t>Clause 34.10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34.21(a), include the following after sub clause 34.10(a)(iii)(B):</w:t>
      </w:r>
    </w:p>
    <w:p>
      <w:pPr>
        <w:spacing w:after="0" w:line="178" w:lineRule="exact"/>
        <w:rPr>
          <w:sz w:val="20"/>
          <w:szCs w:val="20"/>
          <w:color w:val="auto"/>
        </w:rPr>
      </w:pPr>
    </w:p>
    <w:p>
      <w:pPr>
        <w:ind w:left="1020"/>
        <w:spacing w:after="0"/>
        <w:tabs>
          <w:tab w:leader="none" w:pos="154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194" w:lineRule="exact"/>
        <w:rPr>
          <w:sz w:val="20"/>
          <w:szCs w:val="20"/>
          <w:color w:val="auto"/>
        </w:rPr>
      </w:pPr>
    </w:p>
    <w:p>
      <w:pPr>
        <w:jc w:val="both"/>
        <w:ind w:left="1020" w:hanging="512"/>
        <w:spacing w:after="0" w:line="250" w:lineRule="auto"/>
        <w:tabs>
          <w:tab w:leader="none" w:pos="1025" w:val="left"/>
        </w:tabs>
        <w:numPr>
          <w:ilvl w:val="0"/>
          <w:numId w:val="793"/>
        </w:numPr>
        <w:rPr>
          <w:rFonts w:ascii="Arial" w:cs="Arial" w:eastAsia="Arial" w:hAnsi="Arial"/>
          <w:sz w:val="18"/>
          <w:szCs w:val="18"/>
          <w:color w:val="auto"/>
        </w:rPr>
      </w:pPr>
      <w:r>
        <w:rPr>
          <w:rFonts w:ascii="Arial" w:cs="Arial" w:eastAsia="Arial" w:hAnsi="Arial"/>
          <w:sz w:val="18"/>
          <w:szCs w:val="18"/>
          <w:color w:val="auto"/>
        </w:rPr>
        <w:t>Clause 34.14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34.21(a), be read and construed as to refer to “its agency and trust department” instead of “its department, division or team directly responsible for the management of the Finance Documents”.</w:t>
      </w:r>
    </w:p>
    <w:p>
      <w:pPr>
        <w:spacing w:after="0" w:line="194" w:lineRule="exact"/>
        <w:rPr>
          <w:rFonts w:ascii="Arial" w:cs="Arial" w:eastAsia="Arial" w:hAnsi="Arial"/>
          <w:sz w:val="18"/>
          <w:szCs w:val="18"/>
          <w:color w:val="auto"/>
        </w:rPr>
      </w:pPr>
    </w:p>
    <w:p>
      <w:pPr>
        <w:jc w:val="both"/>
        <w:ind w:left="1020" w:hanging="512"/>
        <w:spacing w:after="0" w:line="237" w:lineRule="auto"/>
        <w:tabs>
          <w:tab w:leader="none" w:pos="1189" w:val="left"/>
        </w:tabs>
        <w:numPr>
          <w:ilvl w:val="0"/>
          <w:numId w:val="793"/>
        </w:numPr>
        <w:rPr>
          <w:rFonts w:ascii="Arial" w:cs="Arial" w:eastAsia="Arial" w:hAnsi="Arial"/>
          <w:sz w:val="18"/>
          <w:szCs w:val="18"/>
          <w:color w:val="auto"/>
        </w:rPr>
      </w:pPr>
      <w:r>
        <w:rPr>
          <w:rFonts w:ascii="Arial" w:cs="Arial" w:eastAsia="Arial" w:hAnsi="Arial"/>
          <w:sz w:val="18"/>
          <w:szCs w:val="18"/>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202" w:lineRule="exact"/>
        <w:rPr>
          <w:rFonts w:ascii="Arial" w:cs="Arial" w:eastAsia="Arial" w:hAnsi="Arial"/>
          <w:sz w:val="18"/>
          <w:szCs w:val="18"/>
          <w:color w:val="auto"/>
        </w:rPr>
      </w:pPr>
    </w:p>
    <w:p>
      <w:pPr>
        <w:jc w:val="both"/>
        <w:ind w:left="1020" w:hanging="512"/>
        <w:spacing w:after="0" w:line="237" w:lineRule="auto"/>
        <w:tabs>
          <w:tab w:leader="none" w:pos="1147"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Borrowers,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Borrowers, the agents and the other parties thereto are observing and performing all their respective obligations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34.22 Instructions to Security Agent</w:t>
      </w:r>
    </w:p>
    <w:p>
      <w:pPr>
        <w:spacing w:after="0" w:line="234" w:lineRule="exact"/>
        <w:rPr>
          <w:sz w:val="20"/>
          <w:szCs w:val="20"/>
          <w:color w:val="auto"/>
        </w:rPr>
      </w:pPr>
    </w:p>
    <w:p>
      <w:pPr>
        <w:ind w:left="1040" w:hanging="532"/>
        <w:spacing w:after="0"/>
        <w:tabs>
          <w:tab w:leader="none" w:pos="104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11" w:lineRule="exact"/>
        <w:rPr>
          <w:rFonts w:ascii="Arial" w:cs="Arial" w:eastAsia="Arial" w:hAnsi="Arial"/>
          <w:sz w:val="18"/>
          <w:szCs w:val="18"/>
          <w:color w:val="auto"/>
        </w:rPr>
      </w:pPr>
    </w:p>
    <w:p>
      <w:pPr>
        <w:ind w:left="1540" w:hanging="511"/>
        <w:spacing w:after="0" w:line="274" w:lineRule="auto"/>
        <w:tabs>
          <w:tab w:leader="none" w:pos="1533" w:val="left"/>
        </w:tabs>
        <w:numPr>
          <w:ilvl w:val="1"/>
          <w:numId w:val="794"/>
        </w:numPr>
        <w:rPr>
          <w:rFonts w:ascii="Arial" w:cs="Arial" w:eastAsia="Arial" w:hAnsi="Arial"/>
          <w:sz w:val="17"/>
          <w:szCs w:val="17"/>
          <w:color w:val="auto"/>
        </w:rPr>
      </w:pPr>
      <w:r>
        <w:rPr>
          <w:rFonts w:ascii="Arial" w:cs="Arial" w:eastAsia="Arial" w:hAnsi="Arial"/>
          <w:sz w:val="17"/>
          <w:szCs w:val="17"/>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74" w:lineRule="exact"/>
        <w:rPr>
          <w:rFonts w:ascii="Arial" w:cs="Arial" w:eastAsia="Arial" w:hAnsi="Arial"/>
          <w:sz w:val="17"/>
          <w:szCs w:val="17"/>
          <w:color w:val="auto"/>
        </w:rPr>
      </w:pPr>
    </w:p>
    <w:p>
      <w:pPr>
        <w:ind w:left="1540" w:hanging="511"/>
        <w:spacing w:after="0" w:line="246" w:lineRule="auto"/>
        <w:tabs>
          <w:tab w:leader="none" w:pos="1684" w:val="left"/>
        </w:tabs>
        <w:numPr>
          <w:ilvl w:val="1"/>
          <w:numId w:val="79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96" w:lineRule="exact"/>
        <w:rPr>
          <w:rFonts w:ascii="Arial" w:cs="Arial" w:eastAsia="Arial" w:hAnsi="Arial"/>
          <w:sz w:val="18"/>
          <w:szCs w:val="18"/>
          <w:color w:val="auto"/>
        </w:rPr>
      </w:pPr>
    </w:p>
    <w:p>
      <w:pPr>
        <w:jc w:val="both"/>
        <w:ind w:left="1020" w:hanging="512"/>
        <w:spacing w:after="0"/>
        <w:tabs>
          <w:tab w:leader="none" w:pos="1039"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202" w:lineRule="exact"/>
        <w:rPr>
          <w:rFonts w:ascii="Arial" w:cs="Arial" w:eastAsia="Arial" w:hAnsi="Arial"/>
          <w:sz w:val="18"/>
          <w:szCs w:val="18"/>
          <w:color w:val="auto"/>
        </w:rPr>
      </w:pPr>
    </w:p>
    <w:p>
      <w:pPr>
        <w:ind w:left="1020" w:hanging="512"/>
        <w:spacing w:after="0" w:line="246" w:lineRule="auto"/>
        <w:tabs>
          <w:tab w:leader="none" w:pos="1123" w:val="left"/>
        </w:tabs>
        <w:numPr>
          <w:ilvl w:val="0"/>
          <w:numId w:val="794"/>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96" w:lineRule="exact"/>
        <w:rPr>
          <w:rFonts w:ascii="Arial" w:cs="Arial" w:eastAsia="Arial" w:hAnsi="Arial"/>
          <w:sz w:val="18"/>
          <w:szCs w:val="18"/>
          <w:color w:val="auto"/>
        </w:rPr>
      </w:pPr>
    </w:p>
    <w:p>
      <w:pPr>
        <w:jc w:val="both"/>
        <w:ind w:left="1020" w:hanging="512"/>
        <w:spacing w:after="0"/>
        <w:tabs>
          <w:tab w:leader="none" w:pos="1309"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093" w:val="left"/>
        </w:tabs>
        <w:numPr>
          <w:ilvl w:val="0"/>
          <w:numId w:val="794"/>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8" w:name="page299"/>
    <w:bookmarkEnd w:id="298"/>
    <w:p>
      <w:pPr>
        <w:jc w:val="both"/>
        <w:ind w:left="1040"/>
        <w:spacing w:after="0"/>
        <w:rPr>
          <w:sz w:val="20"/>
          <w:szCs w:val="20"/>
          <w:color w:val="auto"/>
        </w:rPr>
      </w:pPr>
      <w:r>
        <w:rPr>
          <w:rFonts w:ascii="Arial" w:cs="Arial" w:eastAsia="Arial" w:hAnsi="Arial"/>
          <w:sz w:val="18"/>
          <w:szCs w:val="18"/>
          <w:color w:val="auto"/>
        </w:rPr>
        <w:t>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203" w:lineRule="exact"/>
        <w:rPr>
          <w:sz w:val="20"/>
          <w:szCs w:val="20"/>
          <w:color w:val="auto"/>
        </w:rPr>
      </w:pPr>
    </w:p>
    <w:p>
      <w:pPr>
        <w:ind w:left="1020" w:hanging="512"/>
        <w:spacing w:after="0" w:line="246" w:lineRule="auto"/>
        <w:tabs>
          <w:tab w:leader="none" w:pos="1041" w:val="left"/>
        </w:tabs>
        <w:numPr>
          <w:ilvl w:val="0"/>
          <w:numId w:val="795"/>
        </w:numPr>
        <w:rPr>
          <w:rFonts w:ascii="Arial" w:cs="Arial" w:eastAsia="Arial" w:hAnsi="Arial"/>
          <w:sz w:val="18"/>
          <w:szCs w:val="18"/>
          <w:color w:val="auto"/>
        </w:rPr>
      </w:pPr>
      <w:r>
        <w:rPr>
          <w:rFonts w:ascii="Arial" w:cs="Arial" w:eastAsia="Arial" w:hAnsi="Arial"/>
          <w:sz w:val="18"/>
          <w:szCs w:val="18"/>
          <w:color w:val="auto"/>
        </w:rPr>
        <w:t>In the absence of instructions, the Security Agent may act (or refrain from acting) as it considers to be in the best interest of the Finance Parties.</w:t>
      </w:r>
    </w:p>
    <w:p>
      <w:pPr>
        <w:spacing w:after="0" w:line="196" w:lineRule="exact"/>
        <w:rPr>
          <w:rFonts w:ascii="Arial" w:cs="Arial" w:eastAsia="Arial" w:hAnsi="Arial"/>
          <w:sz w:val="18"/>
          <w:szCs w:val="18"/>
          <w:color w:val="auto"/>
        </w:rPr>
      </w:pPr>
    </w:p>
    <w:p>
      <w:pPr>
        <w:jc w:val="both"/>
        <w:ind w:left="1020" w:hanging="512"/>
        <w:spacing w:after="0" w:line="238" w:lineRule="auto"/>
        <w:tabs>
          <w:tab w:leader="none" w:pos="1093" w:val="left"/>
        </w:tabs>
        <w:numPr>
          <w:ilvl w:val="0"/>
          <w:numId w:val="795"/>
        </w:numPr>
        <w:rPr>
          <w:rFonts w:ascii="Arial" w:cs="Arial" w:eastAsia="Arial" w:hAnsi="Arial"/>
          <w:sz w:val="18"/>
          <w:szCs w:val="18"/>
          <w:color w:val="auto"/>
        </w:rPr>
      </w:pPr>
      <w:r>
        <w:rPr>
          <w:rFonts w:ascii="Arial" w:cs="Arial" w:eastAsia="Arial" w:hAnsi="Arial"/>
          <w:sz w:val="18"/>
          <w:szCs w:val="18"/>
          <w:color w:val="auto"/>
        </w:rPr>
        <w:t>The Security Agent is not authorised to act on behalf of a Lender (without first obtaining that Lender’s consent) in any legal or arbitration proceedings relating to any Finance Document. This clause (g) shall not apply to any legal or arbitration proceeding relating to the perfection, preservation or protection of rights under the Security Documents or enforcement of the Security Documents.</w:t>
      </w:r>
    </w:p>
    <w:p>
      <w:pPr>
        <w:spacing w:after="0" w:line="204" w:lineRule="exact"/>
        <w:rPr>
          <w:rFonts w:ascii="Arial" w:cs="Arial" w:eastAsia="Arial" w:hAnsi="Arial"/>
          <w:sz w:val="18"/>
          <w:szCs w:val="18"/>
          <w:color w:val="auto"/>
        </w:rPr>
      </w:pPr>
    </w:p>
    <w:p>
      <w:pPr>
        <w:jc w:val="both"/>
        <w:ind w:left="1020" w:hanging="512"/>
        <w:spacing w:after="0"/>
        <w:tabs>
          <w:tab w:leader="none" w:pos="1093" w:val="left"/>
        </w:tabs>
        <w:numPr>
          <w:ilvl w:val="0"/>
          <w:numId w:val="795"/>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Borrowers, the Agent, or any Finance Party as regards any deficiency which might arise because the Security Agent is subject to any Tax in respect of all or any of the Charged Property, the income therefrom or the proceeds thereof.</w:t>
      </w:r>
    </w:p>
    <w:p>
      <w:pPr>
        <w:spacing w:after="0" w:line="184" w:lineRule="exact"/>
        <w:rPr>
          <w:rFonts w:ascii="Arial" w:cs="Arial" w:eastAsia="Arial" w:hAnsi="Arial"/>
          <w:sz w:val="18"/>
          <w:szCs w:val="18"/>
          <w:color w:val="auto"/>
        </w:rPr>
      </w:pPr>
    </w:p>
    <w:p>
      <w:pPr>
        <w:jc w:val="both"/>
        <w:ind w:left="1020" w:hanging="512"/>
        <w:spacing w:after="0" w:line="242" w:lineRule="auto"/>
        <w:tabs>
          <w:tab w:leader="none" w:pos="1125" w:val="left"/>
        </w:tabs>
        <w:numPr>
          <w:ilvl w:val="0"/>
          <w:numId w:val="795"/>
        </w:numPr>
        <w:rPr>
          <w:rFonts w:ascii="Arial" w:cs="Arial" w:eastAsia="Arial" w:hAnsi="Arial"/>
          <w:sz w:val="18"/>
          <w:szCs w:val="18"/>
          <w:color w:val="auto"/>
        </w:rPr>
      </w:pPr>
      <w:r>
        <w:rPr>
          <w:rFonts w:ascii="Arial" w:cs="Arial" w:eastAsia="Arial" w:hAnsi="Arial"/>
          <w:sz w:val="18"/>
          <w:szCs w:val="18"/>
          <w:color w:val="auto"/>
        </w:rPr>
        <w:t>Until the delivery of an enforcement notice pursuant to clause 30.22 (</w:t>
      </w:r>
      <w:r>
        <w:rPr>
          <w:rFonts w:ascii="Arial" w:cs="Arial" w:eastAsia="Arial" w:hAnsi="Arial"/>
          <w:sz w:val="18"/>
          <w:szCs w:val="18"/>
          <w:i w:val="1"/>
          <w:iCs w:val="1"/>
          <w:color w:val="auto"/>
        </w:rPr>
        <w:t>Acceleration</w:t>
      </w:r>
      <w:r>
        <w:rPr>
          <w:rFonts w:ascii="Arial" w:cs="Arial" w:eastAsia="Arial" w:hAnsi="Arial"/>
          <w:sz w:val="18"/>
          <w:szCs w:val="18"/>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34.23 Security Agent’s actions</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Without prejudice to the provisions of clause 34.22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34.24 Order of application</w:t>
      </w:r>
    </w:p>
    <w:p>
      <w:pPr>
        <w:spacing w:after="0" w:line="234" w:lineRule="exact"/>
        <w:rPr>
          <w:sz w:val="20"/>
          <w:szCs w:val="20"/>
          <w:color w:val="auto"/>
        </w:rPr>
      </w:pPr>
    </w:p>
    <w:p>
      <w:pPr>
        <w:jc w:val="both"/>
        <w:ind w:left="1020" w:hanging="512"/>
        <w:spacing w:after="0"/>
        <w:tabs>
          <w:tab w:leader="none" w:pos="1039"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80" w:lineRule="exact"/>
        <w:rPr>
          <w:rFonts w:ascii="Arial" w:cs="Arial" w:eastAsia="Arial" w:hAnsi="Arial"/>
          <w:sz w:val="18"/>
          <w:szCs w:val="18"/>
          <w:color w:val="auto"/>
        </w:rPr>
      </w:pPr>
    </w:p>
    <w:p>
      <w:pPr>
        <w:jc w:val="both"/>
        <w:ind w:left="1540" w:hanging="511"/>
        <w:spacing w:after="0" w:line="244" w:lineRule="auto"/>
        <w:tabs>
          <w:tab w:leader="none" w:pos="1679" w:val="left"/>
        </w:tabs>
        <w:numPr>
          <w:ilvl w:val="1"/>
          <w:numId w:val="796"/>
        </w:numPr>
        <w:rPr>
          <w:rFonts w:ascii="Arial" w:cs="Arial" w:eastAsia="Arial" w:hAnsi="Arial"/>
          <w:sz w:val="18"/>
          <w:szCs w:val="18"/>
          <w:b w:val="1"/>
          <w:bCs w:val="1"/>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amounts received by the Security Agent pursuant to clause 34.11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 extended to the Security Agent pursuant to clause 34.21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34.11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xml:space="preserve"> for the Agent absolutely;</w:t>
      </w:r>
    </w:p>
    <w:p>
      <w:pPr>
        <w:spacing w:after="0" w:line="176" w:lineRule="exact"/>
        <w:rPr>
          <w:rFonts w:ascii="Arial" w:cs="Arial" w:eastAsia="Arial" w:hAnsi="Arial"/>
          <w:sz w:val="18"/>
          <w:szCs w:val="18"/>
          <w:b w:val="1"/>
          <w:bCs w:val="1"/>
          <w:color w:val="auto"/>
        </w:rPr>
      </w:pPr>
    </w:p>
    <w:p>
      <w:pPr>
        <w:jc w:val="both"/>
        <w:ind w:left="1540" w:hanging="511"/>
        <w:spacing w:after="0" w:line="253" w:lineRule="auto"/>
        <w:tabs>
          <w:tab w:leader="none" w:pos="1598" w:val="left"/>
        </w:tabs>
        <w:numPr>
          <w:ilvl w:val="1"/>
          <w:numId w:val="796"/>
        </w:numPr>
        <w:rPr>
          <w:rFonts w:ascii="Arial" w:cs="Arial" w:eastAsia="Arial" w:hAnsi="Arial"/>
          <w:sz w:val="18"/>
          <w:szCs w:val="18"/>
          <w:b w:val="1"/>
          <w:bCs w:val="1"/>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as to a sum equivalent to the aggregate amount then due and owing to the other Finance Parties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for those Finance Parties absolutely for application between them in accordance with clause 37.5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68" w:lineRule="exact"/>
        <w:rPr>
          <w:rFonts w:ascii="Arial" w:cs="Arial" w:eastAsia="Arial" w:hAnsi="Arial"/>
          <w:sz w:val="18"/>
          <w:szCs w:val="18"/>
          <w:b w:val="1"/>
          <w:bCs w:val="1"/>
          <w:color w:val="auto"/>
        </w:rPr>
      </w:pPr>
    </w:p>
    <w:p>
      <w:pPr>
        <w:jc w:val="both"/>
        <w:ind w:left="1540" w:hanging="511"/>
        <w:spacing w:after="0" w:line="247" w:lineRule="auto"/>
        <w:tabs>
          <w:tab w:leader="none" w:pos="1664" w:val="left"/>
        </w:tabs>
        <w:numPr>
          <w:ilvl w:val="1"/>
          <w:numId w:val="796"/>
        </w:numPr>
        <w:rPr>
          <w:rFonts w:ascii="Arial" w:cs="Arial" w:eastAsia="Arial" w:hAnsi="Arial"/>
          <w:sz w:val="18"/>
          <w:szCs w:val="18"/>
          <w:b w:val="1"/>
          <w:bCs w:val="1"/>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and unconditionally discharged in full, held by the Security Agent on a suspense account for payment of any further amounts owing to the Finance Parties under the Finance Documents and further application in accordance with this clause 34.24(a) as and when any such amounts later fall due;</w:t>
      </w:r>
    </w:p>
    <w:p>
      <w:pPr>
        <w:spacing w:after="0" w:line="173" w:lineRule="exact"/>
        <w:rPr>
          <w:rFonts w:ascii="Arial" w:cs="Arial" w:eastAsia="Arial" w:hAnsi="Arial"/>
          <w:sz w:val="18"/>
          <w:szCs w:val="18"/>
          <w:b w:val="1"/>
          <w:bCs w:val="1"/>
          <w:color w:val="auto"/>
        </w:rPr>
      </w:pPr>
    </w:p>
    <w:p>
      <w:pPr>
        <w:ind w:left="1520" w:hanging="491"/>
        <w:spacing w:after="0"/>
        <w:tabs>
          <w:tab w:leader="none" w:pos="1520" w:val="left"/>
        </w:tabs>
        <w:numPr>
          <w:ilvl w:val="1"/>
          <w:numId w:val="796"/>
        </w:numPr>
        <w:rPr>
          <w:rFonts w:ascii="Arial" w:cs="Arial" w:eastAsia="Arial" w:hAnsi="Arial"/>
          <w:sz w:val="18"/>
          <w:szCs w:val="18"/>
          <w:b w:val="1"/>
          <w:bCs w:val="1"/>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9" w:name="page300"/>
    <w:bookmarkEnd w:id="299"/>
    <w:p>
      <w:pPr>
        <w:ind w:left="1540" w:hanging="511"/>
        <w:spacing w:after="0" w:line="271" w:lineRule="auto"/>
        <w:tabs>
          <w:tab w:leader="none" w:pos="1555" w:val="left"/>
        </w:tabs>
        <w:numPr>
          <w:ilvl w:val="1"/>
          <w:numId w:val="797"/>
        </w:numPr>
        <w:rPr>
          <w:rFonts w:ascii="Arial" w:cs="Arial" w:eastAsia="Arial" w:hAnsi="Arial"/>
          <w:sz w:val="18"/>
          <w:szCs w:val="18"/>
          <w:b w:val="1"/>
          <w:bCs w:val="1"/>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or recovered or other person entitled to them.</w:t>
      </w:r>
    </w:p>
    <w:p>
      <w:pPr>
        <w:spacing w:after="0" w:line="175" w:lineRule="exact"/>
        <w:rPr>
          <w:rFonts w:ascii="Arial" w:cs="Arial" w:eastAsia="Arial" w:hAnsi="Arial"/>
          <w:sz w:val="18"/>
          <w:szCs w:val="18"/>
          <w:b w:val="1"/>
          <w:bCs w:val="1"/>
          <w:color w:val="auto"/>
        </w:rPr>
      </w:pPr>
    </w:p>
    <w:p>
      <w:pPr>
        <w:jc w:val="both"/>
        <w:ind w:left="1020" w:hanging="512"/>
        <w:spacing w:after="0" w:line="237" w:lineRule="auto"/>
        <w:tabs>
          <w:tab w:leader="none" w:pos="1039"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Borrowers or any other person liable.</w:t>
      </w:r>
    </w:p>
    <w:p>
      <w:pPr>
        <w:spacing w:after="0" w:line="202" w:lineRule="exact"/>
        <w:rPr>
          <w:rFonts w:ascii="Arial" w:cs="Arial" w:eastAsia="Arial" w:hAnsi="Arial"/>
          <w:sz w:val="18"/>
          <w:szCs w:val="18"/>
          <w:color w:val="auto"/>
        </w:rPr>
      </w:pPr>
    </w:p>
    <w:p>
      <w:pPr>
        <w:jc w:val="both"/>
        <w:ind w:left="1020" w:hanging="512"/>
        <w:spacing w:after="0"/>
        <w:tabs>
          <w:tab w:leader="none" w:pos="1164"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34.24 by paying such amounts to the Agent for distribution in accordance with clause 37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34.25 Powers and duties of the Security Agent as trustee of the security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212" w:lineRule="exact"/>
        <w:rPr>
          <w:sz w:val="20"/>
          <w:szCs w:val="20"/>
          <w:color w:val="auto"/>
        </w:rPr>
      </w:pPr>
    </w:p>
    <w:p>
      <w:pPr>
        <w:jc w:val="both"/>
        <w:ind w:left="1020" w:hanging="512"/>
        <w:spacing w:after="0" w:line="238" w:lineRule="auto"/>
        <w:tabs>
          <w:tab w:leader="none" w:pos="1079" w:val="left"/>
        </w:tabs>
        <w:numPr>
          <w:ilvl w:val="0"/>
          <w:numId w:val="799"/>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84" w:lineRule="exact"/>
        <w:rPr>
          <w:rFonts w:ascii="Arial" w:cs="Arial" w:eastAsia="Arial" w:hAnsi="Arial"/>
          <w:sz w:val="18"/>
          <w:szCs w:val="18"/>
          <w:color w:val="auto"/>
        </w:rPr>
      </w:pPr>
    </w:p>
    <w:p>
      <w:pPr>
        <w:jc w:val="both"/>
        <w:ind w:left="1020" w:hanging="512"/>
        <w:spacing w:after="0" w:line="239" w:lineRule="auto"/>
        <w:tabs>
          <w:tab w:leader="none" w:pos="116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shall (subject to clause 34.24(a) (</w:t>
      </w:r>
      <w:r>
        <w:rPr>
          <w:rFonts w:ascii="Arial" w:cs="Arial" w:eastAsia="Arial" w:hAnsi="Arial"/>
          <w:sz w:val="18"/>
          <w:szCs w:val="18"/>
          <w:i w:val="1"/>
          <w:iCs w:val="1"/>
          <w:color w:val="auto"/>
        </w:rPr>
        <w:t>Order of application</w:t>
      </w:r>
      <w:r>
        <w:rPr>
          <w:rFonts w:ascii="Arial" w:cs="Arial" w:eastAsia="Arial" w:hAnsi="Arial"/>
          <w:sz w:val="18"/>
          <w:szCs w:val="18"/>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205" w:lineRule="exact"/>
        <w:rPr>
          <w:rFonts w:ascii="Arial" w:cs="Arial" w:eastAsia="Arial" w:hAnsi="Arial"/>
          <w:sz w:val="18"/>
          <w:szCs w:val="18"/>
          <w:color w:val="auto"/>
        </w:rPr>
      </w:pPr>
    </w:p>
    <w:p>
      <w:pPr>
        <w:jc w:val="both"/>
        <w:ind w:left="1020" w:hanging="512"/>
        <w:spacing w:after="0" w:line="236" w:lineRule="auto"/>
        <w:tabs>
          <w:tab w:leader="none" w:pos="1056" w:val="left"/>
        </w:tabs>
        <w:numPr>
          <w:ilvl w:val="0"/>
          <w:numId w:val="799"/>
        </w:numPr>
        <w:rPr>
          <w:rFonts w:ascii="Arial" w:cs="Arial" w:eastAsia="Arial" w:hAnsi="Arial"/>
          <w:sz w:val="18"/>
          <w:szCs w:val="18"/>
          <w:color w:val="auto"/>
        </w:rPr>
      </w:pPr>
      <w:r>
        <w:rPr>
          <w:rFonts w:ascii="Arial" w:cs="Arial" w:eastAsia="Arial" w:hAnsi="Arial"/>
          <w:sz w:val="18"/>
          <w:szCs w:val="18"/>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207" w:lineRule="exact"/>
        <w:rPr>
          <w:rFonts w:ascii="Arial" w:cs="Arial" w:eastAsia="Arial" w:hAnsi="Arial"/>
          <w:sz w:val="18"/>
          <w:szCs w:val="18"/>
          <w:color w:val="auto"/>
        </w:rPr>
      </w:pPr>
    </w:p>
    <w:p>
      <w:pPr>
        <w:jc w:val="both"/>
        <w:ind w:left="1020" w:hanging="512"/>
        <w:spacing w:after="0"/>
        <w:tabs>
          <w:tab w:leader="none" w:pos="1039" w:val="left"/>
        </w:tabs>
        <w:numPr>
          <w:ilvl w:val="0"/>
          <w:numId w:val="799"/>
        </w:numPr>
        <w:rPr>
          <w:rFonts w:ascii="Arial" w:cs="Arial" w:eastAsia="Arial" w:hAnsi="Arial"/>
          <w:sz w:val="18"/>
          <w:szCs w:val="18"/>
          <w:color w:val="auto"/>
        </w:rPr>
      </w:pPr>
      <w:r>
        <w:rPr>
          <w:rFonts w:ascii="Arial" w:cs="Arial" w:eastAsia="Arial" w:hAnsi="Arial"/>
          <w:sz w:val="18"/>
          <w:szCs w:val="18"/>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0" w:name="page301"/>
    <w:bookmarkEnd w:id="300"/>
    <w:p>
      <w:pPr>
        <w:jc w:val="both"/>
        <w:ind w:left="1040"/>
        <w:spacing w:after="0" w:line="238" w:lineRule="auto"/>
        <w:rPr>
          <w:sz w:val="20"/>
          <w:szCs w:val="20"/>
          <w:color w:val="auto"/>
        </w:rPr>
      </w:pPr>
      <w:r>
        <w:rPr>
          <w:rFonts w:ascii="Arial" w:cs="Arial" w:eastAsia="Arial" w:hAnsi="Arial"/>
          <w:sz w:val="18"/>
          <w:szCs w:val="18"/>
          <w:color w:val="auto"/>
        </w:rPr>
        <w:t>Agent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205" w:lineRule="exact"/>
        <w:rPr>
          <w:sz w:val="20"/>
          <w:szCs w:val="20"/>
          <w:color w:val="auto"/>
        </w:rPr>
      </w:pPr>
    </w:p>
    <w:p>
      <w:pPr>
        <w:jc w:val="both"/>
        <w:ind w:left="1020" w:hanging="512"/>
        <w:spacing w:after="0"/>
        <w:tabs>
          <w:tab w:leader="none" w:pos="1120" w:val="left"/>
        </w:tabs>
        <w:numPr>
          <w:ilvl w:val="0"/>
          <w:numId w:val="800"/>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89" w:val="left"/>
        </w:tabs>
        <w:numPr>
          <w:ilvl w:val="0"/>
          <w:numId w:val="800"/>
        </w:numPr>
        <w:rPr>
          <w:rFonts w:ascii="Arial" w:cs="Arial" w:eastAsia="Arial" w:hAnsi="Arial"/>
          <w:sz w:val="18"/>
          <w:szCs w:val="18"/>
          <w:color w:val="auto"/>
        </w:rPr>
      </w:pPr>
      <w:r>
        <w:rPr>
          <w:rFonts w:ascii="Arial" w:cs="Arial" w:eastAsia="Arial" w:hAnsi="Arial"/>
          <w:sz w:val="18"/>
          <w:szCs w:val="18"/>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202" w:lineRule="exact"/>
        <w:rPr>
          <w:rFonts w:ascii="Arial" w:cs="Arial" w:eastAsia="Arial" w:hAnsi="Arial"/>
          <w:sz w:val="18"/>
          <w:szCs w:val="18"/>
          <w:color w:val="auto"/>
        </w:rPr>
      </w:pPr>
    </w:p>
    <w:p>
      <w:pPr>
        <w:jc w:val="both"/>
        <w:ind w:left="1020" w:hanging="512"/>
        <w:spacing w:after="0"/>
        <w:tabs>
          <w:tab w:leader="none" w:pos="1147" w:val="left"/>
        </w:tabs>
        <w:numPr>
          <w:ilvl w:val="0"/>
          <w:numId w:val="800"/>
        </w:numPr>
        <w:rPr>
          <w:rFonts w:ascii="Arial" w:cs="Arial" w:eastAsia="Arial" w:hAnsi="Arial"/>
          <w:sz w:val="18"/>
          <w:szCs w:val="18"/>
          <w:color w:val="auto"/>
        </w:rPr>
      </w:pPr>
      <w:r>
        <w:rPr>
          <w:rFonts w:ascii="Arial" w:cs="Arial" w:eastAsia="Arial" w:hAnsi="Arial"/>
          <w:sz w:val="18"/>
          <w:szCs w:val="18"/>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202" w:lineRule="exact"/>
        <w:rPr>
          <w:rFonts w:ascii="Arial" w:cs="Arial" w:eastAsia="Arial" w:hAnsi="Arial"/>
          <w:sz w:val="18"/>
          <w:szCs w:val="18"/>
          <w:color w:val="auto"/>
        </w:rPr>
      </w:pPr>
    </w:p>
    <w:p>
      <w:pPr>
        <w:jc w:val="both"/>
        <w:ind w:left="1020" w:hanging="512"/>
        <w:spacing w:after="0"/>
        <w:tabs>
          <w:tab w:leader="none" w:pos="1025" w:val="left"/>
        </w:tabs>
        <w:numPr>
          <w:ilvl w:val="0"/>
          <w:numId w:val="800"/>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(ii) enforcing such Security Interests created by the Finance Documents;</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800"/>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246" w:val="left"/>
        </w:tabs>
        <w:numPr>
          <w:ilvl w:val="0"/>
          <w:numId w:val="800"/>
        </w:numPr>
        <w:rPr>
          <w:rFonts w:ascii="Arial" w:cs="Arial" w:eastAsia="Arial" w:hAnsi="Arial"/>
          <w:sz w:val="18"/>
          <w:szCs w:val="18"/>
          <w:color w:val="auto"/>
        </w:rPr>
      </w:pPr>
      <w:r>
        <w:rPr>
          <w:rFonts w:ascii="Arial" w:cs="Arial" w:eastAsia="Arial" w:hAnsi="Arial"/>
          <w:sz w:val="18"/>
          <w:szCs w:val="18"/>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205"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97"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34.26 Insurance by Security Agent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color w:val="auto"/>
        </w:rPr>
        <w:t>34.27 Custodians and nominees</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34.28 Acceptance of title</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34.29 Refrain from illegality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34.30 All enforcement action through the Security Agent</w:t>
      </w:r>
    </w:p>
    <w:p>
      <w:pPr>
        <w:spacing w:after="0" w:line="234" w:lineRule="exact"/>
        <w:rPr>
          <w:sz w:val="20"/>
          <w:szCs w:val="20"/>
          <w:color w:val="auto"/>
        </w:rPr>
      </w:pPr>
    </w:p>
    <w:p>
      <w:pPr>
        <w:jc w:val="both"/>
        <w:ind w:left="1020" w:hanging="512"/>
        <w:spacing w:after="0" w:line="238" w:lineRule="auto"/>
        <w:tabs>
          <w:tab w:leader="none" w:pos="1133"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204" w:lineRule="exact"/>
        <w:rPr>
          <w:rFonts w:ascii="Arial" w:cs="Arial" w:eastAsia="Arial" w:hAnsi="Arial"/>
          <w:sz w:val="18"/>
          <w:szCs w:val="18"/>
          <w:color w:val="auto"/>
        </w:rPr>
      </w:pPr>
    </w:p>
    <w:p>
      <w:pPr>
        <w:jc w:val="both"/>
        <w:ind w:left="1020" w:hanging="512"/>
        <w:spacing w:after="0" w:line="236" w:lineRule="auto"/>
        <w:tabs>
          <w:tab w:leader="none" w:pos="1133"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with the prior written consent of the 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34.31 Co-operation to achieve agreed priorities of application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in realising the property and assets subject to the Security Documents and in ensuring that the net proceeds realised under the Security Documents after deduction of the expenses of realisation are applied in accordance with clause 34.24(a)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34.32 Indemnity from Trust Property</w:t>
      </w:r>
    </w:p>
    <w:p>
      <w:pPr>
        <w:spacing w:after="0" w:line="234" w:lineRule="exact"/>
        <w:rPr>
          <w:sz w:val="20"/>
          <w:szCs w:val="20"/>
          <w:color w:val="auto"/>
        </w:rPr>
      </w:pPr>
    </w:p>
    <w:p>
      <w:pPr>
        <w:jc w:val="both"/>
        <w:ind w:left="1020" w:hanging="512"/>
        <w:spacing w:after="0" w:line="238" w:lineRule="auto"/>
        <w:tabs>
          <w:tab w:leader="none" w:pos="1025" w:val="left"/>
        </w:tabs>
        <w:numPr>
          <w:ilvl w:val="0"/>
          <w:numId w:val="802"/>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2" w:name="page303"/>
    <w:bookmarkEnd w:id="302"/>
    <w:p>
      <w:pPr>
        <w:ind w:left="1540" w:hanging="511"/>
        <w:spacing w:after="0" w:line="246" w:lineRule="auto"/>
        <w:tabs>
          <w:tab w:leader="none" w:pos="179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11" w:lineRule="exact"/>
        <w:rPr>
          <w:rFonts w:ascii="Arial" w:cs="Arial" w:eastAsia="Arial" w:hAnsi="Arial"/>
          <w:sz w:val="18"/>
          <w:szCs w:val="18"/>
          <w:color w:val="auto"/>
        </w:rPr>
      </w:pPr>
    </w:p>
    <w:p>
      <w:pPr>
        <w:ind w:left="1540" w:hanging="511"/>
        <w:spacing w:after="0" w:line="246" w:lineRule="auto"/>
        <w:tabs>
          <w:tab w:leader="none" w:pos="1618" w:val="left"/>
        </w:tabs>
        <w:numPr>
          <w:ilvl w:val="0"/>
          <w:numId w:val="803"/>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96" w:lineRule="exact"/>
        <w:rPr>
          <w:rFonts w:ascii="Arial" w:cs="Arial" w:eastAsia="Arial" w:hAnsi="Arial"/>
          <w:sz w:val="18"/>
          <w:szCs w:val="18"/>
          <w:color w:val="auto"/>
        </w:rPr>
      </w:pPr>
    </w:p>
    <w:p>
      <w:pPr>
        <w:ind w:left="1540" w:hanging="511"/>
        <w:spacing w:after="0" w:line="246" w:lineRule="auto"/>
        <w:tabs>
          <w:tab w:leader="none" w:pos="1655" w:val="left"/>
        </w:tabs>
        <w:numPr>
          <w:ilvl w:val="0"/>
          <w:numId w:val="803"/>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97" w:lineRule="exact"/>
        <w:rPr>
          <w:sz w:val="20"/>
          <w:szCs w:val="20"/>
          <w:color w:val="auto"/>
        </w:rPr>
      </w:pPr>
    </w:p>
    <w:p>
      <w:pPr>
        <w:jc w:val="both"/>
        <w:ind w:left="1020" w:hanging="512"/>
        <w:spacing w:after="0" w:line="237" w:lineRule="auto"/>
        <w:tabs>
          <w:tab w:leader="none" w:pos="1025"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rights conferred by this clause 34.32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34.32 shall entitle the Security Agent or any other person to be indemnified in respect of any liabilities, damages, costs, claims, charges or expenses to the extent that the same arise from such person’s own gross negligence or wilful default.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34.33 Finance Parties to provide information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34.24(a)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37.5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34.24(a)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34.34 No reliance on Security Agent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 responsibility for and each other Finance Party warrants to the Security Agent that it has not relied and will not hereafter rely on the Security Agent:</w:t>
      </w:r>
    </w:p>
    <w:p>
      <w:pPr>
        <w:spacing w:after="0" w:line="205" w:lineRule="exact"/>
        <w:rPr>
          <w:sz w:val="20"/>
          <w:szCs w:val="20"/>
          <w:color w:val="auto"/>
        </w:rPr>
      </w:pPr>
    </w:p>
    <w:p>
      <w:pPr>
        <w:jc w:val="both"/>
        <w:ind w:left="1020" w:hanging="512"/>
        <w:spacing w:after="0"/>
        <w:tabs>
          <w:tab w:leader="none" w:pos="1025"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 Finance Documents, the Charged Property or the transactions therein contemplated (whether or not such information has been or is hereafter circulated to such Finance Party by the Security Agent);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25"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202" w:lineRule="exact"/>
        <w:rPr>
          <w:rFonts w:ascii="Arial" w:cs="Arial" w:eastAsia="Arial" w:hAnsi="Arial"/>
          <w:sz w:val="18"/>
          <w:szCs w:val="18"/>
          <w:color w:val="auto"/>
        </w:rPr>
      </w:pPr>
    </w:p>
    <w:p>
      <w:pPr>
        <w:jc w:val="both"/>
        <w:ind w:left="1020" w:hanging="512"/>
        <w:spacing w:after="0"/>
        <w:tabs>
          <w:tab w:leader="none" w:pos="1042"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3" w:name="page304"/>
    <w:bookmarkEnd w:id="303"/>
    <w:p>
      <w:pPr>
        <w:ind w:left="1040"/>
        <w:spacing w:after="0" w:line="246" w:lineRule="auto"/>
        <w:rPr>
          <w:sz w:val="20"/>
          <w:szCs w:val="20"/>
          <w:color w:val="auto"/>
        </w:rPr>
      </w:pPr>
      <w:r>
        <w:rPr>
          <w:rFonts w:ascii="Arial" w:cs="Arial" w:eastAsia="Arial" w:hAnsi="Arial"/>
          <w:sz w:val="18"/>
          <w:szCs w:val="18"/>
          <w:color w:val="auto"/>
        </w:rPr>
        <w:t>paragraph (b) above or of any guarantee, indemnity or security given or created thereby or any obligations imposed thereby or assumed thereunder;</w:t>
      </w:r>
    </w:p>
    <w:p>
      <w:pPr>
        <w:spacing w:after="0" w:line="197" w:lineRule="exact"/>
        <w:rPr>
          <w:sz w:val="20"/>
          <w:szCs w:val="20"/>
          <w:color w:val="auto"/>
        </w:rPr>
      </w:pPr>
    </w:p>
    <w:p>
      <w:pPr>
        <w:jc w:val="both"/>
        <w:ind w:left="1020" w:hanging="512"/>
        <w:spacing w:after="0"/>
        <w:tabs>
          <w:tab w:leader="none" w:pos="1066"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202" w:lineRule="exact"/>
        <w:rPr>
          <w:rFonts w:ascii="Arial" w:cs="Arial" w:eastAsia="Arial" w:hAnsi="Arial"/>
          <w:sz w:val="18"/>
          <w:szCs w:val="18"/>
          <w:color w:val="auto"/>
        </w:rPr>
      </w:pPr>
    </w:p>
    <w:p>
      <w:pPr>
        <w:ind w:left="1020" w:hanging="512"/>
        <w:spacing w:after="0" w:line="246" w:lineRule="auto"/>
        <w:tabs>
          <w:tab w:leader="none" w:pos="1052"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 or other Parent Group Member.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34.35 Release to facilitate enforcement and realisation</w:t>
      </w:r>
    </w:p>
    <w:p>
      <w:pPr>
        <w:spacing w:after="0" w:line="234"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34.36 Undertaking to pay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34.37 Additional trustees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Borrowers to appoint any person either to act as separate trustee or as co-trustee jointly with the Security Agent:</w:t>
      </w:r>
    </w:p>
    <w:p>
      <w:pPr>
        <w:spacing w:after="0" w:line="197" w:lineRule="exact"/>
        <w:rPr>
          <w:sz w:val="20"/>
          <w:szCs w:val="20"/>
          <w:color w:val="auto"/>
        </w:rPr>
      </w:pPr>
    </w:p>
    <w:p>
      <w:pPr>
        <w:ind w:left="1040" w:hanging="532"/>
        <w:spacing w:after="0"/>
        <w:tabs>
          <w:tab w:leader="none" w:pos="104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11" w:lineRule="exact"/>
        <w:rPr>
          <w:rFonts w:ascii="Arial" w:cs="Arial" w:eastAsia="Arial" w:hAnsi="Arial"/>
          <w:sz w:val="18"/>
          <w:szCs w:val="18"/>
          <w:color w:val="auto"/>
        </w:rPr>
      </w:pPr>
    </w:p>
    <w:p>
      <w:pPr>
        <w:ind w:left="1020" w:hanging="512"/>
        <w:spacing w:after="0" w:line="246" w:lineRule="auto"/>
        <w:tabs>
          <w:tab w:leader="none" w:pos="1052" w:val="left"/>
        </w:tabs>
        <w:numPr>
          <w:ilvl w:val="0"/>
          <w:numId w:val="807"/>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96" w:lineRule="exact"/>
        <w:rPr>
          <w:rFonts w:ascii="Arial" w:cs="Arial" w:eastAsia="Arial" w:hAnsi="Arial"/>
          <w:sz w:val="18"/>
          <w:szCs w:val="18"/>
          <w:color w:val="auto"/>
        </w:rPr>
      </w:pPr>
    </w:p>
    <w:p>
      <w:pPr>
        <w:ind w:left="1020" w:hanging="512"/>
        <w:spacing w:after="0" w:line="246" w:lineRule="auto"/>
        <w:tabs>
          <w:tab w:leader="none" w:pos="1218" w:val="left"/>
        </w:tabs>
        <w:numPr>
          <w:ilvl w:val="0"/>
          <w:numId w:val="807"/>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97"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4" w:name="page305"/>
    <w:bookmarkEnd w:id="304"/>
    <w:p>
      <w:pPr>
        <w:jc w:val="both"/>
        <w:ind w:left="520"/>
        <w:spacing w:after="0" w:line="237" w:lineRule="auto"/>
        <w:rPr>
          <w:sz w:val="20"/>
          <w:szCs w:val="20"/>
          <w:color w:val="auto"/>
        </w:rPr>
      </w:pPr>
      <w:r>
        <w:rPr>
          <w:rFonts w:ascii="Arial" w:cs="Arial" w:eastAsia="Arial" w:hAnsi="Arial"/>
          <w:sz w:val="18"/>
          <w:szCs w:val="18"/>
          <w:color w:val="auto"/>
        </w:rPr>
        <w:t>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34.38 Non-recognition of trust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agreed by all the parties to this Agreement that:</w:t>
      </w:r>
    </w:p>
    <w:p>
      <w:pPr>
        <w:spacing w:after="0" w:line="212" w:lineRule="exact"/>
        <w:rPr>
          <w:sz w:val="20"/>
          <w:szCs w:val="20"/>
          <w:color w:val="auto"/>
        </w:rPr>
      </w:pPr>
    </w:p>
    <w:p>
      <w:pPr>
        <w:jc w:val="both"/>
        <w:ind w:left="1020" w:hanging="512"/>
        <w:spacing w:after="0" w:line="238" w:lineRule="auto"/>
        <w:tabs>
          <w:tab w:leader="none" w:pos="1079" w:val="left"/>
        </w:tabs>
        <w:numPr>
          <w:ilvl w:val="0"/>
          <w:numId w:val="808"/>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34,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52"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provisions of this clause 34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34.39 Security Agent’s Ongoing Fees</w:t>
      </w:r>
    </w:p>
    <w:p>
      <w:pPr>
        <w:spacing w:after="0" w:line="216" w:lineRule="exact"/>
        <w:rPr>
          <w:sz w:val="20"/>
          <w:szCs w:val="20"/>
          <w:color w:val="auto"/>
        </w:rPr>
      </w:pPr>
    </w:p>
    <w:p>
      <w:pPr>
        <w:ind w:left="1040" w:hanging="532"/>
        <w:spacing w:after="0"/>
        <w:tabs>
          <w:tab w:leader="none" w:pos="104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The Borrowers shall pay to the Agent and the Security Agent certain fees in accordance with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40" w:hanging="532"/>
        <w:spacing w:after="0"/>
        <w:tabs>
          <w:tab w:leader="none" w:pos="104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If:</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09"/>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211" w:lineRule="exact"/>
        <w:rPr>
          <w:rFonts w:ascii="Arial" w:cs="Arial" w:eastAsia="Arial" w:hAnsi="Arial"/>
          <w:sz w:val="18"/>
          <w:szCs w:val="18"/>
          <w:color w:val="auto"/>
        </w:rPr>
      </w:pPr>
    </w:p>
    <w:p>
      <w:pPr>
        <w:jc w:val="both"/>
        <w:ind w:left="1540" w:hanging="511"/>
        <w:spacing w:after="0" w:line="238" w:lineRule="auto"/>
        <w:tabs>
          <w:tab w:leader="none" w:pos="1670" w:val="left"/>
        </w:tabs>
        <w:numPr>
          <w:ilvl w:val="1"/>
          <w:numId w:val="809"/>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Borrowers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205"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Borrowers shall pay to the Security Agent any additional reasonable remuneration (together with any applicable taxes thereon) which shall be calculated by reference to its hourly rates in force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34.40 Interest on Demand</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Borrowers fail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color w:val="auto"/>
        </w:rPr>
        <w:t>34.41 Release of Security</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Borrowers under or pursuant to this Agreement or any other Finance Document, the trusts herein set out shall be wound up and the Security Agent shall, at the request and cost of the Borrowers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34.42 Notification of prescribed events</w:t>
      </w:r>
    </w:p>
    <w:p>
      <w:pPr>
        <w:spacing w:after="0" w:line="234" w:lineRule="exact"/>
        <w:rPr>
          <w:sz w:val="20"/>
          <w:szCs w:val="20"/>
          <w:color w:val="auto"/>
        </w:rPr>
      </w:pPr>
    </w:p>
    <w:p>
      <w:pPr>
        <w:jc w:val="both"/>
        <w:ind w:left="1020" w:hanging="512"/>
        <w:spacing w:after="0"/>
        <w:tabs>
          <w:tab w:leader="none" w:pos="1174" w:val="left"/>
        </w:tabs>
        <w:numPr>
          <w:ilvl w:val="0"/>
          <w:numId w:val="810"/>
        </w:numPr>
        <w:rPr>
          <w:rFonts w:ascii="Arial" w:cs="Arial" w:eastAsia="Arial" w:hAnsi="Arial"/>
          <w:sz w:val="18"/>
          <w:szCs w:val="18"/>
          <w:color w:val="auto"/>
        </w:rPr>
      </w:pPr>
      <w:r>
        <w:rPr>
          <w:rFonts w:ascii="Arial" w:cs="Arial" w:eastAsia="Arial" w:hAnsi="Arial"/>
          <w:sz w:val="18"/>
          <w:szCs w:val="18"/>
          <w:color w:val="auto"/>
        </w:rPr>
        <w:t>If an Obligor defaults on any payment due under a Hedging Contract, the Hedging Provider which is party to that Hedging Contract shall, upon becoming aware of that default notifies the Security Agent and the Security Agent shall, upon receiving that notification, notify the Agent.</w:t>
      </w:r>
    </w:p>
    <w:p>
      <w:pPr>
        <w:spacing w:after="0" w:line="202" w:lineRule="exact"/>
        <w:rPr>
          <w:rFonts w:ascii="Arial" w:cs="Arial" w:eastAsia="Arial" w:hAnsi="Arial"/>
          <w:sz w:val="18"/>
          <w:szCs w:val="18"/>
          <w:color w:val="auto"/>
        </w:rPr>
      </w:pPr>
    </w:p>
    <w:p>
      <w:pPr>
        <w:ind w:left="1020" w:hanging="512"/>
        <w:spacing w:after="0" w:line="246" w:lineRule="auto"/>
        <w:tabs>
          <w:tab w:leader="none" w:pos="1147" w:val="left"/>
        </w:tabs>
        <w:numPr>
          <w:ilvl w:val="0"/>
          <w:numId w:val="810"/>
        </w:numPr>
        <w:rPr>
          <w:rFonts w:ascii="Arial" w:cs="Arial" w:eastAsia="Arial" w:hAnsi="Arial"/>
          <w:sz w:val="18"/>
          <w:szCs w:val="18"/>
          <w:color w:val="auto"/>
        </w:rPr>
      </w:pPr>
      <w:r>
        <w:rPr>
          <w:rFonts w:ascii="Arial" w:cs="Arial" w:eastAsia="Arial" w:hAnsi="Arial"/>
          <w:sz w:val="18"/>
          <w:szCs w:val="18"/>
          <w:color w:val="auto"/>
        </w:rPr>
        <w:t>If a Hedging Provider terminates or closes-out, in whole or in party, any Hedging Transaction under any Hedging Contract it shall notify the Security Agent and the Security shall, upon receiving that notification, notify the Agent.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35 Conduct of business by the Finance Parties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7"/>
          <w:szCs w:val="17"/>
          <w:b w:val="1"/>
          <w:bCs w:val="1"/>
          <w:color w:val="auto"/>
        </w:rPr>
        <w:t>Finance Parties tax affairs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provision of this Agreement will:</w:t>
      </w:r>
    </w:p>
    <w:p>
      <w:pPr>
        <w:spacing w:after="0" w:line="212" w:lineRule="exact"/>
        <w:rPr>
          <w:sz w:val="20"/>
          <w:szCs w:val="20"/>
          <w:color w:val="auto"/>
        </w:rPr>
      </w:pPr>
    </w:p>
    <w:p>
      <w:pPr>
        <w:ind w:left="1040" w:hanging="532"/>
        <w:spacing w:after="0"/>
        <w:tabs>
          <w:tab w:leader="none" w:pos="104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11" w:lineRule="exact"/>
        <w:rPr>
          <w:rFonts w:ascii="Arial" w:cs="Arial" w:eastAsia="Arial" w:hAnsi="Arial"/>
          <w:sz w:val="18"/>
          <w:szCs w:val="18"/>
          <w:color w:val="auto"/>
        </w:rPr>
      </w:pPr>
    </w:p>
    <w:p>
      <w:pPr>
        <w:ind w:left="1020" w:hanging="512"/>
        <w:spacing w:after="0" w:line="246" w:lineRule="auto"/>
        <w:tabs>
          <w:tab w:leader="none" w:pos="1052" w:val="left"/>
        </w:tabs>
        <w:numPr>
          <w:ilvl w:val="0"/>
          <w:numId w:val="811"/>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096" w:val="left"/>
        </w:tabs>
        <w:numPr>
          <w:ilvl w:val="0"/>
          <w:numId w:val="811"/>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7"/>
          <w:szCs w:val="17"/>
          <w:b w:val="1"/>
          <w:bCs w:val="1"/>
          <w:color w:val="auto"/>
        </w:rPr>
        <w:t>Finance Parties acting together</w:t>
      </w:r>
    </w:p>
    <w:p>
      <w:pPr>
        <w:spacing w:after="0" w:line="216"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Notwithstanding 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30.22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Borrowers and any Group Members and any Parent Group Members and generally administer the Facility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clause shall not override clause 34 (</w:t>
      </w:r>
      <w:r>
        <w:rPr>
          <w:rFonts w:ascii="Arial" w:cs="Arial" w:eastAsia="Arial" w:hAnsi="Arial"/>
          <w:sz w:val="18"/>
          <w:szCs w:val="18"/>
          <w:i w:val="1"/>
          <w:iCs w:val="1"/>
          <w:color w:val="auto"/>
        </w:rPr>
        <w:t>Roles of Agent, Security Agent and Arrangers</w:t>
      </w:r>
      <w:r>
        <w:rPr>
          <w:rFonts w:ascii="Arial" w:cs="Arial" w:eastAsia="Arial" w:hAnsi="Arial"/>
          <w:sz w:val="18"/>
          <w:szCs w:val="18"/>
          <w:color w:val="auto"/>
        </w:rPr>
        <w:t>) as it applies to the Security Agent.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7"/>
          <w:szCs w:val="17"/>
          <w:b w:val="1"/>
          <w:bCs w:val="1"/>
          <w:color w:val="auto"/>
        </w:rPr>
        <w:t>Majority Lenders</w:t>
      </w:r>
    </w:p>
    <w:p>
      <w:pPr>
        <w:spacing w:after="0" w:line="234" w:lineRule="exact"/>
        <w:rPr>
          <w:sz w:val="20"/>
          <w:szCs w:val="20"/>
          <w:color w:val="auto"/>
        </w:rPr>
      </w:pPr>
    </w:p>
    <w:p>
      <w:pPr>
        <w:jc w:val="both"/>
        <w:ind w:left="1020" w:hanging="512"/>
        <w:spacing w:after="0" w:line="238" w:lineRule="auto"/>
        <w:tabs>
          <w:tab w:leader="none" w:pos="1093" w:val="left"/>
        </w:tabs>
        <w:numPr>
          <w:ilvl w:val="0"/>
          <w:numId w:val="812"/>
        </w:numPr>
        <w:rPr>
          <w:rFonts w:ascii="Arial" w:cs="Arial" w:eastAsia="Arial" w:hAnsi="Arial"/>
          <w:sz w:val="18"/>
          <w:szCs w:val="18"/>
          <w:color w:val="auto"/>
        </w:rPr>
      </w:pPr>
      <w:r>
        <w:rPr>
          <w:rFonts w:ascii="Arial" w:cs="Arial" w:eastAsia="Arial" w:hAnsi="Arial"/>
          <w:sz w:val="18"/>
          <w:szCs w:val="18"/>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8"/>
          <w:szCs w:val="18"/>
          <w:b w:val="1"/>
          <w:bCs w:val="1"/>
          <w:color w:val="auto"/>
        </w:rPr>
        <w:t>majority decision</w:t>
      </w:r>
      <w:r>
        <w:rPr>
          <w:rFonts w:ascii="Arial" w:cs="Arial" w:eastAsia="Arial" w:hAnsi="Arial"/>
          <w:sz w:val="18"/>
          <w:szCs w:val="18"/>
          <w:color w:val="auto"/>
        </w:rPr>
        <w:t>), such majority decision shall (as between the Lenders) only be regarded as having been validly given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Majority Lenders if all the Lenders shall have received prior notice of the matter on which such majority decision is required and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6" w:name="page307"/>
    <w:bookmarkEnd w:id="306"/>
    <w:p>
      <w:pPr>
        <w:jc w:val="both"/>
        <w:ind w:left="1040"/>
        <w:spacing w:after="0" w:line="238" w:lineRule="auto"/>
        <w:rPr>
          <w:sz w:val="20"/>
          <w:szCs w:val="20"/>
          <w:color w:val="auto"/>
        </w:rPr>
      </w:pPr>
      <w:r>
        <w:rPr>
          <w:rFonts w:ascii="Arial" w:cs="Arial" w:eastAsia="Arial" w:hAnsi="Arial"/>
          <w:sz w:val="18"/>
          <w:szCs w:val="18"/>
          <w:color w:val="auto"/>
        </w:rPr>
        <w:t>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205" w:lineRule="exact"/>
        <w:rPr>
          <w:sz w:val="20"/>
          <w:szCs w:val="20"/>
          <w:color w:val="auto"/>
        </w:rPr>
      </w:pPr>
    </w:p>
    <w:p>
      <w:pPr>
        <w:jc w:val="both"/>
        <w:ind w:left="1020" w:hanging="512"/>
        <w:spacing w:after="0" w:line="236" w:lineRule="auto"/>
        <w:tabs>
          <w:tab w:leader="none" w:pos="112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If, when ten (10) Business Days of the Agent despatching to each Lender a notice requesting instructions (or confirmation of instructions) from the Lenders or the agreement of the Lenders to any amendment, modification, waiver, variation or excuse of performance for the purposes of, or in relation to, any of the Finance Documents, the Agent has not received a reply specifically giving or confirming or refusing to give or confirm the relevant instructions or, as the case may be, approving or refusing to approve the proposed amendment, modification, waiver, variation or excuse of performance, then (irrespective of whether such Lender responds at a later date) the Agent shall treat any Lender which has not so responded as having indicated a desire to be bound by the wishes of 66</w:t>
      </w:r>
      <w:r>
        <w:rPr>
          <w:rFonts w:ascii="Arial" w:cs="Arial" w:eastAsia="Arial" w:hAnsi="Arial"/>
          <w:sz w:val="18"/>
          <w:szCs w:val="18"/>
          <w:color w:val="auto"/>
          <w:vertAlign w:val="superscript"/>
        </w:rPr>
        <w:t>2</w:t>
      </w:r>
      <w:r>
        <w:rPr>
          <w:rFonts w:ascii="Arial" w:cs="Arial" w:eastAsia="Arial" w:hAnsi="Arial"/>
          <w:sz w:val="18"/>
          <w:szCs w:val="18"/>
          <w:color w:val="auto"/>
        </w:rPr>
        <w:t>/</w:t>
      </w:r>
      <w:r>
        <w:rPr>
          <w:rFonts w:ascii="Arial" w:cs="Arial" w:eastAsia="Arial" w:hAnsi="Arial"/>
          <w:sz w:val="8"/>
          <w:szCs w:val="8"/>
          <w:color w:val="auto"/>
        </w:rPr>
        <w:t>3</w:t>
      </w:r>
      <w:r>
        <w:rPr>
          <w:rFonts w:ascii="Arial" w:cs="Arial" w:eastAsia="Arial" w:hAnsi="Arial"/>
          <w:sz w:val="18"/>
          <w:szCs w:val="18"/>
          <w:color w:val="auto"/>
        </w:rPr>
        <w:t xml:space="preserve"> per cent of those Lenders (measured in terms of the Total Commitments of those Lenders which have so responded).</w:t>
      </w:r>
    </w:p>
    <w:p>
      <w:pPr>
        <w:spacing w:after="0" w:line="207" w:lineRule="exact"/>
        <w:rPr>
          <w:rFonts w:ascii="Arial" w:cs="Arial" w:eastAsia="Arial" w:hAnsi="Arial"/>
          <w:sz w:val="18"/>
          <w:szCs w:val="18"/>
          <w:color w:val="auto"/>
        </w:rPr>
      </w:pPr>
    </w:p>
    <w:p>
      <w:pPr>
        <w:ind w:left="1020" w:right="20" w:hanging="512"/>
        <w:spacing w:after="0" w:line="246" w:lineRule="auto"/>
        <w:tabs>
          <w:tab w:leader="none" w:pos="1042" w:val="left"/>
        </w:tabs>
        <w:numPr>
          <w:ilvl w:val="0"/>
          <w:numId w:val="813"/>
        </w:numPr>
        <w:rPr>
          <w:rFonts w:ascii="Arial" w:cs="Arial" w:eastAsia="Arial" w:hAnsi="Arial"/>
          <w:sz w:val="18"/>
          <w:szCs w:val="18"/>
          <w:color w:val="auto"/>
        </w:rPr>
      </w:pPr>
      <w:r>
        <w:rPr>
          <w:rFonts w:ascii="Arial" w:cs="Arial" w:eastAsia="Arial" w:hAnsi="Arial"/>
          <w:sz w:val="18"/>
          <w:szCs w:val="18"/>
          <w:color w:val="auto"/>
        </w:rPr>
        <w:t>For the purposes of clause 35.3(b), any Lender which notifies the Agent of a wish or intention to abstain on any particular issue shall be treated as if it had not responded.</w:t>
      </w:r>
    </w:p>
    <w:p>
      <w:pPr>
        <w:spacing w:after="0" w:line="196" w:lineRule="exact"/>
        <w:rPr>
          <w:rFonts w:ascii="Arial" w:cs="Arial" w:eastAsia="Arial" w:hAnsi="Arial"/>
          <w:sz w:val="18"/>
          <w:szCs w:val="18"/>
          <w:color w:val="auto"/>
        </w:rPr>
      </w:pPr>
    </w:p>
    <w:p>
      <w:pPr>
        <w:ind w:left="1020" w:hanging="512"/>
        <w:spacing w:after="0" w:line="246" w:lineRule="auto"/>
        <w:tabs>
          <w:tab w:leader="none" w:pos="1106" w:val="left"/>
        </w:tabs>
        <w:numPr>
          <w:ilvl w:val="0"/>
          <w:numId w:val="813"/>
        </w:numPr>
        <w:rPr>
          <w:rFonts w:ascii="Arial" w:cs="Arial" w:eastAsia="Arial" w:hAnsi="Arial"/>
          <w:sz w:val="18"/>
          <w:szCs w:val="18"/>
          <w:color w:val="auto"/>
        </w:rPr>
      </w:pPr>
      <w:r>
        <w:rPr>
          <w:rFonts w:ascii="Arial" w:cs="Arial" w:eastAsia="Arial" w:hAnsi="Arial"/>
          <w:sz w:val="18"/>
          <w:szCs w:val="18"/>
          <w:color w:val="auto"/>
        </w:rPr>
        <w:t>Clauses 35.3(b) and 35.3(c) shall not apply in relation to those matters referred to in, or which are the subject of, clause 36.5 (</w:t>
      </w:r>
      <w:r>
        <w:rPr>
          <w:rFonts w:ascii="Arial" w:cs="Arial" w:eastAsia="Arial" w:hAnsi="Arial"/>
          <w:sz w:val="18"/>
          <w:szCs w:val="18"/>
          <w:i w:val="1"/>
          <w:iCs w:val="1"/>
          <w:color w:val="auto"/>
        </w:rPr>
        <w:t>Exceptions</w:t>
      </w:r>
      <w:r>
        <w:rPr>
          <w:rFonts w:ascii="Arial" w:cs="Arial" w:eastAsia="Arial" w:hAnsi="Arial"/>
          <w:sz w:val="18"/>
          <w:szCs w:val="18"/>
          <w:color w:val="auto"/>
        </w:rPr>
        <w: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7"/>
          <w:szCs w:val="17"/>
          <w:b w:val="1"/>
          <w:bCs w:val="1"/>
          <w:color w:val="auto"/>
        </w:rPr>
        <w:t>Conflicts</w:t>
      </w:r>
    </w:p>
    <w:p>
      <w:pPr>
        <w:spacing w:after="0" w:line="234" w:lineRule="exact"/>
        <w:rPr>
          <w:sz w:val="20"/>
          <w:szCs w:val="20"/>
          <w:color w:val="auto"/>
        </w:rPr>
      </w:pPr>
    </w:p>
    <w:p>
      <w:pPr>
        <w:jc w:val="both"/>
        <w:ind w:left="1020" w:hanging="512"/>
        <w:spacing w:after="0" w:line="238" w:lineRule="auto"/>
        <w:tabs>
          <w:tab w:leader="none" w:pos="1214" w:val="left"/>
        </w:tabs>
        <w:numPr>
          <w:ilvl w:val="0"/>
          <w:numId w:val="814"/>
        </w:numPr>
        <w:rPr>
          <w:rFonts w:ascii="Arial" w:cs="Arial" w:eastAsia="Arial" w:hAnsi="Arial"/>
          <w:sz w:val="18"/>
          <w:szCs w:val="18"/>
          <w:color w:val="auto"/>
        </w:rPr>
      </w:pPr>
      <w:r>
        <w:rPr>
          <w:rFonts w:ascii="Arial" w:cs="Arial" w:eastAsia="Arial" w:hAnsi="Arial"/>
          <w:sz w:val="18"/>
          <w:szCs w:val="18"/>
          <w:color w:val="auto"/>
        </w:rPr>
        <w:t xml:space="preserve">Each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Borrowers may have conflicting interests in respect of the Facility or otherwise.</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187" w:val="left"/>
        </w:tabs>
        <w:numPr>
          <w:ilvl w:val="0"/>
          <w:numId w:val="814"/>
        </w:numPr>
        <w:rPr>
          <w:rFonts w:ascii="Arial" w:cs="Arial" w:eastAsia="Arial" w:hAnsi="Arial"/>
          <w:sz w:val="18"/>
          <w:szCs w:val="18"/>
          <w:color w:val="auto"/>
        </w:rPr>
      </w:pPr>
      <w:r>
        <w:rPr>
          <w:rFonts w:ascii="Arial" w:cs="Arial" w:eastAsia="Arial" w:hAnsi="Arial"/>
          <w:sz w:val="18"/>
          <w:szCs w:val="18"/>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Borrowers also acknowledge that no member of an Arranger Group has any obligation to use or furnish to any Obligor information obtained from other persons for their benefit.</w:t>
      </w:r>
    </w:p>
    <w:p>
      <w:pPr>
        <w:spacing w:after="0" w:line="180" w:lineRule="exact"/>
        <w:rPr>
          <w:rFonts w:ascii="Arial" w:cs="Arial" w:eastAsia="Arial" w:hAnsi="Arial"/>
          <w:sz w:val="18"/>
          <w:szCs w:val="18"/>
          <w:color w:val="auto"/>
        </w:rPr>
      </w:pPr>
    </w:p>
    <w:p>
      <w:pPr>
        <w:ind w:left="1020" w:hanging="512"/>
        <w:spacing w:after="0" w:line="271" w:lineRule="auto"/>
        <w:tabs>
          <w:tab w:leader="none" w:pos="1096" w:val="left"/>
        </w:tabs>
        <w:numPr>
          <w:ilvl w:val="0"/>
          <w:numId w:val="814"/>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36 Sharing among the Finance Parties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7"/>
          <w:szCs w:val="17"/>
          <w:b w:val="1"/>
          <w:bCs w:val="1"/>
          <w:color w:val="auto"/>
        </w:rPr>
        <w:t>Payments to Finance Parties</w:t>
      </w:r>
    </w:p>
    <w:p>
      <w:pPr>
        <w:spacing w:after="0" w:line="212" w:lineRule="exact"/>
        <w:rPr>
          <w:sz w:val="20"/>
          <w:szCs w:val="20"/>
          <w:color w:val="auto"/>
        </w:rPr>
      </w:pPr>
    </w:p>
    <w:p>
      <w:pPr>
        <w:jc w:val="both"/>
        <w:ind w:left="520" w:right="20"/>
        <w:spacing w:after="0" w:line="253" w:lineRule="auto"/>
        <w:rPr>
          <w:sz w:val="20"/>
          <w:szCs w:val="20"/>
          <w:color w:val="auto"/>
        </w:rPr>
      </w:pPr>
      <w:r>
        <w:rPr>
          <w:rFonts w:ascii="Arial" w:cs="Arial" w:eastAsia="Arial" w:hAnsi="Arial"/>
          <w:sz w:val="18"/>
          <w:szCs w:val="18"/>
          <w:color w:val="auto"/>
        </w:rPr>
        <w:t xml:space="preserve">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37 (</w:t>
      </w:r>
      <w:r>
        <w:rPr>
          <w:rFonts w:ascii="Arial" w:cs="Arial" w:eastAsia="Arial" w:hAnsi="Arial"/>
          <w:sz w:val="18"/>
          <w:szCs w:val="18"/>
          <w:i w:val="1"/>
          <w:iCs w:val="1"/>
          <w:color w:val="auto"/>
        </w:rPr>
        <w:t>Payment mechanics</w:t>
      </w:r>
      <w:r>
        <w:rPr>
          <w:rFonts w:ascii="Arial" w:cs="Arial" w:eastAsia="Arial" w:hAnsi="Arial"/>
          <w:sz w:val="18"/>
          <w:szCs w:val="18"/>
          <w:color w:val="auto"/>
        </w:rPr>
        <w:t xml:space="preserve">)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91" w:lineRule="exact"/>
        <w:rPr>
          <w:sz w:val="20"/>
          <w:szCs w:val="20"/>
          <w:color w:val="auto"/>
        </w:rPr>
      </w:pPr>
    </w:p>
    <w:p>
      <w:pPr>
        <w:ind w:left="1040" w:hanging="532"/>
        <w:spacing w:after="0"/>
        <w:tabs>
          <w:tab w:leader="none" w:pos="104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52"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37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7" w:name="page308"/>
    <w:bookmarkEnd w:id="307"/>
    <w:p>
      <w:pPr>
        <w:jc w:val="both"/>
        <w:ind w:left="1020" w:hanging="512"/>
        <w:spacing w:after="0"/>
        <w:tabs>
          <w:tab w:leader="none" w:pos="1164" w:val="left"/>
        </w:tabs>
        <w:numPr>
          <w:ilvl w:val="0"/>
          <w:numId w:val="816"/>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Recovering Finance Party as its share of any payment to be made, in accordance with clause 37.5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7"/>
          <w:szCs w:val="17"/>
          <w:b w:val="1"/>
          <w:bCs w:val="1"/>
          <w:color w:val="auto"/>
        </w:rPr>
        <w:t>Redistribution of payments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37.5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7"/>
          <w:szCs w:val="17"/>
          <w:b w:val="1"/>
          <w:bCs w:val="1"/>
          <w:color w:val="auto"/>
        </w:rPr>
        <w:t>Recovering Finance Party’s rights</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On a distribution by the Agent under clause 36.2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36.4</w:t>
      </w:r>
      <w:r>
        <w:rPr>
          <w:sz w:val="20"/>
          <w:szCs w:val="20"/>
          <w:color w:val="auto"/>
        </w:rPr>
        <w:tab/>
      </w:r>
      <w:r>
        <w:rPr>
          <w:rFonts w:ascii="Arial" w:cs="Arial" w:eastAsia="Arial" w:hAnsi="Arial"/>
          <w:sz w:val="17"/>
          <w:szCs w:val="17"/>
          <w:b w:val="1"/>
          <w:bCs w:val="1"/>
          <w:color w:val="auto"/>
        </w:rPr>
        <w:t>Reversal of redistribution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ind w:left="520"/>
        <w:spacing w:after="0"/>
        <w:rPr>
          <w:sz w:val="20"/>
          <w:szCs w:val="20"/>
          <w:color w:val="auto"/>
        </w:rPr>
      </w:pPr>
      <w:r>
        <w:rPr>
          <w:rFonts w:ascii="Arial" w:cs="Arial" w:eastAsia="Arial" w:hAnsi="Arial"/>
          <w:sz w:val="18"/>
          <w:szCs w:val="18"/>
          <w:color w:val="auto"/>
        </w:rPr>
        <w:t>Recovering Finance Party, then:</w:t>
      </w:r>
    </w:p>
    <w:p>
      <w:pPr>
        <w:spacing w:after="0" w:line="212" w:lineRule="exact"/>
        <w:rPr>
          <w:sz w:val="20"/>
          <w:szCs w:val="20"/>
          <w:color w:val="auto"/>
        </w:rPr>
      </w:pPr>
    </w:p>
    <w:p>
      <w:pPr>
        <w:jc w:val="both"/>
        <w:ind w:left="1020" w:hanging="512"/>
        <w:spacing w:after="0" w:line="238" w:lineRule="auto"/>
        <w:tabs>
          <w:tab w:leader="none" w:pos="1039" w:val="left"/>
        </w:tabs>
        <w:numPr>
          <w:ilvl w:val="0"/>
          <w:numId w:val="817"/>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204" w:lineRule="exact"/>
        <w:rPr>
          <w:rFonts w:ascii="Arial" w:cs="Arial" w:eastAsia="Arial" w:hAnsi="Arial"/>
          <w:sz w:val="18"/>
          <w:szCs w:val="18"/>
          <w:color w:val="auto"/>
        </w:rPr>
      </w:pPr>
    </w:p>
    <w:p>
      <w:pPr>
        <w:ind w:left="1020" w:hanging="512"/>
        <w:spacing w:after="0" w:line="246" w:lineRule="auto"/>
        <w:tabs>
          <w:tab w:leader="none" w:pos="1214" w:val="left"/>
        </w:tabs>
        <w:numPr>
          <w:ilvl w:val="0"/>
          <w:numId w:val="817"/>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36.5</w:t>
      </w:r>
      <w:r>
        <w:rPr>
          <w:sz w:val="20"/>
          <w:szCs w:val="20"/>
          <w:color w:val="auto"/>
        </w:rPr>
        <w:tab/>
      </w:r>
      <w:r>
        <w:rPr>
          <w:rFonts w:ascii="Arial" w:cs="Arial" w:eastAsia="Arial" w:hAnsi="Arial"/>
          <w:sz w:val="17"/>
          <w:szCs w:val="17"/>
          <w:b w:val="1"/>
          <w:bCs w:val="1"/>
          <w:color w:val="auto"/>
        </w:rPr>
        <w:t>Exceptions</w:t>
      </w:r>
    </w:p>
    <w:p>
      <w:pPr>
        <w:spacing w:after="0" w:line="234" w:lineRule="exact"/>
        <w:rPr>
          <w:sz w:val="20"/>
          <w:szCs w:val="20"/>
          <w:color w:val="auto"/>
        </w:rPr>
      </w:pPr>
    </w:p>
    <w:p>
      <w:pPr>
        <w:ind w:left="1020" w:right="20" w:hanging="512"/>
        <w:spacing w:after="0" w:line="246" w:lineRule="auto"/>
        <w:tabs>
          <w:tab w:leader="none" w:pos="1039" w:val="left"/>
        </w:tabs>
        <w:numPr>
          <w:ilvl w:val="0"/>
          <w:numId w:val="818"/>
        </w:numPr>
        <w:rPr>
          <w:rFonts w:ascii="Arial" w:cs="Arial" w:eastAsia="Arial" w:hAnsi="Arial"/>
          <w:sz w:val="18"/>
          <w:szCs w:val="18"/>
          <w:color w:val="auto"/>
        </w:rPr>
      </w:pPr>
      <w:r>
        <w:rPr>
          <w:rFonts w:ascii="Arial" w:cs="Arial" w:eastAsia="Arial" w:hAnsi="Arial"/>
          <w:sz w:val="18"/>
          <w:szCs w:val="18"/>
          <w:color w:val="auto"/>
        </w:rPr>
        <w:t>This clause 36 shall not apply to the extent that the Recovering Finance Party would not, after making any payment pursuant to this clause, have a valid and enforceable claim against the relevant Obligor.</w:t>
      </w:r>
    </w:p>
    <w:p>
      <w:pPr>
        <w:spacing w:after="0" w:line="196" w:lineRule="exact"/>
        <w:rPr>
          <w:rFonts w:ascii="Arial" w:cs="Arial" w:eastAsia="Arial" w:hAnsi="Arial"/>
          <w:sz w:val="18"/>
          <w:szCs w:val="18"/>
          <w:color w:val="auto"/>
        </w:rPr>
      </w:pPr>
    </w:p>
    <w:p>
      <w:pPr>
        <w:jc w:val="both"/>
        <w:ind w:left="1020" w:right="20" w:hanging="512"/>
        <w:spacing w:after="0"/>
        <w:tabs>
          <w:tab w:leader="none" w:pos="1133" w:val="left"/>
        </w:tabs>
        <w:numPr>
          <w:ilvl w:val="0"/>
          <w:numId w:val="818"/>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818"/>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11" w:lineRule="exact"/>
        <w:rPr>
          <w:rFonts w:ascii="Arial" w:cs="Arial" w:eastAsia="Arial" w:hAnsi="Arial"/>
          <w:sz w:val="18"/>
          <w:szCs w:val="18"/>
          <w:color w:val="auto"/>
        </w:rPr>
      </w:pPr>
    </w:p>
    <w:p>
      <w:pPr>
        <w:ind w:left="1540" w:hanging="511"/>
        <w:spacing w:after="0" w:line="246" w:lineRule="auto"/>
        <w:tabs>
          <w:tab w:leader="none" w:pos="1630" w:val="left"/>
        </w:tabs>
        <w:numPr>
          <w:ilvl w:val="1"/>
          <w:numId w:val="818"/>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37 Payment mechanics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7"/>
          <w:szCs w:val="17"/>
          <w:b w:val="1"/>
          <w:bCs w:val="1"/>
          <w:color w:val="auto"/>
        </w:rPr>
        <w:t>Payments to the Agent</w:t>
      </w:r>
    </w:p>
    <w:p>
      <w:pPr>
        <w:spacing w:after="0" w:line="234" w:lineRule="exact"/>
        <w:rPr>
          <w:sz w:val="20"/>
          <w:szCs w:val="20"/>
          <w:color w:val="auto"/>
        </w:rPr>
      </w:pPr>
    </w:p>
    <w:p>
      <w:pPr>
        <w:jc w:val="both"/>
        <w:ind w:left="1020" w:hanging="512"/>
        <w:spacing w:after="0" w:line="238" w:lineRule="auto"/>
        <w:tabs>
          <w:tab w:leader="none" w:pos="1174" w:val="left"/>
        </w:tabs>
        <w:numPr>
          <w:ilvl w:val="0"/>
          <w:numId w:val="819"/>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8" w:name="page309"/>
    <w:bookmarkEnd w:id="308"/>
    <w:p>
      <w:pPr>
        <w:jc w:val="both"/>
        <w:ind w:left="1020" w:hanging="512"/>
        <w:spacing w:after="0"/>
        <w:tabs>
          <w:tab w:leader="none" w:pos="1052" w:val="left"/>
        </w:tabs>
        <w:numPr>
          <w:ilvl w:val="0"/>
          <w:numId w:val="820"/>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a Participating Member State or London, as specified by the Agent) and with such bank as the Agent specifies.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b w:val="1"/>
          <w:bCs w:val="1"/>
          <w:color w:val="auto"/>
        </w:rPr>
        <w:t>Distributions by the Agent</w:t>
      </w:r>
    </w:p>
    <w:p>
      <w:pPr>
        <w:spacing w:after="0" w:line="216"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37.3 (</w:t>
      </w:r>
      <w:r>
        <w:rPr>
          <w:rFonts w:ascii="Arial" w:cs="Arial" w:eastAsia="Arial" w:hAnsi="Arial"/>
          <w:sz w:val="18"/>
          <w:szCs w:val="18"/>
          <w:i w:val="1"/>
          <w:iCs w:val="1"/>
          <w:color w:val="auto"/>
        </w:rPr>
        <w:t>Distributions to an</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and clause 37.4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7"/>
          <w:szCs w:val="17"/>
          <w:b w:val="1"/>
          <w:bCs w:val="1"/>
          <w:color w:val="auto"/>
        </w:rPr>
        <w:t>Distributions to an Obligor</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The Agent may (with the consent of the Obligor or in accordance with clause 38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b w:val="1"/>
          <w:bCs w:val="1"/>
          <w:color w:val="auto"/>
        </w:rPr>
        <w:t>Clawback and pre-funding</w:t>
      </w:r>
    </w:p>
    <w:p>
      <w:pPr>
        <w:spacing w:after="0" w:line="234" w:lineRule="exact"/>
        <w:rPr>
          <w:sz w:val="20"/>
          <w:szCs w:val="20"/>
          <w:color w:val="auto"/>
        </w:rPr>
      </w:pPr>
    </w:p>
    <w:p>
      <w:pPr>
        <w:jc w:val="both"/>
        <w:ind w:left="1020" w:hanging="512"/>
        <w:spacing w:after="0"/>
        <w:tabs>
          <w:tab w:leader="none" w:pos="112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39" w:val="left"/>
        </w:tabs>
        <w:numPr>
          <w:ilvl w:val="0"/>
          <w:numId w:val="821"/>
        </w:numPr>
        <w:rPr>
          <w:rFonts w:ascii="Arial" w:cs="Arial" w:eastAsia="Arial" w:hAnsi="Arial"/>
          <w:sz w:val="18"/>
          <w:szCs w:val="18"/>
          <w:color w:val="auto"/>
        </w:rPr>
      </w:pPr>
      <w:r>
        <w:rPr>
          <w:rFonts w:ascii="Arial" w:cs="Arial" w:eastAsia="Arial" w:hAnsi="Arial"/>
          <w:sz w:val="18"/>
          <w:szCs w:val="18"/>
          <w:color w:val="auto"/>
        </w:rPr>
        <w:t>Unless clause 37.4(c)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137" w:val="left"/>
        </w:tabs>
        <w:numPr>
          <w:ilvl w:val="0"/>
          <w:numId w:val="821"/>
        </w:numPr>
        <w:rPr>
          <w:rFonts w:ascii="Arial" w:cs="Arial" w:eastAsia="Arial" w:hAnsi="Arial"/>
          <w:sz w:val="18"/>
          <w:szCs w:val="18"/>
          <w:color w:val="auto"/>
        </w:rPr>
      </w:pPr>
      <w:r>
        <w:rPr>
          <w:rFonts w:ascii="Arial" w:cs="Arial" w:eastAsia="Arial" w:hAnsi="Arial"/>
          <w:sz w:val="18"/>
          <w:szCs w:val="18"/>
          <w:color w:val="auto"/>
        </w:rPr>
        <w:t>If the Agent has notified the Lenders that, pursuant to the Borrowers’ request, it is willing to make available amounts for the account of a Borrower before receiving funds from the Lenders, and such Lenders and the Borrowers agree, then if and to the extent that the Agent does so but it proves to be the case that it does not then receive funds from a Lender in respect of a sum which it paid to a Borrower:</w:t>
      </w:r>
    </w:p>
    <w:p>
      <w:pPr>
        <w:spacing w:after="0" w:line="204" w:lineRule="exact"/>
        <w:rPr>
          <w:rFonts w:ascii="Arial" w:cs="Arial" w:eastAsia="Arial" w:hAnsi="Arial"/>
          <w:sz w:val="18"/>
          <w:szCs w:val="18"/>
          <w:color w:val="auto"/>
        </w:rPr>
      </w:pPr>
    </w:p>
    <w:p>
      <w:pPr>
        <w:ind w:left="1540" w:hanging="511"/>
        <w:spacing w:after="0"/>
        <w:tabs>
          <w:tab w:leader="none" w:pos="1540"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11" w:lineRule="exact"/>
        <w:rPr>
          <w:rFonts w:ascii="Arial" w:cs="Arial" w:eastAsia="Arial" w:hAnsi="Arial"/>
          <w:sz w:val="18"/>
          <w:szCs w:val="18"/>
          <w:color w:val="auto"/>
        </w:rPr>
      </w:pPr>
    </w:p>
    <w:p>
      <w:pPr>
        <w:jc w:val="both"/>
        <w:ind w:left="1540" w:hanging="511"/>
        <w:spacing w:after="0"/>
        <w:tabs>
          <w:tab w:leader="none" w:pos="1535"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Borrowers, shall on demand pay to the Agent the amount (as certified by the Agent) which will indemnify the Agent against any funding cost incurred by it as a result of paying out that sum before receiving those funds from that Lender.</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7"/>
          <w:szCs w:val="17"/>
          <w:b w:val="1"/>
          <w:bCs w:val="1"/>
          <w:color w:val="auto"/>
        </w:rPr>
        <w:t>Partial payments</w:t>
      </w:r>
    </w:p>
    <w:p>
      <w:pPr>
        <w:spacing w:after="0" w:line="234" w:lineRule="exact"/>
        <w:rPr>
          <w:sz w:val="20"/>
          <w:szCs w:val="20"/>
          <w:color w:val="auto"/>
        </w:rPr>
      </w:pPr>
    </w:p>
    <w:p>
      <w:pPr>
        <w:jc w:val="both"/>
        <w:ind w:left="1020" w:hanging="512"/>
        <w:spacing w:after="0"/>
        <w:tabs>
          <w:tab w:leader="none" w:pos="116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9" w:name="page310"/>
    <w:bookmarkEnd w:id="309"/>
    <w:p>
      <w:pPr>
        <w:ind w:left="1540" w:hanging="511"/>
        <w:spacing w:after="0" w:line="271" w:lineRule="auto"/>
        <w:tabs>
          <w:tab w:leader="none" w:pos="1547" w:val="left"/>
        </w:tabs>
        <w:numPr>
          <w:ilvl w:val="1"/>
          <w:numId w:val="823"/>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Finance Documents;</w:t>
      </w:r>
    </w:p>
    <w:p>
      <w:pPr>
        <w:spacing w:after="0" w:line="153" w:lineRule="exact"/>
        <w:rPr>
          <w:rFonts w:ascii="Arial" w:cs="Arial" w:eastAsia="Arial" w:hAnsi="Arial"/>
          <w:sz w:val="18"/>
          <w:szCs w:val="18"/>
          <w:color w:val="auto"/>
        </w:rPr>
      </w:pPr>
    </w:p>
    <w:p>
      <w:pPr>
        <w:jc w:val="both"/>
        <w:ind w:left="1540" w:hanging="511"/>
        <w:spacing w:after="0" w:line="253" w:lineRule="auto"/>
        <w:tabs>
          <w:tab w:leader="none" w:pos="1738" w:val="left"/>
        </w:tabs>
        <w:numPr>
          <w:ilvl w:val="1"/>
          <w:numId w:val="823"/>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34.11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including any amount resulting from the indemnity to the Security Agent under clause 34.21(a)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1540" w:hanging="511"/>
        <w:spacing w:after="0"/>
        <w:tabs>
          <w:tab w:leader="none" w:pos="1540" w:val="left"/>
        </w:tabs>
        <w:numPr>
          <w:ilvl w:val="1"/>
          <w:numId w:val="823"/>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to the Lenders pro rata in the following order of:</w:t>
      </w:r>
    </w:p>
    <w:p>
      <w:pPr>
        <w:spacing w:after="0" w:line="233" w:lineRule="exact"/>
        <w:rPr>
          <w:rFonts w:ascii="Arial" w:cs="Arial" w:eastAsia="Arial" w:hAnsi="Arial"/>
          <w:sz w:val="18"/>
          <w:szCs w:val="18"/>
          <w:color w:val="auto"/>
        </w:rPr>
      </w:pPr>
    </w:p>
    <w:p>
      <w:pPr>
        <w:ind w:left="2040" w:hanging="501"/>
        <w:spacing w:after="0"/>
        <w:tabs>
          <w:tab w:leader="none" w:pos="2040" w:val="left"/>
        </w:tabs>
        <w:numPr>
          <w:ilvl w:val="2"/>
          <w:numId w:val="823"/>
        </w:numPr>
        <w:rPr>
          <w:rFonts w:ascii="Arial" w:cs="Arial" w:eastAsia="Arial" w:hAnsi="Arial"/>
          <w:sz w:val="18"/>
          <w:szCs w:val="18"/>
          <w:color w:val="auto"/>
        </w:rPr>
      </w:pPr>
      <w:r>
        <w:rPr>
          <w:rFonts w:ascii="Arial" w:cs="Arial" w:eastAsia="Arial" w:hAnsi="Arial"/>
          <w:sz w:val="18"/>
          <w:szCs w:val="18"/>
          <w:color w:val="auto"/>
        </w:rPr>
        <w:t>first, any accrued interest, fee or commission due to them but unpaid under those Finance Documents;</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823"/>
        </w:numPr>
        <w:rPr>
          <w:rFonts w:ascii="Arial" w:cs="Arial" w:eastAsia="Arial" w:hAnsi="Arial"/>
          <w:sz w:val="18"/>
          <w:szCs w:val="18"/>
          <w:color w:val="auto"/>
        </w:rPr>
      </w:pPr>
      <w:r>
        <w:rPr>
          <w:rFonts w:ascii="Arial" w:cs="Arial" w:eastAsia="Arial" w:hAnsi="Arial"/>
          <w:sz w:val="18"/>
          <w:szCs w:val="18"/>
          <w:color w:val="auto"/>
        </w:rPr>
        <w:t>secondly, any principal due to them but unpaid under this Agreement; and</w:t>
      </w:r>
    </w:p>
    <w:p>
      <w:pPr>
        <w:spacing w:after="0" w:line="211" w:lineRule="exact"/>
        <w:rPr>
          <w:rFonts w:ascii="Arial" w:cs="Arial" w:eastAsia="Arial" w:hAnsi="Arial"/>
          <w:sz w:val="18"/>
          <w:szCs w:val="18"/>
          <w:color w:val="auto"/>
        </w:rPr>
      </w:pPr>
    </w:p>
    <w:p>
      <w:pPr>
        <w:ind w:left="2060" w:hanging="521"/>
        <w:spacing w:after="0"/>
        <w:tabs>
          <w:tab w:leader="none" w:pos="2060" w:val="left"/>
        </w:tabs>
        <w:numPr>
          <w:ilvl w:val="2"/>
          <w:numId w:val="823"/>
        </w:numPr>
        <w:rPr>
          <w:rFonts w:ascii="Arial" w:cs="Arial" w:eastAsia="Arial" w:hAnsi="Arial"/>
          <w:sz w:val="18"/>
          <w:szCs w:val="18"/>
          <w:color w:val="auto"/>
        </w:rPr>
      </w:pPr>
      <w:r>
        <w:rPr>
          <w:rFonts w:ascii="Arial" w:cs="Arial" w:eastAsia="Arial" w:hAnsi="Arial"/>
          <w:sz w:val="18"/>
          <w:szCs w:val="18"/>
          <w:color w:val="auto"/>
        </w:rPr>
        <w:t>thirdly, any other sum due to them but unpaid under the Finance Documents;</w:t>
      </w:r>
    </w:p>
    <w:p>
      <w:pPr>
        <w:spacing w:after="0" w:line="189" w:lineRule="exact"/>
        <w:rPr>
          <w:rFonts w:ascii="Arial" w:cs="Arial" w:eastAsia="Arial" w:hAnsi="Arial"/>
          <w:sz w:val="18"/>
          <w:szCs w:val="18"/>
          <w:color w:val="auto"/>
        </w:rPr>
      </w:pPr>
    </w:p>
    <w:p>
      <w:pPr>
        <w:ind w:left="1540" w:hanging="511"/>
        <w:spacing w:after="0" w:line="271" w:lineRule="auto"/>
        <w:tabs>
          <w:tab w:leader="none" w:pos="1587" w:val="left"/>
        </w:tabs>
        <w:numPr>
          <w:ilvl w:val="1"/>
          <w:numId w:val="823"/>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to the Hedging Providers pro rata of any net amounts due to them but unpaid under the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and</w:t>
      </w:r>
    </w:p>
    <w:p>
      <w:pPr>
        <w:spacing w:after="0" w:line="153" w:lineRule="exact"/>
        <w:rPr>
          <w:rFonts w:ascii="Arial" w:cs="Arial" w:eastAsia="Arial" w:hAnsi="Arial"/>
          <w:sz w:val="18"/>
          <w:szCs w:val="18"/>
          <w:color w:val="auto"/>
        </w:rPr>
      </w:pPr>
    </w:p>
    <w:p>
      <w:pPr>
        <w:ind w:left="1540" w:hanging="511"/>
        <w:spacing w:after="0" w:line="271" w:lineRule="auto"/>
        <w:tabs>
          <w:tab w:leader="none" w:pos="1748" w:val="left"/>
        </w:tabs>
        <w:numPr>
          <w:ilvl w:val="1"/>
          <w:numId w:val="823"/>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 pro rata of any other sum due but unpaid to the Finance Parties under the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75" w:lineRule="exact"/>
        <w:rPr>
          <w:rFonts w:ascii="Arial" w:cs="Arial" w:eastAsia="Arial" w:hAnsi="Arial"/>
          <w:sz w:val="18"/>
          <w:szCs w:val="18"/>
          <w:color w:val="auto"/>
        </w:rPr>
      </w:pPr>
    </w:p>
    <w:p>
      <w:pPr>
        <w:ind w:left="1020" w:hanging="512"/>
        <w:spacing w:after="0" w:line="246" w:lineRule="auto"/>
        <w:tabs>
          <w:tab w:leader="none" w:pos="1093" w:val="left"/>
        </w:tabs>
        <w:numPr>
          <w:ilvl w:val="0"/>
          <w:numId w:val="824"/>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and each Hedging Provider, vary the order set out in paragraphs (ii) to (v) of clause 37.5(a).</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Clauses 37.5(a) and 37.5(b) above will override any appropriation made by an Obligor.</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7"/>
          <w:szCs w:val="17"/>
          <w:b w:val="1"/>
          <w:bCs w:val="1"/>
          <w:color w:val="auto"/>
        </w:rPr>
        <w:t>No set-off by Obligors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7"/>
          <w:szCs w:val="17"/>
          <w:b w:val="1"/>
          <w:bCs w:val="1"/>
          <w:color w:val="auto"/>
        </w:rPr>
        <w:t>Business Days</w:t>
      </w:r>
    </w:p>
    <w:p>
      <w:pPr>
        <w:spacing w:after="0" w:line="234" w:lineRule="exact"/>
        <w:rPr>
          <w:sz w:val="20"/>
          <w:szCs w:val="20"/>
          <w:color w:val="auto"/>
        </w:rPr>
      </w:pPr>
    </w:p>
    <w:p>
      <w:pPr>
        <w:ind w:left="1020" w:hanging="512"/>
        <w:spacing w:after="0" w:line="246" w:lineRule="auto"/>
        <w:tabs>
          <w:tab w:leader="none" w:pos="1025" w:val="left"/>
        </w:tabs>
        <w:numPr>
          <w:ilvl w:val="0"/>
          <w:numId w:val="825"/>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96" w:lineRule="exact"/>
        <w:rPr>
          <w:rFonts w:ascii="Arial" w:cs="Arial" w:eastAsia="Arial" w:hAnsi="Arial"/>
          <w:sz w:val="18"/>
          <w:szCs w:val="18"/>
          <w:color w:val="auto"/>
        </w:rPr>
      </w:pPr>
    </w:p>
    <w:p>
      <w:pPr>
        <w:ind w:left="1020" w:hanging="512"/>
        <w:spacing w:after="0" w:line="246" w:lineRule="auto"/>
        <w:tabs>
          <w:tab w:leader="none" w:pos="1079" w:val="left"/>
        </w:tabs>
        <w:numPr>
          <w:ilvl w:val="0"/>
          <w:numId w:val="825"/>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37.8</w:t>
      </w:r>
      <w:r>
        <w:rPr>
          <w:sz w:val="20"/>
          <w:szCs w:val="20"/>
          <w:color w:val="auto"/>
        </w:rPr>
        <w:tab/>
      </w:r>
      <w:r>
        <w:rPr>
          <w:rFonts w:ascii="Arial" w:cs="Arial" w:eastAsia="Arial" w:hAnsi="Arial"/>
          <w:sz w:val="17"/>
          <w:szCs w:val="17"/>
          <w:b w:val="1"/>
          <w:bCs w:val="1"/>
          <w:color w:val="auto"/>
        </w:rPr>
        <w:t>Payments on demand</w:t>
      </w:r>
    </w:p>
    <w:p>
      <w:pPr>
        <w:spacing w:after="0" w:line="216" w:lineRule="exact"/>
        <w:rPr>
          <w:sz w:val="20"/>
          <w:szCs w:val="20"/>
          <w:color w:val="auto"/>
        </w:rPr>
      </w:pPr>
    </w:p>
    <w:p>
      <w:pPr>
        <w:ind w:left="520"/>
        <w:spacing w:after="0" w:line="267" w:lineRule="auto"/>
        <w:rPr>
          <w:sz w:val="20"/>
          <w:szCs w:val="20"/>
          <w:color w:val="auto"/>
        </w:rPr>
      </w:pPr>
      <w:r>
        <w:rPr>
          <w:rFonts w:ascii="Arial" w:cs="Arial" w:eastAsia="Arial" w:hAnsi="Arial"/>
          <w:sz w:val="18"/>
          <w:szCs w:val="18"/>
          <w:color w:val="auto"/>
        </w:rPr>
        <w:t>For the purposes of clause 30.1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37.9</w:t>
      </w:r>
      <w:r>
        <w:rPr>
          <w:sz w:val="20"/>
          <w:szCs w:val="20"/>
          <w:color w:val="auto"/>
        </w:rPr>
        <w:tab/>
      </w:r>
      <w:r>
        <w:rPr>
          <w:rFonts w:ascii="Arial" w:cs="Arial" w:eastAsia="Arial" w:hAnsi="Arial"/>
          <w:sz w:val="17"/>
          <w:szCs w:val="17"/>
          <w:b w:val="1"/>
          <w:bCs w:val="1"/>
          <w:color w:val="auto"/>
        </w:rPr>
        <w:t>Currency of account</w:t>
      </w:r>
    </w:p>
    <w:p>
      <w:pPr>
        <w:spacing w:after="0" w:line="234" w:lineRule="exact"/>
        <w:rPr>
          <w:sz w:val="20"/>
          <w:szCs w:val="20"/>
          <w:color w:val="auto"/>
        </w:rPr>
      </w:pPr>
    </w:p>
    <w:p>
      <w:pPr>
        <w:ind w:left="1020" w:hanging="512"/>
        <w:spacing w:after="0" w:line="246" w:lineRule="auto"/>
        <w:tabs>
          <w:tab w:leader="none" w:pos="1025" w:val="left"/>
        </w:tabs>
        <w:numPr>
          <w:ilvl w:val="0"/>
          <w:numId w:val="826"/>
        </w:numPr>
        <w:rPr>
          <w:rFonts w:ascii="Arial" w:cs="Arial" w:eastAsia="Arial" w:hAnsi="Arial"/>
          <w:sz w:val="18"/>
          <w:szCs w:val="18"/>
          <w:color w:val="auto"/>
        </w:rPr>
      </w:pPr>
      <w:r>
        <w:rPr>
          <w:rFonts w:ascii="Arial" w:cs="Arial" w:eastAsia="Arial" w:hAnsi="Arial"/>
          <w:sz w:val="18"/>
          <w:szCs w:val="18"/>
          <w:color w:val="auto"/>
        </w:rPr>
        <w:t>Subject to clauses 37.9(b) to 37.9(c), dollars is the currency of account and payment for any sum due from an Obligor under any Finance Document.</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826"/>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211" w:lineRule="exact"/>
        <w:rPr>
          <w:rFonts w:ascii="Arial" w:cs="Arial" w:eastAsia="Arial" w:hAnsi="Arial"/>
          <w:sz w:val="18"/>
          <w:szCs w:val="18"/>
          <w:color w:val="auto"/>
        </w:rPr>
      </w:pPr>
    </w:p>
    <w:p>
      <w:pPr>
        <w:ind w:left="1020" w:right="20" w:hanging="512"/>
        <w:spacing w:after="0" w:line="246" w:lineRule="auto"/>
        <w:tabs>
          <w:tab w:leader="none" w:pos="1110" w:val="left"/>
        </w:tabs>
        <w:numPr>
          <w:ilvl w:val="0"/>
          <w:numId w:val="826"/>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0" w:name="page311"/>
    <w:bookmarkEnd w:id="310"/>
    <w:p>
      <w:pPr>
        <w:ind w:left="1040"/>
        <w:spacing w:after="0" w:line="246" w:lineRule="auto"/>
        <w:rPr>
          <w:sz w:val="20"/>
          <w:szCs w:val="20"/>
          <w:color w:val="auto"/>
        </w:rPr>
      </w:pPr>
      <w:r>
        <w:rPr>
          <w:rFonts w:ascii="Arial" w:cs="Arial" w:eastAsia="Arial" w:hAnsi="Arial"/>
          <w:sz w:val="18"/>
          <w:szCs w:val="18"/>
          <w:color w:val="auto"/>
        </w:rPr>
        <w:t>amount payable under the Finance Documents shall be the equivalent in dollars of the relevant amount in such other currency on the date on which it was incurred.</w:t>
      </w:r>
    </w:p>
    <w:p>
      <w:pPr>
        <w:spacing w:after="0" w:line="197" w:lineRule="exact"/>
        <w:rPr>
          <w:sz w:val="20"/>
          <w:szCs w:val="20"/>
          <w:color w:val="auto"/>
        </w:rPr>
      </w:pPr>
    </w:p>
    <w:p>
      <w:pPr>
        <w:jc w:val="both"/>
        <w:ind w:left="1020" w:hanging="512"/>
        <w:spacing w:after="0" w:line="238" w:lineRule="auto"/>
        <w:tabs>
          <w:tab w:leader="none" w:pos="1052" w:val="left"/>
        </w:tabs>
        <w:numPr>
          <w:ilvl w:val="0"/>
          <w:numId w:val="827"/>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37.10 Change of currency</w:t>
      </w:r>
    </w:p>
    <w:p>
      <w:pPr>
        <w:spacing w:after="0" w:line="234" w:lineRule="exact"/>
        <w:rPr>
          <w:sz w:val="20"/>
          <w:szCs w:val="20"/>
          <w:color w:val="auto"/>
        </w:rPr>
      </w:pPr>
    </w:p>
    <w:p>
      <w:pPr>
        <w:ind w:left="1020" w:hanging="512"/>
        <w:spacing w:after="0" w:line="246" w:lineRule="auto"/>
        <w:tabs>
          <w:tab w:leader="none" w:pos="1093" w:val="left"/>
        </w:tabs>
        <w:numPr>
          <w:ilvl w:val="0"/>
          <w:numId w:val="828"/>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96" w:lineRule="exact"/>
        <w:rPr>
          <w:rFonts w:ascii="Arial" w:cs="Arial" w:eastAsia="Arial" w:hAnsi="Arial"/>
          <w:sz w:val="18"/>
          <w:szCs w:val="18"/>
          <w:color w:val="auto"/>
        </w:rPr>
      </w:pPr>
    </w:p>
    <w:p>
      <w:pPr>
        <w:jc w:val="both"/>
        <w:ind w:left="1540" w:hanging="511"/>
        <w:spacing w:after="0"/>
        <w:tabs>
          <w:tab w:leader="none" w:pos="1560" w:val="left"/>
        </w:tabs>
        <w:numPr>
          <w:ilvl w:val="1"/>
          <w:numId w:val="828"/>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202" w:lineRule="exact"/>
        <w:rPr>
          <w:rFonts w:ascii="Arial" w:cs="Arial" w:eastAsia="Arial" w:hAnsi="Arial"/>
          <w:sz w:val="18"/>
          <w:szCs w:val="18"/>
          <w:color w:val="auto"/>
        </w:rPr>
      </w:pPr>
    </w:p>
    <w:p>
      <w:pPr>
        <w:jc w:val="both"/>
        <w:ind w:left="1540" w:hanging="511"/>
        <w:spacing w:after="0"/>
        <w:tabs>
          <w:tab w:leader="none" w:pos="1616" w:val="left"/>
        </w:tabs>
        <w:numPr>
          <w:ilvl w:val="1"/>
          <w:numId w:val="828"/>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202" w:lineRule="exact"/>
        <w:rPr>
          <w:rFonts w:ascii="Arial" w:cs="Arial" w:eastAsia="Arial" w:hAnsi="Arial"/>
          <w:sz w:val="18"/>
          <w:szCs w:val="18"/>
          <w:color w:val="auto"/>
        </w:rPr>
      </w:pPr>
    </w:p>
    <w:p>
      <w:pPr>
        <w:jc w:val="both"/>
        <w:ind w:left="1020" w:hanging="512"/>
        <w:spacing w:after="0"/>
        <w:tabs>
          <w:tab w:leader="none" w:pos="1201"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Interbank Market and otherwise to reflect the change in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37.11 Disruption to Payment Systems etc.</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If either the Agent determines (in its discretion) that a Payment Disruption Event has occurred or the Agent is notified by the Borrowers that a Payment Disruption Event has occurred:</w:t>
      </w:r>
    </w:p>
    <w:p>
      <w:pPr>
        <w:spacing w:after="0" w:line="197" w:lineRule="exact"/>
        <w:rPr>
          <w:sz w:val="20"/>
          <w:szCs w:val="20"/>
          <w:color w:val="auto"/>
        </w:rPr>
      </w:pPr>
    </w:p>
    <w:p>
      <w:pPr>
        <w:jc w:val="both"/>
        <w:ind w:left="1020" w:hanging="512"/>
        <w:spacing w:after="0"/>
        <w:tabs>
          <w:tab w:leader="none" w:pos="112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Borrowers, consult with the Borrowers with a view to agreeing with the Borrowers such changes to the operation or administration of the Facility as the Agent may deem necessary in the circumstances;</w:t>
      </w:r>
    </w:p>
    <w:p>
      <w:pPr>
        <w:spacing w:after="0" w:line="202" w:lineRule="exact"/>
        <w:rPr>
          <w:rFonts w:ascii="Arial" w:cs="Arial" w:eastAsia="Arial" w:hAnsi="Arial"/>
          <w:sz w:val="18"/>
          <w:szCs w:val="18"/>
          <w:color w:val="auto"/>
        </w:rPr>
      </w:pPr>
    </w:p>
    <w:p>
      <w:pPr>
        <w:ind w:left="1020" w:hanging="512"/>
        <w:spacing w:after="0" w:line="246" w:lineRule="auto"/>
        <w:tabs>
          <w:tab w:leader="none" w:pos="1025"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96" w:lineRule="exact"/>
        <w:rPr>
          <w:rFonts w:ascii="Arial" w:cs="Arial" w:eastAsia="Arial" w:hAnsi="Arial"/>
          <w:sz w:val="18"/>
          <w:szCs w:val="18"/>
          <w:color w:val="auto"/>
        </w:rPr>
      </w:pPr>
    </w:p>
    <w:p>
      <w:pPr>
        <w:ind w:left="1020" w:hanging="512"/>
        <w:spacing w:after="0" w:line="246" w:lineRule="auto"/>
        <w:tabs>
          <w:tab w:leader="none" w:pos="1096"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96" w:lineRule="exact"/>
        <w:rPr>
          <w:rFonts w:ascii="Arial" w:cs="Arial" w:eastAsia="Arial" w:hAnsi="Arial"/>
          <w:sz w:val="18"/>
          <w:szCs w:val="18"/>
          <w:color w:val="auto"/>
        </w:rPr>
      </w:pPr>
    </w:p>
    <w:p>
      <w:pPr>
        <w:jc w:val="both"/>
        <w:ind w:left="1020" w:hanging="512"/>
        <w:spacing w:after="0"/>
        <w:tabs>
          <w:tab w:leader="none" w:pos="1133" w:val="left"/>
        </w:tabs>
        <w:numPr>
          <w:ilvl w:val="0"/>
          <w:numId w:val="829"/>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Payment Disruption Event has occurred) be binding upon the Parties as an amendment to (or, as the case may be, waiver of) the terms of the Finance Documents notwithstanding the provisions of clause 43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52"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37.11;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1" w:name="page312"/>
    <w:bookmarkEnd w:id="311"/>
    <w:p>
      <w:pPr>
        <w:ind w:left="1020" w:hanging="512"/>
        <w:spacing w:after="0"/>
        <w:tabs>
          <w:tab w:leader="none" w:pos="102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37.12 Impaired Agent</w:t>
      </w:r>
    </w:p>
    <w:p>
      <w:pPr>
        <w:spacing w:after="0" w:line="234" w:lineRule="exact"/>
        <w:rPr>
          <w:sz w:val="20"/>
          <w:szCs w:val="20"/>
          <w:color w:val="auto"/>
        </w:rPr>
      </w:pPr>
    </w:p>
    <w:p>
      <w:pPr>
        <w:jc w:val="both"/>
        <w:ind w:left="1020" w:hanging="512"/>
        <w:spacing w:after="0" w:line="237" w:lineRule="auto"/>
        <w:tabs>
          <w:tab w:leader="none" w:pos="1093" w:val="left"/>
        </w:tabs>
        <w:numPr>
          <w:ilvl w:val="0"/>
          <w:numId w:val="831"/>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37.1 (</w:t>
      </w:r>
      <w:r>
        <w:rPr>
          <w:rFonts w:ascii="Arial" w:cs="Arial" w:eastAsia="Arial" w:hAnsi="Arial"/>
          <w:sz w:val="18"/>
          <w:szCs w:val="18"/>
          <w:i w:val="1"/>
          <w:iCs w:val="1"/>
          <w:color w:val="auto"/>
        </w:rPr>
        <w:t>Payments to the Agent</w:t>
      </w:r>
      <w:r>
        <w:rPr>
          <w:rFonts w:ascii="Arial" w:cs="Arial" w:eastAsia="Arial" w:hAnsi="Arial"/>
          <w:sz w:val="18"/>
          <w:szCs w:val="18"/>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8"/>
          <w:szCs w:val="18"/>
          <w:b w:val="1"/>
          <w:bCs w:val="1"/>
          <w:color w:val="auto"/>
        </w:rPr>
        <w:t>Acceptable Bank</w:t>
      </w:r>
      <w:r>
        <w:rPr>
          <w:rFonts w:ascii="Arial" w:cs="Arial" w:eastAsia="Arial" w:hAnsi="Arial"/>
          <w:sz w:val="18"/>
          <w:szCs w:val="18"/>
          <w:color w:val="auto"/>
        </w:rPr>
        <w:t xml:space="preserve">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202" w:lineRule="exact"/>
        <w:rPr>
          <w:rFonts w:ascii="Arial" w:cs="Arial" w:eastAsia="Arial" w:hAnsi="Arial"/>
          <w:sz w:val="18"/>
          <w:szCs w:val="18"/>
          <w:color w:val="auto"/>
        </w:rPr>
      </w:pPr>
    </w:p>
    <w:p>
      <w:pPr>
        <w:ind w:left="1020" w:hanging="512"/>
        <w:spacing w:after="0" w:line="246" w:lineRule="auto"/>
        <w:tabs>
          <w:tab w:leader="none" w:pos="1079" w:val="left"/>
        </w:tabs>
        <w:numPr>
          <w:ilvl w:val="0"/>
          <w:numId w:val="831"/>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78" w:lineRule="exact"/>
        <w:rPr>
          <w:rFonts w:ascii="Arial" w:cs="Arial" w:eastAsia="Arial" w:hAnsi="Arial"/>
          <w:sz w:val="18"/>
          <w:szCs w:val="18"/>
          <w:color w:val="auto"/>
        </w:rPr>
      </w:pPr>
    </w:p>
    <w:p>
      <w:pPr>
        <w:jc w:val="both"/>
        <w:ind w:left="1020" w:hanging="512"/>
        <w:spacing w:after="0" w:line="250" w:lineRule="auto"/>
        <w:tabs>
          <w:tab w:leader="none" w:pos="1029" w:val="left"/>
        </w:tabs>
        <w:numPr>
          <w:ilvl w:val="0"/>
          <w:numId w:val="831"/>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clause 37.1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be discharged of the relevant payment obligation under the Finance Documents and shall not take any credit risk with respect to the amounts standing to the credit of the trust account.</w:t>
      </w:r>
    </w:p>
    <w:p>
      <w:pPr>
        <w:spacing w:after="0" w:line="176" w:lineRule="exact"/>
        <w:rPr>
          <w:rFonts w:ascii="Arial" w:cs="Arial" w:eastAsia="Arial" w:hAnsi="Arial"/>
          <w:sz w:val="18"/>
          <w:szCs w:val="18"/>
          <w:color w:val="auto"/>
        </w:rPr>
      </w:pPr>
    </w:p>
    <w:p>
      <w:pPr>
        <w:jc w:val="both"/>
        <w:ind w:left="1020" w:hanging="512"/>
        <w:spacing w:after="0" w:line="245" w:lineRule="auto"/>
        <w:tabs>
          <w:tab w:leader="none" w:pos="1066" w:val="left"/>
        </w:tabs>
        <w:numPr>
          <w:ilvl w:val="0"/>
          <w:numId w:val="831"/>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34.13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 accordance with clause 37.1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37.2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37.13 Contractual recognition of bail-in</w:t>
      </w:r>
    </w:p>
    <w:p>
      <w:pPr>
        <w:spacing w:after="0" w:line="234" w:lineRule="exact"/>
        <w:rPr>
          <w:sz w:val="20"/>
          <w:szCs w:val="20"/>
          <w:color w:val="auto"/>
        </w:rPr>
      </w:pPr>
    </w:p>
    <w:p>
      <w:pPr>
        <w:jc w:val="both"/>
        <w:ind w:left="1020" w:hanging="512"/>
        <w:spacing w:after="0" w:line="238" w:lineRule="auto"/>
        <w:tabs>
          <w:tab w:leader="none" w:pos="1066" w:val="left"/>
        </w:tabs>
        <w:numPr>
          <w:ilvl w:val="0"/>
          <w:numId w:val="832"/>
        </w:numPr>
        <w:rPr>
          <w:rFonts w:ascii="Arial" w:cs="Arial" w:eastAsia="Arial" w:hAnsi="Arial"/>
          <w:sz w:val="18"/>
          <w:szCs w:val="18"/>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204" w:lineRule="exact"/>
        <w:rPr>
          <w:rFonts w:ascii="Arial" w:cs="Arial" w:eastAsia="Arial" w:hAnsi="Arial"/>
          <w:sz w:val="18"/>
          <w:szCs w:val="18"/>
          <w:color w:val="auto"/>
        </w:rPr>
      </w:pPr>
    </w:p>
    <w:p>
      <w:pPr>
        <w:ind w:left="1540" w:hanging="511"/>
        <w:spacing w:after="0"/>
        <w:tabs>
          <w:tab w:leader="none" w:pos="1540" w:val="left"/>
        </w:tabs>
        <w:numPr>
          <w:ilvl w:val="1"/>
          <w:numId w:val="832"/>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11" w:lineRule="exact"/>
        <w:rPr>
          <w:rFonts w:ascii="Arial" w:cs="Arial" w:eastAsia="Arial" w:hAnsi="Arial"/>
          <w:sz w:val="18"/>
          <w:szCs w:val="18"/>
          <w:color w:val="auto"/>
        </w:rPr>
      </w:pPr>
    </w:p>
    <w:p>
      <w:pPr>
        <w:ind w:left="2040" w:right="20" w:hanging="501"/>
        <w:spacing w:after="0" w:line="246" w:lineRule="auto"/>
        <w:tabs>
          <w:tab w:leader="none" w:pos="2064" w:val="left"/>
        </w:tabs>
        <w:numPr>
          <w:ilvl w:val="2"/>
          <w:numId w:val="832"/>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96" w:lineRule="exact"/>
        <w:rPr>
          <w:rFonts w:ascii="Arial" w:cs="Arial" w:eastAsia="Arial" w:hAnsi="Arial"/>
          <w:sz w:val="18"/>
          <w:szCs w:val="18"/>
          <w:color w:val="auto"/>
        </w:rPr>
      </w:pPr>
    </w:p>
    <w:p>
      <w:pPr>
        <w:ind w:left="2040" w:right="20" w:hanging="501"/>
        <w:spacing w:after="0" w:line="246" w:lineRule="auto"/>
        <w:tabs>
          <w:tab w:leader="none" w:pos="2037" w:val="left"/>
        </w:tabs>
        <w:numPr>
          <w:ilvl w:val="2"/>
          <w:numId w:val="832"/>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96" w:lineRule="exact"/>
        <w:rPr>
          <w:rFonts w:ascii="Arial" w:cs="Arial" w:eastAsia="Arial" w:hAnsi="Arial"/>
          <w:sz w:val="18"/>
          <w:szCs w:val="18"/>
          <w:color w:val="auto"/>
        </w:rPr>
      </w:pPr>
    </w:p>
    <w:p>
      <w:pPr>
        <w:ind w:left="2060" w:hanging="521"/>
        <w:spacing w:after="0"/>
        <w:tabs>
          <w:tab w:leader="none" w:pos="2060" w:val="left"/>
        </w:tabs>
        <w:numPr>
          <w:ilvl w:val="2"/>
          <w:numId w:val="832"/>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11" w:lineRule="exact"/>
        <w:rPr>
          <w:rFonts w:ascii="Arial" w:cs="Arial" w:eastAsia="Arial" w:hAnsi="Arial"/>
          <w:sz w:val="18"/>
          <w:szCs w:val="18"/>
          <w:color w:val="auto"/>
        </w:rPr>
      </w:pPr>
    </w:p>
    <w:p>
      <w:pPr>
        <w:ind w:left="1540" w:hanging="511"/>
        <w:spacing w:after="0" w:line="246" w:lineRule="auto"/>
        <w:tabs>
          <w:tab w:leader="none" w:pos="1576" w:val="left"/>
        </w:tabs>
        <w:numPr>
          <w:ilvl w:val="1"/>
          <w:numId w:val="832"/>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2" w:name="page313"/>
    <w:bookmarkEnd w:id="312"/>
    <w:p>
      <w:pPr>
        <w:jc w:val="both"/>
        <w:ind w:left="1540" w:right="20" w:hanging="511"/>
        <w:spacing w:after="0"/>
        <w:tabs>
          <w:tab w:leader="none" w:pos="1623" w:val="left"/>
        </w:tabs>
        <w:numPr>
          <w:ilvl w:val="0"/>
          <w:numId w:val="833"/>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202" w:lineRule="exact"/>
        <w:rPr>
          <w:rFonts w:ascii="Arial" w:cs="Arial" w:eastAsia="Arial" w:hAnsi="Arial"/>
          <w:sz w:val="18"/>
          <w:szCs w:val="18"/>
          <w:color w:val="auto"/>
        </w:rPr>
      </w:pPr>
    </w:p>
    <w:p>
      <w:pPr>
        <w:ind w:left="1540" w:hanging="511"/>
        <w:spacing w:after="0" w:line="246" w:lineRule="auto"/>
        <w:tabs>
          <w:tab w:leader="none" w:pos="1571" w:val="left"/>
        </w:tabs>
        <w:numPr>
          <w:ilvl w:val="0"/>
          <w:numId w:val="833"/>
        </w:numPr>
        <w:rPr>
          <w:rFonts w:ascii="Arial" w:cs="Arial" w:eastAsia="Arial" w:hAnsi="Arial"/>
          <w:sz w:val="18"/>
          <w:szCs w:val="18"/>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12" w:lineRule="exact"/>
        <w:rPr>
          <w:sz w:val="20"/>
          <w:szCs w:val="20"/>
          <w:color w:val="auto"/>
        </w:rPr>
      </w:pPr>
    </w:p>
    <w:p>
      <w:pPr>
        <w:ind w:left="1020" w:right="20"/>
        <w:spacing w:after="0" w:line="271"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person) from time to time.</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 Conversion Powers means:</w:t>
      </w:r>
    </w:p>
    <w:p>
      <w:pPr>
        <w:spacing w:after="0" w:line="234" w:lineRule="exact"/>
        <w:rPr>
          <w:sz w:val="20"/>
          <w:szCs w:val="20"/>
          <w:color w:val="auto"/>
        </w:rPr>
      </w:pPr>
    </w:p>
    <w:p>
      <w:pPr>
        <w:ind w:left="1540" w:hanging="511"/>
        <w:spacing w:after="0" w:line="246" w:lineRule="auto"/>
        <w:tabs>
          <w:tab w:leader="none" w:pos="1744"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11" w:lineRule="exact"/>
        <w:rPr>
          <w:rFonts w:ascii="Arial" w:cs="Arial" w:eastAsia="Arial" w:hAnsi="Arial"/>
          <w:sz w:val="18"/>
          <w:szCs w:val="18"/>
          <w:color w:val="auto"/>
        </w:rPr>
      </w:pPr>
    </w:p>
    <w:p>
      <w:pPr>
        <w:jc w:val="both"/>
        <w:ind w:left="2040" w:hanging="501"/>
        <w:spacing w:after="0" w:line="237" w:lineRule="auto"/>
        <w:tabs>
          <w:tab w:leader="none" w:pos="2114" w:val="left"/>
        </w:tabs>
        <w:numPr>
          <w:ilvl w:val="1"/>
          <w:numId w:val="834"/>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202" w:lineRule="exact"/>
        <w:rPr>
          <w:rFonts w:ascii="Arial" w:cs="Arial" w:eastAsia="Arial" w:hAnsi="Arial"/>
          <w:sz w:val="18"/>
          <w:szCs w:val="18"/>
          <w:color w:val="auto"/>
        </w:rPr>
      </w:pPr>
    </w:p>
    <w:p>
      <w:pPr>
        <w:ind w:left="2040" w:hanging="501"/>
        <w:spacing w:after="0"/>
        <w:tabs>
          <w:tab w:leader="none" w:pos="2040" w:val="left"/>
        </w:tabs>
        <w:numPr>
          <w:ilvl w:val="1"/>
          <w:numId w:val="834"/>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180" w:lineRule="exact"/>
        <w:rPr>
          <w:sz w:val="20"/>
          <w:szCs w:val="20"/>
          <w:color w:val="auto"/>
        </w:rPr>
      </w:pPr>
    </w:p>
    <w:p>
      <w:pPr>
        <w:ind w:left="520" w:hanging="382"/>
        <w:spacing w:after="0"/>
        <w:tabs>
          <w:tab w:leader="none" w:pos="520" w:val="left"/>
        </w:tabs>
        <w:numPr>
          <w:ilvl w:val="0"/>
          <w:numId w:val="835"/>
        </w:numPr>
        <w:rPr>
          <w:rFonts w:ascii="Arial" w:cs="Arial" w:eastAsia="Arial" w:hAnsi="Arial"/>
          <w:sz w:val="18"/>
          <w:szCs w:val="18"/>
          <w:b w:val="1"/>
          <w:bCs w:val="1"/>
          <w:color w:val="auto"/>
        </w:rPr>
      </w:pPr>
      <w:r>
        <w:rPr>
          <w:rFonts w:ascii="Arial" w:cs="Arial" w:eastAsia="Arial" w:hAnsi="Arial"/>
          <w:sz w:val="22"/>
          <w:szCs w:val="22"/>
          <w:b w:val="1"/>
          <w:bCs w:val="1"/>
          <w:color w:val="auto"/>
        </w:rPr>
        <w:t>Set-off</w:t>
      </w:r>
    </w:p>
    <w:p>
      <w:pPr>
        <w:spacing w:after="0" w:line="238"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73" w:lineRule="exact"/>
        <w:rPr>
          <w:sz w:val="20"/>
          <w:szCs w:val="20"/>
          <w:color w:val="auto"/>
        </w:rPr>
      </w:pPr>
    </w:p>
    <w:p>
      <w:pPr>
        <w:ind w:left="520" w:hanging="382"/>
        <w:spacing w:after="0"/>
        <w:tabs>
          <w:tab w:leader="none" w:pos="520" w:val="left"/>
        </w:tabs>
        <w:numPr>
          <w:ilvl w:val="0"/>
          <w:numId w:val="836"/>
        </w:numPr>
        <w:rPr>
          <w:rFonts w:ascii="Arial" w:cs="Arial" w:eastAsia="Arial" w:hAnsi="Arial"/>
          <w:sz w:val="18"/>
          <w:szCs w:val="18"/>
          <w:b w:val="1"/>
          <w:bCs w:val="1"/>
          <w:color w:val="auto"/>
        </w:rPr>
      </w:pPr>
      <w:r>
        <w:rPr>
          <w:rFonts w:ascii="Arial" w:cs="Arial" w:eastAsia="Arial" w:hAnsi="Arial"/>
          <w:sz w:val="22"/>
          <w:szCs w:val="22"/>
          <w:b w:val="1"/>
          <w:bCs w:val="1"/>
          <w:color w:val="auto"/>
        </w:rPr>
        <w:t>Notices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7"/>
          <w:szCs w:val="17"/>
          <w:b w:val="1"/>
          <w:bCs w:val="1"/>
          <w:color w:val="auto"/>
        </w:rPr>
        <w:t>Communications in writing</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7"/>
          <w:szCs w:val="17"/>
          <w:b w:val="1"/>
          <w:bCs w:val="1"/>
          <w:color w:val="auto"/>
        </w:rPr>
        <w:t>Addresses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3" w:name="page314"/>
    <w:bookmarkEnd w:id="313"/>
    <w:p>
      <w:pPr>
        <w:ind w:left="520"/>
        <w:spacing w:after="0" w:line="246"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97" w:lineRule="exact"/>
        <w:rPr>
          <w:sz w:val="20"/>
          <w:szCs w:val="20"/>
          <w:color w:val="auto"/>
        </w:rPr>
      </w:pPr>
    </w:p>
    <w:p>
      <w:pPr>
        <w:ind w:left="1040" w:hanging="532"/>
        <w:spacing w:after="0"/>
        <w:tabs>
          <w:tab w:leader="none" w:pos="10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(The original parties);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11" w:lineRule="exact"/>
        <w:rPr>
          <w:rFonts w:ascii="Arial" w:cs="Arial" w:eastAsia="Arial" w:hAnsi="Arial"/>
          <w:sz w:val="18"/>
          <w:szCs w:val="18"/>
          <w:color w:val="auto"/>
        </w:rPr>
      </w:pPr>
    </w:p>
    <w:p>
      <w:pPr>
        <w:ind w:left="1020" w:hanging="512"/>
        <w:spacing w:after="0" w:line="246" w:lineRule="auto"/>
        <w:tabs>
          <w:tab w:leader="none" w:pos="1015"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(The original parties); and</w:t>
      </w:r>
    </w:p>
    <w:p>
      <w:pPr>
        <w:spacing w:after="0" w:line="196" w:lineRule="exact"/>
        <w:rPr>
          <w:rFonts w:ascii="Arial" w:cs="Arial" w:eastAsia="Arial" w:hAnsi="Arial"/>
          <w:sz w:val="18"/>
          <w:szCs w:val="18"/>
          <w:color w:val="auto"/>
        </w:rPr>
      </w:pPr>
    </w:p>
    <w:p>
      <w:pPr>
        <w:ind w:left="1020" w:hanging="512"/>
        <w:spacing w:after="0" w:line="246" w:lineRule="auto"/>
        <w:tabs>
          <w:tab w:leader="none" w:pos="1025"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97"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or, in each case, any substitute address or department or officer as an Obligor or Finance Party may notify to the Agent (or the Agent may notify to the other Parties, if a change is made by the Agent) by not less than five Business Days’ notice.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39.3</w:t>
      </w:r>
      <w:r>
        <w:rPr>
          <w:sz w:val="20"/>
          <w:szCs w:val="20"/>
          <w:color w:val="auto"/>
        </w:rPr>
        <w:tab/>
      </w:r>
      <w:r>
        <w:rPr>
          <w:rFonts w:ascii="Arial" w:cs="Arial" w:eastAsia="Arial" w:hAnsi="Arial"/>
          <w:sz w:val="17"/>
          <w:szCs w:val="17"/>
          <w:b w:val="1"/>
          <w:bCs w:val="1"/>
          <w:color w:val="auto"/>
        </w:rPr>
        <w:t>Delivery</w:t>
      </w:r>
    </w:p>
    <w:p>
      <w:pPr>
        <w:spacing w:after="0" w:line="234" w:lineRule="exact"/>
        <w:rPr>
          <w:sz w:val="20"/>
          <w:szCs w:val="20"/>
          <w:color w:val="auto"/>
        </w:rPr>
      </w:pPr>
    </w:p>
    <w:p>
      <w:pPr>
        <w:jc w:val="both"/>
        <w:ind w:left="1020" w:hanging="512"/>
        <w:spacing w:after="0" w:line="238" w:lineRule="auto"/>
        <w:tabs>
          <w:tab w:leader="none" w:pos="1282"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39.2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52"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(or any substitute department or officer as the Agent or the Security Agent shall specify for this purpose).</w:t>
      </w:r>
    </w:p>
    <w:p>
      <w:pPr>
        <w:spacing w:after="0" w:line="204" w:lineRule="exact"/>
        <w:rPr>
          <w:rFonts w:ascii="Arial" w:cs="Arial" w:eastAsia="Arial" w:hAnsi="Arial"/>
          <w:sz w:val="18"/>
          <w:szCs w:val="18"/>
          <w:color w:val="auto"/>
        </w:rPr>
      </w:pPr>
    </w:p>
    <w:p>
      <w:pPr>
        <w:ind w:left="1020" w:hanging="512"/>
        <w:spacing w:after="0"/>
        <w:tabs>
          <w:tab w:leader="none" w:pos="102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11" w:lineRule="exact"/>
        <w:rPr>
          <w:rFonts w:ascii="Arial" w:cs="Arial" w:eastAsia="Arial" w:hAnsi="Arial"/>
          <w:sz w:val="18"/>
          <w:szCs w:val="18"/>
          <w:color w:val="auto"/>
        </w:rPr>
      </w:pPr>
    </w:p>
    <w:p>
      <w:pPr>
        <w:ind w:left="1020" w:hanging="512"/>
        <w:spacing w:after="0" w:line="246" w:lineRule="auto"/>
        <w:tabs>
          <w:tab w:leader="none" w:pos="1133"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196" w:lineRule="exact"/>
        <w:rPr>
          <w:rFonts w:ascii="Arial" w:cs="Arial" w:eastAsia="Arial" w:hAnsi="Arial"/>
          <w:sz w:val="18"/>
          <w:szCs w:val="18"/>
          <w:color w:val="auto"/>
        </w:rPr>
      </w:pPr>
    </w:p>
    <w:p>
      <w:pPr>
        <w:ind w:left="1020" w:hanging="512"/>
        <w:spacing w:after="0" w:line="246" w:lineRule="auto"/>
        <w:tabs>
          <w:tab w:leader="none" w:pos="1039"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39.3(a) to 39.3(d) above, after 5:00pm in the place of receipt shall be deemed only to become effective on the following day.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39.4</w:t>
      </w:r>
      <w:r>
        <w:rPr>
          <w:sz w:val="20"/>
          <w:szCs w:val="20"/>
          <w:color w:val="auto"/>
        </w:rPr>
        <w:tab/>
      </w:r>
      <w:r>
        <w:rPr>
          <w:rFonts w:ascii="Arial" w:cs="Arial" w:eastAsia="Arial" w:hAnsi="Arial"/>
          <w:sz w:val="17"/>
          <w:szCs w:val="17"/>
          <w:b w:val="1"/>
          <w:bCs w:val="1"/>
          <w:color w:val="auto"/>
        </w:rPr>
        <w:t>Notification of address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Agent shall notify the other Parties on changing its address. All other Parties should notify promptly upon change of their address pursuant to clause 39.2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39.5</w:t>
      </w:r>
      <w:r>
        <w:rPr>
          <w:sz w:val="20"/>
          <w:szCs w:val="20"/>
          <w:color w:val="auto"/>
        </w:rPr>
        <w:tab/>
      </w:r>
      <w:r>
        <w:rPr>
          <w:rFonts w:ascii="Arial" w:cs="Arial" w:eastAsia="Arial" w:hAnsi="Arial"/>
          <w:sz w:val="17"/>
          <w:szCs w:val="17"/>
          <w:b w:val="1"/>
          <w:bCs w:val="1"/>
          <w:color w:val="auto"/>
        </w:rPr>
        <w:t>Electronic communication</w:t>
      </w:r>
    </w:p>
    <w:p>
      <w:pPr>
        <w:spacing w:after="0" w:line="234" w:lineRule="exact"/>
        <w:rPr>
          <w:sz w:val="20"/>
          <w:szCs w:val="20"/>
          <w:color w:val="auto"/>
        </w:rPr>
      </w:pPr>
    </w:p>
    <w:p>
      <w:pPr>
        <w:jc w:val="both"/>
        <w:ind w:left="1020" w:hanging="512"/>
        <w:spacing w:after="0"/>
        <w:tabs>
          <w:tab w:leader="none" w:pos="1066" w:val="left"/>
        </w:tabs>
        <w:numPr>
          <w:ilvl w:val="0"/>
          <w:numId w:val="839"/>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203" w:lineRule="exact"/>
        <w:rPr>
          <w:sz w:val="20"/>
          <w:szCs w:val="20"/>
          <w:color w:val="auto"/>
        </w:rPr>
      </w:pPr>
    </w:p>
    <w:p>
      <w:pPr>
        <w:ind w:left="1540" w:hanging="511"/>
        <w:spacing w:after="0" w:line="246" w:lineRule="auto"/>
        <w:tabs>
          <w:tab w:leader="none" w:pos="1641" w:val="left"/>
        </w:tabs>
        <w:numPr>
          <w:ilvl w:val="0"/>
          <w:numId w:val="840"/>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4" w:name="page315"/>
    <w:bookmarkEnd w:id="314"/>
    <w:p>
      <w:pPr>
        <w:ind w:left="1540" w:hanging="511"/>
        <w:spacing w:after="0" w:line="246" w:lineRule="auto"/>
        <w:tabs>
          <w:tab w:leader="none" w:pos="1657" w:val="left"/>
        </w:tabs>
        <w:numPr>
          <w:ilvl w:val="1"/>
          <w:numId w:val="841"/>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96" w:lineRule="exact"/>
        <w:rPr>
          <w:rFonts w:ascii="Arial" w:cs="Arial" w:eastAsia="Arial" w:hAnsi="Arial"/>
          <w:sz w:val="18"/>
          <w:szCs w:val="18"/>
          <w:color w:val="auto"/>
        </w:rPr>
      </w:pPr>
    </w:p>
    <w:p>
      <w:pPr>
        <w:jc w:val="both"/>
        <w:ind w:left="1020" w:hanging="512"/>
        <w:spacing w:after="0"/>
        <w:tabs>
          <w:tab w:leader="none" w:pos="1106" w:val="left"/>
        </w:tabs>
        <w:numPr>
          <w:ilvl w:val="0"/>
          <w:numId w:val="842"/>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202" w:lineRule="exact"/>
        <w:rPr>
          <w:rFonts w:ascii="Arial" w:cs="Arial" w:eastAsia="Arial" w:hAnsi="Arial"/>
          <w:sz w:val="18"/>
          <w:szCs w:val="18"/>
          <w:color w:val="auto"/>
        </w:rPr>
      </w:pPr>
    </w:p>
    <w:p>
      <w:pPr>
        <w:ind w:left="1020" w:hanging="512"/>
        <w:spacing w:after="0" w:line="246" w:lineRule="auto"/>
        <w:tabs>
          <w:tab w:leader="none" w:pos="1056" w:val="left"/>
        </w:tabs>
        <w:numPr>
          <w:ilvl w:val="0"/>
          <w:numId w:val="842"/>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39.5(b) above, after 5:00 pm in the place of receipt shall be deemed only to become effective on the following day.</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211" w:lineRule="exact"/>
        <w:rPr>
          <w:rFonts w:ascii="Arial" w:cs="Arial" w:eastAsia="Arial" w:hAnsi="Arial"/>
          <w:sz w:val="18"/>
          <w:szCs w:val="18"/>
          <w:color w:val="auto"/>
        </w:rPr>
      </w:pPr>
    </w:p>
    <w:p>
      <w:pPr>
        <w:ind w:left="1540" w:hanging="511"/>
        <w:spacing w:after="0" w:line="246" w:lineRule="auto"/>
        <w:tabs>
          <w:tab w:leader="none" w:pos="1587" w:val="left"/>
        </w:tabs>
        <w:numPr>
          <w:ilvl w:val="1"/>
          <w:numId w:val="842"/>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97" w:lineRule="exact"/>
        <w:rPr>
          <w:sz w:val="20"/>
          <w:szCs w:val="20"/>
          <w:color w:val="auto"/>
        </w:rPr>
      </w:pPr>
    </w:p>
    <w:p>
      <w:pPr>
        <w:ind w:left="1540" w:hanging="511"/>
        <w:spacing w:after="0"/>
        <w:tabs>
          <w:tab w:leader="none" w:pos="154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211" w:lineRule="exact"/>
        <w:rPr>
          <w:rFonts w:ascii="Arial" w:cs="Arial" w:eastAsia="Arial" w:hAnsi="Arial"/>
          <w:sz w:val="18"/>
          <w:szCs w:val="18"/>
          <w:color w:val="auto"/>
        </w:rPr>
      </w:pPr>
    </w:p>
    <w:p>
      <w:pPr>
        <w:jc w:val="both"/>
        <w:ind w:left="1540" w:hanging="511"/>
        <w:spacing w:after="0" w:line="238" w:lineRule="auto"/>
        <w:tabs>
          <w:tab w:leader="none" w:pos="1776"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204" w:lineRule="exact"/>
        <w:rPr>
          <w:rFonts w:ascii="Arial" w:cs="Arial" w:eastAsia="Arial" w:hAnsi="Arial"/>
          <w:sz w:val="18"/>
          <w:szCs w:val="18"/>
          <w:color w:val="auto"/>
        </w:rPr>
      </w:pPr>
    </w:p>
    <w:p>
      <w:pPr>
        <w:jc w:val="both"/>
        <w:ind w:left="1540" w:hanging="511"/>
        <w:spacing w:after="0"/>
        <w:tabs>
          <w:tab w:leader="none" w:pos="1707"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Borrowers or any other Obligor due to interruptions and delays in transmission caused by technical problems.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93"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Borrowers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39.6</w:t>
      </w:r>
      <w:r>
        <w:rPr>
          <w:sz w:val="20"/>
          <w:szCs w:val="20"/>
          <w:color w:val="auto"/>
        </w:rPr>
        <w:tab/>
      </w:r>
      <w:r>
        <w:rPr>
          <w:rFonts w:ascii="Arial" w:cs="Arial" w:eastAsia="Arial" w:hAnsi="Arial"/>
          <w:sz w:val="17"/>
          <w:szCs w:val="17"/>
          <w:b w:val="1"/>
          <w:bCs w:val="1"/>
          <w:color w:val="auto"/>
        </w:rPr>
        <w:t>English language</w:t>
      </w:r>
    </w:p>
    <w:p>
      <w:pPr>
        <w:spacing w:after="0" w:line="234" w:lineRule="exact"/>
        <w:rPr>
          <w:sz w:val="20"/>
          <w:szCs w:val="20"/>
          <w:color w:val="auto"/>
        </w:rPr>
      </w:pPr>
    </w:p>
    <w:p>
      <w:pPr>
        <w:ind w:left="1040" w:hanging="532"/>
        <w:spacing w:after="0"/>
        <w:tabs>
          <w:tab w:leader="none" w:pos="104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45"/>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11" w:lineRule="exact"/>
        <w:rPr>
          <w:rFonts w:ascii="Arial" w:cs="Arial" w:eastAsia="Arial" w:hAnsi="Arial"/>
          <w:sz w:val="18"/>
          <w:szCs w:val="18"/>
          <w:color w:val="auto"/>
        </w:rPr>
      </w:pPr>
    </w:p>
    <w:p>
      <w:pPr>
        <w:ind w:left="1540" w:hanging="511"/>
        <w:spacing w:after="0" w:line="246" w:lineRule="auto"/>
        <w:tabs>
          <w:tab w:leader="none" w:pos="1657" w:val="left"/>
        </w:tabs>
        <w:numPr>
          <w:ilvl w:val="1"/>
          <w:numId w:val="845"/>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39.7</w:t>
      </w:r>
      <w:r>
        <w:rPr>
          <w:sz w:val="20"/>
          <w:szCs w:val="20"/>
          <w:color w:val="auto"/>
        </w:rPr>
        <w:tab/>
      </w:r>
      <w:r>
        <w:rPr>
          <w:rFonts w:ascii="Arial" w:cs="Arial" w:eastAsia="Arial" w:hAnsi="Arial"/>
          <w:sz w:val="17"/>
          <w:szCs w:val="17"/>
          <w:b w:val="1"/>
          <w:bCs w:val="1"/>
          <w:color w:val="auto"/>
        </w:rPr>
        <w:t>Communication with Agent when Agent is Impaired Agent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5" w:name="page316"/>
    <w:bookmarkEnd w:id="315"/>
    <w:p>
      <w:pPr>
        <w:jc w:val="both"/>
        <w:ind w:left="520"/>
        <w:spacing w:after="0" w:line="246" w:lineRule="auto"/>
        <w:rPr>
          <w:sz w:val="20"/>
          <w:szCs w:val="20"/>
          <w:color w:val="auto"/>
        </w:rPr>
      </w:pPr>
      <w:r>
        <w:rPr>
          <w:rFonts w:ascii="Arial" w:cs="Arial" w:eastAsia="Arial" w:hAnsi="Arial"/>
          <w:sz w:val="18"/>
          <w:szCs w:val="18"/>
          <w:color w:val="auto"/>
        </w:rPr>
        <w:t>notices to be given to or by the Agent shall be varied so that communications may be made and notices given to or by the relevant parties directly. This provision shall not operate after a replacement Agent has been appointed.</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40 Calculations and certificates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7"/>
          <w:szCs w:val="17"/>
          <w:b w:val="1"/>
          <w:bCs w:val="1"/>
          <w:color w:val="auto"/>
        </w:rPr>
        <w:t>Accounts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7"/>
          <w:szCs w:val="17"/>
          <w:b w:val="1"/>
          <w:bCs w:val="1"/>
          <w:color w:val="auto"/>
        </w:rPr>
        <w:t>Certificates and determinations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7"/>
          <w:szCs w:val="17"/>
          <w:b w:val="1"/>
          <w:bCs w:val="1"/>
          <w:color w:val="auto"/>
        </w:rPr>
        <w:t>Day count convention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interest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41 Partial invalidity</w:t>
      </w:r>
    </w:p>
    <w:p>
      <w:pPr>
        <w:spacing w:after="0" w:line="238"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42 Remedies and waivers</w:t>
      </w:r>
    </w:p>
    <w:p>
      <w:pPr>
        <w:spacing w:after="0" w:line="238"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43 Amendments and grant of waivers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Required consents</w:t>
      </w:r>
    </w:p>
    <w:p>
      <w:pPr>
        <w:spacing w:after="0" w:line="216" w:lineRule="exact"/>
        <w:rPr>
          <w:sz w:val="20"/>
          <w:szCs w:val="20"/>
          <w:color w:val="auto"/>
        </w:rPr>
      </w:pPr>
    </w:p>
    <w:p>
      <w:pPr>
        <w:jc w:val="both"/>
        <w:ind w:left="1020" w:hanging="512"/>
        <w:spacing w:after="0" w:line="245" w:lineRule="auto"/>
        <w:tabs>
          <w:tab w:leader="none" w:pos="1025" w:val="left"/>
        </w:tabs>
        <w:numPr>
          <w:ilvl w:val="0"/>
          <w:numId w:val="846"/>
        </w:numPr>
        <w:rPr>
          <w:rFonts w:ascii="Arial" w:cs="Arial" w:eastAsia="Arial" w:hAnsi="Arial"/>
          <w:sz w:val="18"/>
          <w:szCs w:val="18"/>
          <w:color w:val="auto"/>
        </w:rPr>
      </w:pPr>
      <w:r>
        <w:rPr>
          <w:rFonts w:ascii="Arial" w:cs="Arial" w:eastAsia="Arial" w:hAnsi="Arial"/>
          <w:sz w:val="18"/>
          <w:szCs w:val="18"/>
          <w:color w:val="auto"/>
        </w:rPr>
        <w:t>Subject to clauses 43.2 (</w:t>
      </w:r>
      <w:r>
        <w:rPr>
          <w:rFonts w:ascii="Arial" w:cs="Arial" w:eastAsia="Arial" w:hAnsi="Arial"/>
          <w:sz w:val="18"/>
          <w:szCs w:val="18"/>
          <w:i w:val="1"/>
          <w:iCs w:val="1"/>
          <w:color w:val="auto"/>
        </w:rPr>
        <w:t>All Lender matters</w:t>
      </w:r>
      <w:r>
        <w:rPr>
          <w:rFonts w:ascii="Arial" w:cs="Arial" w:eastAsia="Arial" w:hAnsi="Arial"/>
          <w:sz w:val="18"/>
          <w:szCs w:val="18"/>
          <w:color w:val="auto"/>
        </w:rPr>
        <w:t>) and 43.3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 amendment or waiver agreed or given by the Agent will be binding on all the Finance Parties.</w:t>
      </w:r>
    </w:p>
    <w:p>
      <w:pPr>
        <w:spacing w:after="0" w:line="198" w:lineRule="exact"/>
        <w:rPr>
          <w:rFonts w:ascii="Arial" w:cs="Arial" w:eastAsia="Arial" w:hAnsi="Arial"/>
          <w:sz w:val="18"/>
          <w:szCs w:val="18"/>
          <w:color w:val="auto"/>
        </w:rPr>
      </w:pPr>
    </w:p>
    <w:p>
      <w:pPr>
        <w:ind w:left="1020" w:hanging="512"/>
        <w:spacing w:after="0" w:line="246" w:lineRule="auto"/>
        <w:tabs>
          <w:tab w:leader="none" w:pos="1039" w:val="left"/>
        </w:tabs>
        <w:numPr>
          <w:ilvl w:val="0"/>
          <w:numId w:val="846"/>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43.</w:t>
      </w:r>
    </w:p>
    <w:p>
      <w:pPr>
        <w:spacing w:after="0" w:line="178" w:lineRule="exact"/>
        <w:rPr>
          <w:rFonts w:ascii="Arial" w:cs="Arial" w:eastAsia="Arial" w:hAnsi="Arial"/>
          <w:sz w:val="18"/>
          <w:szCs w:val="18"/>
          <w:color w:val="auto"/>
        </w:rPr>
      </w:pPr>
    </w:p>
    <w:p>
      <w:pPr>
        <w:ind w:left="1020" w:right="20" w:hanging="512"/>
        <w:spacing w:after="0" w:line="267" w:lineRule="auto"/>
        <w:tabs>
          <w:tab w:leader="none" w:pos="1164" w:val="left"/>
        </w:tabs>
        <w:numPr>
          <w:ilvl w:val="0"/>
          <w:numId w:val="846"/>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34.7(c), 34.7(d) and 34.7(e) of clause 34.7 </w:t>
      </w:r>
      <w:r>
        <w:rPr>
          <w:rFonts w:ascii="Arial" w:cs="Arial" w:eastAsia="Arial" w:hAnsi="Arial"/>
          <w:sz w:val="18"/>
          <w:szCs w:val="18"/>
          <w:i w:val="1"/>
          <w:iCs w:val="1"/>
          <w:color w:val="auto"/>
        </w:rPr>
        <w:t>(Rights and discretions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the Agent may engage, pay for and rely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6" w:name="page317"/>
    <w:bookmarkEnd w:id="316"/>
    <w:p>
      <w:pPr>
        <w:ind w:left="1040"/>
        <w:spacing w:after="0" w:line="246" w:lineRule="auto"/>
        <w:rPr>
          <w:sz w:val="20"/>
          <w:szCs w:val="20"/>
          <w:color w:val="auto"/>
        </w:rPr>
      </w:pPr>
      <w:r>
        <w:rPr>
          <w:rFonts w:ascii="Arial" w:cs="Arial" w:eastAsia="Arial" w:hAnsi="Arial"/>
          <w:sz w:val="18"/>
          <w:szCs w:val="18"/>
          <w:color w:val="auto"/>
        </w:rPr>
        <w:t>on the services of lawyers in determining the consent level required for and effecting any amendment, waiver or consent under this Agreement.</w:t>
      </w:r>
    </w:p>
    <w:p>
      <w:pPr>
        <w:spacing w:after="0" w:line="197" w:lineRule="exact"/>
        <w:rPr>
          <w:sz w:val="20"/>
          <w:szCs w:val="20"/>
          <w:color w:val="auto"/>
        </w:rPr>
      </w:pPr>
    </w:p>
    <w:p>
      <w:pPr>
        <w:ind w:left="1020" w:hanging="512"/>
        <w:spacing w:after="0" w:line="246" w:lineRule="auto"/>
        <w:tabs>
          <w:tab w:leader="none" w:pos="1093" w:val="left"/>
        </w:tabs>
        <w:numPr>
          <w:ilvl w:val="0"/>
          <w:numId w:val="847"/>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43 which is agreed to by the Borrowers. This includes any amendment or waiver which would, but for this clause 43.1(d), require the consent of the Parent.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All Lender matters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79" w:lineRule="exact"/>
        <w:rPr>
          <w:sz w:val="20"/>
          <w:szCs w:val="20"/>
          <w:color w:val="auto"/>
        </w:rPr>
      </w:pPr>
    </w:p>
    <w:p>
      <w:pPr>
        <w:ind w:left="1040" w:hanging="532"/>
        <w:spacing w:after="0"/>
        <w:tabs>
          <w:tab w:leader="none" w:pos="10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40" w:hanging="532"/>
        <w:spacing w:after="0"/>
        <w:tabs>
          <w:tab w:leader="none" w:pos="10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11" w:lineRule="exact"/>
        <w:rPr>
          <w:rFonts w:ascii="Arial" w:cs="Arial" w:eastAsia="Arial" w:hAnsi="Arial"/>
          <w:sz w:val="18"/>
          <w:szCs w:val="18"/>
          <w:color w:val="auto"/>
        </w:rPr>
      </w:pPr>
    </w:p>
    <w:p>
      <w:pPr>
        <w:ind w:left="1020" w:hanging="512"/>
        <w:spacing w:after="0" w:line="246" w:lineRule="auto"/>
        <w:tabs>
          <w:tab w:leader="none" w:pos="1066" w:val="left"/>
        </w:tabs>
        <w:numPr>
          <w:ilvl w:val="0"/>
          <w:numId w:val="848"/>
        </w:numPr>
        <w:rPr>
          <w:rFonts w:ascii="Arial" w:cs="Arial" w:eastAsia="Arial" w:hAnsi="Arial"/>
          <w:sz w:val="18"/>
          <w:szCs w:val="18"/>
          <w:color w:val="auto"/>
        </w:rPr>
      </w:pPr>
      <w:r>
        <w:rPr>
          <w:rFonts w:ascii="Arial" w:cs="Arial" w:eastAsia="Arial" w:hAnsi="Arial"/>
          <w:sz w:val="18"/>
          <w:szCs w:val="18"/>
          <w:color w:val="auto"/>
        </w:rPr>
        <w:t>a reduction in the Margin or, as the case may be, the New Margin (following the relevant Margin Reset Date), or a reduction in the amount of any payment of principal, interest or fees payable or the rate at which they are calculated;</w:t>
      </w:r>
    </w:p>
    <w:p>
      <w:pPr>
        <w:spacing w:after="0" w:line="196" w:lineRule="exact"/>
        <w:rPr>
          <w:rFonts w:ascii="Arial" w:cs="Arial" w:eastAsia="Arial" w:hAnsi="Arial"/>
          <w:sz w:val="18"/>
          <w:szCs w:val="18"/>
          <w:color w:val="auto"/>
        </w:rPr>
      </w:pPr>
    </w:p>
    <w:p>
      <w:pPr>
        <w:jc w:val="both"/>
        <w:ind w:left="1020" w:hanging="512"/>
        <w:spacing w:after="0"/>
        <w:tabs>
          <w:tab w:leader="none" w:pos="1189" w:val="left"/>
        </w:tabs>
        <w:numPr>
          <w:ilvl w:val="0"/>
          <w:numId w:val="848"/>
        </w:numPr>
        <w:rPr>
          <w:rFonts w:ascii="Arial" w:cs="Arial" w:eastAsia="Arial" w:hAnsi="Arial"/>
          <w:sz w:val="18"/>
          <w:szCs w:val="18"/>
          <w:color w:val="auto"/>
        </w:rPr>
      </w:pPr>
      <w:r>
        <w:rPr>
          <w:rFonts w:ascii="Arial" w:cs="Arial" w:eastAsia="Arial" w:hAnsi="Arial"/>
          <w:sz w:val="18"/>
          <w:szCs w:val="18"/>
          <w:color w:val="auto"/>
        </w:rPr>
        <w:t>save as permitted under this Agreement an increase in, or extension of, any Commitment, Ship Commitments or the Total Commitments, an extension of any period within which the Facility is available for Utilisation or any requirement that a cancellation of Commitments reduces the Commitments of the Lenders pro rata;</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193" w:lineRule="exact"/>
        <w:rPr>
          <w:rFonts w:ascii="Arial" w:cs="Arial" w:eastAsia="Arial" w:hAnsi="Arial"/>
          <w:sz w:val="18"/>
          <w:szCs w:val="18"/>
          <w:color w:val="auto"/>
        </w:rPr>
      </w:pPr>
    </w:p>
    <w:p>
      <w:pPr>
        <w:jc w:val="both"/>
        <w:ind w:left="1020" w:hanging="512"/>
        <w:spacing w:after="0" w:line="245" w:lineRule="auto"/>
        <w:tabs>
          <w:tab w:leader="none" w:pos="1314" w:val="left"/>
        </w:tabs>
        <w:numPr>
          <w:ilvl w:val="0"/>
          <w:numId w:val="848"/>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clause 18.32 (</w:t>
      </w:r>
      <w:r>
        <w:rPr>
          <w:rFonts w:ascii="Arial" w:cs="Arial" w:eastAsia="Arial" w:hAnsi="Arial"/>
          <w:sz w:val="18"/>
          <w:szCs w:val="18"/>
          <w:i w:val="1"/>
          <w:iCs w:val="1"/>
          <w:color w:val="auto"/>
        </w:rPr>
        <w:t>Sanctions</w:t>
      </w:r>
      <w:r>
        <w:rPr>
          <w:rFonts w:ascii="Arial" w:cs="Arial" w:eastAsia="Arial" w:hAnsi="Arial"/>
          <w:sz w:val="18"/>
          <w:szCs w:val="18"/>
          <w:color w:val="auto"/>
        </w:rPr>
        <w:t>), clause 21.11 (</w:t>
      </w:r>
      <w:r>
        <w:rPr>
          <w:rFonts w:ascii="Arial" w:cs="Arial" w:eastAsia="Arial" w:hAnsi="Arial"/>
          <w:sz w:val="18"/>
          <w:szCs w:val="18"/>
          <w:i w:val="1"/>
          <w:iCs w:val="1"/>
          <w:color w:val="auto"/>
        </w:rPr>
        <w:t>Sanctions</w:t>
      </w:r>
      <w:r>
        <w:rPr>
          <w:rFonts w:ascii="Arial" w:cs="Arial" w:eastAsia="Arial" w:hAnsi="Arial"/>
          <w:sz w:val="18"/>
          <w:szCs w:val="18"/>
          <w:color w:val="auto"/>
        </w:rPr>
        <w:t>),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36.1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 this clause 43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 clause 46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47.1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020" w:hanging="512"/>
        <w:spacing w:after="0"/>
        <w:tabs>
          <w:tab w:leader="none" w:pos="10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order of distribution under clause 37.5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order of distribution under clause 34.24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20" w:hanging="512"/>
        <w:spacing w:after="0"/>
        <w:tabs>
          <w:tab w:leader="none" w:pos="102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211" w:lineRule="exact"/>
        <w:rPr>
          <w:rFonts w:ascii="Arial" w:cs="Arial" w:eastAsia="Arial" w:hAnsi="Arial"/>
          <w:sz w:val="18"/>
          <w:szCs w:val="18"/>
          <w:color w:val="auto"/>
        </w:rPr>
      </w:pPr>
    </w:p>
    <w:p>
      <w:pPr>
        <w:ind w:left="1020" w:hanging="512"/>
        <w:spacing w:after="0" w:line="246" w:lineRule="auto"/>
        <w:tabs>
          <w:tab w:leader="none" w:pos="1104"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nature or scope of the Charged Property or the manner in which the proceeds of enforcement of the Security Documents are distributed;</w:t>
      </w:r>
    </w:p>
    <w:p>
      <w:pPr>
        <w:spacing w:after="0" w:line="178" w:lineRule="exact"/>
        <w:rPr>
          <w:rFonts w:ascii="Arial" w:cs="Arial" w:eastAsia="Arial" w:hAnsi="Arial"/>
          <w:sz w:val="18"/>
          <w:szCs w:val="18"/>
          <w:color w:val="auto"/>
        </w:rPr>
      </w:pPr>
    </w:p>
    <w:p>
      <w:pPr>
        <w:ind w:left="1040" w:hanging="532"/>
        <w:spacing w:after="0"/>
        <w:tabs>
          <w:tab w:leader="none" w:pos="104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29" w:lineRule="exact"/>
        <w:rPr>
          <w:rFonts w:ascii="Arial" w:cs="Arial" w:eastAsia="Arial" w:hAnsi="Arial"/>
          <w:sz w:val="18"/>
          <w:szCs w:val="18"/>
          <w:color w:val="auto"/>
        </w:rPr>
      </w:pPr>
    </w:p>
    <w:p>
      <w:pPr>
        <w:ind w:left="1020" w:right="20" w:hanging="512"/>
        <w:spacing w:after="0" w:line="246" w:lineRule="auto"/>
        <w:tabs>
          <w:tab w:leader="none" w:pos="1201"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(including the Guarantee) are permitted or required to be released under any of the Finance Documents,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Other exceptions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7" w:name="page318"/>
    <w:bookmarkEnd w:id="317"/>
    <w:p>
      <w:pPr>
        <w:ind w:left="1040" w:hanging="532"/>
        <w:spacing w:after="0"/>
        <w:tabs>
          <w:tab w:leader="none" w:pos="104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Amendments to or waivers in respect of the Hedging Contracts may only be agreed by the relevant Hedging Provider.</w:t>
      </w:r>
    </w:p>
    <w:p>
      <w:pPr>
        <w:spacing w:after="0" w:line="211" w:lineRule="exact"/>
        <w:rPr>
          <w:rFonts w:ascii="Arial" w:cs="Arial" w:eastAsia="Arial" w:hAnsi="Arial"/>
          <w:sz w:val="18"/>
          <w:szCs w:val="18"/>
          <w:color w:val="auto"/>
        </w:rPr>
      </w:pPr>
    </w:p>
    <w:p>
      <w:pPr>
        <w:jc w:val="both"/>
        <w:ind w:left="1020" w:hanging="512"/>
        <w:spacing w:after="0"/>
        <w:tabs>
          <w:tab w:leader="none" w:pos="1039" w:val="left"/>
        </w:tabs>
        <w:numPr>
          <w:ilvl w:val="0"/>
          <w:numId w:val="849"/>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any Hedging Provider or the Arrangers in their respective capacities as such (and not just as a Lender) may not be effected without the consent of the Agent, the Security Agent, the relevant Hedging Provider or the Arrangers (as the case may be).</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193" w:lineRule="exact"/>
        <w:rPr>
          <w:rFonts w:ascii="Arial" w:cs="Arial" w:eastAsia="Arial" w:hAnsi="Arial"/>
          <w:sz w:val="18"/>
          <w:szCs w:val="18"/>
          <w:color w:val="auto"/>
        </w:rPr>
      </w:pPr>
    </w:p>
    <w:p>
      <w:pPr>
        <w:jc w:val="both"/>
        <w:ind w:left="1020" w:hanging="512"/>
        <w:spacing w:after="0" w:line="245" w:lineRule="auto"/>
        <w:tabs>
          <w:tab w:leader="none" w:pos="1028" w:val="left"/>
        </w:tabs>
        <w:numPr>
          <w:ilvl w:val="0"/>
          <w:numId w:val="849"/>
        </w:numPr>
        <w:rPr>
          <w:rFonts w:ascii="Arial" w:cs="Arial" w:eastAsia="Arial" w:hAnsi="Arial"/>
          <w:sz w:val="18"/>
          <w:szCs w:val="18"/>
          <w:color w:val="auto"/>
        </w:rPr>
      </w:pPr>
      <w:r>
        <w:rPr>
          <w:rFonts w:ascii="Arial" w:cs="Arial" w:eastAsia="Arial" w:hAnsi="Arial"/>
          <w:sz w:val="18"/>
          <w:szCs w:val="18"/>
          <w:color w:val="auto"/>
        </w:rPr>
        <w:t>Notwithstanding clauses 43.1 (</w:t>
      </w:r>
      <w:r>
        <w:rPr>
          <w:rFonts w:ascii="Arial" w:cs="Arial" w:eastAsia="Arial" w:hAnsi="Arial"/>
          <w:sz w:val="18"/>
          <w:szCs w:val="18"/>
          <w:i w:val="1"/>
          <w:iCs w:val="1"/>
          <w:color w:val="auto"/>
        </w:rPr>
        <w:t>Required consents</w:t>
      </w:r>
      <w:r>
        <w:rPr>
          <w:rFonts w:ascii="Arial" w:cs="Arial" w:eastAsia="Arial" w:hAnsi="Arial"/>
          <w:sz w:val="18"/>
          <w:szCs w:val="18"/>
          <w:color w:val="auto"/>
        </w:rPr>
        <w:t>), 43.2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and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7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Disenfranchisement of Defaulting Lenders</w:t>
      </w:r>
    </w:p>
    <w:p>
      <w:pPr>
        <w:spacing w:after="0" w:line="234" w:lineRule="exact"/>
        <w:rPr>
          <w:sz w:val="20"/>
          <w:szCs w:val="20"/>
          <w:color w:val="auto"/>
        </w:rPr>
      </w:pPr>
    </w:p>
    <w:p>
      <w:pPr>
        <w:jc w:val="both"/>
        <w:ind w:left="1020" w:hanging="512"/>
        <w:spacing w:after="0" w:line="234" w:lineRule="auto"/>
        <w:tabs>
          <w:tab w:leader="none" w:pos="1187" w:val="left"/>
        </w:tabs>
        <w:numPr>
          <w:ilvl w:val="0"/>
          <w:numId w:val="850"/>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 (i) the Majority Lenders or (ii) whether any given percentage (including, for the avoidance of doubt, unanimity) of the Total Commitments, or the agreement of any specified group of Lenders (whether Majority Lenders, all Lenders or otherwise), has been obtained to approve any 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Loan, that Defaulting Lender shall be deemed not to be a Lender for the purposes paragraphs</w:t>
      </w:r>
    </w:p>
    <w:p>
      <w:pPr>
        <w:spacing w:after="0" w:line="4" w:lineRule="exact"/>
        <w:rPr>
          <w:rFonts w:ascii="Arial" w:cs="Arial" w:eastAsia="Arial" w:hAnsi="Arial"/>
          <w:sz w:val="18"/>
          <w:szCs w:val="18"/>
          <w:color w:val="auto"/>
        </w:rPr>
      </w:pPr>
    </w:p>
    <w:p>
      <w:pPr>
        <w:ind w:left="1240" w:hanging="211"/>
        <w:spacing w:after="0"/>
        <w:tabs>
          <w:tab w:leader="none" w:pos="1240" w:val="left"/>
        </w:tabs>
        <w:numPr>
          <w:ilvl w:val="1"/>
          <w:numId w:val="850"/>
        </w:numPr>
        <w:rPr>
          <w:rFonts w:ascii="Arial" w:cs="Arial" w:eastAsia="Arial" w:hAnsi="Arial"/>
          <w:sz w:val="18"/>
          <w:szCs w:val="18"/>
          <w:color w:val="auto"/>
        </w:rPr>
      </w:pPr>
      <w:r>
        <w:rPr>
          <w:rFonts w:ascii="Arial" w:cs="Arial" w:eastAsia="Arial" w:hAnsi="Arial"/>
          <w:sz w:val="18"/>
          <w:szCs w:val="18"/>
          <w:color w:val="auto"/>
        </w:rPr>
        <w:t>and (ii) above.</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For the purposes of this clause 43.4, the Agent may assume that the following Lenders are Defaulting Lenders: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50"/>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207" w:lineRule="exact"/>
        <w:rPr>
          <w:rFonts w:ascii="Arial" w:cs="Arial" w:eastAsia="Arial" w:hAnsi="Arial"/>
          <w:sz w:val="18"/>
          <w:szCs w:val="18"/>
          <w:color w:val="auto"/>
        </w:rPr>
      </w:pPr>
    </w:p>
    <w:p>
      <w:pPr>
        <w:ind w:left="1620" w:hanging="591"/>
        <w:spacing w:after="0"/>
        <w:tabs>
          <w:tab w:leader="none" w:pos="1620" w:val="left"/>
        </w:tabs>
        <w:numPr>
          <w:ilvl w:val="1"/>
          <w:numId w:val="850"/>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w:t>
      </w:r>
    </w:p>
    <w:p>
      <w:pPr>
        <w:jc w:val="both"/>
        <w:ind w:left="1540" w:hanging="1"/>
        <w:spacing w:after="0"/>
        <w:tabs>
          <w:tab w:leader="none" w:pos="1824" w:val="left"/>
        </w:tabs>
        <w:numPr>
          <w:ilvl w:val="2"/>
          <w:numId w:val="850"/>
        </w:numPr>
        <w:rPr>
          <w:rFonts w:ascii="Arial" w:cs="Arial" w:eastAsia="Arial" w:hAnsi="Arial"/>
          <w:sz w:val="18"/>
          <w:szCs w:val="18"/>
          <w:color w:val="auto"/>
        </w:rPr>
      </w:pPr>
      <w:r>
        <w:rPr>
          <w:rFonts w:ascii="Arial" w:cs="Arial" w:eastAsia="Arial" w:hAnsi="Arial"/>
          <w:sz w:val="18"/>
          <w:szCs w:val="18"/>
          <w:color w:val="auto"/>
        </w:rPr>
        <w:t xml:space="preserve">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Replacement of a Defaulting Lender</w:t>
      </w:r>
    </w:p>
    <w:p>
      <w:pPr>
        <w:spacing w:after="0" w:line="234" w:lineRule="exact"/>
        <w:rPr>
          <w:sz w:val="20"/>
          <w:szCs w:val="20"/>
          <w:color w:val="auto"/>
        </w:rPr>
      </w:pPr>
    </w:p>
    <w:p>
      <w:pPr>
        <w:jc w:val="both"/>
        <w:ind w:left="1020" w:hanging="512"/>
        <w:spacing w:after="0" w:line="236" w:lineRule="auto"/>
        <w:tabs>
          <w:tab w:leader="none" w:pos="112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The Borrowers may, at any time a Lender has become and continues to be a Defaulting Lender, by giving ten (10) Business Days’ prior written notice to the Agent and such Lender replace such Lender by requiring such Lender to (and, to the extent permitted by law such Lender shall) transfer pursuant to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 xml:space="preserve">) all (and not part only) of its rights and obligations under this Agreement to a Lender or other bank, financial institution, trust, fund or other entity (a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selected by the Borrowers, and which (unless the Agent is an Impaired Agent) is acceptable to the Agent (acting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8" w:name="page319"/>
    <w:bookmarkEnd w:id="318"/>
    <w:p>
      <w:pPr>
        <w:ind w:left="1040"/>
        <w:spacing w:after="0" w:line="246" w:lineRule="auto"/>
        <w:rPr>
          <w:sz w:val="20"/>
          <w:szCs w:val="20"/>
          <w:color w:val="auto"/>
        </w:rPr>
      </w:pPr>
      <w:r>
        <w:rPr>
          <w:rFonts w:ascii="Arial" w:cs="Arial" w:eastAsia="Arial" w:hAnsi="Arial"/>
          <w:sz w:val="18"/>
          <w:szCs w:val="18"/>
          <w:color w:val="auto"/>
        </w:rPr>
        <w:t>amounts payable in relation thereto under the Finance Documents (or at any other purchase price approved by all of the other Lenders who are not Defaulting Lenders at the time).</w:t>
      </w:r>
    </w:p>
    <w:p>
      <w:pPr>
        <w:spacing w:after="0" w:line="197" w:lineRule="exact"/>
        <w:rPr>
          <w:sz w:val="20"/>
          <w:szCs w:val="20"/>
          <w:color w:val="auto"/>
        </w:rPr>
      </w:pPr>
    </w:p>
    <w:p>
      <w:pPr>
        <w:ind w:left="1040" w:hanging="532"/>
        <w:spacing w:after="0"/>
        <w:tabs>
          <w:tab w:leader="none" w:pos="104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52"/>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 or the Security Agent;</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52"/>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Borrowers to find a Replacement Lender;</w:t>
      </w:r>
    </w:p>
    <w:p>
      <w:pPr>
        <w:spacing w:after="0" w:line="211" w:lineRule="exact"/>
        <w:rPr>
          <w:rFonts w:ascii="Arial" w:cs="Arial" w:eastAsia="Arial" w:hAnsi="Arial"/>
          <w:sz w:val="18"/>
          <w:szCs w:val="18"/>
          <w:color w:val="auto"/>
        </w:rPr>
      </w:pPr>
    </w:p>
    <w:p>
      <w:pPr>
        <w:ind w:left="1540" w:hanging="511"/>
        <w:spacing w:after="0" w:line="246" w:lineRule="auto"/>
        <w:tabs>
          <w:tab w:leader="none" w:pos="1577" w:val="left"/>
        </w:tabs>
        <w:numPr>
          <w:ilvl w:val="1"/>
          <w:numId w:val="852"/>
        </w:numPr>
        <w:rPr>
          <w:rFonts w:ascii="Arial" w:cs="Arial" w:eastAsia="Arial" w:hAnsi="Arial"/>
          <w:sz w:val="18"/>
          <w:szCs w:val="18"/>
          <w:color w:val="auto"/>
        </w:rPr>
      </w:pPr>
      <w:r>
        <w:rPr>
          <w:rFonts w:ascii="Arial" w:cs="Arial" w:eastAsia="Arial" w:hAnsi="Arial"/>
          <w:sz w:val="18"/>
          <w:szCs w:val="18"/>
          <w:color w:val="auto"/>
        </w:rPr>
        <w:t>the transfer must take place no later than fourteen (14) days after the notice referred to in clause 43.5(a) above (or such other longer period as agreed by the Majority Lenders); and</w:t>
      </w:r>
    </w:p>
    <w:p>
      <w:pPr>
        <w:spacing w:after="0" w:line="196" w:lineRule="exact"/>
        <w:rPr>
          <w:rFonts w:ascii="Arial" w:cs="Arial" w:eastAsia="Arial" w:hAnsi="Arial"/>
          <w:sz w:val="18"/>
          <w:szCs w:val="18"/>
          <w:color w:val="auto"/>
        </w:rPr>
      </w:pPr>
    </w:p>
    <w:p>
      <w:pPr>
        <w:ind w:left="1540" w:hanging="511"/>
        <w:spacing w:after="0" w:line="246" w:lineRule="auto"/>
        <w:tabs>
          <w:tab w:leader="none" w:pos="1709" w:val="left"/>
        </w:tabs>
        <w:numPr>
          <w:ilvl w:val="1"/>
          <w:numId w:val="852"/>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Excluded Commitments; “Snooze you lose”</w:t>
      </w:r>
    </w:p>
    <w:p>
      <w:pPr>
        <w:spacing w:after="0" w:line="234" w:lineRule="exact"/>
        <w:rPr>
          <w:sz w:val="20"/>
          <w:szCs w:val="20"/>
          <w:color w:val="auto"/>
        </w:rPr>
      </w:pPr>
    </w:p>
    <w:p>
      <w:pPr>
        <w:jc w:val="both"/>
        <w:ind w:left="1020" w:hanging="512"/>
        <w:spacing w:after="0"/>
        <w:tabs>
          <w:tab w:leader="none" w:pos="116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thirty (30) days of that request being made (unless the Borrowers and the Agent agree to a longer time period in relation to any request):</w:t>
      </w:r>
    </w:p>
    <w:p>
      <w:pPr>
        <w:spacing w:after="0" w:line="202" w:lineRule="exact"/>
        <w:rPr>
          <w:rFonts w:ascii="Arial" w:cs="Arial" w:eastAsia="Arial" w:hAnsi="Arial"/>
          <w:sz w:val="18"/>
          <w:szCs w:val="18"/>
          <w:color w:val="auto"/>
        </w:rPr>
      </w:pPr>
    </w:p>
    <w:p>
      <w:pPr>
        <w:jc w:val="both"/>
        <w:ind w:left="1540" w:hanging="511"/>
        <w:spacing w:after="0"/>
        <w:tabs>
          <w:tab w:leader="none" w:pos="1533" w:val="left"/>
        </w:tabs>
        <w:numPr>
          <w:ilvl w:val="1"/>
          <w:numId w:val="853"/>
        </w:numPr>
        <w:rPr>
          <w:rFonts w:ascii="Arial" w:cs="Arial" w:eastAsia="Arial" w:hAnsi="Arial"/>
          <w:sz w:val="18"/>
          <w:szCs w:val="18"/>
          <w:color w:val="auto"/>
        </w:rPr>
      </w:pPr>
      <w:r>
        <w:rPr>
          <w:rFonts w:ascii="Arial" w:cs="Arial" w:eastAsia="Arial" w:hAnsi="Arial"/>
          <w:sz w:val="18"/>
          <w:szCs w:val="18"/>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202" w:lineRule="exact"/>
        <w:rPr>
          <w:rFonts w:ascii="Arial" w:cs="Arial" w:eastAsia="Arial" w:hAnsi="Arial"/>
          <w:sz w:val="18"/>
          <w:szCs w:val="18"/>
          <w:color w:val="auto"/>
        </w:rPr>
      </w:pPr>
    </w:p>
    <w:p>
      <w:pPr>
        <w:ind w:left="1540" w:right="20" w:hanging="511"/>
        <w:spacing w:after="0" w:line="246" w:lineRule="auto"/>
        <w:tabs>
          <w:tab w:leader="none" w:pos="1562" w:val="left"/>
        </w:tabs>
        <w:numPr>
          <w:ilvl w:val="1"/>
          <w:numId w:val="853"/>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96" w:lineRule="exact"/>
        <w:rPr>
          <w:rFonts w:ascii="Arial" w:cs="Arial" w:eastAsia="Arial" w:hAnsi="Arial"/>
          <w:sz w:val="18"/>
          <w:szCs w:val="18"/>
          <w:color w:val="auto"/>
        </w:rPr>
      </w:pPr>
    </w:p>
    <w:p>
      <w:pPr>
        <w:ind w:left="1020" w:hanging="512"/>
        <w:spacing w:after="0" w:line="246" w:lineRule="auto"/>
        <w:tabs>
          <w:tab w:leader="none" w:pos="112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If any Lender that is not a Defaulting Lender fails to respond to a Relevant Request within thirty (30) days from the Relevant Date (unless the Borrowers and the Agent agree to a longer time period in relation to any Relevant Request):</w:t>
      </w:r>
    </w:p>
    <w:p>
      <w:pPr>
        <w:spacing w:after="0" w:line="196" w:lineRule="exact"/>
        <w:rPr>
          <w:rFonts w:ascii="Arial" w:cs="Arial" w:eastAsia="Arial" w:hAnsi="Arial"/>
          <w:sz w:val="18"/>
          <w:szCs w:val="18"/>
          <w:color w:val="auto"/>
        </w:rPr>
      </w:pPr>
    </w:p>
    <w:p>
      <w:pPr>
        <w:jc w:val="both"/>
        <w:ind w:left="1540" w:hanging="511"/>
        <w:spacing w:after="0"/>
        <w:tabs>
          <w:tab w:leader="none" w:pos="1533" w:val="left"/>
        </w:tabs>
        <w:numPr>
          <w:ilvl w:val="1"/>
          <w:numId w:val="853"/>
        </w:numPr>
        <w:rPr>
          <w:rFonts w:ascii="Arial" w:cs="Arial" w:eastAsia="Arial" w:hAnsi="Arial"/>
          <w:sz w:val="18"/>
          <w:szCs w:val="18"/>
          <w:color w:val="auto"/>
        </w:rPr>
      </w:pPr>
      <w:r>
        <w:rPr>
          <w:rFonts w:ascii="Arial" w:cs="Arial" w:eastAsia="Arial" w:hAnsi="Arial"/>
          <w:sz w:val="18"/>
          <w:szCs w:val="18"/>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202" w:lineRule="exact"/>
        <w:rPr>
          <w:rFonts w:ascii="Arial" w:cs="Arial" w:eastAsia="Arial" w:hAnsi="Arial"/>
          <w:sz w:val="18"/>
          <w:szCs w:val="18"/>
          <w:color w:val="auto"/>
        </w:rPr>
      </w:pPr>
    </w:p>
    <w:p>
      <w:pPr>
        <w:ind w:left="1540" w:right="20" w:hanging="511"/>
        <w:spacing w:after="0" w:line="246" w:lineRule="auto"/>
        <w:tabs>
          <w:tab w:leader="none" w:pos="1562" w:val="left"/>
        </w:tabs>
        <w:numPr>
          <w:ilvl w:val="1"/>
          <w:numId w:val="853"/>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purposes of this paragraph (b):</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later of</w:t>
      </w:r>
    </w:p>
    <w:p>
      <w:pPr>
        <w:spacing w:after="0" w:line="234" w:lineRule="exact"/>
        <w:rPr>
          <w:sz w:val="20"/>
          <w:szCs w:val="20"/>
          <w:color w:val="auto"/>
        </w:rPr>
      </w:pPr>
    </w:p>
    <w:p>
      <w:pPr>
        <w:ind w:left="1540" w:hanging="511"/>
        <w:spacing w:after="0"/>
        <w:tabs>
          <w:tab w:leader="none" w:pos="154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date on which a Relevant Request is made; and</w:t>
      </w:r>
    </w:p>
    <w:p>
      <w:pPr>
        <w:spacing w:after="0" w:line="211" w:lineRule="exact"/>
        <w:rPr>
          <w:rFonts w:ascii="Arial" w:cs="Arial" w:eastAsia="Arial" w:hAnsi="Arial"/>
          <w:sz w:val="18"/>
          <w:szCs w:val="18"/>
          <w:color w:val="auto"/>
        </w:rPr>
      </w:pPr>
    </w:p>
    <w:p>
      <w:pPr>
        <w:ind w:left="1540" w:right="20" w:hanging="511"/>
        <w:spacing w:after="0" w:line="246" w:lineRule="auto"/>
        <w:tabs>
          <w:tab w:leader="none" w:pos="1603" w:val="left"/>
        </w:tabs>
        <w:numPr>
          <w:ilvl w:val="0"/>
          <w:numId w:val="854"/>
        </w:numPr>
        <w:rPr>
          <w:rFonts w:ascii="Arial" w:cs="Arial" w:eastAsia="Arial" w:hAnsi="Arial"/>
          <w:sz w:val="18"/>
          <w:szCs w:val="18"/>
          <w:color w:val="auto"/>
        </w:rPr>
      </w:pPr>
      <w:r>
        <w:rPr>
          <w:rFonts w:ascii="Arial" w:cs="Arial" w:eastAsia="Arial" w:hAnsi="Arial"/>
          <w:sz w:val="18"/>
          <w:szCs w:val="18"/>
          <w:color w:val="auto"/>
        </w:rPr>
        <w:t>if the Agent determines (acting reasonably) that additional information or evidence are required for the Lenders to make an informed decision in respect of that Relevant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9" w:name="page320"/>
    <w:bookmarkEnd w:id="319"/>
    <w:p>
      <w:pPr>
        <w:ind w:left="1540"/>
        <w:spacing w:after="0" w:line="246" w:lineRule="auto"/>
        <w:rPr>
          <w:sz w:val="20"/>
          <w:szCs w:val="20"/>
          <w:color w:val="auto"/>
        </w:rPr>
      </w:pPr>
      <w:r>
        <w:rPr>
          <w:rFonts w:ascii="Arial" w:cs="Arial" w:eastAsia="Arial" w:hAnsi="Arial"/>
          <w:sz w:val="18"/>
          <w:szCs w:val="18"/>
          <w:color w:val="auto"/>
        </w:rPr>
        <w:t>Request, the date on which the Agent determines (acting reasonably) that it has been provided with all such information or evidence; and</w:t>
      </w:r>
    </w:p>
    <w:p>
      <w:pPr>
        <w:spacing w:after="0" w:line="175"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b w:val="1"/>
          <w:bCs w:val="1"/>
          <w:color w:val="auto"/>
        </w:rPr>
        <w:t xml:space="preserve">Relevant Request </w:t>
      </w:r>
      <w:r>
        <w:rPr>
          <w:rFonts w:ascii="Arial" w:cs="Arial" w:eastAsia="Arial" w:hAnsi="Arial"/>
          <w:sz w:val="18"/>
          <w:szCs w:val="18"/>
          <w:color w:val="auto"/>
        </w:rPr>
        <w:t>means a request for a consent, waiver, amendment of or in relation to any term of any Finance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vote of Lenders under the terms of this Agreement other than an amendment, waiver or consent referred to in clause 43.2 (</w:t>
      </w:r>
      <w:r>
        <w:rPr>
          <w:rFonts w:ascii="Arial" w:cs="Arial" w:eastAsia="Arial" w:hAnsi="Arial"/>
          <w:sz w:val="18"/>
          <w:szCs w:val="18"/>
          <w:i w:val="1"/>
          <w:iCs w:val="1"/>
          <w:color w:val="auto"/>
        </w:rPr>
        <w:t>All Lender matters</w:t>
      </w:r>
      <w:r>
        <w:rPr>
          <w:rFonts w:ascii="Arial" w:cs="Arial" w:eastAsia="Arial" w:hAnsi="Arial"/>
          <w:sz w:val="18"/>
          <w:szCs w:val="18"/>
          <w:color w:val="auto"/>
        </w:rPr>
        <w:t>) excluding paragraph (h) thereof.</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Releases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w:t>
      </w:r>
    </w:p>
    <w:p>
      <w:pPr>
        <w:ind w:left="520"/>
        <w:spacing w:after="0"/>
        <w:rPr>
          <w:sz w:val="20"/>
          <w:szCs w:val="20"/>
          <w:color w:val="auto"/>
        </w:rPr>
      </w:pPr>
      <w:r>
        <w:rPr>
          <w:rFonts w:ascii="Arial" w:cs="Arial" w:eastAsia="Arial" w:hAnsi="Arial"/>
          <w:sz w:val="18"/>
          <w:szCs w:val="18"/>
          <w:color w:val="auto"/>
        </w:rPr>
        <w:t>Agent shall not have authority to authorise the Security Agent to release:</w:t>
      </w:r>
    </w:p>
    <w:p>
      <w:pPr>
        <w:spacing w:after="0" w:line="212" w:lineRule="exact"/>
        <w:rPr>
          <w:sz w:val="20"/>
          <w:szCs w:val="20"/>
          <w:color w:val="auto"/>
        </w:rPr>
      </w:pPr>
    </w:p>
    <w:p>
      <w:pPr>
        <w:ind w:left="1040" w:hanging="532"/>
        <w:spacing w:after="0"/>
        <w:tabs>
          <w:tab w:leader="none" w:pos="104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55"/>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Replacement of Screen Rate</w:t>
      </w:r>
    </w:p>
    <w:p>
      <w:pPr>
        <w:spacing w:after="0" w:line="216" w:lineRule="exact"/>
        <w:rPr>
          <w:sz w:val="20"/>
          <w:szCs w:val="20"/>
          <w:color w:val="auto"/>
        </w:rPr>
      </w:pPr>
    </w:p>
    <w:p>
      <w:pPr>
        <w:ind w:left="520" w:right="20"/>
        <w:spacing w:after="0" w:line="267" w:lineRule="auto"/>
        <w:rPr>
          <w:sz w:val="20"/>
          <w:szCs w:val="20"/>
          <w:color w:val="auto"/>
        </w:rPr>
      </w:pPr>
      <w:r>
        <w:rPr>
          <w:rFonts w:ascii="Arial" w:cs="Arial" w:eastAsia="Arial" w:hAnsi="Arial"/>
          <w:sz w:val="18"/>
          <w:szCs w:val="18"/>
          <w:color w:val="auto"/>
        </w:rPr>
        <w:t>Subject to clause 43.3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w:t>
      </w:r>
    </w:p>
    <w:p>
      <w:pPr>
        <w:spacing w:after="0" w:line="178" w:lineRule="exact"/>
        <w:rPr>
          <w:sz w:val="20"/>
          <w:szCs w:val="20"/>
          <w:color w:val="auto"/>
        </w:rPr>
      </w:pPr>
    </w:p>
    <w:p>
      <w:pPr>
        <w:ind w:left="1040" w:hanging="532"/>
        <w:spacing w:after="0"/>
        <w:tabs>
          <w:tab w:leader="none" w:pos="10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211" w:lineRule="exact"/>
        <w:rPr>
          <w:rFonts w:ascii="Arial" w:cs="Arial" w:eastAsia="Arial" w:hAnsi="Arial"/>
          <w:sz w:val="18"/>
          <w:szCs w:val="18"/>
          <w:color w:val="auto"/>
        </w:rPr>
      </w:pPr>
    </w:p>
    <w:p>
      <w:pPr>
        <w:spacing w:after="0"/>
        <w:tabs>
          <w:tab w:leader="none" w:pos="0" w:val="left"/>
        </w:tabs>
        <w:numPr>
          <w:ilvl w:val="0"/>
          <w:numId w:val="856"/>
        </w:numPr>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56"/>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11" w:lineRule="exact"/>
        <w:rPr>
          <w:rFonts w:ascii="Arial" w:cs="Arial" w:eastAsia="Arial" w:hAnsi="Arial"/>
          <w:sz w:val="18"/>
          <w:szCs w:val="18"/>
          <w:color w:val="auto"/>
        </w:rPr>
      </w:pPr>
    </w:p>
    <w:p>
      <w:pPr>
        <w:jc w:val="both"/>
        <w:ind w:left="1540" w:hanging="511"/>
        <w:spacing w:after="0"/>
        <w:tabs>
          <w:tab w:leader="none" w:pos="1576" w:val="left"/>
        </w:tabs>
        <w:numPr>
          <w:ilvl w:val="1"/>
          <w:numId w:val="856"/>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856"/>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56"/>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11" w:lineRule="exact"/>
        <w:rPr>
          <w:rFonts w:ascii="Arial" w:cs="Arial" w:eastAsia="Arial" w:hAnsi="Arial"/>
          <w:sz w:val="18"/>
          <w:szCs w:val="18"/>
          <w:color w:val="auto"/>
        </w:rPr>
      </w:pPr>
    </w:p>
    <w:p>
      <w:pPr>
        <w:jc w:val="both"/>
        <w:ind w:left="1540" w:hanging="511"/>
        <w:spacing w:after="0" w:line="238" w:lineRule="auto"/>
        <w:tabs>
          <w:tab w:leader="none" w:pos="1559" w:val="left"/>
        </w:tabs>
        <w:numPr>
          <w:ilvl w:val="1"/>
          <w:numId w:val="856"/>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19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0" w:name="page321"/>
    <w:bookmarkEnd w:id="320"/>
    <w:p>
      <w:pPr>
        <w:ind w:left="540" w:hanging="532"/>
        <w:spacing w:after="0"/>
        <w:tabs>
          <w:tab w:leader="none" w:pos="54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211" w:lineRule="exact"/>
        <w:rPr>
          <w:rFonts w:ascii="Arial" w:cs="Arial" w:eastAsia="Arial" w:hAnsi="Arial"/>
          <w:sz w:val="18"/>
          <w:szCs w:val="18"/>
          <w:color w:val="auto"/>
        </w:rPr>
      </w:pPr>
    </w:p>
    <w:p>
      <w:pPr>
        <w:ind w:left="1040" w:hanging="511"/>
        <w:spacing w:after="0"/>
        <w:tabs>
          <w:tab w:leader="none" w:pos="1040" w:val="left"/>
        </w:tabs>
        <w:numPr>
          <w:ilvl w:val="1"/>
          <w:numId w:val="857"/>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211" w:lineRule="exact"/>
        <w:rPr>
          <w:rFonts w:ascii="Arial" w:cs="Arial" w:eastAsia="Arial" w:hAnsi="Arial"/>
          <w:sz w:val="18"/>
          <w:szCs w:val="18"/>
          <w:color w:val="auto"/>
        </w:rPr>
      </w:pPr>
    </w:p>
    <w:p>
      <w:pPr>
        <w:ind w:left="1040" w:hanging="511"/>
        <w:spacing w:after="0"/>
        <w:tabs>
          <w:tab w:leader="none" w:pos="1040" w:val="left"/>
        </w:tabs>
        <w:numPr>
          <w:ilvl w:val="1"/>
          <w:numId w:val="857"/>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12"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97" w:lineRule="exact"/>
        <w:rPr>
          <w:sz w:val="20"/>
          <w:szCs w:val="20"/>
          <w:color w:val="auto"/>
        </w:rPr>
      </w:pPr>
    </w:p>
    <w:p>
      <w:pPr>
        <w:ind w:left="520" w:hanging="512"/>
        <w:spacing w:after="0" w:line="246" w:lineRule="auto"/>
        <w:tabs>
          <w:tab w:leader="none" w:pos="701" w:val="left"/>
        </w:tabs>
        <w:numPr>
          <w:ilvl w:val="0"/>
          <w:numId w:val="858"/>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the Screen Rate; or</w:t>
      </w:r>
    </w:p>
    <w:p>
      <w:pPr>
        <w:spacing w:after="0" w:line="196" w:lineRule="exact"/>
        <w:rPr>
          <w:rFonts w:ascii="Arial" w:cs="Arial" w:eastAsia="Arial" w:hAnsi="Arial"/>
          <w:sz w:val="18"/>
          <w:szCs w:val="18"/>
          <w:color w:val="auto"/>
        </w:rPr>
      </w:pPr>
    </w:p>
    <w:p>
      <w:pPr>
        <w:ind w:left="520" w:hanging="512"/>
        <w:spacing w:after="0"/>
        <w:tabs>
          <w:tab w:leader="none" w:pos="52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the Screen Rate.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the Screen Rate:</w:t>
      </w:r>
    </w:p>
    <w:p>
      <w:pPr>
        <w:spacing w:after="0" w:line="234" w:lineRule="exact"/>
        <w:rPr>
          <w:sz w:val="20"/>
          <w:szCs w:val="20"/>
          <w:color w:val="auto"/>
        </w:rPr>
      </w:pPr>
    </w:p>
    <w:p>
      <w:pPr>
        <w:ind w:left="520" w:hanging="512"/>
        <w:spacing w:after="0" w:line="246" w:lineRule="auto"/>
        <w:tabs>
          <w:tab w:leader="none" w:pos="593"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 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w:t>
      </w:r>
    </w:p>
    <w:p>
      <w:pPr>
        <w:spacing w:after="0" w:line="212" w:lineRule="exact"/>
        <w:rPr>
          <w:sz w:val="20"/>
          <w:szCs w:val="20"/>
          <w:color w:val="auto"/>
        </w:rPr>
      </w:pPr>
    </w:p>
    <w:p>
      <w:pPr>
        <w:ind w:left="1540" w:hanging="501"/>
        <w:spacing w:after="0"/>
        <w:tabs>
          <w:tab w:leader="none" w:pos="154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211" w:lineRule="exact"/>
        <w:rPr>
          <w:rFonts w:ascii="Arial" w:cs="Arial" w:eastAsia="Arial" w:hAnsi="Arial"/>
          <w:sz w:val="18"/>
          <w:szCs w:val="18"/>
          <w:color w:val="auto"/>
        </w:rPr>
      </w:pPr>
    </w:p>
    <w:p>
      <w:pPr>
        <w:jc w:val="both"/>
        <w:ind w:left="1540" w:hanging="501"/>
        <w:spacing w:after="0"/>
        <w:tabs>
          <w:tab w:leader="none" w:pos="1618" w:val="left"/>
        </w:tabs>
        <w:numPr>
          <w:ilvl w:val="0"/>
          <w:numId w:val="860"/>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 Rate; or</w:t>
      </w:r>
    </w:p>
    <w:p>
      <w:pPr>
        <w:spacing w:after="0" w:line="212" w:lineRule="exact"/>
        <w:rPr>
          <w:sz w:val="20"/>
          <w:szCs w:val="20"/>
          <w:color w:val="auto"/>
        </w:rPr>
      </w:pPr>
    </w:p>
    <w:p>
      <w:pPr>
        <w:jc w:val="both"/>
        <w:ind w:left="1040" w:hanging="511"/>
        <w:spacing w:after="0"/>
        <w:tabs>
          <w:tab w:leader="none" w:pos="1143"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pacing w:after="0" w:line="202" w:lineRule="exact"/>
        <w:rPr>
          <w:rFonts w:ascii="Arial" w:cs="Arial" w:eastAsia="Arial" w:hAnsi="Arial"/>
          <w:sz w:val="18"/>
          <w:szCs w:val="18"/>
          <w:color w:val="auto"/>
        </w:rPr>
      </w:pPr>
    </w:p>
    <w:p>
      <w:pPr>
        <w:ind w:left="1040" w:right="20" w:hanging="511"/>
        <w:spacing w:after="0" w:line="246" w:lineRule="auto"/>
        <w:tabs>
          <w:tab w:leader="none" w:pos="1185"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96" w:lineRule="exact"/>
        <w:rPr>
          <w:rFonts w:ascii="Arial" w:cs="Arial" w:eastAsia="Arial" w:hAnsi="Arial"/>
          <w:sz w:val="18"/>
          <w:szCs w:val="18"/>
          <w:color w:val="auto"/>
        </w:rPr>
      </w:pPr>
    </w:p>
    <w:p>
      <w:pPr>
        <w:ind w:left="1040" w:hanging="511"/>
        <w:spacing w:after="0"/>
        <w:tabs>
          <w:tab w:leader="none" w:pos="104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211" w:lineRule="exact"/>
        <w:rPr>
          <w:rFonts w:ascii="Arial" w:cs="Arial" w:eastAsia="Arial" w:hAnsi="Arial"/>
          <w:sz w:val="18"/>
          <w:szCs w:val="18"/>
          <w:color w:val="auto"/>
        </w:rPr>
      </w:pPr>
    </w:p>
    <w:p>
      <w:pPr>
        <w:ind w:left="520" w:right="20" w:hanging="512"/>
        <w:spacing w:after="0" w:line="246" w:lineRule="auto"/>
        <w:tabs>
          <w:tab w:leader="none" w:pos="664"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196" w:lineRule="exact"/>
        <w:rPr>
          <w:rFonts w:ascii="Arial" w:cs="Arial" w:eastAsia="Arial" w:hAnsi="Arial"/>
          <w:sz w:val="18"/>
          <w:szCs w:val="18"/>
          <w:color w:val="auto"/>
        </w:rPr>
      </w:pPr>
    </w:p>
    <w:p>
      <w:pPr>
        <w:ind w:left="1040" w:hanging="511"/>
        <w:spacing w:after="0" w:line="246" w:lineRule="auto"/>
        <w:tabs>
          <w:tab w:leader="none" w:pos="1195" w:val="left"/>
        </w:tabs>
        <w:numPr>
          <w:ilvl w:val="1"/>
          <w:numId w:val="862"/>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Borrowers) temporary; or</w:t>
      </w:r>
    </w:p>
    <w:p>
      <w:pPr>
        <w:spacing w:after="0" w:line="196" w:lineRule="exact"/>
        <w:rPr>
          <w:rFonts w:ascii="Arial" w:cs="Arial" w:eastAsia="Arial" w:hAnsi="Arial"/>
          <w:sz w:val="18"/>
          <w:szCs w:val="18"/>
          <w:color w:val="auto"/>
        </w:rPr>
      </w:pPr>
    </w:p>
    <w:p>
      <w:pPr>
        <w:ind w:left="1040" w:hanging="511"/>
        <w:spacing w:after="0" w:line="246" w:lineRule="auto"/>
        <w:tabs>
          <w:tab w:leader="none" w:pos="1116" w:val="left"/>
        </w:tabs>
        <w:numPr>
          <w:ilvl w:val="1"/>
          <w:numId w:val="862"/>
        </w:numPr>
        <w:rPr>
          <w:rFonts w:ascii="Arial" w:cs="Arial" w:eastAsia="Arial" w:hAnsi="Arial"/>
          <w:sz w:val="18"/>
          <w:szCs w:val="18"/>
          <w:color w:val="auto"/>
        </w:rPr>
      </w:pPr>
      <w:r>
        <w:rPr>
          <w:rFonts w:ascii="Arial" w:cs="Arial" w:eastAsia="Arial" w:hAnsi="Arial"/>
          <w:sz w:val="18"/>
          <w:szCs w:val="18"/>
          <w:color w:val="auto"/>
        </w:rPr>
        <w:t>that Screen Rate is calculated in accordance with any such policy or arrangement for a period no less than fifteen (15) Business Days; or</w:t>
      </w:r>
    </w:p>
    <w:p>
      <w:pPr>
        <w:spacing w:after="0" w:line="19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55" w:right="339" w:bottom="1440" w:gutter="0" w:footer="0" w:header="0"/>
        </w:sectPr>
      </w:pPr>
    </w:p>
    <w:bookmarkStart w:id="321" w:name="page322"/>
    <w:bookmarkEnd w:id="321"/>
    <w:p>
      <w:pPr>
        <w:ind w:left="1020" w:right="20" w:hanging="512"/>
        <w:spacing w:after="0" w:line="246" w:lineRule="auto"/>
        <w:tabs>
          <w:tab w:leader="none" w:pos="1025" w:val="left"/>
        </w:tabs>
        <w:numPr>
          <w:ilvl w:val="0"/>
          <w:numId w:val="863"/>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the Screen Rate is otherwise no longer appropriate for the purposes of calculating interest under this Agreement..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44 Counterparts</w:t>
      </w:r>
    </w:p>
    <w:p>
      <w:pPr>
        <w:spacing w:after="0" w:line="238"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45 Confidentiality</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7"/>
          <w:szCs w:val="17"/>
          <w:b w:val="1"/>
          <w:bCs w:val="1"/>
          <w:color w:val="auto"/>
        </w:rPr>
        <w:t>Confidential Information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45.2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45.3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7"/>
          <w:szCs w:val="17"/>
          <w:b w:val="1"/>
          <w:bCs w:val="1"/>
          <w:color w:val="auto"/>
        </w:rPr>
        <w:t>Disclosure of Confidential Information</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Finance Party may disclose (without the consent of the Obligors) to (i) any of its Affiliates, employees (including service and settlement employees), officers, representatives or advisers and (ii) any other person:</w:t>
      </w:r>
    </w:p>
    <w:p>
      <w:pPr>
        <w:spacing w:after="0" w:line="197" w:lineRule="exact"/>
        <w:rPr>
          <w:sz w:val="20"/>
          <w:szCs w:val="20"/>
          <w:color w:val="auto"/>
        </w:rPr>
      </w:pPr>
    </w:p>
    <w:p>
      <w:pPr>
        <w:ind w:left="1020" w:hanging="512"/>
        <w:spacing w:after="0" w:line="246" w:lineRule="auto"/>
        <w:tabs>
          <w:tab w:leader="none" w:pos="1025" w:val="left"/>
        </w:tabs>
        <w:numPr>
          <w:ilvl w:val="0"/>
          <w:numId w:val="864"/>
        </w:numPr>
        <w:rPr>
          <w:rFonts w:ascii="Arial" w:cs="Arial" w:eastAsia="Arial" w:hAnsi="Arial"/>
          <w:sz w:val="18"/>
          <w:szCs w:val="18"/>
          <w:color w:val="auto"/>
        </w:rPr>
      </w:pPr>
      <w:r>
        <w:rPr>
          <w:rFonts w:ascii="Arial" w:cs="Arial" w:eastAsia="Arial" w:hAnsi="Arial"/>
          <w:sz w:val="18"/>
          <w:szCs w:val="18"/>
          <w:color w:val="auto"/>
        </w:rPr>
        <w:t>in the case of a Lender, to (or through) whom that Lender assigns or transfers (or may potentially assign or transfer) all or any of its rights and obligations under the Finance Documents;</w:t>
      </w:r>
    </w:p>
    <w:p>
      <w:pPr>
        <w:spacing w:after="0" w:line="196" w:lineRule="exact"/>
        <w:rPr>
          <w:rFonts w:ascii="Arial" w:cs="Arial" w:eastAsia="Arial" w:hAnsi="Arial"/>
          <w:sz w:val="18"/>
          <w:szCs w:val="18"/>
          <w:color w:val="auto"/>
        </w:rPr>
      </w:pPr>
    </w:p>
    <w:p>
      <w:pPr>
        <w:ind w:left="1020" w:hanging="512"/>
        <w:spacing w:after="0" w:line="246" w:lineRule="auto"/>
        <w:tabs>
          <w:tab w:leader="none" w:pos="1025" w:val="left"/>
        </w:tabs>
        <w:numPr>
          <w:ilvl w:val="0"/>
          <w:numId w:val="864"/>
        </w:numPr>
        <w:rPr>
          <w:rFonts w:ascii="Arial" w:cs="Arial" w:eastAsia="Arial" w:hAnsi="Arial"/>
          <w:sz w:val="18"/>
          <w:szCs w:val="18"/>
          <w:color w:val="auto"/>
        </w:rPr>
      </w:pPr>
      <w:r>
        <w:rPr>
          <w:rFonts w:ascii="Arial" w:cs="Arial" w:eastAsia="Arial" w:hAnsi="Arial"/>
          <w:sz w:val="18"/>
          <w:szCs w:val="18"/>
          <w:color w:val="auto"/>
        </w:rPr>
        <w:t>in the case of a Lender, to whom or for whose benefit that Finance Party charges, assigns or otherwise creates Security (or may do so) pursuant to clause 32.7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1020" w:hanging="512"/>
        <w:spacing w:after="0"/>
        <w:tabs>
          <w:tab w:leader="none" w:pos="1096" w:val="left"/>
        </w:tabs>
        <w:numPr>
          <w:ilvl w:val="0"/>
          <w:numId w:val="864"/>
        </w:numPr>
        <w:rPr>
          <w:rFonts w:ascii="Arial" w:cs="Arial" w:eastAsia="Arial" w:hAnsi="Arial"/>
          <w:sz w:val="18"/>
          <w:szCs w:val="18"/>
          <w:color w:val="auto"/>
        </w:rPr>
      </w:pPr>
      <w:r>
        <w:rPr>
          <w:rFonts w:ascii="Arial" w:cs="Arial" w:eastAsia="Arial" w:hAnsi="Arial"/>
          <w:sz w:val="18"/>
          <w:szCs w:val="18"/>
          <w:color w:val="auto"/>
        </w:rPr>
        <w:t>in the case of a Lender, with (or through) whom that Lender enters into (or may potentially enter into) any sub-participation in relation to, or any other transaction under which payments are to be made by reference to, the Finance Documents or any Obligor;</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in order to preserve or enforce any rights any Finance Party may have under the Security Documents;</w:t>
      </w:r>
    </w:p>
    <w:p>
      <w:pPr>
        <w:spacing w:after="0" w:line="211" w:lineRule="exact"/>
        <w:rPr>
          <w:rFonts w:ascii="Arial" w:cs="Arial" w:eastAsia="Arial" w:hAnsi="Arial"/>
          <w:sz w:val="18"/>
          <w:szCs w:val="18"/>
          <w:color w:val="auto"/>
        </w:rPr>
      </w:pPr>
    </w:p>
    <w:p>
      <w:pPr>
        <w:ind w:left="1020" w:hanging="512"/>
        <w:spacing w:after="0" w:line="246" w:lineRule="auto"/>
        <w:tabs>
          <w:tab w:leader="none" w:pos="1081" w:val="left"/>
        </w:tabs>
        <w:numPr>
          <w:ilvl w:val="0"/>
          <w:numId w:val="864"/>
        </w:numPr>
        <w:rPr>
          <w:rFonts w:ascii="Arial" w:cs="Arial" w:eastAsia="Arial" w:hAnsi="Arial"/>
          <w:sz w:val="18"/>
          <w:szCs w:val="18"/>
          <w:color w:val="auto"/>
        </w:rPr>
      </w:pPr>
      <w:r>
        <w:rPr>
          <w:rFonts w:ascii="Arial" w:cs="Arial" w:eastAsia="Arial" w:hAnsi="Arial"/>
          <w:sz w:val="18"/>
          <w:szCs w:val="18"/>
          <w:color w:val="auto"/>
        </w:rPr>
        <w:t>which is a rating agency (including its professional advisers) or such Finance Party’s professional advisers (including auditors, lawyers, accountants, surveyors, valuers, insurers, insurance advisors, risk mitigation providers and brokers);</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in the case of the Security Agent, in the course of the performance of its functions under the Finance Documents; or</w:t>
      </w:r>
    </w:p>
    <w:p>
      <w:pPr>
        <w:spacing w:after="0" w:line="211" w:lineRule="exact"/>
        <w:rPr>
          <w:rFonts w:ascii="Arial" w:cs="Arial" w:eastAsia="Arial" w:hAnsi="Arial"/>
          <w:sz w:val="18"/>
          <w:szCs w:val="18"/>
          <w:color w:val="auto"/>
        </w:rPr>
      </w:pPr>
    </w:p>
    <w:p>
      <w:pPr>
        <w:ind w:left="1020" w:hanging="512"/>
        <w:spacing w:after="0" w:line="246" w:lineRule="auto"/>
        <w:tabs>
          <w:tab w:leader="none" w:pos="1214" w:val="left"/>
        </w:tabs>
        <w:numPr>
          <w:ilvl w:val="0"/>
          <w:numId w:val="864"/>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or by the rules of any relevant stock exchange,</w:t>
      </w:r>
    </w:p>
    <w:p>
      <w:pPr>
        <w:spacing w:after="0" w:line="197"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information about any Obligor, the Group, the Parent Group and the Finance Documents as that Finance Party shall consider appropriate if any such person has entered into a confidentiality agreement substantially in the form of the then current form of LMA Confidentiality Letter (Purchaser) for the secondary trading of loans except that no such confidentiality agreement shall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2" w:name="page323"/>
    <w:bookmarkEnd w:id="322"/>
    <w:p>
      <w:pPr>
        <w:jc w:val="both"/>
        <w:ind w:left="520"/>
        <w:spacing w:after="0" w:line="237" w:lineRule="auto"/>
        <w:rPr>
          <w:sz w:val="20"/>
          <w:szCs w:val="20"/>
          <w:color w:val="auto"/>
        </w:rPr>
      </w:pPr>
      <w:r>
        <w:rPr>
          <w:rFonts w:ascii="Arial" w:cs="Arial" w:eastAsia="Arial" w:hAnsi="Arial"/>
          <w:sz w:val="18"/>
          <w:szCs w:val="18"/>
          <w:color w:val="auto"/>
        </w:rPr>
        <w:t>be required in relation to clauses 43.2(e) and 43.2(h) if, in the reasonable opinion of that Finance Party, it is not practicable to obtain such agreement and, in such case, provided that the recipient is notified if any such information is confidential or price sensitive in nature; and any Finance Party may disclose (with the consent of the Borrowers) to any other person not included in paragraphs 45.2(a) - 45.2(h) above, any information about any Obligor, the Group, the Parent Group and the Finance Documents as that Finance Party shall consider appropriate if any such person has entered into a confidentiality agreement substantially in the form agreed between the Borrowers and the relevant Finance Party.</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45.3</w:t>
      </w:r>
      <w:r>
        <w:rPr>
          <w:sz w:val="20"/>
          <w:szCs w:val="20"/>
          <w:color w:val="auto"/>
        </w:rPr>
        <w:tab/>
      </w:r>
      <w:r>
        <w:rPr>
          <w:rFonts w:ascii="Arial" w:cs="Arial" w:eastAsia="Arial" w:hAnsi="Arial"/>
          <w:sz w:val="17"/>
          <w:szCs w:val="17"/>
          <w:b w:val="1"/>
          <w:bCs w:val="1"/>
          <w:color w:val="auto"/>
        </w:rPr>
        <w:t>Disclosure to numbering service providers</w:t>
      </w:r>
    </w:p>
    <w:p>
      <w:pPr>
        <w:spacing w:after="0" w:line="234" w:lineRule="exact"/>
        <w:rPr>
          <w:sz w:val="20"/>
          <w:szCs w:val="20"/>
          <w:color w:val="auto"/>
        </w:rPr>
      </w:pPr>
    </w:p>
    <w:p>
      <w:pPr>
        <w:jc w:val="both"/>
        <w:ind w:left="1020" w:hanging="512"/>
        <w:spacing w:after="0"/>
        <w:tabs>
          <w:tab w:leader="none" w:pos="1066" w:val="left"/>
        </w:tabs>
        <w:numPr>
          <w:ilvl w:val="0"/>
          <w:numId w:val="865"/>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202"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93"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clause 46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type of the Facility;</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ranking of the Facility;</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the term of the Facility;</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45.3(a)(i) to 45.3(a)(xii) above; and</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12" w:lineRule="exact"/>
        <w:rPr>
          <w:sz w:val="20"/>
          <w:szCs w:val="20"/>
          <w:color w:val="auto"/>
        </w:rPr>
      </w:pPr>
    </w:p>
    <w:p>
      <w:pPr>
        <w:jc w:val="both"/>
        <w:ind w:left="1020" w:hanging="512"/>
        <w:spacing w:after="0"/>
        <w:tabs>
          <w:tab w:leader="none" w:pos="1039"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202" w:lineRule="exact"/>
        <w:rPr>
          <w:rFonts w:ascii="Arial" w:cs="Arial" w:eastAsia="Arial" w:hAnsi="Arial"/>
          <w:sz w:val="18"/>
          <w:szCs w:val="18"/>
          <w:color w:val="auto"/>
        </w:rPr>
      </w:pPr>
    </w:p>
    <w:p>
      <w:pPr>
        <w:ind w:left="1020" w:hanging="512"/>
        <w:spacing w:after="0" w:line="246" w:lineRule="auto"/>
        <w:tabs>
          <w:tab w:leader="none" w:pos="1015"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clauses 45.3(a)(i) to 45.3(a)(xiii) above is, nor will at any time be, unpublished price-sensitive information.</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212" w:lineRule="exact"/>
        <w:rPr>
          <w:sz w:val="20"/>
          <w:szCs w:val="20"/>
          <w:color w:val="auto"/>
        </w:rPr>
      </w:pPr>
    </w:p>
    <w:p>
      <w:pPr>
        <w:ind w:left="1540" w:hanging="511"/>
        <w:spacing w:after="0" w:line="246" w:lineRule="auto"/>
        <w:tabs>
          <w:tab w:leader="none" w:pos="1574" w:val="left"/>
        </w:tabs>
        <w:numPr>
          <w:ilvl w:val="0"/>
          <w:numId w:val="867"/>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3" w:name="page324"/>
    <w:bookmarkEnd w:id="323"/>
    <w:p>
      <w:pPr>
        <w:ind w:left="1540" w:right="20" w:hanging="511"/>
        <w:spacing w:after="0" w:line="246" w:lineRule="auto"/>
        <w:tabs>
          <w:tab w:leader="none" w:pos="1643" w:val="left"/>
        </w:tabs>
        <w:numPr>
          <w:ilvl w:val="0"/>
          <w:numId w:val="868"/>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45.4</w:t>
      </w:r>
      <w:r>
        <w:rPr>
          <w:sz w:val="20"/>
          <w:szCs w:val="20"/>
          <w:color w:val="auto"/>
        </w:rPr>
        <w:tab/>
      </w:r>
      <w:r>
        <w:rPr>
          <w:rFonts w:ascii="Arial" w:cs="Arial" w:eastAsia="Arial" w:hAnsi="Arial"/>
          <w:sz w:val="17"/>
          <w:szCs w:val="17"/>
          <w:b w:val="1"/>
          <w:bCs w:val="1"/>
          <w:color w:val="auto"/>
        </w:rPr>
        <w:t>Entire agreement</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This clause 45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45.5</w:t>
      </w:r>
      <w:r>
        <w:rPr>
          <w:sz w:val="20"/>
          <w:szCs w:val="20"/>
          <w:color w:val="auto"/>
        </w:rPr>
        <w:tab/>
      </w:r>
      <w:r>
        <w:rPr>
          <w:rFonts w:ascii="Arial" w:cs="Arial" w:eastAsia="Arial" w:hAnsi="Arial"/>
          <w:sz w:val="17"/>
          <w:szCs w:val="17"/>
          <w:b w:val="1"/>
          <w:bCs w:val="1"/>
          <w:color w:val="auto"/>
        </w:rPr>
        <w:t>Inside information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45.6</w:t>
      </w:r>
      <w:r>
        <w:rPr>
          <w:sz w:val="20"/>
          <w:szCs w:val="20"/>
          <w:color w:val="auto"/>
        </w:rPr>
        <w:tab/>
      </w:r>
      <w:r>
        <w:rPr>
          <w:rFonts w:ascii="Arial" w:cs="Arial" w:eastAsia="Arial" w:hAnsi="Arial"/>
          <w:sz w:val="17"/>
          <w:szCs w:val="17"/>
          <w:b w:val="1"/>
          <w:bCs w:val="1"/>
          <w:color w:val="auto"/>
        </w:rPr>
        <w:t>Banking secrecy laws</w:t>
      </w:r>
    </w:p>
    <w:p>
      <w:pPr>
        <w:spacing w:after="0" w:line="234" w:lineRule="exact"/>
        <w:rPr>
          <w:sz w:val="20"/>
          <w:szCs w:val="20"/>
          <w:color w:val="auto"/>
        </w:rPr>
      </w:pPr>
    </w:p>
    <w:p>
      <w:pPr>
        <w:jc w:val="both"/>
        <w:ind w:left="1020" w:hanging="512"/>
        <w:spacing w:after="0" w:line="238" w:lineRule="auto"/>
        <w:tabs>
          <w:tab w:leader="none" w:pos="1025" w:val="left"/>
        </w:tabs>
        <w:numPr>
          <w:ilvl w:val="0"/>
          <w:numId w:val="869"/>
        </w:numPr>
        <w:rPr>
          <w:rFonts w:ascii="Arial" w:cs="Arial" w:eastAsia="Arial" w:hAnsi="Arial"/>
          <w:sz w:val="18"/>
          <w:szCs w:val="18"/>
          <w:color w:val="auto"/>
        </w:rPr>
      </w:pPr>
      <w:r>
        <w:rPr>
          <w:rFonts w:ascii="Arial" w:cs="Arial" w:eastAsia="Arial" w:hAnsi="Arial"/>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8"/>
          <w:szCs w:val="18"/>
          <w:b w:val="1"/>
          <w:bCs w:val="1"/>
          <w:color w:val="auto"/>
        </w:rPr>
        <w:t>Disclosing Party</w:t>
      </w:r>
      <w:r>
        <w:rPr>
          <w:rFonts w:ascii="Arial" w:cs="Arial" w:eastAsia="Arial" w:hAnsi="Arial"/>
          <w:sz w:val="18"/>
          <w:szCs w:val="18"/>
          <w:color w:val="auto"/>
        </w:rPr>
        <w:t>) from any confidentiality obligations or confidentiality restrictions arising from any applicable banking secrecy and data protection legislation which would prevent a Disclosing Party from disclosing any Confidential Information in accordance with this clause 45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52" w:val="left"/>
        </w:tabs>
        <w:numPr>
          <w:ilvl w:val="0"/>
          <w:numId w:val="869"/>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45.7</w:t>
      </w:r>
      <w:r>
        <w:rPr>
          <w:sz w:val="20"/>
          <w:szCs w:val="20"/>
          <w:color w:val="auto"/>
        </w:rPr>
        <w:tab/>
      </w:r>
      <w:r>
        <w:rPr>
          <w:rFonts w:ascii="Arial" w:cs="Arial" w:eastAsia="Arial" w:hAnsi="Arial"/>
          <w:sz w:val="17"/>
          <w:szCs w:val="17"/>
          <w:b w:val="1"/>
          <w:bCs w:val="1"/>
          <w:color w:val="auto"/>
        </w:rPr>
        <w:t>Continuing obligations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obligations in this clause 45 are continuing and, in particular, shall survive and remain binding on each Finance Party for a period of twelve months from the earlier of:</w:t>
      </w:r>
    </w:p>
    <w:p>
      <w:pPr>
        <w:spacing w:after="0" w:line="197" w:lineRule="exact"/>
        <w:rPr>
          <w:sz w:val="20"/>
          <w:szCs w:val="20"/>
          <w:color w:val="auto"/>
        </w:rPr>
      </w:pPr>
    </w:p>
    <w:p>
      <w:pPr>
        <w:ind w:left="1020" w:right="20" w:hanging="512"/>
        <w:spacing w:after="0" w:line="246" w:lineRule="auto"/>
        <w:tabs>
          <w:tab w:leader="none" w:pos="1039" w:val="left"/>
        </w:tabs>
        <w:numPr>
          <w:ilvl w:val="0"/>
          <w:numId w:val="870"/>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46 Governing law</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Agreement and any non-contractual obligations connected with it are governed by English law.</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47 Enforcement</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47.1</w:t>
      </w:r>
      <w:r>
        <w:rPr>
          <w:sz w:val="20"/>
          <w:szCs w:val="20"/>
          <w:color w:val="auto"/>
        </w:rPr>
        <w:tab/>
      </w:r>
      <w:r>
        <w:rPr>
          <w:rFonts w:ascii="Arial" w:cs="Arial" w:eastAsia="Arial" w:hAnsi="Arial"/>
          <w:sz w:val="17"/>
          <w:szCs w:val="17"/>
          <w:b w:val="1"/>
          <w:bCs w:val="1"/>
          <w:color w:val="auto"/>
        </w:rPr>
        <w:t>Jurisdiction of English courts</w:t>
      </w:r>
    </w:p>
    <w:p>
      <w:pPr>
        <w:spacing w:after="0" w:line="234" w:lineRule="exact"/>
        <w:rPr>
          <w:sz w:val="20"/>
          <w:szCs w:val="20"/>
          <w:color w:val="auto"/>
        </w:rPr>
      </w:pPr>
    </w:p>
    <w:p>
      <w:pPr>
        <w:ind w:left="1020" w:hanging="512"/>
        <w:spacing w:after="0" w:line="246" w:lineRule="auto"/>
        <w:tabs>
          <w:tab w:leader="none" w:pos="1039" w:val="left"/>
        </w:tabs>
        <w:numPr>
          <w:ilvl w:val="0"/>
          <w:numId w:val="871"/>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or any non-contractual obligations connected with 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4" w:name="page325"/>
    <w:bookmarkEnd w:id="324"/>
    <w:p>
      <w:pPr>
        <w:ind w:left="1040"/>
        <w:spacing w:after="0"/>
        <w:rPr>
          <w:sz w:val="20"/>
          <w:szCs w:val="20"/>
          <w:color w:val="auto"/>
        </w:rPr>
      </w:pPr>
      <w:r>
        <w:rPr>
          <w:rFonts w:ascii="Arial" w:cs="Arial" w:eastAsia="Arial" w:hAnsi="Arial"/>
          <w:sz w:val="18"/>
          <w:szCs w:val="18"/>
          <w:color w:val="auto"/>
        </w:rPr>
        <w:t xml:space="preserve">(including a dispute regarding the existence, validity or termination of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234" w:lineRule="exact"/>
        <w:rPr>
          <w:sz w:val="20"/>
          <w:szCs w:val="20"/>
          <w:color w:val="auto"/>
        </w:rPr>
      </w:pPr>
    </w:p>
    <w:p>
      <w:pPr>
        <w:ind w:left="1020" w:hanging="512"/>
        <w:spacing w:after="0" w:line="246" w:lineRule="auto"/>
        <w:tabs>
          <w:tab w:leader="none" w:pos="1052" w:val="left"/>
        </w:tabs>
        <w:numPr>
          <w:ilvl w:val="0"/>
          <w:numId w:val="872"/>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96" w:lineRule="exact"/>
        <w:rPr>
          <w:rFonts w:ascii="Arial" w:cs="Arial" w:eastAsia="Arial" w:hAnsi="Arial"/>
          <w:sz w:val="18"/>
          <w:szCs w:val="18"/>
          <w:color w:val="auto"/>
        </w:rPr>
      </w:pPr>
    </w:p>
    <w:p>
      <w:pPr>
        <w:jc w:val="both"/>
        <w:ind w:left="1020" w:hanging="512"/>
        <w:spacing w:after="0"/>
        <w:tabs>
          <w:tab w:leader="none" w:pos="1150" w:val="left"/>
        </w:tabs>
        <w:numPr>
          <w:ilvl w:val="0"/>
          <w:numId w:val="872"/>
        </w:numPr>
        <w:rPr>
          <w:rFonts w:ascii="Arial" w:cs="Arial" w:eastAsia="Arial" w:hAnsi="Arial"/>
          <w:sz w:val="18"/>
          <w:szCs w:val="18"/>
          <w:color w:val="auto"/>
        </w:rPr>
      </w:pPr>
      <w:r>
        <w:rPr>
          <w:rFonts w:ascii="Arial" w:cs="Arial" w:eastAsia="Arial" w:hAnsi="Arial"/>
          <w:sz w:val="18"/>
          <w:szCs w:val="18"/>
          <w:color w:val="auto"/>
        </w:rPr>
        <w:t>This clause 47.1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47.2</w:t>
      </w:r>
      <w:r>
        <w:rPr>
          <w:sz w:val="20"/>
          <w:szCs w:val="20"/>
          <w:color w:val="auto"/>
        </w:rPr>
        <w:tab/>
      </w:r>
      <w:r>
        <w:rPr>
          <w:rFonts w:ascii="Arial" w:cs="Arial" w:eastAsia="Arial" w:hAnsi="Arial"/>
          <w:sz w:val="17"/>
          <w:szCs w:val="17"/>
          <w:b w:val="1"/>
          <w:bCs w:val="1"/>
          <w:color w:val="auto"/>
        </w:rPr>
        <w:t>Service of process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194" w:lineRule="exact"/>
        <w:rPr>
          <w:sz w:val="20"/>
          <w:szCs w:val="20"/>
          <w:color w:val="auto"/>
        </w:rPr>
      </w:pPr>
    </w:p>
    <w:p>
      <w:pPr>
        <w:ind w:left="1020" w:right="20" w:hanging="512"/>
        <w:spacing w:after="0" w:line="267" w:lineRule="auto"/>
        <w:tabs>
          <w:tab w:leader="none" w:pos="1052" w:val="left"/>
        </w:tabs>
        <w:numPr>
          <w:ilvl w:val="0"/>
          <w:numId w:val="873"/>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78" w:lineRule="exact"/>
        <w:rPr>
          <w:rFonts w:ascii="Arial" w:cs="Arial" w:eastAsia="Arial" w:hAnsi="Arial"/>
          <w:sz w:val="18"/>
          <w:szCs w:val="18"/>
          <w:color w:val="auto"/>
        </w:rPr>
      </w:pPr>
    </w:p>
    <w:p>
      <w:pPr>
        <w:ind w:left="1020" w:hanging="512"/>
        <w:spacing w:after="0" w:line="246" w:lineRule="auto"/>
        <w:tabs>
          <w:tab w:leader="none" w:pos="1025" w:val="left"/>
        </w:tabs>
        <w:numPr>
          <w:ilvl w:val="0"/>
          <w:numId w:val="873"/>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Obligor of the process will not invalidate the proceedings concerned; and</w:t>
      </w:r>
    </w:p>
    <w:p>
      <w:pPr>
        <w:spacing w:after="0" w:line="196" w:lineRule="exact"/>
        <w:rPr>
          <w:rFonts w:ascii="Arial" w:cs="Arial" w:eastAsia="Arial" w:hAnsi="Arial"/>
          <w:sz w:val="18"/>
          <w:szCs w:val="18"/>
          <w:color w:val="auto"/>
        </w:rPr>
      </w:pPr>
    </w:p>
    <w:p>
      <w:pPr>
        <w:jc w:val="both"/>
        <w:ind w:left="1020" w:hanging="512"/>
        <w:spacing w:after="0"/>
        <w:tabs>
          <w:tab w:leader="none" w:pos="1123" w:val="left"/>
        </w:tabs>
        <w:numPr>
          <w:ilvl w:val="0"/>
          <w:numId w:val="873"/>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25" w:name="page326"/>
    <w:bookmarkEnd w:id="325"/>
    <w:tbl>
      <w:tblPr>
        <w:tblLayout w:type="fixed"/>
        <w:tblInd w:w="10" w:type="dxa"/>
        <w:tblCellMar>
          <w:top w:w="0" w:type="dxa"/>
          <w:left w:w="0" w:type="dxa"/>
          <w:bottom w:w="0" w:type="dxa"/>
          <w:right w:w="0" w:type="dxa"/>
        </w:tblCellMar>
      </w:tblPr>
      <w:tr>
        <w:trPr>
          <w:trHeight w:val="253"/>
        </w:trPr>
        <w:tc>
          <w:tcPr>
            <w:tcW w:w="3600" w:type="dxa"/>
            <w:vAlign w:val="bottom"/>
          </w:tcPr>
          <w:p>
            <w:pPr>
              <w:spacing w:after="0"/>
              <w:rPr>
                <w:sz w:val="21"/>
                <w:szCs w:val="21"/>
                <w:color w:val="auto"/>
              </w:rPr>
            </w:pPr>
          </w:p>
        </w:tc>
        <w:tc>
          <w:tcPr>
            <w:tcW w:w="7640" w:type="dxa"/>
            <w:vAlign w:val="bottom"/>
          </w:tcPr>
          <w:p>
            <w:pPr>
              <w:jc w:val="center"/>
              <w:ind w:right="3489"/>
              <w:spacing w:after="0"/>
              <w:rPr>
                <w:sz w:val="20"/>
                <w:szCs w:val="20"/>
                <w:color w:val="auto"/>
              </w:rPr>
            </w:pPr>
            <w:r>
              <w:rPr>
                <w:rFonts w:ascii="Arial" w:cs="Arial" w:eastAsia="Arial" w:hAnsi="Arial"/>
                <w:sz w:val="22"/>
                <w:szCs w:val="22"/>
                <w:b w:val="1"/>
                <w:bCs w:val="1"/>
                <w:color w:val="auto"/>
                <w:w w:val="98"/>
              </w:rPr>
              <w:t>Schedule 1</w:t>
            </w:r>
          </w:p>
        </w:tc>
        <w:tc>
          <w:tcPr>
            <w:tcW w:w="40" w:type="dxa"/>
            <w:vAlign w:val="bottom"/>
          </w:tcPr>
          <w:p>
            <w:pPr>
              <w:spacing w:after="0"/>
              <w:rPr>
                <w:sz w:val="21"/>
                <w:szCs w:val="21"/>
                <w:color w:val="auto"/>
              </w:rPr>
            </w:pPr>
          </w:p>
        </w:tc>
      </w:tr>
      <w:tr>
        <w:trPr>
          <w:trHeight w:val="285"/>
        </w:trPr>
        <w:tc>
          <w:tcPr>
            <w:tcW w:w="3600" w:type="dxa"/>
            <w:vAlign w:val="bottom"/>
          </w:tcPr>
          <w:p>
            <w:pPr>
              <w:spacing w:after="0"/>
              <w:rPr>
                <w:sz w:val="24"/>
                <w:szCs w:val="24"/>
                <w:color w:val="auto"/>
              </w:rPr>
            </w:pPr>
          </w:p>
        </w:tc>
        <w:tc>
          <w:tcPr>
            <w:tcW w:w="7640" w:type="dxa"/>
            <w:vAlign w:val="bottom"/>
          </w:tcPr>
          <w:p>
            <w:pPr>
              <w:jc w:val="center"/>
              <w:ind w:right="3509"/>
              <w:spacing w:after="0"/>
              <w:rPr>
                <w:sz w:val="20"/>
                <w:szCs w:val="20"/>
                <w:color w:val="auto"/>
              </w:rPr>
            </w:pPr>
            <w:r>
              <w:rPr>
                <w:rFonts w:ascii="Arial" w:cs="Arial" w:eastAsia="Arial" w:hAnsi="Arial"/>
                <w:sz w:val="22"/>
                <w:szCs w:val="22"/>
                <w:b w:val="1"/>
                <w:bCs w:val="1"/>
                <w:color w:val="auto"/>
                <w:w w:val="98"/>
              </w:rPr>
              <w:t>The original parties</w:t>
            </w:r>
          </w:p>
        </w:tc>
        <w:tc>
          <w:tcPr>
            <w:tcW w:w="40" w:type="dxa"/>
            <w:vAlign w:val="bottom"/>
          </w:tcPr>
          <w:p>
            <w:pPr>
              <w:spacing w:after="0"/>
              <w:rPr>
                <w:sz w:val="24"/>
                <w:szCs w:val="24"/>
                <w:color w:val="auto"/>
              </w:rPr>
            </w:pPr>
          </w:p>
        </w:tc>
      </w:tr>
      <w:tr>
        <w:trPr>
          <w:trHeight w:val="408"/>
        </w:trPr>
        <w:tc>
          <w:tcPr>
            <w:tcW w:w="3600" w:type="dxa"/>
            <w:vAlign w:val="bottom"/>
          </w:tcPr>
          <w:p>
            <w:pPr>
              <w:spacing w:after="0"/>
              <w:rPr>
                <w:sz w:val="24"/>
                <w:szCs w:val="24"/>
                <w:color w:val="auto"/>
              </w:rPr>
            </w:pPr>
          </w:p>
        </w:tc>
        <w:tc>
          <w:tcPr>
            <w:tcW w:w="7640" w:type="dxa"/>
            <w:vAlign w:val="bottom"/>
          </w:tcPr>
          <w:p>
            <w:pPr>
              <w:jc w:val="center"/>
              <w:ind w:right="3489"/>
              <w:spacing w:after="0"/>
              <w:rPr>
                <w:sz w:val="20"/>
                <w:szCs w:val="20"/>
                <w:color w:val="auto"/>
              </w:rPr>
            </w:pPr>
            <w:r>
              <w:rPr>
                <w:rFonts w:ascii="Arial" w:cs="Arial" w:eastAsia="Arial" w:hAnsi="Arial"/>
                <w:sz w:val="18"/>
                <w:szCs w:val="18"/>
                <w:b w:val="1"/>
                <w:bCs w:val="1"/>
                <w:color w:val="auto"/>
                <w:w w:val="99"/>
              </w:rPr>
              <w:t>Borrowers</w:t>
            </w:r>
          </w:p>
        </w:tc>
        <w:tc>
          <w:tcPr>
            <w:tcW w:w="40" w:type="dxa"/>
            <w:vAlign w:val="bottom"/>
          </w:tcPr>
          <w:p>
            <w:pPr>
              <w:spacing w:after="0"/>
              <w:rPr>
                <w:sz w:val="24"/>
                <w:szCs w:val="24"/>
                <w:color w:val="auto"/>
              </w:rPr>
            </w:pPr>
          </w:p>
        </w:tc>
      </w:tr>
      <w:tr>
        <w:trPr>
          <w:trHeight w:val="189"/>
        </w:trPr>
        <w:tc>
          <w:tcPr>
            <w:tcW w:w="360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GAS-twenty seven Ltd.</w:t>
            </w:r>
          </w:p>
        </w:tc>
        <w:tc>
          <w:tcPr>
            <w:tcW w:w="40" w:type="dxa"/>
            <w:vAlign w:val="bottom"/>
          </w:tcPr>
          <w:p>
            <w:pPr>
              <w:spacing w:after="0"/>
              <w:rPr>
                <w:sz w:val="19"/>
                <w:szCs w:val="19"/>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19"/>
                <w:szCs w:val="19"/>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49900</w:t>
            </w:r>
          </w:p>
        </w:tc>
        <w:tc>
          <w:tcPr>
            <w:tcW w:w="40" w:type="dxa"/>
            <w:vAlign w:val="bottom"/>
          </w:tcPr>
          <w:p>
            <w:pPr>
              <w:spacing w:after="0"/>
              <w:rPr>
                <w:sz w:val="16"/>
                <w:szCs w:val="16"/>
                <w:color w:val="auto"/>
              </w:rPr>
            </w:pP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6"/>
                <w:szCs w:val="16"/>
                <w:color w:val="auto"/>
              </w:rPr>
            </w:pP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19"/>
                <w:szCs w:val="19"/>
                <w:color w:val="auto"/>
              </w:rPr>
            </w:pPr>
          </w:p>
        </w:tc>
      </w:tr>
      <w:tr>
        <w:trPr>
          <w:trHeight w:val="20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8"/>
                <w:szCs w:val="18"/>
                <w:color w:val="auto"/>
              </w:rPr>
            </w:pPr>
          </w:p>
        </w:tc>
      </w:tr>
      <w:tr>
        <w:trPr>
          <w:trHeight w:val="217"/>
        </w:trPr>
        <w:tc>
          <w:tcPr>
            <w:tcW w:w="36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331"/>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GAS-twenty one Ltd.</w:t>
            </w:r>
          </w:p>
        </w:tc>
        <w:tc>
          <w:tcPr>
            <w:tcW w:w="40" w:type="dxa"/>
            <w:vAlign w:val="bottom"/>
          </w:tcPr>
          <w:p>
            <w:pPr>
              <w:spacing w:after="0"/>
              <w:rPr>
                <w:sz w:val="19"/>
                <w:szCs w:val="19"/>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19"/>
                <w:szCs w:val="19"/>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48941</w:t>
            </w:r>
          </w:p>
        </w:tc>
        <w:tc>
          <w:tcPr>
            <w:tcW w:w="40" w:type="dxa"/>
            <w:vAlign w:val="bottom"/>
          </w:tcPr>
          <w:p>
            <w:pPr>
              <w:spacing w:after="0"/>
              <w:rPr>
                <w:sz w:val="16"/>
                <w:szCs w:val="16"/>
                <w:color w:val="auto"/>
              </w:rPr>
            </w:pP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6"/>
                <w:szCs w:val="16"/>
                <w:color w:val="auto"/>
              </w:rPr>
            </w:pP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19"/>
                <w:szCs w:val="19"/>
                <w:color w:val="auto"/>
              </w:rPr>
            </w:pPr>
          </w:p>
        </w:tc>
      </w:tr>
      <w:tr>
        <w:trPr>
          <w:trHeight w:val="20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8"/>
                <w:szCs w:val="18"/>
                <w:color w:val="auto"/>
              </w:rPr>
            </w:pPr>
          </w:p>
        </w:tc>
      </w:tr>
      <w:tr>
        <w:trPr>
          <w:trHeight w:val="217"/>
        </w:trPr>
        <w:tc>
          <w:tcPr>
            <w:tcW w:w="36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331"/>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GAS-nineteen Ltd.</w:t>
            </w:r>
          </w:p>
        </w:tc>
        <w:tc>
          <w:tcPr>
            <w:tcW w:w="40" w:type="dxa"/>
            <w:vAlign w:val="bottom"/>
          </w:tcPr>
          <w:p>
            <w:pPr>
              <w:spacing w:after="0"/>
              <w:rPr>
                <w:sz w:val="19"/>
                <w:szCs w:val="19"/>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19"/>
                <w:szCs w:val="19"/>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48943</w:t>
            </w:r>
          </w:p>
        </w:tc>
        <w:tc>
          <w:tcPr>
            <w:tcW w:w="40" w:type="dxa"/>
            <w:vAlign w:val="bottom"/>
          </w:tcPr>
          <w:p>
            <w:pPr>
              <w:spacing w:after="0"/>
              <w:rPr>
                <w:sz w:val="16"/>
                <w:szCs w:val="16"/>
                <w:color w:val="auto"/>
              </w:rPr>
            </w:pP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GasLog Services UK Ltd.</w:t>
            </w:r>
          </w:p>
        </w:tc>
        <w:tc>
          <w:tcPr>
            <w:tcW w:w="40" w:type="dxa"/>
            <w:vAlign w:val="bottom"/>
          </w:tcPr>
          <w:p>
            <w:pPr>
              <w:spacing w:after="0"/>
              <w:rPr>
                <w:sz w:val="16"/>
                <w:szCs w:val="16"/>
                <w:color w:val="auto"/>
              </w:rPr>
            </w:pP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c>
          <w:tcPr>
            <w:tcW w:w="40" w:type="dxa"/>
            <w:vAlign w:val="bottom"/>
          </w:tcPr>
          <w:p>
            <w:pPr>
              <w:spacing w:after="0"/>
              <w:rPr>
                <w:sz w:val="20"/>
                <w:szCs w:val="20"/>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19"/>
                <w:szCs w:val="19"/>
                <w:color w:val="auto"/>
              </w:rPr>
            </w:pPr>
          </w:p>
        </w:tc>
      </w:tr>
      <w:tr>
        <w:trPr>
          <w:trHeight w:val="20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Achilleas Tasioulas, c/o GasLog LNG Services Limited, c/o 69 Akti Miaouli GR 185-37</w:t>
            </w:r>
          </w:p>
        </w:tc>
        <w:tc>
          <w:tcPr>
            <w:tcW w:w="40" w:type="dxa"/>
            <w:vAlign w:val="bottom"/>
          </w:tcPr>
          <w:p>
            <w:pPr>
              <w:spacing w:after="0"/>
              <w:rPr>
                <w:sz w:val="18"/>
                <w:szCs w:val="18"/>
                <w:color w:val="auto"/>
              </w:rPr>
            </w:pPr>
          </w:p>
        </w:tc>
      </w:tr>
      <w:tr>
        <w:trPr>
          <w:trHeight w:val="217"/>
        </w:trPr>
        <w:tc>
          <w:tcPr>
            <w:tcW w:w="36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c>
          <w:tcPr>
            <w:tcW w:w="40" w:type="dxa"/>
            <w:vAlign w:val="bottom"/>
          </w:tcPr>
          <w:p>
            <w:pPr>
              <w:spacing w:after="0"/>
              <w:rPr>
                <w:sz w:val="18"/>
                <w:szCs w:val="18"/>
                <w:color w:val="auto"/>
              </w:rPr>
            </w:pPr>
          </w:p>
        </w:tc>
      </w:tr>
      <w:tr>
        <w:trPr>
          <w:trHeight w:val="412"/>
        </w:trPr>
        <w:tc>
          <w:tcPr>
            <w:tcW w:w="3600" w:type="dxa"/>
            <w:vAlign w:val="bottom"/>
          </w:tcPr>
          <w:p>
            <w:pPr>
              <w:spacing w:after="0"/>
              <w:rPr>
                <w:sz w:val="24"/>
                <w:szCs w:val="24"/>
                <w:color w:val="auto"/>
              </w:rPr>
            </w:pPr>
          </w:p>
        </w:tc>
        <w:tc>
          <w:tcPr>
            <w:tcW w:w="7640" w:type="dxa"/>
            <w:vAlign w:val="bottom"/>
          </w:tcPr>
          <w:p>
            <w:pPr>
              <w:jc w:val="center"/>
              <w:ind w:right="3489"/>
              <w:spacing w:after="0"/>
              <w:rPr>
                <w:sz w:val="20"/>
                <w:szCs w:val="20"/>
                <w:color w:val="auto"/>
              </w:rPr>
            </w:pPr>
            <w:r>
              <w:rPr>
                <w:rFonts w:ascii="Arial" w:cs="Arial" w:eastAsia="Arial" w:hAnsi="Arial"/>
                <w:sz w:val="18"/>
                <w:szCs w:val="18"/>
                <w:color w:val="auto"/>
                <w:w w:val="99"/>
              </w:rPr>
              <w:t>151</w:t>
            </w:r>
          </w:p>
        </w:tc>
        <w:tc>
          <w:tcPr>
            <w:tcW w:w="40" w:type="dxa"/>
            <w:vAlign w:val="bottom"/>
          </w:tcPr>
          <w:p>
            <w:pPr>
              <w:spacing w:after="0"/>
              <w:rPr>
                <w:sz w:val="24"/>
                <w:szCs w:val="24"/>
                <w:color w:val="auto"/>
              </w:rPr>
            </w:pPr>
          </w:p>
        </w:tc>
      </w:tr>
      <w:tr>
        <w:trPr>
          <w:trHeight w:val="118"/>
        </w:trPr>
        <w:tc>
          <w:tcPr>
            <w:tcW w:w="360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00" w:right="299" w:bottom="1440" w:gutter="0" w:footer="0" w:header="0"/>
        </w:sectPr>
      </w:pPr>
    </w:p>
    <w:bookmarkStart w:id="326" w:name="page327"/>
    <w:bookmarkEnd w:id="326"/>
    <w:tbl>
      <w:tblPr>
        <w:tblLayout w:type="fixed"/>
        <w:tblInd w:w="10" w:type="dxa"/>
        <w:tblCellMar>
          <w:top w:w="0" w:type="dxa"/>
          <w:left w:w="0" w:type="dxa"/>
          <w:bottom w:w="0" w:type="dxa"/>
          <w:right w:w="0" w:type="dxa"/>
        </w:tblCellMar>
      </w:tblPr>
      <w:tr>
        <w:trPr>
          <w:trHeight w:val="239"/>
        </w:trPr>
        <w:tc>
          <w:tcPr>
            <w:tcW w:w="3600" w:type="dxa"/>
            <w:vAlign w:val="bottom"/>
          </w:tcPr>
          <w:p>
            <w:pPr>
              <w:spacing w:after="0"/>
              <w:rPr>
                <w:sz w:val="20"/>
                <w:szCs w:val="20"/>
                <w:color w:val="auto"/>
              </w:rPr>
            </w:pPr>
          </w:p>
        </w:tc>
        <w:tc>
          <w:tcPr>
            <w:tcW w:w="7640" w:type="dxa"/>
            <w:vAlign w:val="bottom"/>
          </w:tcPr>
          <w:p>
            <w:pPr>
              <w:ind w:left="1740"/>
              <w:spacing w:after="0"/>
              <w:rPr>
                <w:sz w:val="20"/>
                <w:szCs w:val="20"/>
                <w:color w:val="auto"/>
              </w:rPr>
            </w:pPr>
            <w:r>
              <w:rPr>
                <w:rFonts w:ascii="Arial" w:cs="Arial" w:eastAsia="Arial" w:hAnsi="Arial"/>
                <w:sz w:val="18"/>
                <w:szCs w:val="18"/>
                <w:b w:val="1"/>
                <w:bCs w:val="1"/>
                <w:color w:val="auto"/>
              </w:rPr>
              <w:t>Parent</w:t>
            </w:r>
          </w:p>
        </w:tc>
      </w:tr>
      <w:tr>
        <w:trPr>
          <w:trHeight w:val="189"/>
        </w:trPr>
        <w:tc>
          <w:tcPr>
            <w:tcW w:w="360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tcPr>
          <w:p>
            <w:pPr>
              <w:spacing w:after="0"/>
              <w:rPr>
                <w:sz w:val="16"/>
                <w:szCs w:val="16"/>
                <w:color w:val="auto"/>
              </w:rPr>
            </w:pP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GasLog Partners LP</w:t>
            </w: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Marshall Islands</w:t>
            </w: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950063</w:t>
            </w: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spacing w:after="0"/>
              <w:rPr>
                <w:sz w:val="20"/>
                <w:szCs w:val="20"/>
                <w:color w:val="auto"/>
              </w:rPr>
            </w:pPr>
          </w:p>
        </w:tc>
      </w:tr>
      <w:tr>
        <w:trPr>
          <w:trHeight w:val="187"/>
        </w:trPr>
        <w:tc>
          <w:tcPr>
            <w:tcW w:w="36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6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GasLog Services UK Ltd.</w:t>
            </w:r>
          </w:p>
        </w:tc>
      </w:tr>
      <w:tr>
        <w:trPr>
          <w:trHeight w:val="239"/>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r>
      <w:tr>
        <w:trPr>
          <w:trHeight w:val="223"/>
        </w:trPr>
        <w:tc>
          <w:tcPr>
            <w:tcW w:w="36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Trust Company Complex, Ajeltake Road, Ajeltake Island, Majuro, Marshall Islands MH96960</w:t>
            </w:r>
          </w:p>
        </w:tc>
      </w:tr>
      <w:tr>
        <w:trPr>
          <w:trHeight w:val="209"/>
        </w:trPr>
        <w:tc>
          <w:tcPr>
            <w:tcW w:w="36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7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Achilleas Tasioulas, c/o GasLog LNG Services Limited, c/o 69 Akti Miaouli GR 185-37</w:t>
            </w:r>
          </w:p>
        </w:tc>
      </w:tr>
      <w:tr>
        <w:trPr>
          <w:trHeight w:val="217"/>
        </w:trPr>
        <w:tc>
          <w:tcPr>
            <w:tcW w:w="36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r>
    </w:tbl>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7140" w:type="dxa"/>
            <w:vAlign w:val="bottom"/>
          </w:tcPr>
          <w:p>
            <w:pPr>
              <w:ind w:left="780"/>
              <w:spacing w:after="0"/>
              <w:rPr>
                <w:sz w:val="20"/>
                <w:szCs w:val="20"/>
                <w:color w:val="auto"/>
              </w:rPr>
            </w:pPr>
            <w:r>
              <w:rPr>
                <w:rFonts w:ascii="Arial" w:cs="Arial" w:eastAsia="Arial" w:hAnsi="Arial"/>
                <w:sz w:val="18"/>
                <w:szCs w:val="18"/>
                <w:b w:val="1"/>
                <w:bCs w:val="1"/>
                <w:color w:val="auto"/>
              </w:rPr>
              <w:t>GasLog Holdings</w:t>
            </w:r>
          </w:p>
        </w:tc>
      </w:tr>
      <w:tr>
        <w:trPr>
          <w:trHeight w:val="189"/>
        </w:trPr>
        <w:tc>
          <w:tcPr>
            <w:tcW w:w="4100" w:type="dxa"/>
            <w:vAlign w:val="bottom"/>
            <w:tcBorders>
              <w:bottom w:val="single" w:sz="8" w:color="auto"/>
            </w:tcBorders>
          </w:tcPr>
          <w:p>
            <w:pPr>
              <w:spacing w:after="0"/>
              <w:rPr>
                <w:sz w:val="16"/>
                <w:szCs w:val="16"/>
                <w:color w:val="auto"/>
              </w:rPr>
            </w:pPr>
          </w:p>
        </w:tc>
        <w:tc>
          <w:tcPr>
            <w:tcW w:w="7140" w:type="dxa"/>
            <w:vAlign w:val="bottom"/>
            <w:tcBorders>
              <w:bottom w:val="single" w:sz="8" w:color="auto"/>
            </w:tcBorders>
          </w:tcPr>
          <w:p>
            <w:pPr>
              <w:spacing w:after="0"/>
              <w:rPr>
                <w:sz w:val="16"/>
                <w:szCs w:val="16"/>
                <w:color w:val="auto"/>
              </w:rPr>
            </w:pPr>
          </w:p>
        </w:tc>
      </w:tr>
      <w:tr>
        <w:trPr>
          <w:trHeight w:val="223"/>
        </w:trPr>
        <w:tc>
          <w:tcPr>
            <w:tcW w:w="41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GasLog Partners Holdings LLC</w:t>
            </w:r>
          </w:p>
        </w:tc>
      </w:tr>
      <w:tr>
        <w:trPr>
          <w:trHeight w:val="223"/>
        </w:trPr>
        <w:tc>
          <w:tcPr>
            <w:tcW w:w="41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Marshall Islands</w:t>
            </w:r>
          </w:p>
        </w:tc>
      </w:tr>
      <w:tr>
        <w:trPr>
          <w:trHeight w:val="223"/>
        </w:trPr>
        <w:tc>
          <w:tcPr>
            <w:tcW w:w="41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962930</w:t>
            </w:r>
          </w:p>
        </w:tc>
      </w:tr>
      <w:tr>
        <w:trPr>
          <w:trHeight w:val="187"/>
        </w:trPr>
        <w:tc>
          <w:tcPr>
            <w:tcW w:w="41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w:t>
            </w:r>
          </w:p>
        </w:tc>
        <w:tc>
          <w:tcPr>
            <w:tcW w:w="714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8"/>
                <w:szCs w:val="18"/>
                <w:color w:val="auto"/>
              </w:rPr>
              <w:t>GasLog Services UK Ltd.</w:t>
            </w:r>
          </w:p>
        </w:tc>
      </w:tr>
      <w:tr>
        <w:trPr>
          <w:trHeight w:val="239"/>
        </w:trPr>
        <w:tc>
          <w:tcPr>
            <w:tcW w:w="41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81 Kings Road, London, SW3 4XN</w:t>
            </w:r>
          </w:p>
        </w:tc>
      </w:tr>
      <w:tr>
        <w:trPr>
          <w:trHeight w:val="209"/>
        </w:trPr>
        <w:tc>
          <w:tcPr>
            <w:tcW w:w="41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Trust Company Complex, Ajeltake Road, Ajeltake Island, Majuro, Marshall Islands</w:t>
            </w:r>
          </w:p>
        </w:tc>
      </w:tr>
      <w:tr>
        <w:trPr>
          <w:trHeight w:val="217"/>
        </w:trPr>
        <w:tc>
          <w:tcPr>
            <w:tcW w:w="41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MH96960</w:t>
            </w:r>
          </w:p>
        </w:tc>
      </w:tr>
      <w:tr>
        <w:trPr>
          <w:trHeight w:val="209"/>
        </w:trPr>
        <w:tc>
          <w:tcPr>
            <w:tcW w:w="41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Achilleas Tasioulas, c/o GasLog LNG Services Limited, c/o 69 Akti Miaouli GR 185-37</w:t>
            </w:r>
          </w:p>
        </w:tc>
      </w:tr>
      <w:tr>
        <w:trPr>
          <w:trHeight w:val="217"/>
        </w:trPr>
        <w:tc>
          <w:tcPr>
            <w:tcW w:w="41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Piraeus, Greece</w:t>
            </w:r>
          </w:p>
        </w:tc>
      </w:tr>
    </w:tbl>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540" w:type="dxa"/>
            <w:vAlign w:val="bottom"/>
            <w:tcBorders>
              <w:top w:val="single" w:sz="8" w:color="auto"/>
              <w:bottom w:val="single" w:sz="8" w:color="auto"/>
              <w:right w:val="single" w:sz="8" w:color="auto"/>
            </w:tcBorders>
            <w:shd w:val="clear" w:color="auto" w:fill="C0C0C0"/>
          </w:tcPr>
          <w:p>
            <w:pPr>
              <w:spacing w:after="0"/>
              <w:rPr>
                <w:sz w:val="21"/>
                <w:szCs w:val="21"/>
                <w:color w:val="auto"/>
              </w:rPr>
            </w:pPr>
          </w:p>
        </w:tc>
        <w:tc>
          <w:tcPr>
            <w:tcW w:w="76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GasLog Ltd.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tcBorders>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540" w:type="dxa"/>
            <w:vAlign w:val="bottom"/>
            <w:tcBorders>
              <w:bottom w:val="single" w:sz="8" w:color="auto"/>
              <w:right w:val="single" w:sz="8" w:color="auto"/>
            </w:tcBorders>
            <w:shd w:val="clear" w:color="auto" w:fill="C0C0C0"/>
          </w:tcPr>
          <w:p>
            <w:pPr>
              <w:spacing w:after="0"/>
              <w:rPr>
                <w:sz w:val="19"/>
                <w:szCs w:val="19"/>
                <w:color w:val="auto"/>
              </w:rPr>
            </w:pPr>
          </w:p>
        </w:tc>
        <w:tc>
          <w:tcPr>
            <w:tcW w:w="7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80" w:type="dxa"/>
            <w:vAlign w:val="bottom"/>
            <w:tcBorders>
              <w:left w:val="single" w:sz="8" w:color="auto"/>
              <w:right w:val="single" w:sz="8" w:color="auto"/>
            </w:tcBorders>
            <w:gridSpan w:val="2"/>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33928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540" w:type="dxa"/>
            <w:vAlign w:val="bottom"/>
            <w:tcBorders>
              <w:right w:val="single" w:sz="8" w:color="auto"/>
            </w:tcBorders>
            <w:shd w:val="clear" w:color="auto" w:fill="C0C0C0"/>
          </w:tcPr>
          <w:p>
            <w:pPr>
              <w:spacing w:after="0"/>
              <w:rPr>
                <w:sz w:val="11"/>
                <w:szCs w:val="11"/>
                <w:color w:val="auto"/>
              </w:rPr>
            </w:pPr>
          </w:p>
        </w:tc>
        <w:tc>
          <w:tcPr>
            <w:tcW w:w="76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40" w:type="dxa"/>
            <w:vAlign w:val="bottom"/>
            <w:tcBorders>
              <w:left w:val="single" w:sz="8" w:color="auto"/>
              <w:bottom w:val="single" w:sz="8" w:color="auto"/>
            </w:tcBorders>
            <w:vMerge w:val="continue"/>
            <w:shd w:val="clear" w:color="auto" w:fill="C0C0C0"/>
          </w:tcPr>
          <w:p>
            <w:pPr>
              <w:spacing w:after="0"/>
              <w:rPr>
                <w:sz w:val="9"/>
                <w:szCs w:val="9"/>
                <w:color w:val="auto"/>
              </w:rPr>
            </w:pPr>
          </w:p>
        </w:tc>
        <w:tc>
          <w:tcPr>
            <w:tcW w:w="540" w:type="dxa"/>
            <w:vAlign w:val="bottom"/>
            <w:tcBorders>
              <w:bottom w:val="single" w:sz="8" w:color="auto"/>
              <w:right w:val="single" w:sz="8" w:color="auto"/>
            </w:tcBorders>
            <w:shd w:val="clear" w:color="auto" w:fill="C0C0C0"/>
          </w:tcPr>
          <w:p>
            <w:pPr>
              <w:spacing w:after="0"/>
              <w:rPr>
                <w:sz w:val="9"/>
                <w:szCs w:val="9"/>
                <w:color w:val="auto"/>
              </w:rPr>
            </w:pPr>
          </w:p>
        </w:tc>
        <w:tc>
          <w:tcPr>
            <w:tcW w:w="766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040" w:type="dxa"/>
            <w:vAlign w:val="bottom"/>
            <w:tcBorders>
              <w:lef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40" w:type="dxa"/>
            <w:vAlign w:val="bottom"/>
            <w:tcBorders>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not</w:t>
            </w:r>
          </w:p>
        </w:tc>
        <w:tc>
          <w:tcPr>
            <w:tcW w:w="7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GasLog Services UK Ltd., c/o 81 Kings Road, London, SW3 4XN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540" w:type="dxa"/>
            <w:vAlign w:val="bottom"/>
            <w:tcBorders>
              <w:right w:val="single" w:sz="8" w:color="auto"/>
            </w:tcBorders>
            <w:shd w:val="clear" w:color="auto" w:fill="C0C0C0"/>
          </w:tcPr>
          <w:p>
            <w:pPr>
              <w:spacing w:after="0"/>
              <w:rPr>
                <w:sz w:val="11"/>
                <w:szCs w:val="11"/>
                <w:color w:val="auto"/>
              </w:rPr>
            </w:pPr>
          </w:p>
        </w:tc>
        <w:tc>
          <w:tcPr>
            <w:tcW w:w="76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40" w:type="dxa"/>
            <w:vAlign w:val="bottom"/>
            <w:tcBorders>
              <w:left w:val="single" w:sz="8" w:color="auto"/>
              <w:bottom w:val="single" w:sz="8" w:color="auto"/>
            </w:tcBorders>
            <w:vMerge w:val="continue"/>
            <w:shd w:val="clear" w:color="auto" w:fill="C0C0C0"/>
          </w:tcPr>
          <w:p>
            <w:pPr>
              <w:spacing w:after="0"/>
              <w:rPr>
                <w:sz w:val="9"/>
                <w:szCs w:val="9"/>
                <w:color w:val="auto"/>
              </w:rPr>
            </w:pPr>
          </w:p>
        </w:tc>
        <w:tc>
          <w:tcPr>
            <w:tcW w:w="540" w:type="dxa"/>
            <w:vAlign w:val="bottom"/>
            <w:tcBorders>
              <w:bottom w:val="single" w:sz="8" w:color="auto"/>
              <w:right w:val="single" w:sz="8" w:color="auto"/>
            </w:tcBorders>
            <w:shd w:val="clear" w:color="auto" w:fill="C0C0C0"/>
          </w:tcPr>
          <w:p>
            <w:pPr>
              <w:spacing w:after="0"/>
              <w:rPr>
                <w:sz w:val="9"/>
                <w:szCs w:val="9"/>
                <w:color w:val="auto"/>
              </w:rPr>
            </w:pPr>
          </w:p>
        </w:tc>
        <w:tc>
          <w:tcPr>
            <w:tcW w:w="766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40" w:type="dxa"/>
            <w:vAlign w:val="bottom"/>
            <w:tcBorders>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540" w:type="dxa"/>
            <w:vAlign w:val="bottom"/>
            <w:tcBorders>
              <w:bottom w:val="single" w:sz="8" w:color="auto"/>
              <w:right w:val="single" w:sz="8" w:color="auto"/>
            </w:tcBorders>
            <w:shd w:val="clear" w:color="auto" w:fill="C0C0C0"/>
          </w:tcPr>
          <w:p>
            <w:pPr>
              <w:spacing w:after="0"/>
              <w:rPr>
                <w:sz w:val="19"/>
                <w:szCs w:val="19"/>
                <w:color w:val="auto"/>
              </w:rPr>
            </w:pPr>
          </w:p>
        </w:tc>
        <w:tc>
          <w:tcPr>
            <w:tcW w:w="7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Clarendon House, 2 Church Street, Hamilton HM 11, Bermuda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540" w:type="dxa"/>
            <w:vAlign w:val="bottom"/>
            <w:tcBorders>
              <w:right w:val="single" w:sz="8" w:color="auto"/>
            </w:tcBorders>
            <w:shd w:val="clear" w:color="auto" w:fill="C0C0C0"/>
          </w:tcPr>
          <w:p>
            <w:pPr>
              <w:spacing w:after="0"/>
              <w:rPr>
                <w:sz w:val="18"/>
                <w:szCs w:val="18"/>
                <w:color w:val="auto"/>
              </w:rPr>
            </w:pPr>
          </w:p>
        </w:tc>
        <w:tc>
          <w:tcPr>
            <w:tcW w:w="7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Achilleas Tasioulas, c/o GasLog LNG Services Ltd., c/o 69 Akti Miaouli Piraeus, GR 185 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40" w:type="dxa"/>
            <w:vAlign w:val="bottom"/>
            <w:tcBorders>
              <w:left w:val="single" w:sz="8" w:color="auto"/>
              <w:bottom w:val="single" w:sz="8" w:color="auto"/>
            </w:tcBorders>
            <w:shd w:val="clear" w:color="auto" w:fill="C0C0C0"/>
          </w:tcPr>
          <w:p>
            <w:pPr>
              <w:spacing w:after="0"/>
              <w:rPr>
                <w:sz w:val="18"/>
                <w:szCs w:val="18"/>
                <w:color w:val="auto"/>
              </w:rPr>
            </w:pPr>
          </w:p>
        </w:tc>
        <w:tc>
          <w:tcPr>
            <w:tcW w:w="540" w:type="dxa"/>
            <w:vAlign w:val="bottom"/>
            <w:tcBorders>
              <w:bottom w:val="single" w:sz="8" w:color="auto"/>
              <w:right w:val="single" w:sz="8" w:color="auto"/>
            </w:tcBorders>
            <w:shd w:val="clear" w:color="auto" w:fill="C0C0C0"/>
          </w:tcPr>
          <w:p>
            <w:pPr>
              <w:spacing w:after="0"/>
              <w:rPr>
                <w:sz w:val="18"/>
                <w:szCs w:val="18"/>
                <w:color w:val="auto"/>
              </w:rPr>
            </w:pPr>
          </w:p>
        </w:tc>
        <w:tc>
          <w:tcPr>
            <w:tcW w:w="7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60" w:type="dxa"/>
            <w:vAlign w:val="bottom"/>
          </w:tcPr>
          <w:p>
            <w:pPr>
              <w:ind w:left="190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327" w:name="page328"/>
    <w:bookmarkEnd w:id="327"/>
    <w:tbl>
      <w:tblPr>
        <w:tblLayout w:type="fixed"/>
        <w:tblInd w:w="1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7480" w:type="dxa"/>
            <w:vAlign w:val="bottom"/>
          </w:tcPr>
          <w:p>
            <w:pPr>
              <w:ind w:left="1160"/>
              <w:spacing w:after="0"/>
              <w:rPr>
                <w:sz w:val="20"/>
                <w:szCs w:val="20"/>
                <w:color w:val="auto"/>
              </w:rPr>
            </w:pPr>
            <w:r>
              <w:rPr>
                <w:rFonts w:ascii="Arial" w:cs="Arial" w:eastAsia="Arial" w:hAnsi="Arial"/>
                <w:sz w:val="18"/>
                <w:szCs w:val="18"/>
                <w:b w:val="1"/>
                <w:bCs w:val="1"/>
                <w:color w:val="auto"/>
              </w:rPr>
              <w:t>GasLog Carriers</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76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GasLog Carriers Ltd.</w:t>
            </w:r>
          </w:p>
        </w:tc>
        <w:tc>
          <w:tcPr>
            <w:tcW w:w="0" w:type="dxa"/>
            <w:vAlign w:val="bottom"/>
          </w:tcPr>
          <w:p>
            <w:pPr>
              <w:spacing w:after="0"/>
              <w:rPr>
                <w:sz w:val="1"/>
                <w:szCs w:val="1"/>
                <w:color w:val="auto"/>
              </w:rPr>
            </w:pPr>
          </w:p>
        </w:tc>
      </w:tr>
      <w:tr>
        <w:trPr>
          <w:trHeight w:val="277"/>
        </w:trPr>
        <w:tc>
          <w:tcPr>
            <w:tcW w:w="376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7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4"/>
        </w:trPr>
        <w:tc>
          <w:tcPr>
            <w:tcW w:w="376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74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41493</w:t>
            </w: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7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Borders>
              <w:left w:val="single" w:sz="8" w:color="auto"/>
              <w:bottom w:val="single" w:sz="8" w:color="C0C0C0"/>
              <w:right w:val="single" w:sz="8" w:color="auto"/>
            </w:tcBorders>
            <w:vMerge w:val="continue"/>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76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4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GasLog Services UK Ltd., c/o 81 Kings Road, London, SW3 4XN</w:t>
            </w: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Borders>
              <w:left w:val="single" w:sz="8" w:color="auto"/>
              <w:bottom w:val="single" w:sz="8" w:color="C0C0C0"/>
              <w:right w:val="single" w:sz="8" w:color="auto"/>
            </w:tcBorders>
            <w:vMerge w:val="continue"/>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76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Clarendon House, 2 Church Street, Hamilton HM 11, Bermuda</w:t>
            </w:r>
          </w:p>
        </w:tc>
        <w:tc>
          <w:tcPr>
            <w:tcW w:w="0" w:type="dxa"/>
            <w:vAlign w:val="bottom"/>
          </w:tcPr>
          <w:p>
            <w:pPr>
              <w:spacing w:after="0"/>
              <w:rPr>
                <w:sz w:val="1"/>
                <w:szCs w:val="1"/>
                <w:color w:val="auto"/>
              </w:rPr>
            </w:pPr>
          </w:p>
        </w:tc>
      </w:tr>
      <w:tr>
        <w:trPr>
          <w:trHeight w:val="236"/>
        </w:trPr>
        <w:tc>
          <w:tcPr>
            <w:tcW w:w="376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7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Achilleas Tasioulas, c/o GasLog LNG Services Ltd., c/o 69 Akti Miaouli Piraeus, GR 185</w:t>
            </w:r>
          </w:p>
        </w:tc>
        <w:tc>
          <w:tcPr>
            <w:tcW w:w="0" w:type="dxa"/>
            <w:vAlign w:val="bottom"/>
          </w:tcPr>
          <w:p>
            <w:pPr>
              <w:spacing w:after="0"/>
              <w:rPr>
                <w:sz w:val="1"/>
                <w:szCs w:val="1"/>
                <w:color w:val="auto"/>
              </w:rPr>
            </w:pPr>
          </w:p>
        </w:tc>
      </w:tr>
      <w:tr>
        <w:trPr>
          <w:trHeight w:val="224"/>
        </w:trPr>
        <w:tc>
          <w:tcPr>
            <w:tcW w:w="3760" w:type="dxa"/>
            <w:vAlign w:val="bottom"/>
            <w:tcBorders>
              <w:left w:val="single" w:sz="8" w:color="auto"/>
              <w:bottom w:val="single" w:sz="8" w:color="C0C0C0"/>
              <w:right w:val="single" w:sz="8" w:color="auto"/>
            </w:tcBorders>
            <w:shd w:val="clear" w:color="auto" w:fill="C0C0C0"/>
          </w:tcPr>
          <w:p>
            <w:pPr>
              <w:spacing w:after="0"/>
              <w:rPr>
                <w:sz w:val="19"/>
                <w:szCs w:val="19"/>
                <w:color w:val="auto"/>
              </w:rPr>
            </w:pPr>
          </w:p>
        </w:tc>
        <w:tc>
          <w:tcPr>
            <w:tcW w:w="7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37, Greece</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7280" w:type="dxa"/>
            <w:vAlign w:val="bottom"/>
            <w:gridSpan w:val="4"/>
          </w:tcPr>
          <w:p>
            <w:pPr>
              <w:ind w:left="760"/>
              <w:spacing w:after="0"/>
              <w:rPr>
                <w:sz w:val="20"/>
                <w:szCs w:val="20"/>
                <w:color w:val="auto"/>
              </w:rPr>
            </w:pPr>
            <w:r>
              <w:rPr>
                <w:rFonts w:ascii="Arial" w:cs="Arial" w:eastAsia="Arial" w:hAnsi="Arial"/>
                <w:sz w:val="18"/>
                <w:szCs w:val="18"/>
                <w:b w:val="1"/>
                <w:bCs w:val="1"/>
                <w:color w:val="auto"/>
              </w:rPr>
              <w:t>The Original Lenders</w:t>
            </w:r>
          </w:p>
        </w:tc>
      </w:tr>
      <w:tr>
        <w:trPr>
          <w:trHeight w:val="189"/>
        </w:trPr>
        <w:tc>
          <w:tcPr>
            <w:tcW w:w="3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spacing w:after="0"/>
              <w:rPr>
                <w:sz w:val="16"/>
                <w:szCs w:val="16"/>
                <w:color w:val="auto"/>
              </w:rPr>
            </w:pPr>
          </w:p>
        </w:tc>
      </w:tr>
      <w:tr>
        <w:trPr>
          <w:trHeight w:val="277"/>
        </w:trPr>
        <w:tc>
          <w:tcPr>
            <w:tcW w:w="396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2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DNB (UK) Ltd.</w:t>
            </w:r>
          </w:p>
        </w:tc>
      </w:tr>
      <w:tr>
        <w:trPr>
          <w:trHeight w:val="214"/>
        </w:trPr>
        <w:tc>
          <w:tcPr>
            <w:tcW w:w="396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Facility Office, address, email and</w:t>
            </w:r>
          </w:p>
        </w:tc>
        <w:tc>
          <w:tcPr>
            <w:tcW w:w="9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Address:</w:t>
            </w:r>
          </w:p>
        </w:tc>
        <w:tc>
          <w:tcPr>
            <w:tcW w:w="63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8th Floor</w:t>
            </w:r>
          </w:p>
        </w:tc>
      </w:tr>
      <w:tr>
        <w:trPr>
          <w:trHeight w:val="224"/>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attention details for notices</w:t>
            </w:r>
          </w:p>
        </w:tc>
        <w:tc>
          <w:tcPr>
            <w:tcW w:w="900" w:type="dxa"/>
            <w:vAlign w:val="bottom"/>
          </w:tcPr>
          <w:p>
            <w:pPr>
              <w:spacing w:after="0"/>
              <w:rPr>
                <w:sz w:val="19"/>
                <w:szCs w:val="19"/>
                <w:color w:val="auto"/>
              </w:rPr>
            </w:pPr>
          </w:p>
        </w:tc>
        <w:tc>
          <w:tcPr>
            <w:tcW w:w="63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The Walbrook Building</w:t>
            </w: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6380" w:type="dxa"/>
            <w:vAlign w:val="bottom"/>
            <w:tcBorders>
              <w:right w:val="single" w:sz="8" w:color="auto"/>
            </w:tcBorders>
            <w:gridSpan w:val="3"/>
          </w:tcPr>
          <w:p>
            <w:pPr>
              <w:ind w:left="120"/>
              <w:spacing w:after="0" w:line="202" w:lineRule="exact"/>
              <w:rPr>
                <w:sz w:val="20"/>
                <w:szCs w:val="20"/>
                <w:color w:val="auto"/>
              </w:rPr>
            </w:pPr>
            <w:r>
              <w:rPr>
                <w:rFonts w:ascii="Arial" w:cs="Arial" w:eastAsia="Arial" w:hAnsi="Arial"/>
                <w:sz w:val="18"/>
                <w:szCs w:val="18"/>
                <w:color w:val="auto"/>
              </w:rPr>
              <w:t>25 Walbrook</w:t>
            </w: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900" w:type="dxa"/>
            <w:vAlign w:val="bottom"/>
          </w:tcPr>
          <w:p>
            <w:pPr>
              <w:spacing w:after="0"/>
              <w:rPr>
                <w:sz w:val="18"/>
                <w:szCs w:val="18"/>
                <w:color w:val="auto"/>
              </w:rPr>
            </w:pPr>
          </w:p>
        </w:tc>
        <w:tc>
          <w:tcPr>
            <w:tcW w:w="63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London EC4N 8AF</w:t>
            </w:r>
          </w:p>
        </w:tc>
      </w:tr>
      <w:tr>
        <w:trPr>
          <w:trHeight w:val="270"/>
        </w:trPr>
        <w:tc>
          <w:tcPr>
            <w:tcW w:w="3960" w:type="dxa"/>
            <w:vAlign w:val="bottom"/>
            <w:tcBorders>
              <w:left w:val="single" w:sz="8" w:color="auto"/>
              <w:right w:val="single" w:sz="8" w:color="auto"/>
            </w:tcBorders>
            <w:shd w:val="clear" w:color="auto" w:fill="C0C0C0"/>
          </w:tcPr>
          <w:p>
            <w:pPr>
              <w:spacing w:after="0"/>
              <w:rPr>
                <w:sz w:val="23"/>
                <w:szCs w:val="23"/>
                <w:color w:val="auto"/>
              </w:rPr>
            </w:pPr>
          </w:p>
        </w:tc>
        <w:tc>
          <w:tcPr>
            <w:tcW w:w="72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Attention:  Credit Middle Office &amp; Agency</w:t>
            </w:r>
          </w:p>
        </w:tc>
      </w:tr>
      <w:tr>
        <w:trPr>
          <w:trHeight w:val="297"/>
        </w:trPr>
        <w:tc>
          <w:tcPr>
            <w:tcW w:w="3960" w:type="dxa"/>
            <w:vAlign w:val="bottom"/>
            <w:tcBorders>
              <w:left w:val="single" w:sz="8" w:color="auto"/>
              <w:bottom w:val="single" w:sz="8" w:color="auto"/>
              <w:right w:val="single" w:sz="8" w:color="auto"/>
            </w:tcBorders>
            <w:shd w:val="clear" w:color="auto" w:fill="C0C0C0"/>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Email:</w:t>
            </w:r>
          </w:p>
        </w:tc>
        <w:tc>
          <w:tcPr>
            <w:tcW w:w="120" w:type="dxa"/>
            <w:vAlign w:val="bottom"/>
            <w:tcBorders>
              <w:bottom w:val="single" w:sz="8" w:color="auto"/>
            </w:tcBorders>
          </w:tcPr>
          <w:p>
            <w:pPr>
              <w:spacing w:after="0"/>
              <w:rPr>
                <w:sz w:val="24"/>
                <w:szCs w:val="24"/>
                <w:color w:val="auto"/>
              </w:rPr>
            </w:pPr>
          </w:p>
        </w:tc>
        <w:tc>
          <w:tcPr>
            <w:tcW w:w="6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0000FF"/>
              </w:rPr>
              <w:t>cmoalondon@dnb.no</w:t>
            </w:r>
          </w:p>
        </w:tc>
      </w:tr>
      <w:tr>
        <w:trPr>
          <w:trHeight w:val="257"/>
        </w:trPr>
        <w:tc>
          <w:tcPr>
            <w:tcW w:w="396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Commitment ($)</w:t>
            </w: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100,000,000</w:t>
            </w:r>
          </w:p>
        </w:tc>
        <w:tc>
          <w:tcPr>
            <w:tcW w:w="4560" w:type="dxa"/>
            <w:vAlign w:val="bottom"/>
            <w:tcBorders>
              <w:right w:val="single" w:sz="8" w:color="auto"/>
            </w:tcBorders>
          </w:tcPr>
          <w:p>
            <w:pPr>
              <w:spacing w:after="0"/>
              <w:rPr>
                <w:sz w:val="22"/>
                <w:szCs w:val="22"/>
                <w:color w:val="auto"/>
              </w:rPr>
            </w:pPr>
          </w:p>
        </w:tc>
      </w:tr>
      <w:tr>
        <w:trPr>
          <w:trHeight w:val="20"/>
        </w:trPr>
        <w:tc>
          <w:tcPr>
            <w:tcW w:w="3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560" w:type="dxa"/>
            <w:vAlign w:val="bottom"/>
            <w:tcBorders>
              <w:right w:val="single" w:sz="8" w:color="auto"/>
            </w:tcBorders>
            <w:shd w:val="clear" w:color="auto" w:fill="000000"/>
          </w:tcPr>
          <w:p>
            <w:pPr>
              <w:spacing w:after="0" w:line="20" w:lineRule="exact"/>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960" w:type="dxa"/>
            <w:vAlign w:val="bottom"/>
            <w:tcBorders>
              <w:top w:val="single" w:sz="8" w:color="auto"/>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28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ING Bank N.V., London Branch</w:t>
            </w:r>
          </w:p>
        </w:tc>
      </w:tr>
      <w:tr>
        <w:trPr>
          <w:trHeight w:val="214"/>
        </w:trPr>
        <w:tc>
          <w:tcPr>
            <w:tcW w:w="396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Facility Office, address, email and attention</w:t>
            </w:r>
          </w:p>
        </w:tc>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Address:</w:t>
            </w:r>
          </w:p>
        </w:tc>
        <w:tc>
          <w:tcPr>
            <w:tcW w:w="636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8-10 Moorgate</w:t>
            </w:r>
          </w:p>
        </w:tc>
      </w:tr>
      <w:tr>
        <w:trPr>
          <w:trHeight w:val="239"/>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details for notices</w:t>
            </w:r>
          </w:p>
        </w:tc>
        <w:tc>
          <w:tcPr>
            <w:tcW w:w="920" w:type="dxa"/>
            <w:vAlign w:val="bottom"/>
          </w:tcPr>
          <w:p>
            <w:pPr>
              <w:spacing w:after="0"/>
              <w:rPr>
                <w:sz w:val="20"/>
                <w:szCs w:val="20"/>
                <w:color w:val="auto"/>
              </w:rPr>
            </w:pPr>
          </w:p>
        </w:tc>
        <w:tc>
          <w:tcPr>
            <w:tcW w:w="6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London EC2R 6DA</w:t>
            </w: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FOR CREDIT MATTERS:</w:t>
            </w: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7280" w:type="dxa"/>
            <w:vAlign w:val="bottom"/>
            <w:tcBorders>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Attention:  Adam Byrne and Weilong Liang</w:t>
            </w:r>
          </w:p>
        </w:tc>
      </w:tr>
      <w:tr>
        <w:trPr>
          <w:trHeight w:val="176"/>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100" w:type="dxa"/>
            <w:vAlign w:val="bottom"/>
          </w:tcPr>
          <w:p>
            <w:pPr>
              <w:spacing w:after="0"/>
              <w:rPr>
                <w:sz w:val="15"/>
                <w:szCs w:val="15"/>
                <w:color w:val="auto"/>
              </w:rPr>
            </w:pPr>
          </w:p>
        </w:tc>
        <w:tc>
          <w:tcPr>
            <w:tcW w:w="626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0000FF"/>
              </w:rPr>
              <w:t>Adam.Byrne@ing.com / Weilong.Liang@ing.com</w:t>
            </w:r>
          </w:p>
        </w:tc>
      </w:tr>
      <w:tr>
        <w:trPr>
          <w:trHeight w:val="20"/>
        </w:trPr>
        <w:tc>
          <w:tcPr>
            <w:tcW w:w="396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r>
      <w:tr>
        <w:trPr>
          <w:trHeight w:val="41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FOR LOAN ADMINISTRATION:</w:t>
            </w: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7280" w:type="dxa"/>
            <w:vAlign w:val="bottom"/>
            <w:tcBorders>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Attention:  Thomas Lockhart -Boyd and Stephanie Boughtwood</w:t>
            </w:r>
          </w:p>
        </w:tc>
      </w:tr>
      <w:tr>
        <w:trPr>
          <w:trHeight w:val="244"/>
        </w:trPr>
        <w:tc>
          <w:tcPr>
            <w:tcW w:w="3960" w:type="dxa"/>
            <w:vAlign w:val="bottom"/>
            <w:tcBorders>
              <w:left w:val="single" w:sz="8" w:color="auto"/>
              <w:bottom w:val="single" w:sz="8" w:color="auto"/>
              <w:right w:val="single" w:sz="8" w:color="auto"/>
            </w:tcBorders>
            <w:shd w:val="clear" w:color="auto" w:fill="C0C0C0"/>
          </w:tcPr>
          <w:p>
            <w:pPr>
              <w:spacing w:after="0"/>
              <w:rPr>
                <w:sz w:val="21"/>
                <w:szCs w:val="21"/>
                <w:color w:val="auto"/>
              </w:rPr>
            </w:pPr>
          </w:p>
        </w:tc>
        <w:tc>
          <w:tcPr>
            <w:tcW w:w="92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18"/>
                <w:szCs w:val="18"/>
                <w:color w:val="auto"/>
              </w:rPr>
              <w:t>Email:</w:t>
            </w:r>
          </w:p>
        </w:tc>
        <w:tc>
          <w:tcPr>
            <w:tcW w:w="100" w:type="dxa"/>
            <w:vAlign w:val="bottom"/>
            <w:tcBorders>
              <w:bottom w:val="single" w:sz="8" w:color="auto"/>
            </w:tcBorders>
          </w:tcPr>
          <w:p>
            <w:pPr>
              <w:spacing w:after="0"/>
              <w:rPr>
                <w:sz w:val="21"/>
                <w:szCs w:val="21"/>
                <w:color w:val="auto"/>
              </w:rPr>
            </w:pPr>
          </w:p>
        </w:tc>
        <w:tc>
          <w:tcPr>
            <w:tcW w:w="6260" w:type="dxa"/>
            <w:vAlign w:val="bottom"/>
            <w:tcBorders>
              <w:bottom w:val="single" w:sz="8" w:color="auto"/>
              <w:right w:val="single" w:sz="8" w:color="auto"/>
            </w:tcBorders>
            <w:gridSpan w:val="3"/>
          </w:tcPr>
          <w:p>
            <w:pPr>
              <w:spacing w:after="0" w:line="176" w:lineRule="exact"/>
              <w:rPr>
                <w:sz w:val="20"/>
                <w:szCs w:val="20"/>
                <w:color w:val="auto"/>
              </w:rPr>
            </w:pPr>
            <w:r>
              <w:rPr>
                <w:rFonts w:ascii="Arial" w:cs="Arial" w:eastAsia="Arial" w:hAnsi="Arial"/>
                <w:sz w:val="18"/>
                <w:szCs w:val="18"/>
                <w:color w:val="0000FF"/>
              </w:rPr>
              <w:t>Dealexecutionlondon@ing.com</w:t>
            </w:r>
          </w:p>
        </w:tc>
      </w:tr>
      <w:tr>
        <w:trPr>
          <w:trHeight w:val="257"/>
        </w:trPr>
        <w:tc>
          <w:tcPr>
            <w:tcW w:w="396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Commitment ($)</w:t>
            </w:r>
          </w:p>
        </w:tc>
        <w:tc>
          <w:tcPr>
            <w:tcW w:w="3520" w:type="dxa"/>
            <w:vAlign w:val="bottom"/>
            <w:gridSpan w:val="3"/>
          </w:tcPr>
          <w:p>
            <w:pPr>
              <w:ind w:left="140"/>
              <w:spacing w:after="0"/>
              <w:rPr>
                <w:sz w:val="20"/>
                <w:szCs w:val="20"/>
                <w:color w:val="auto"/>
              </w:rPr>
            </w:pPr>
            <w:r>
              <w:rPr>
                <w:rFonts w:ascii="Arial" w:cs="Arial" w:eastAsia="Arial" w:hAnsi="Arial"/>
                <w:sz w:val="18"/>
                <w:szCs w:val="18"/>
                <w:color w:val="auto"/>
              </w:rPr>
              <w:t>100,000,000</w:t>
            </w:r>
          </w:p>
        </w:tc>
        <w:tc>
          <w:tcPr>
            <w:tcW w:w="1400" w:type="dxa"/>
            <w:vAlign w:val="bottom"/>
          </w:tcPr>
          <w:p>
            <w:pPr>
              <w:spacing w:after="0"/>
              <w:rPr>
                <w:sz w:val="22"/>
                <w:szCs w:val="22"/>
                <w:color w:val="auto"/>
              </w:rPr>
            </w:pPr>
          </w:p>
        </w:tc>
        <w:tc>
          <w:tcPr>
            <w:tcW w:w="2360" w:type="dxa"/>
            <w:vAlign w:val="bottom"/>
            <w:tcBorders>
              <w:right w:val="single" w:sz="8" w:color="auto"/>
            </w:tcBorders>
          </w:tcPr>
          <w:p>
            <w:pPr>
              <w:spacing w:after="0"/>
              <w:rPr>
                <w:sz w:val="22"/>
                <w:szCs w:val="22"/>
                <w:color w:val="auto"/>
              </w:rPr>
            </w:pPr>
          </w:p>
        </w:tc>
      </w:tr>
      <w:tr>
        <w:trPr>
          <w:trHeight w:val="20"/>
        </w:trPr>
        <w:tc>
          <w:tcPr>
            <w:tcW w:w="3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r>
    </w:tbl>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gridSpan w:val="2"/>
          </w:tcPr>
          <w:p>
            <w:pPr>
              <w:jc w:val="center"/>
              <w:ind w:right="5020"/>
              <w:spacing w:after="0"/>
              <w:rPr>
                <w:sz w:val="20"/>
                <w:szCs w:val="20"/>
                <w:color w:val="auto"/>
              </w:rPr>
            </w:pPr>
            <w:r>
              <w:rPr>
                <w:rFonts w:ascii="Arial" w:cs="Arial" w:eastAsia="Arial" w:hAnsi="Arial"/>
                <w:sz w:val="18"/>
                <w:szCs w:val="18"/>
                <w:b w:val="1"/>
                <w:bCs w:val="1"/>
                <w:color w:val="auto"/>
                <w:w w:val="99"/>
              </w:rPr>
              <w:t>The Agent</w:t>
            </w:r>
          </w:p>
        </w:tc>
        <w:tc>
          <w:tcPr>
            <w:tcW w:w="40" w:type="dxa"/>
            <w:vAlign w:val="bottom"/>
          </w:tcPr>
          <w:p>
            <w:pPr>
              <w:spacing w:after="0"/>
              <w:rPr>
                <w:sz w:val="20"/>
                <w:szCs w:val="20"/>
                <w:color w:val="auto"/>
              </w:rPr>
            </w:pPr>
          </w:p>
        </w:tc>
      </w:tr>
      <w:tr>
        <w:trPr>
          <w:trHeight w:val="189"/>
        </w:trPr>
        <w:tc>
          <w:tcPr>
            <w:tcW w:w="4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77"/>
        </w:trPr>
        <w:tc>
          <w:tcPr>
            <w:tcW w:w="4020" w:type="dxa"/>
            <w:vAlign w:val="bottom"/>
            <w:tcBorders>
              <w:left w:val="single" w:sz="8" w:color="auto"/>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2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DNB Bank ASA, London Branch</w:t>
            </w:r>
          </w:p>
        </w:tc>
        <w:tc>
          <w:tcPr>
            <w:tcW w:w="40" w:type="dxa"/>
            <w:vAlign w:val="bottom"/>
          </w:tcPr>
          <w:p>
            <w:pPr>
              <w:spacing w:after="0"/>
              <w:rPr>
                <w:sz w:val="24"/>
                <w:szCs w:val="24"/>
                <w:color w:val="auto"/>
              </w:rPr>
            </w:pPr>
          </w:p>
        </w:tc>
      </w:tr>
      <w:tr>
        <w:trPr>
          <w:trHeight w:val="214"/>
        </w:trPr>
        <w:tc>
          <w:tcPr>
            <w:tcW w:w="402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Facility Office, address, email and attention</w:t>
            </w:r>
          </w:p>
        </w:tc>
        <w:tc>
          <w:tcPr>
            <w:tcW w:w="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Address:</w:t>
            </w:r>
          </w:p>
        </w:tc>
        <w:tc>
          <w:tcPr>
            <w:tcW w:w="632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8"/>
                <w:szCs w:val="18"/>
                <w:color w:val="auto"/>
              </w:rPr>
            </w:pPr>
          </w:p>
        </w:tc>
      </w:tr>
      <w:tr>
        <w:trPr>
          <w:trHeight w:val="225"/>
        </w:trPr>
        <w:tc>
          <w:tcPr>
            <w:tcW w:w="402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details for notices</w:t>
            </w:r>
          </w:p>
        </w:tc>
        <w:tc>
          <w:tcPr>
            <w:tcW w:w="900" w:type="dxa"/>
            <w:vAlign w:val="bottom"/>
          </w:tcPr>
          <w:p>
            <w:pPr>
              <w:spacing w:after="0"/>
              <w:rPr>
                <w:sz w:val="19"/>
                <w:szCs w:val="19"/>
                <w:color w:val="auto"/>
              </w:rPr>
            </w:pPr>
          </w:p>
        </w:tc>
        <w:tc>
          <w:tcPr>
            <w:tcW w:w="63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The Walbrook Building</w:t>
            </w:r>
          </w:p>
        </w:tc>
        <w:tc>
          <w:tcPr>
            <w:tcW w:w="40" w:type="dxa"/>
            <w:vAlign w:val="bottom"/>
          </w:tcPr>
          <w:p>
            <w:pPr>
              <w:spacing w:after="0"/>
              <w:rPr>
                <w:sz w:val="19"/>
                <w:szCs w:val="19"/>
                <w:color w:val="auto"/>
              </w:rPr>
            </w:pPr>
          </w:p>
        </w:tc>
      </w:tr>
      <w:tr>
        <w:trPr>
          <w:trHeight w:val="202"/>
        </w:trPr>
        <w:tc>
          <w:tcPr>
            <w:tcW w:w="4020" w:type="dxa"/>
            <w:vAlign w:val="bottom"/>
            <w:tcBorders>
              <w:left w:val="single" w:sz="8" w:color="auto"/>
              <w:right w:val="single" w:sz="8" w:color="auto"/>
            </w:tcBorders>
            <w:shd w:val="clear" w:color="auto" w:fill="C0C0C0"/>
          </w:tcPr>
          <w:p>
            <w:pPr>
              <w:spacing w:after="0"/>
              <w:rPr>
                <w:sz w:val="17"/>
                <w:szCs w:val="17"/>
                <w:color w:val="auto"/>
              </w:rPr>
            </w:pPr>
          </w:p>
        </w:tc>
        <w:tc>
          <w:tcPr>
            <w:tcW w:w="900" w:type="dxa"/>
            <w:vAlign w:val="bottom"/>
          </w:tcPr>
          <w:p>
            <w:pPr>
              <w:spacing w:after="0"/>
              <w:rPr>
                <w:sz w:val="17"/>
                <w:szCs w:val="17"/>
                <w:color w:val="auto"/>
              </w:rPr>
            </w:pPr>
          </w:p>
        </w:tc>
        <w:tc>
          <w:tcPr>
            <w:tcW w:w="6320" w:type="dxa"/>
            <w:vAlign w:val="bottom"/>
            <w:tcBorders>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25 Walbrook</w:t>
            </w:r>
          </w:p>
        </w:tc>
        <w:tc>
          <w:tcPr>
            <w:tcW w:w="40" w:type="dxa"/>
            <w:vAlign w:val="bottom"/>
          </w:tcPr>
          <w:p>
            <w:pPr>
              <w:spacing w:after="0"/>
              <w:rPr>
                <w:sz w:val="17"/>
                <w:szCs w:val="17"/>
                <w:color w:val="auto"/>
              </w:rPr>
            </w:pPr>
          </w:p>
        </w:tc>
      </w:tr>
      <w:tr>
        <w:trPr>
          <w:trHeight w:val="217"/>
        </w:trPr>
        <w:tc>
          <w:tcPr>
            <w:tcW w:w="4020" w:type="dxa"/>
            <w:vAlign w:val="bottom"/>
            <w:tcBorders>
              <w:left w:val="single" w:sz="8" w:color="auto"/>
              <w:right w:val="single" w:sz="8" w:color="auto"/>
            </w:tcBorders>
            <w:shd w:val="clear" w:color="auto" w:fill="C0C0C0"/>
          </w:tcPr>
          <w:p>
            <w:pPr>
              <w:spacing w:after="0"/>
              <w:rPr>
                <w:sz w:val="18"/>
                <w:szCs w:val="18"/>
                <w:color w:val="auto"/>
              </w:rPr>
            </w:pPr>
          </w:p>
        </w:tc>
        <w:tc>
          <w:tcPr>
            <w:tcW w:w="900" w:type="dxa"/>
            <w:vAlign w:val="bottom"/>
          </w:tcPr>
          <w:p>
            <w:pPr>
              <w:spacing w:after="0"/>
              <w:rPr>
                <w:sz w:val="18"/>
                <w:szCs w:val="18"/>
                <w:color w:val="auto"/>
              </w:rPr>
            </w:pPr>
          </w:p>
        </w:tc>
        <w:tc>
          <w:tcPr>
            <w:tcW w:w="63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London EC4N 8AF</w:t>
            </w:r>
          </w:p>
        </w:tc>
        <w:tc>
          <w:tcPr>
            <w:tcW w:w="40" w:type="dxa"/>
            <w:vAlign w:val="bottom"/>
          </w:tcPr>
          <w:p>
            <w:pPr>
              <w:spacing w:after="0"/>
              <w:rPr>
                <w:sz w:val="18"/>
                <w:szCs w:val="18"/>
                <w:color w:val="auto"/>
              </w:rPr>
            </w:pPr>
          </w:p>
        </w:tc>
      </w:tr>
      <w:tr>
        <w:trPr>
          <w:trHeight w:val="391"/>
        </w:trPr>
        <w:tc>
          <w:tcPr>
            <w:tcW w:w="4020" w:type="dxa"/>
            <w:vAlign w:val="bottom"/>
            <w:tcBorders>
              <w:left w:val="single" w:sz="8" w:color="auto"/>
              <w:right w:val="single" w:sz="8" w:color="auto"/>
            </w:tcBorders>
            <w:shd w:val="clear" w:color="auto" w:fill="C0C0C0"/>
          </w:tcPr>
          <w:p>
            <w:pPr>
              <w:spacing w:after="0"/>
              <w:rPr>
                <w:sz w:val="24"/>
                <w:szCs w:val="24"/>
                <w:color w:val="auto"/>
              </w:rPr>
            </w:pPr>
          </w:p>
        </w:tc>
        <w:tc>
          <w:tcPr>
            <w:tcW w:w="72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Attention:  Credit Middle Office &amp; Agency</w:t>
            </w:r>
          </w:p>
        </w:tc>
        <w:tc>
          <w:tcPr>
            <w:tcW w:w="40" w:type="dxa"/>
            <w:vAlign w:val="bottom"/>
          </w:tcPr>
          <w:p>
            <w:pPr>
              <w:spacing w:after="0"/>
              <w:rPr>
                <w:sz w:val="24"/>
                <w:szCs w:val="24"/>
                <w:color w:val="auto"/>
              </w:rPr>
            </w:pPr>
          </w:p>
        </w:tc>
      </w:tr>
      <w:tr>
        <w:trPr>
          <w:trHeight w:val="244"/>
        </w:trPr>
        <w:tc>
          <w:tcPr>
            <w:tcW w:w="4020" w:type="dxa"/>
            <w:vAlign w:val="bottom"/>
            <w:tcBorders>
              <w:left w:val="single" w:sz="8" w:color="auto"/>
              <w:bottom w:val="single" w:sz="8" w:color="auto"/>
              <w:right w:val="single" w:sz="8" w:color="auto"/>
            </w:tcBorders>
            <w:shd w:val="clear" w:color="auto" w:fill="C0C0C0"/>
          </w:tcPr>
          <w:p>
            <w:pPr>
              <w:spacing w:after="0"/>
              <w:rPr>
                <w:sz w:val="21"/>
                <w:szCs w:val="21"/>
                <w:color w:val="auto"/>
              </w:rPr>
            </w:pPr>
          </w:p>
        </w:tc>
        <w:tc>
          <w:tcPr>
            <w:tcW w:w="90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8"/>
                <w:szCs w:val="18"/>
                <w:color w:val="auto"/>
              </w:rPr>
              <w:t>Email:</w:t>
            </w:r>
          </w:p>
        </w:tc>
        <w:tc>
          <w:tcPr>
            <w:tcW w:w="100" w:type="dxa"/>
            <w:vAlign w:val="bottom"/>
            <w:tcBorders>
              <w:bottom w:val="single" w:sz="8" w:color="auto"/>
            </w:tcBorders>
          </w:tcPr>
          <w:p>
            <w:pPr>
              <w:spacing w:after="0"/>
              <w:rPr>
                <w:sz w:val="21"/>
                <w:szCs w:val="21"/>
                <w:color w:val="auto"/>
              </w:rPr>
            </w:pPr>
          </w:p>
        </w:tc>
        <w:tc>
          <w:tcPr>
            <w:tcW w:w="6220" w:type="dxa"/>
            <w:vAlign w:val="bottom"/>
            <w:tcBorders>
              <w:bottom w:val="single" w:sz="8" w:color="auto"/>
              <w:right w:val="single" w:sz="8" w:color="auto"/>
            </w:tcBorders>
            <w:gridSpan w:val="2"/>
          </w:tcPr>
          <w:p>
            <w:pPr>
              <w:spacing w:after="0" w:line="176" w:lineRule="exact"/>
              <w:rPr>
                <w:sz w:val="20"/>
                <w:szCs w:val="20"/>
                <w:color w:val="auto"/>
              </w:rPr>
            </w:pPr>
            <w:r>
              <w:rPr>
                <w:rFonts w:ascii="Arial" w:cs="Arial" w:eastAsia="Arial" w:hAnsi="Arial"/>
                <w:sz w:val="18"/>
                <w:szCs w:val="18"/>
                <w:color w:val="0000FF"/>
              </w:rPr>
              <w:t>cmoalondon@dnb.no</w:t>
            </w:r>
          </w:p>
        </w:tc>
        <w:tc>
          <w:tcPr>
            <w:tcW w:w="40" w:type="dxa"/>
            <w:vAlign w:val="bottom"/>
          </w:tcPr>
          <w:p>
            <w:pPr>
              <w:spacing w:after="0"/>
              <w:rPr>
                <w:sz w:val="21"/>
                <w:szCs w:val="21"/>
                <w:color w:val="auto"/>
              </w:rPr>
            </w:pPr>
          </w:p>
        </w:tc>
      </w:tr>
      <w:tr>
        <w:trPr>
          <w:trHeight w:val="412"/>
        </w:trPr>
        <w:tc>
          <w:tcPr>
            <w:tcW w:w="4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gridSpan w:val="2"/>
          </w:tcPr>
          <w:p>
            <w:pPr>
              <w:jc w:val="right"/>
              <w:ind w:right="870"/>
              <w:spacing w:after="0"/>
              <w:rPr>
                <w:sz w:val="20"/>
                <w:szCs w:val="20"/>
                <w:color w:val="auto"/>
              </w:rPr>
            </w:pPr>
            <w:r>
              <w:rPr>
                <w:rFonts w:ascii="Arial" w:cs="Arial" w:eastAsia="Arial" w:hAnsi="Arial"/>
                <w:sz w:val="18"/>
                <w:szCs w:val="18"/>
                <w:color w:val="auto"/>
              </w:rPr>
              <w:t>153</w:t>
            </w: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40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328" w:name="page329"/>
    <w:bookmarkEnd w:id="328"/>
    <w:tbl>
      <w:tblPr>
        <w:tblLayout w:type="fixed"/>
        <w:tblInd w:w="10" w:type="dxa"/>
        <w:tblCellMar>
          <w:top w:w="0" w:type="dxa"/>
          <w:left w:w="0" w:type="dxa"/>
          <w:bottom w:w="0" w:type="dxa"/>
          <w:right w:w="0" w:type="dxa"/>
        </w:tblCellMar>
      </w:tblPr>
      <w:tr>
        <w:trPr>
          <w:trHeight w:val="239"/>
        </w:trPr>
        <w:tc>
          <w:tcPr>
            <w:tcW w:w="2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40" w:type="dxa"/>
            <w:vAlign w:val="bottom"/>
            <w:gridSpan w:val="6"/>
          </w:tcPr>
          <w:p>
            <w:pPr>
              <w:jc w:val="center"/>
              <w:ind w:right="4800"/>
              <w:spacing w:after="0"/>
              <w:rPr>
                <w:sz w:val="20"/>
                <w:szCs w:val="20"/>
                <w:color w:val="auto"/>
              </w:rPr>
            </w:pPr>
            <w:r>
              <w:rPr>
                <w:rFonts w:ascii="Arial" w:cs="Arial" w:eastAsia="Arial" w:hAnsi="Arial"/>
                <w:sz w:val="18"/>
                <w:szCs w:val="18"/>
                <w:b w:val="1"/>
                <w:bCs w:val="1"/>
                <w:color w:val="auto"/>
                <w:w w:val="99"/>
              </w:rPr>
              <w:t>The Security Agent</w:t>
            </w:r>
          </w:p>
        </w:tc>
        <w:tc>
          <w:tcPr>
            <w:tcW w:w="40" w:type="dxa"/>
            <w:vAlign w:val="bottom"/>
          </w:tcPr>
          <w:p>
            <w:pPr>
              <w:spacing w:after="0"/>
              <w:rPr>
                <w:sz w:val="20"/>
                <w:szCs w:val="20"/>
                <w:color w:val="auto"/>
              </w:rPr>
            </w:pPr>
          </w:p>
        </w:tc>
      </w:tr>
      <w:tr>
        <w:trPr>
          <w:trHeight w:val="189"/>
        </w:trPr>
        <w:tc>
          <w:tcPr>
            <w:tcW w:w="2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2700" w:type="dxa"/>
            <w:vAlign w:val="bottom"/>
            <w:tcBorders>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auto"/>
              <w:right w:val="single" w:sz="8" w:color="auto"/>
            </w:tcBorders>
            <w:shd w:val="clear" w:color="auto" w:fill="C0C0C0"/>
          </w:tcPr>
          <w:p>
            <w:pPr>
              <w:spacing w:after="0"/>
              <w:rPr>
                <w:sz w:val="19"/>
                <w:szCs w:val="19"/>
                <w:color w:val="auto"/>
              </w:rPr>
            </w:pPr>
          </w:p>
        </w:tc>
        <w:tc>
          <w:tcPr>
            <w:tcW w:w="728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DNB Bank ASA, London Branch</w:t>
            </w:r>
          </w:p>
        </w:tc>
        <w:tc>
          <w:tcPr>
            <w:tcW w:w="40" w:type="dxa"/>
            <w:vAlign w:val="bottom"/>
          </w:tcPr>
          <w:p>
            <w:pPr>
              <w:spacing w:after="0"/>
              <w:rPr>
                <w:sz w:val="19"/>
                <w:szCs w:val="19"/>
                <w:color w:val="auto"/>
              </w:rPr>
            </w:pPr>
          </w:p>
        </w:tc>
      </w:tr>
      <w:tr>
        <w:trPr>
          <w:trHeight w:val="187"/>
        </w:trPr>
        <w:tc>
          <w:tcPr>
            <w:tcW w:w="3960" w:type="dxa"/>
            <w:vAlign w:val="bottom"/>
            <w:tcBorders>
              <w:left w:val="single" w:sz="8" w:color="auto"/>
              <w:right w:val="single" w:sz="8" w:color="auto"/>
            </w:tcBorders>
            <w:gridSpan w:val="2"/>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Facility Office, address, email number and</w:t>
            </w:r>
          </w:p>
        </w:tc>
        <w:tc>
          <w:tcPr>
            <w:tcW w:w="840" w:type="dxa"/>
            <w:vAlign w:val="bottom"/>
          </w:tcPr>
          <w:p>
            <w:pPr>
              <w:ind w:left="100"/>
              <w:spacing w:after="0" w:line="187" w:lineRule="exact"/>
              <w:rPr>
                <w:sz w:val="20"/>
                <w:szCs w:val="20"/>
                <w:color w:val="auto"/>
              </w:rPr>
            </w:pPr>
            <w:r>
              <w:rPr>
                <w:rFonts w:ascii="Arial" w:cs="Arial" w:eastAsia="Arial" w:hAnsi="Arial"/>
                <w:sz w:val="18"/>
                <w:szCs w:val="18"/>
                <w:color w:val="auto"/>
              </w:rPr>
              <w:t>Address:</w:t>
            </w:r>
          </w:p>
        </w:tc>
        <w:tc>
          <w:tcPr>
            <w:tcW w:w="6440" w:type="dxa"/>
            <w:vAlign w:val="bottom"/>
            <w:tcBorders>
              <w:right w:val="single" w:sz="8" w:color="auto"/>
            </w:tcBorders>
            <w:gridSpan w:val="6"/>
          </w:tcPr>
          <w:p>
            <w:pPr>
              <w:ind w:left="160"/>
              <w:spacing w:after="0" w:line="187" w:lineRule="exact"/>
              <w:rPr>
                <w:sz w:val="20"/>
                <w:szCs w:val="20"/>
                <w:color w:val="auto"/>
              </w:rPr>
            </w:pPr>
            <w:r>
              <w:rPr>
                <w:rFonts w:ascii="Arial" w:cs="Arial" w:eastAsia="Arial" w:hAnsi="Arial"/>
                <w:sz w:val="18"/>
                <w:szCs w:val="18"/>
                <w:color w:val="auto"/>
              </w:rPr>
              <w:t>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6"/>
                <w:szCs w:val="16"/>
                <w:color w:val="auto"/>
              </w:rPr>
            </w:pPr>
          </w:p>
        </w:tc>
      </w:tr>
      <w:tr>
        <w:trPr>
          <w:trHeight w:val="224"/>
        </w:trPr>
        <w:tc>
          <w:tcPr>
            <w:tcW w:w="2700" w:type="dxa"/>
            <w:vAlign w:val="bottom"/>
            <w:tcBorders>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attention details for notices</w:t>
            </w:r>
          </w:p>
        </w:tc>
        <w:tc>
          <w:tcPr>
            <w:tcW w:w="1260" w:type="dxa"/>
            <w:vAlign w:val="bottom"/>
            <w:tcBorders>
              <w:right w:val="single" w:sz="8" w:color="auto"/>
            </w:tcBorders>
            <w:shd w:val="clear" w:color="auto" w:fill="C0C0C0"/>
          </w:tcPr>
          <w:p>
            <w:pPr>
              <w:spacing w:after="0"/>
              <w:rPr>
                <w:sz w:val="19"/>
                <w:szCs w:val="19"/>
                <w:color w:val="auto"/>
              </w:rPr>
            </w:pPr>
          </w:p>
        </w:tc>
        <w:tc>
          <w:tcPr>
            <w:tcW w:w="840" w:type="dxa"/>
            <w:vAlign w:val="bottom"/>
          </w:tcPr>
          <w:p>
            <w:pPr>
              <w:spacing w:after="0"/>
              <w:rPr>
                <w:sz w:val="19"/>
                <w:szCs w:val="19"/>
                <w:color w:val="auto"/>
              </w:rPr>
            </w:pPr>
          </w:p>
        </w:tc>
        <w:tc>
          <w:tcPr>
            <w:tcW w:w="64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The Walbrook Building</w:t>
            </w:r>
          </w:p>
        </w:tc>
        <w:tc>
          <w:tcPr>
            <w:tcW w:w="40" w:type="dxa"/>
            <w:vAlign w:val="bottom"/>
          </w:tcPr>
          <w:p>
            <w:pPr>
              <w:spacing w:after="0"/>
              <w:rPr>
                <w:sz w:val="19"/>
                <w:szCs w:val="19"/>
                <w:color w:val="auto"/>
              </w:rPr>
            </w:pPr>
          </w:p>
        </w:tc>
      </w:tr>
      <w:tr>
        <w:trPr>
          <w:trHeight w:val="203"/>
        </w:trPr>
        <w:tc>
          <w:tcPr>
            <w:tcW w:w="2700" w:type="dxa"/>
            <w:vAlign w:val="bottom"/>
            <w:tcBorders>
              <w:left w:val="single" w:sz="8" w:color="auto"/>
            </w:tcBorders>
            <w:shd w:val="clear" w:color="auto" w:fill="C0C0C0"/>
          </w:tcPr>
          <w:p>
            <w:pPr>
              <w:spacing w:after="0"/>
              <w:rPr>
                <w:sz w:val="17"/>
                <w:szCs w:val="17"/>
                <w:color w:val="auto"/>
              </w:rPr>
            </w:pPr>
          </w:p>
        </w:tc>
        <w:tc>
          <w:tcPr>
            <w:tcW w:w="1260" w:type="dxa"/>
            <w:vAlign w:val="bottom"/>
            <w:tcBorders>
              <w:right w:val="single" w:sz="8" w:color="auto"/>
            </w:tcBorders>
            <w:shd w:val="clear" w:color="auto" w:fill="C0C0C0"/>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Borders>
              <w:right w:val="single" w:sz="8" w:color="auto"/>
            </w:tcBorders>
            <w:gridSpan w:val="6"/>
          </w:tcPr>
          <w:p>
            <w:pPr>
              <w:ind w:left="180"/>
              <w:spacing w:after="0" w:line="202" w:lineRule="exact"/>
              <w:rPr>
                <w:sz w:val="20"/>
                <w:szCs w:val="20"/>
                <w:color w:val="auto"/>
              </w:rPr>
            </w:pPr>
            <w:r>
              <w:rPr>
                <w:rFonts w:ascii="Arial" w:cs="Arial" w:eastAsia="Arial" w:hAnsi="Arial"/>
                <w:sz w:val="18"/>
                <w:szCs w:val="18"/>
                <w:color w:val="auto"/>
              </w:rPr>
              <w:t>25 Walbrook</w:t>
            </w:r>
          </w:p>
        </w:tc>
        <w:tc>
          <w:tcPr>
            <w:tcW w:w="40" w:type="dxa"/>
            <w:vAlign w:val="bottom"/>
          </w:tcPr>
          <w:p>
            <w:pPr>
              <w:spacing w:after="0"/>
              <w:rPr>
                <w:sz w:val="17"/>
                <w:szCs w:val="17"/>
                <w:color w:val="auto"/>
              </w:rPr>
            </w:pPr>
          </w:p>
        </w:tc>
      </w:tr>
      <w:tr>
        <w:trPr>
          <w:trHeight w:val="217"/>
        </w:trPr>
        <w:tc>
          <w:tcPr>
            <w:tcW w:w="2700" w:type="dxa"/>
            <w:vAlign w:val="bottom"/>
            <w:tcBorders>
              <w:left w:val="single" w:sz="8" w:color="auto"/>
            </w:tcBorders>
            <w:shd w:val="clear" w:color="auto" w:fill="C0C0C0"/>
          </w:tcPr>
          <w:p>
            <w:pPr>
              <w:spacing w:after="0"/>
              <w:rPr>
                <w:sz w:val="18"/>
                <w:szCs w:val="18"/>
                <w:color w:val="auto"/>
              </w:rPr>
            </w:pPr>
          </w:p>
        </w:tc>
        <w:tc>
          <w:tcPr>
            <w:tcW w:w="1260" w:type="dxa"/>
            <w:vAlign w:val="bottom"/>
            <w:tcBorders>
              <w:right w:val="single" w:sz="8" w:color="auto"/>
            </w:tcBorders>
            <w:shd w:val="clear" w:color="auto" w:fill="C0C0C0"/>
          </w:tcPr>
          <w:p>
            <w:pPr>
              <w:spacing w:after="0"/>
              <w:rPr>
                <w:sz w:val="18"/>
                <w:szCs w:val="18"/>
                <w:color w:val="auto"/>
              </w:rPr>
            </w:pPr>
          </w:p>
        </w:tc>
        <w:tc>
          <w:tcPr>
            <w:tcW w:w="840" w:type="dxa"/>
            <w:vAlign w:val="bottom"/>
          </w:tcPr>
          <w:p>
            <w:pPr>
              <w:spacing w:after="0"/>
              <w:rPr>
                <w:sz w:val="18"/>
                <w:szCs w:val="18"/>
                <w:color w:val="auto"/>
              </w:rPr>
            </w:pPr>
          </w:p>
        </w:tc>
        <w:tc>
          <w:tcPr>
            <w:tcW w:w="64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London EC4N 8AF</w:t>
            </w:r>
          </w:p>
        </w:tc>
        <w:tc>
          <w:tcPr>
            <w:tcW w:w="40" w:type="dxa"/>
            <w:vAlign w:val="bottom"/>
          </w:tcPr>
          <w:p>
            <w:pPr>
              <w:spacing w:after="0"/>
              <w:rPr>
                <w:sz w:val="18"/>
                <w:szCs w:val="18"/>
                <w:color w:val="auto"/>
              </w:rPr>
            </w:pPr>
          </w:p>
        </w:tc>
      </w:tr>
      <w:tr>
        <w:trPr>
          <w:trHeight w:val="391"/>
        </w:trPr>
        <w:tc>
          <w:tcPr>
            <w:tcW w:w="2700" w:type="dxa"/>
            <w:vAlign w:val="bottom"/>
            <w:tcBorders>
              <w:lef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Attention:  Credit Middle Office &amp; Agency</w:t>
            </w:r>
          </w:p>
        </w:tc>
        <w:tc>
          <w:tcPr>
            <w:tcW w:w="40" w:type="dxa"/>
            <w:vAlign w:val="bottom"/>
          </w:tcPr>
          <w:p>
            <w:pPr>
              <w:spacing w:after="0"/>
              <w:rPr>
                <w:sz w:val="24"/>
                <w:szCs w:val="24"/>
                <w:color w:val="auto"/>
              </w:rPr>
            </w:pPr>
          </w:p>
        </w:tc>
      </w:tr>
      <w:tr>
        <w:trPr>
          <w:trHeight w:val="217"/>
        </w:trPr>
        <w:tc>
          <w:tcPr>
            <w:tcW w:w="2700" w:type="dxa"/>
            <w:vAlign w:val="bottom"/>
            <w:tcBorders>
              <w:left w:val="single" w:sz="8" w:color="auto"/>
              <w:bottom w:val="single" w:sz="8" w:color="auto"/>
            </w:tcBorders>
            <w:shd w:val="clear" w:color="auto" w:fill="C0C0C0"/>
          </w:tcPr>
          <w:p>
            <w:pPr>
              <w:spacing w:after="0"/>
              <w:rPr>
                <w:sz w:val="18"/>
                <w:szCs w:val="18"/>
                <w:color w:val="auto"/>
              </w:rPr>
            </w:pPr>
          </w:p>
        </w:tc>
        <w:tc>
          <w:tcPr>
            <w:tcW w:w="1260" w:type="dxa"/>
            <w:vAlign w:val="bottom"/>
            <w:tcBorders>
              <w:bottom w:val="single" w:sz="8" w:color="auto"/>
              <w:right w:val="single" w:sz="8" w:color="auto"/>
            </w:tcBorders>
            <w:shd w:val="clear" w:color="auto" w:fill="C0C0C0"/>
          </w:tcPr>
          <w:p>
            <w:pPr>
              <w:spacing w:after="0"/>
              <w:rPr>
                <w:sz w:val="18"/>
                <w:szCs w:val="18"/>
                <w:color w:val="auto"/>
              </w:rPr>
            </w:pPr>
          </w:p>
        </w:tc>
        <w:tc>
          <w:tcPr>
            <w:tcW w:w="84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18"/>
                <w:szCs w:val="18"/>
                <w:color w:val="auto"/>
              </w:rPr>
              <w:t>Email:</w:t>
            </w:r>
          </w:p>
        </w:tc>
        <w:tc>
          <w:tcPr>
            <w:tcW w:w="180" w:type="dxa"/>
            <w:vAlign w:val="bottom"/>
            <w:tcBorders>
              <w:bottom w:val="single" w:sz="8" w:color="auto"/>
            </w:tcBorders>
          </w:tcPr>
          <w:p>
            <w:pPr>
              <w:spacing w:after="0"/>
              <w:rPr>
                <w:sz w:val="18"/>
                <w:szCs w:val="18"/>
                <w:color w:val="auto"/>
              </w:rPr>
            </w:pPr>
          </w:p>
        </w:tc>
        <w:tc>
          <w:tcPr>
            <w:tcW w:w="6260" w:type="dxa"/>
            <w:vAlign w:val="bottom"/>
            <w:tcBorders>
              <w:bottom w:val="single" w:sz="8" w:color="auto"/>
              <w:right w:val="single" w:sz="8" w:color="auto"/>
            </w:tcBorders>
            <w:gridSpan w:val="5"/>
          </w:tcPr>
          <w:p>
            <w:pPr>
              <w:spacing w:after="0" w:line="176" w:lineRule="exact"/>
              <w:rPr>
                <w:sz w:val="20"/>
                <w:szCs w:val="20"/>
                <w:color w:val="auto"/>
              </w:rPr>
            </w:pPr>
            <w:r>
              <w:rPr>
                <w:rFonts w:ascii="Arial" w:cs="Arial" w:eastAsia="Arial" w:hAnsi="Arial"/>
                <w:sz w:val="18"/>
                <w:szCs w:val="18"/>
                <w:color w:val="0000FF"/>
              </w:rPr>
              <w:t>cmoalondon@dnb.no</w:t>
            </w:r>
          </w:p>
        </w:tc>
        <w:tc>
          <w:tcPr>
            <w:tcW w:w="40" w:type="dxa"/>
            <w:vAlign w:val="bottom"/>
          </w:tcPr>
          <w:p>
            <w:pPr>
              <w:spacing w:after="0"/>
              <w:rPr>
                <w:sz w:val="18"/>
                <w:szCs w:val="18"/>
                <w:color w:val="auto"/>
              </w:rPr>
            </w:pPr>
          </w:p>
        </w:tc>
      </w:tr>
      <w:tr>
        <w:trPr>
          <w:trHeight w:val="547"/>
        </w:trPr>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4"/>
          </w:tcPr>
          <w:p>
            <w:pPr>
              <w:jc w:val="center"/>
              <w:ind w:right="5000"/>
              <w:spacing w:after="0"/>
              <w:rPr>
                <w:sz w:val="20"/>
                <w:szCs w:val="20"/>
                <w:color w:val="auto"/>
              </w:rPr>
            </w:pPr>
            <w:r>
              <w:rPr>
                <w:rFonts w:ascii="Arial" w:cs="Arial" w:eastAsia="Arial" w:hAnsi="Arial"/>
                <w:sz w:val="18"/>
                <w:szCs w:val="18"/>
                <w:b w:val="1"/>
                <w:bCs w:val="1"/>
                <w:color w:val="auto"/>
              </w:rPr>
              <w:t>The Arrangers</w:t>
            </w:r>
          </w:p>
        </w:tc>
        <w:tc>
          <w:tcPr>
            <w:tcW w:w="40" w:type="dxa"/>
            <w:vAlign w:val="bottom"/>
          </w:tcPr>
          <w:p>
            <w:pPr>
              <w:spacing w:after="0"/>
              <w:rPr>
                <w:sz w:val="24"/>
                <w:szCs w:val="24"/>
                <w:color w:val="auto"/>
              </w:rPr>
            </w:pPr>
          </w:p>
        </w:tc>
      </w:tr>
      <w:tr>
        <w:trPr>
          <w:trHeight w:val="189"/>
        </w:trPr>
        <w:tc>
          <w:tcPr>
            <w:tcW w:w="2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2700" w:type="dxa"/>
            <w:vAlign w:val="bottom"/>
            <w:tcBorders>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auto"/>
              <w:right w:val="single" w:sz="8" w:color="auto"/>
            </w:tcBorders>
            <w:shd w:val="clear" w:color="auto" w:fill="C0C0C0"/>
          </w:tcPr>
          <w:p>
            <w:pPr>
              <w:spacing w:after="0"/>
              <w:rPr>
                <w:sz w:val="19"/>
                <w:szCs w:val="19"/>
                <w:color w:val="auto"/>
              </w:rPr>
            </w:pPr>
          </w:p>
        </w:tc>
        <w:tc>
          <w:tcPr>
            <w:tcW w:w="728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DNB (UK) Ltd.</w:t>
            </w:r>
          </w:p>
        </w:tc>
        <w:tc>
          <w:tcPr>
            <w:tcW w:w="40" w:type="dxa"/>
            <w:vAlign w:val="bottom"/>
          </w:tcPr>
          <w:p>
            <w:pPr>
              <w:spacing w:after="0"/>
              <w:rPr>
                <w:sz w:val="19"/>
                <w:szCs w:val="19"/>
                <w:color w:val="auto"/>
              </w:rPr>
            </w:pPr>
          </w:p>
        </w:tc>
      </w:tr>
      <w:tr>
        <w:trPr>
          <w:trHeight w:val="173"/>
        </w:trPr>
        <w:tc>
          <w:tcPr>
            <w:tcW w:w="2700" w:type="dxa"/>
            <w:vAlign w:val="bottom"/>
            <w:tcBorders>
              <w:left w:val="single" w:sz="8" w:color="auto"/>
            </w:tcBorders>
            <w:shd w:val="clear" w:color="auto" w:fill="C0C0C0"/>
          </w:tcPr>
          <w:p>
            <w:pPr>
              <w:ind w:left="120"/>
              <w:spacing w:after="0" w:line="173" w:lineRule="exact"/>
              <w:rPr>
                <w:sz w:val="20"/>
                <w:szCs w:val="20"/>
                <w:color w:val="auto"/>
              </w:rPr>
            </w:pPr>
            <w:r>
              <w:rPr>
                <w:rFonts w:ascii="Arial" w:cs="Arial" w:eastAsia="Arial" w:hAnsi="Arial"/>
                <w:sz w:val="18"/>
                <w:szCs w:val="18"/>
                <w:b w:val="1"/>
                <w:bCs w:val="1"/>
                <w:color w:val="auto"/>
              </w:rPr>
              <w:t>Facility Office, address, email</w:t>
            </w:r>
          </w:p>
        </w:tc>
        <w:tc>
          <w:tcPr>
            <w:tcW w:w="1260" w:type="dxa"/>
            <w:vAlign w:val="bottom"/>
            <w:tcBorders>
              <w:right w:val="single" w:sz="8" w:color="auto"/>
            </w:tcBorders>
            <w:shd w:val="clear" w:color="auto" w:fill="C0C0C0"/>
          </w:tcPr>
          <w:p>
            <w:pPr>
              <w:ind w:left="40"/>
              <w:spacing w:after="0" w:line="173" w:lineRule="exact"/>
              <w:rPr>
                <w:sz w:val="20"/>
                <w:szCs w:val="20"/>
                <w:color w:val="auto"/>
              </w:rPr>
            </w:pPr>
            <w:r>
              <w:rPr>
                <w:rFonts w:ascii="Arial" w:cs="Arial" w:eastAsia="Arial" w:hAnsi="Arial"/>
                <w:sz w:val="18"/>
                <w:szCs w:val="18"/>
                <w:b w:val="1"/>
                <w:bCs w:val="1"/>
                <w:color w:val="auto"/>
              </w:rPr>
              <w:t>and</w:t>
            </w:r>
          </w:p>
        </w:tc>
        <w:tc>
          <w:tcPr>
            <w:tcW w:w="840" w:type="dxa"/>
            <w:vAlign w:val="bottom"/>
          </w:tcPr>
          <w:p>
            <w:pPr>
              <w:ind w:left="100"/>
              <w:spacing w:after="0" w:line="173" w:lineRule="exact"/>
              <w:rPr>
                <w:sz w:val="20"/>
                <w:szCs w:val="20"/>
                <w:color w:val="auto"/>
              </w:rPr>
            </w:pPr>
            <w:r>
              <w:rPr>
                <w:rFonts w:ascii="Arial" w:cs="Arial" w:eastAsia="Arial" w:hAnsi="Arial"/>
                <w:sz w:val="18"/>
                <w:szCs w:val="18"/>
                <w:color w:val="auto"/>
              </w:rPr>
              <w:t>Address:</w:t>
            </w:r>
          </w:p>
        </w:tc>
        <w:tc>
          <w:tcPr>
            <w:tcW w:w="6440" w:type="dxa"/>
            <w:vAlign w:val="bottom"/>
            <w:tcBorders>
              <w:right w:val="single" w:sz="8" w:color="auto"/>
            </w:tcBorders>
            <w:gridSpan w:val="6"/>
          </w:tcPr>
          <w:p>
            <w:pPr>
              <w:ind w:left="160"/>
              <w:spacing w:after="0" w:line="173" w:lineRule="exact"/>
              <w:rPr>
                <w:sz w:val="20"/>
                <w:szCs w:val="20"/>
                <w:color w:val="auto"/>
              </w:rPr>
            </w:pPr>
            <w:r>
              <w:rPr>
                <w:rFonts w:ascii="Arial" w:cs="Arial" w:eastAsia="Arial" w:hAnsi="Arial"/>
                <w:sz w:val="18"/>
                <w:szCs w:val="18"/>
                <w:color w:val="auto"/>
              </w:rPr>
              <w:t>8th Floor</w:t>
            </w:r>
          </w:p>
        </w:tc>
        <w:tc>
          <w:tcPr>
            <w:tcW w:w="40" w:type="dxa"/>
            <w:vAlign w:val="bottom"/>
          </w:tcPr>
          <w:p>
            <w:pPr>
              <w:spacing w:after="0"/>
              <w:rPr>
                <w:sz w:val="15"/>
                <w:szCs w:val="15"/>
                <w:color w:val="auto"/>
              </w:rPr>
            </w:pPr>
          </w:p>
        </w:tc>
      </w:tr>
      <w:tr>
        <w:trPr>
          <w:trHeight w:val="238"/>
        </w:trPr>
        <w:tc>
          <w:tcPr>
            <w:tcW w:w="2700" w:type="dxa"/>
            <w:vAlign w:val="bottom"/>
            <w:tcBorders>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attention details for notices</w:t>
            </w:r>
          </w:p>
        </w:tc>
        <w:tc>
          <w:tcPr>
            <w:tcW w:w="1260" w:type="dxa"/>
            <w:vAlign w:val="bottom"/>
            <w:tcBorders>
              <w:right w:val="single" w:sz="8" w:color="auto"/>
            </w:tcBorders>
            <w:shd w:val="clear" w:color="auto" w:fill="C0C0C0"/>
          </w:tcPr>
          <w:p>
            <w:pPr>
              <w:spacing w:after="0"/>
              <w:rPr>
                <w:sz w:val="20"/>
                <w:szCs w:val="20"/>
                <w:color w:val="auto"/>
              </w:rPr>
            </w:pPr>
          </w:p>
        </w:tc>
        <w:tc>
          <w:tcPr>
            <w:tcW w:w="840" w:type="dxa"/>
            <w:vAlign w:val="bottom"/>
          </w:tcPr>
          <w:p>
            <w:pPr>
              <w:spacing w:after="0"/>
              <w:rPr>
                <w:sz w:val="20"/>
                <w:szCs w:val="20"/>
                <w:color w:val="auto"/>
              </w:rPr>
            </w:pPr>
          </w:p>
        </w:tc>
        <w:tc>
          <w:tcPr>
            <w:tcW w:w="64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The Walbrook Building</w:t>
            </w:r>
          </w:p>
        </w:tc>
        <w:tc>
          <w:tcPr>
            <w:tcW w:w="40" w:type="dxa"/>
            <w:vAlign w:val="bottom"/>
          </w:tcPr>
          <w:p>
            <w:pPr>
              <w:spacing w:after="0"/>
              <w:rPr>
                <w:sz w:val="20"/>
                <w:szCs w:val="20"/>
                <w:color w:val="auto"/>
              </w:rPr>
            </w:pPr>
          </w:p>
        </w:tc>
      </w:tr>
      <w:tr>
        <w:trPr>
          <w:trHeight w:val="203"/>
        </w:trPr>
        <w:tc>
          <w:tcPr>
            <w:tcW w:w="2700" w:type="dxa"/>
            <w:vAlign w:val="bottom"/>
            <w:tcBorders>
              <w:left w:val="single" w:sz="8" w:color="auto"/>
            </w:tcBorders>
            <w:shd w:val="clear" w:color="auto" w:fill="C0C0C0"/>
          </w:tcPr>
          <w:p>
            <w:pPr>
              <w:spacing w:after="0"/>
              <w:rPr>
                <w:sz w:val="17"/>
                <w:szCs w:val="17"/>
                <w:color w:val="auto"/>
              </w:rPr>
            </w:pPr>
          </w:p>
        </w:tc>
        <w:tc>
          <w:tcPr>
            <w:tcW w:w="1260" w:type="dxa"/>
            <w:vAlign w:val="bottom"/>
            <w:tcBorders>
              <w:right w:val="single" w:sz="8" w:color="auto"/>
            </w:tcBorders>
            <w:shd w:val="clear" w:color="auto" w:fill="C0C0C0"/>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Borders>
              <w:right w:val="single" w:sz="8" w:color="auto"/>
            </w:tcBorders>
            <w:gridSpan w:val="6"/>
          </w:tcPr>
          <w:p>
            <w:pPr>
              <w:ind w:left="180"/>
              <w:spacing w:after="0" w:line="202" w:lineRule="exact"/>
              <w:rPr>
                <w:sz w:val="20"/>
                <w:szCs w:val="20"/>
                <w:color w:val="auto"/>
              </w:rPr>
            </w:pPr>
            <w:r>
              <w:rPr>
                <w:rFonts w:ascii="Arial" w:cs="Arial" w:eastAsia="Arial" w:hAnsi="Arial"/>
                <w:sz w:val="18"/>
                <w:szCs w:val="18"/>
                <w:color w:val="auto"/>
              </w:rPr>
              <w:t>25 Walbrook</w:t>
            </w:r>
          </w:p>
        </w:tc>
        <w:tc>
          <w:tcPr>
            <w:tcW w:w="40" w:type="dxa"/>
            <w:vAlign w:val="bottom"/>
          </w:tcPr>
          <w:p>
            <w:pPr>
              <w:spacing w:after="0"/>
              <w:rPr>
                <w:sz w:val="17"/>
                <w:szCs w:val="17"/>
                <w:color w:val="auto"/>
              </w:rPr>
            </w:pPr>
          </w:p>
        </w:tc>
      </w:tr>
      <w:tr>
        <w:trPr>
          <w:trHeight w:val="217"/>
        </w:trPr>
        <w:tc>
          <w:tcPr>
            <w:tcW w:w="2700" w:type="dxa"/>
            <w:vAlign w:val="bottom"/>
            <w:tcBorders>
              <w:left w:val="single" w:sz="8" w:color="auto"/>
            </w:tcBorders>
            <w:shd w:val="clear" w:color="auto" w:fill="C0C0C0"/>
          </w:tcPr>
          <w:p>
            <w:pPr>
              <w:spacing w:after="0"/>
              <w:rPr>
                <w:sz w:val="18"/>
                <w:szCs w:val="18"/>
                <w:color w:val="auto"/>
              </w:rPr>
            </w:pPr>
          </w:p>
        </w:tc>
        <w:tc>
          <w:tcPr>
            <w:tcW w:w="1260" w:type="dxa"/>
            <w:vAlign w:val="bottom"/>
            <w:tcBorders>
              <w:right w:val="single" w:sz="8" w:color="auto"/>
            </w:tcBorders>
            <w:shd w:val="clear" w:color="auto" w:fill="C0C0C0"/>
          </w:tcPr>
          <w:p>
            <w:pPr>
              <w:spacing w:after="0"/>
              <w:rPr>
                <w:sz w:val="18"/>
                <w:szCs w:val="18"/>
                <w:color w:val="auto"/>
              </w:rPr>
            </w:pPr>
          </w:p>
        </w:tc>
        <w:tc>
          <w:tcPr>
            <w:tcW w:w="840" w:type="dxa"/>
            <w:vAlign w:val="bottom"/>
          </w:tcPr>
          <w:p>
            <w:pPr>
              <w:spacing w:after="0"/>
              <w:rPr>
                <w:sz w:val="18"/>
                <w:szCs w:val="18"/>
                <w:color w:val="auto"/>
              </w:rPr>
            </w:pPr>
          </w:p>
        </w:tc>
        <w:tc>
          <w:tcPr>
            <w:tcW w:w="64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London EC4N 8AF</w:t>
            </w:r>
          </w:p>
        </w:tc>
        <w:tc>
          <w:tcPr>
            <w:tcW w:w="40" w:type="dxa"/>
            <w:vAlign w:val="bottom"/>
          </w:tcPr>
          <w:p>
            <w:pPr>
              <w:spacing w:after="0"/>
              <w:rPr>
                <w:sz w:val="18"/>
                <w:szCs w:val="18"/>
                <w:color w:val="auto"/>
              </w:rPr>
            </w:pPr>
          </w:p>
        </w:tc>
      </w:tr>
      <w:tr>
        <w:trPr>
          <w:trHeight w:val="257"/>
        </w:trPr>
        <w:tc>
          <w:tcPr>
            <w:tcW w:w="2700" w:type="dxa"/>
            <w:vAlign w:val="bottom"/>
            <w:tcBorders>
              <w:left w:val="single" w:sz="8" w:color="auto"/>
            </w:tcBorders>
            <w:shd w:val="clear" w:color="auto" w:fill="C0C0C0"/>
          </w:tcPr>
          <w:p>
            <w:pPr>
              <w:spacing w:after="0"/>
              <w:rPr>
                <w:sz w:val="22"/>
                <w:szCs w:val="22"/>
                <w:color w:val="auto"/>
              </w:rPr>
            </w:pPr>
          </w:p>
        </w:tc>
        <w:tc>
          <w:tcPr>
            <w:tcW w:w="1260" w:type="dxa"/>
            <w:vAlign w:val="bottom"/>
            <w:tcBorders>
              <w:right w:val="single" w:sz="8" w:color="auto"/>
            </w:tcBorders>
            <w:shd w:val="clear" w:color="auto" w:fill="C0C0C0"/>
          </w:tcPr>
          <w:p>
            <w:pPr>
              <w:spacing w:after="0"/>
              <w:rPr>
                <w:sz w:val="22"/>
                <w:szCs w:val="22"/>
                <w:color w:val="auto"/>
              </w:rPr>
            </w:pPr>
          </w:p>
        </w:tc>
        <w:tc>
          <w:tcPr>
            <w:tcW w:w="72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Attention:  Credit Middle Office &amp; Agency</w:t>
            </w:r>
          </w:p>
        </w:tc>
        <w:tc>
          <w:tcPr>
            <w:tcW w:w="40" w:type="dxa"/>
            <w:vAlign w:val="bottom"/>
          </w:tcPr>
          <w:p>
            <w:pPr>
              <w:spacing w:after="0"/>
              <w:rPr>
                <w:sz w:val="22"/>
                <w:szCs w:val="22"/>
                <w:color w:val="auto"/>
              </w:rPr>
            </w:pPr>
          </w:p>
        </w:tc>
      </w:tr>
      <w:tr>
        <w:trPr>
          <w:trHeight w:val="257"/>
        </w:trPr>
        <w:tc>
          <w:tcPr>
            <w:tcW w:w="2700" w:type="dxa"/>
            <w:vAlign w:val="bottom"/>
            <w:tcBorders>
              <w:left w:val="single" w:sz="8" w:color="auto"/>
              <w:bottom w:val="single" w:sz="8" w:color="auto"/>
            </w:tcBorders>
            <w:shd w:val="clear" w:color="auto" w:fill="C0C0C0"/>
          </w:tcPr>
          <w:p>
            <w:pPr>
              <w:spacing w:after="0"/>
              <w:rPr>
                <w:sz w:val="22"/>
                <w:szCs w:val="22"/>
                <w:color w:val="auto"/>
              </w:rPr>
            </w:pPr>
          </w:p>
        </w:tc>
        <w:tc>
          <w:tcPr>
            <w:tcW w:w="1260" w:type="dxa"/>
            <w:vAlign w:val="bottom"/>
            <w:tcBorders>
              <w:bottom w:val="single" w:sz="8" w:color="auto"/>
              <w:right w:val="single" w:sz="8" w:color="auto"/>
            </w:tcBorders>
            <w:shd w:val="clear" w:color="auto" w:fill="C0C0C0"/>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Email:</w:t>
            </w:r>
          </w:p>
        </w:tc>
        <w:tc>
          <w:tcPr>
            <w:tcW w:w="180" w:type="dxa"/>
            <w:vAlign w:val="bottom"/>
            <w:tcBorders>
              <w:bottom w:val="single" w:sz="8" w:color="auto"/>
            </w:tcBorders>
          </w:tcPr>
          <w:p>
            <w:pPr>
              <w:spacing w:after="0"/>
              <w:rPr>
                <w:sz w:val="22"/>
                <w:szCs w:val="22"/>
                <w:color w:val="auto"/>
              </w:rPr>
            </w:pPr>
          </w:p>
        </w:tc>
        <w:tc>
          <w:tcPr>
            <w:tcW w:w="62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0000FF"/>
              </w:rPr>
              <w:t>cmoalondon@dnb.no</w:t>
            </w:r>
          </w:p>
        </w:tc>
        <w:tc>
          <w:tcPr>
            <w:tcW w:w="40" w:type="dxa"/>
            <w:vAlign w:val="bottom"/>
          </w:tcPr>
          <w:p>
            <w:pPr>
              <w:spacing w:after="0"/>
              <w:rPr>
                <w:sz w:val="22"/>
                <w:szCs w:val="22"/>
                <w:color w:val="auto"/>
              </w:rPr>
            </w:pPr>
          </w:p>
        </w:tc>
      </w:tr>
      <w:tr>
        <w:trPr>
          <w:trHeight w:val="331"/>
        </w:trPr>
        <w:tc>
          <w:tcPr>
            <w:tcW w:w="2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700" w:type="dxa"/>
            <w:vAlign w:val="bottom"/>
            <w:tcBorders>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auto"/>
              <w:right w:val="single" w:sz="8" w:color="auto"/>
            </w:tcBorders>
            <w:shd w:val="clear" w:color="auto" w:fill="C0C0C0"/>
          </w:tcPr>
          <w:p>
            <w:pPr>
              <w:spacing w:after="0"/>
              <w:rPr>
                <w:sz w:val="19"/>
                <w:szCs w:val="19"/>
                <w:color w:val="auto"/>
              </w:rPr>
            </w:pPr>
          </w:p>
        </w:tc>
        <w:tc>
          <w:tcPr>
            <w:tcW w:w="728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ING Bank N.V., London Branch</w:t>
            </w:r>
          </w:p>
        </w:tc>
        <w:tc>
          <w:tcPr>
            <w:tcW w:w="40" w:type="dxa"/>
            <w:vAlign w:val="bottom"/>
          </w:tcPr>
          <w:p>
            <w:pPr>
              <w:spacing w:after="0"/>
              <w:rPr>
                <w:sz w:val="19"/>
                <w:szCs w:val="19"/>
                <w:color w:val="auto"/>
              </w:rPr>
            </w:pPr>
          </w:p>
        </w:tc>
      </w:tr>
      <w:tr>
        <w:trPr>
          <w:trHeight w:val="187"/>
        </w:trPr>
        <w:tc>
          <w:tcPr>
            <w:tcW w:w="3960" w:type="dxa"/>
            <w:vAlign w:val="bottom"/>
            <w:tcBorders>
              <w:left w:val="single" w:sz="8" w:color="auto"/>
              <w:right w:val="single" w:sz="8" w:color="auto"/>
            </w:tcBorders>
            <w:gridSpan w:val="2"/>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Facility Office, address, email and attention</w:t>
            </w:r>
          </w:p>
        </w:tc>
        <w:tc>
          <w:tcPr>
            <w:tcW w:w="840" w:type="dxa"/>
            <w:vAlign w:val="bottom"/>
          </w:tcPr>
          <w:p>
            <w:pPr>
              <w:ind w:left="100"/>
              <w:spacing w:after="0" w:line="187" w:lineRule="exact"/>
              <w:rPr>
                <w:sz w:val="20"/>
                <w:szCs w:val="20"/>
                <w:color w:val="auto"/>
              </w:rPr>
            </w:pPr>
            <w:r>
              <w:rPr>
                <w:rFonts w:ascii="Arial" w:cs="Arial" w:eastAsia="Arial" w:hAnsi="Arial"/>
                <w:sz w:val="18"/>
                <w:szCs w:val="18"/>
                <w:color w:val="auto"/>
              </w:rPr>
              <w:t>Address:</w:t>
            </w:r>
          </w:p>
        </w:tc>
        <w:tc>
          <w:tcPr>
            <w:tcW w:w="6440" w:type="dxa"/>
            <w:vAlign w:val="bottom"/>
            <w:tcBorders>
              <w:right w:val="single" w:sz="8" w:color="auto"/>
            </w:tcBorders>
            <w:gridSpan w:val="6"/>
          </w:tcPr>
          <w:p>
            <w:pPr>
              <w:ind w:left="160"/>
              <w:spacing w:after="0" w:line="187" w:lineRule="exact"/>
              <w:rPr>
                <w:sz w:val="20"/>
                <w:szCs w:val="20"/>
                <w:color w:val="auto"/>
              </w:rPr>
            </w:pPr>
            <w:r>
              <w:rPr>
                <w:rFonts w:ascii="Arial" w:cs="Arial" w:eastAsia="Arial" w:hAnsi="Arial"/>
                <w:sz w:val="18"/>
                <w:szCs w:val="18"/>
                <w:color w:val="auto"/>
              </w:rPr>
              <w:t>8-10 Moorgate</w:t>
            </w:r>
          </w:p>
        </w:tc>
        <w:tc>
          <w:tcPr>
            <w:tcW w:w="40" w:type="dxa"/>
            <w:vAlign w:val="bottom"/>
          </w:tcPr>
          <w:p>
            <w:pPr>
              <w:spacing w:after="0"/>
              <w:rPr>
                <w:sz w:val="16"/>
                <w:szCs w:val="16"/>
                <w:color w:val="auto"/>
              </w:rPr>
            </w:pPr>
          </w:p>
        </w:tc>
      </w:tr>
      <w:tr>
        <w:trPr>
          <w:trHeight w:val="239"/>
        </w:trPr>
        <w:tc>
          <w:tcPr>
            <w:tcW w:w="2700" w:type="dxa"/>
            <w:vAlign w:val="bottom"/>
            <w:tcBorders>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details for notices</w:t>
            </w:r>
          </w:p>
        </w:tc>
        <w:tc>
          <w:tcPr>
            <w:tcW w:w="1260" w:type="dxa"/>
            <w:vAlign w:val="bottom"/>
            <w:tcBorders>
              <w:right w:val="single" w:sz="8" w:color="auto"/>
            </w:tcBorders>
            <w:shd w:val="clear" w:color="auto" w:fill="C0C0C0"/>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London EC2R 6DA</w:t>
            </w:r>
          </w:p>
        </w:tc>
        <w:tc>
          <w:tcPr>
            <w:tcW w:w="40" w:type="dxa"/>
            <w:vAlign w:val="bottom"/>
          </w:tcPr>
          <w:p>
            <w:pPr>
              <w:spacing w:after="0"/>
              <w:rPr>
                <w:sz w:val="20"/>
                <w:szCs w:val="20"/>
                <w:color w:val="auto"/>
              </w:rPr>
            </w:pPr>
          </w:p>
        </w:tc>
      </w:tr>
      <w:tr>
        <w:trPr>
          <w:trHeight w:val="391"/>
        </w:trPr>
        <w:tc>
          <w:tcPr>
            <w:tcW w:w="2700" w:type="dxa"/>
            <w:vAlign w:val="bottom"/>
            <w:tcBorders>
              <w:lef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2700" w:type="dxa"/>
            <w:vAlign w:val="bottom"/>
            <w:tcBorders>
              <w:left w:val="single" w:sz="8" w:color="auto"/>
            </w:tcBorders>
            <w:shd w:val="clear" w:color="auto" w:fill="C0C0C0"/>
          </w:tcPr>
          <w:p>
            <w:pPr>
              <w:spacing w:after="0"/>
              <w:rPr>
                <w:sz w:val="17"/>
                <w:szCs w:val="17"/>
                <w:color w:val="auto"/>
              </w:rPr>
            </w:pPr>
          </w:p>
        </w:tc>
        <w:tc>
          <w:tcPr>
            <w:tcW w:w="1260" w:type="dxa"/>
            <w:vAlign w:val="bottom"/>
            <w:tcBorders>
              <w:right w:val="single" w:sz="8" w:color="auto"/>
            </w:tcBorders>
            <w:shd w:val="clear" w:color="auto" w:fill="C0C0C0"/>
          </w:tcPr>
          <w:p>
            <w:pPr>
              <w:spacing w:after="0"/>
              <w:rPr>
                <w:sz w:val="17"/>
                <w:szCs w:val="17"/>
                <w:color w:val="auto"/>
              </w:rPr>
            </w:pPr>
          </w:p>
        </w:tc>
        <w:tc>
          <w:tcPr>
            <w:tcW w:w="7280" w:type="dxa"/>
            <w:vAlign w:val="bottom"/>
            <w:tcBorders>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Attention:  Adam Byrne and Weilong Liang</w:t>
            </w:r>
          </w:p>
        </w:tc>
        <w:tc>
          <w:tcPr>
            <w:tcW w:w="40" w:type="dxa"/>
            <w:vAlign w:val="bottom"/>
          </w:tcPr>
          <w:p>
            <w:pPr>
              <w:spacing w:after="0"/>
              <w:rPr>
                <w:sz w:val="17"/>
                <w:szCs w:val="17"/>
                <w:color w:val="auto"/>
              </w:rPr>
            </w:pPr>
          </w:p>
        </w:tc>
      </w:tr>
      <w:tr>
        <w:trPr>
          <w:trHeight w:val="176"/>
        </w:trPr>
        <w:tc>
          <w:tcPr>
            <w:tcW w:w="2700" w:type="dxa"/>
            <w:vAlign w:val="bottom"/>
            <w:tcBorders>
              <w:left w:val="single" w:sz="8" w:color="auto"/>
            </w:tcBorders>
            <w:shd w:val="clear" w:color="auto" w:fill="C0C0C0"/>
          </w:tcPr>
          <w:p>
            <w:pPr>
              <w:spacing w:after="0"/>
              <w:rPr>
                <w:sz w:val="15"/>
                <w:szCs w:val="15"/>
                <w:color w:val="auto"/>
              </w:rPr>
            </w:pPr>
          </w:p>
        </w:tc>
        <w:tc>
          <w:tcPr>
            <w:tcW w:w="1260" w:type="dxa"/>
            <w:vAlign w:val="bottom"/>
            <w:tcBorders>
              <w:right w:val="single" w:sz="8" w:color="auto"/>
            </w:tcBorders>
            <w:shd w:val="clear" w:color="auto" w:fill="C0C0C0"/>
          </w:tcPr>
          <w:p>
            <w:pPr>
              <w:spacing w:after="0"/>
              <w:rPr>
                <w:sz w:val="15"/>
                <w:szCs w:val="15"/>
                <w:color w:val="auto"/>
              </w:rPr>
            </w:pPr>
          </w:p>
        </w:tc>
        <w:tc>
          <w:tcPr>
            <w:tcW w:w="84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Adam.Byrne@ing.com / Weilong.Liang@ing.com</w:t>
            </w:r>
          </w:p>
        </w:tc>
        <w:tc>
          <w:tcPr>
            <w:tcW w:w="40" w:type="dxa"/>
            <w:vAlign w:val="bottom"/>
          </w:tcPr>
          <w:p>
            <w:pPr>
              <w:spacing w:after="0"/>
              <w:rPr>
                <w:sz w:val="15"/>
                <w:szCs w:val="15"/>
                <w:color w:val="auto"/>
              </w:rPr>
            </w:pPr>
          </w:p>
        </w:tc>
      </w:tr>
      <w:tr>
        <w:trPr>
          <w:trHeight w:val="20"/>
        </w:trPr>
        <w:tc>
          <w:tcPr>
            <w:tcW w:w="2700" w:type="dxa"/>
            <w:vAlign w:val="bottom"/>
            <w:tcBorders>
              <w:left w:val="single" w:sz="8" w:color="auto"/>
            </w:tcBorders>
            <w:shd w:val="clear" w:color="auto" w:fill="C0C0C0"/>
          </w:tcPr>
          <w:p>
            <w:pPr>
              <w:spacing w:after="0" w:line="20" w:lineRule="exact"/>
              <w:rPr>
                <w:sz w:val="1"/>
                <w:szCs w:val="1"/>
                <w:color w:val="auto"/>
              </w:rPr>
            </w:pPr>
          </w:p>
        </w:tc>
        <w:tc>
          <w:tcPr>
            <w:tcW w:w="1260" w:type="dxa"/>
            <w:vAlign w:val="bottom"/>
            <w:tcBorders>
              <w:right w:val="single" w:sz="8" w:color="auto"/>
            </w:tcBorders>
            <w:shd w:val="clear" w:color="auto" w:fill="C0C0C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2700" w:type="dxa"/>
            <w:vAlign w:val="bottom"/>
            <w:tcBorders>
              <w:lef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FOR LOAN ADMINISTRATION:</w:t>
            </w:r>
          </w:p>
        </w:tc>
        <w:tc>
          <w:tcPr>
            <w:tcW w:w="40" w:type="dxa"/>
            <w:vAlign w:val="bottom"/>
          </w:tcPr>
          <w:p>
            <w:pPr>
              <w:spacing w:after="0"/>
              <w:rPr>
                <w:sz w:val="24"/>
                <w:szCs w:val="24"/>
                <w:color w:val="auto"/>
              </w:rPr>
            </w:pPr>
          </w:p>
        </w:tc>
      </w:tr>
      <w:tr>
        <w:trPr>
          <w:trHeight w:val="203"/>
        </w:trPr>
        <w:tc>
          <w:tcPr>
            <w:tcW w:w="2700" w:type="dxa"/>
            <w:vAlign w:val="bottom"/>
            <w:tcBorders>
              <w:left w:val="single" w:sz="8" w:color="auto"/>
            </w:tcBorders>
            <w:shd w:val="clear" w:color="auto" w:fill="C0C0C0"/>
          </w:tcPr>
          <w:p>
            <w:pPr>
              <w:spacing w:after="0"/>
              <w:rPr>
                <w:sz w:val="17"/>
                <w:szCs w:val="17"/>
                <w:color w:val="auto"/>
              </w:rPr>
            </w:pPr>
          </w:p>
        </w:tc>
        <w:tc>
          <w:tcPr>
            <w:tcW w:w="1260" w:type="dxa"/>
            <w:vAlign w:val="bottom"/>
            <w:tcBorders>
              <w:right w:val="single" w:sz="8" w:color="auto"/>
            </w:tcBorders>
            <w:shd w:val="clear" w:color="auto" w:fill="C0C0C0"/>
          </w:tcPr>
          <w:p>
            <w:pPr>
              <w:spacing w:after="0"/>
              <w:rPr>
                <w:sz w:val="17"/>
                <w:szCs w:val="17"/>
                <w:color w:val="auto"/>
              </w:rPr>
            </w:pPr>
          </w:p>
        </w:tc>
        <w:tc>
          <w:tcPr>
            <w:tcW w:w="7280" w:type="dxa"/>
            <w:vAlign w:val="bottom"/>
            <w:tcBorders>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Attention:  Thomas Lockhart -Boyd and Stephanie Boughtwood</w:t>
            </w:r>
          </w:p>
        </w:tc>
        <w:tc>
          <w:tcPr>
            <w:tcW w:w="40" w:type="dxa"/>
            <w:vAlign w:val="bottom"/>
          </w:tcPr>
          <w:p>
            <w:pPr>
              <w:spacing w:after="0"/>
              <w:rPr>
                <w:sz w:val="17"/>
                <w:szCs w:val="17"/>
                <w:color w:val="auto"/>
              </w:rPr>
            </w:pPr>
          </w:p>
        </w:tc>
      </w:tr>
      <w:tr>
        <w:trPr>
          <w:trHeight w:val="217"/>
        </w:trPr>
        <w:tc>
          <w:tcPr>
            <w:tcW w:w="2700" w:type="dxa"/>
            <w:vAlign w:val="bottom"/>
            <w:tcBorders>
              <w:left w:val="single" w:sz="8" w:color="auto"/>
              <w:bottom w:val="single" w:sz="8" w:color="auto"/>
            </w:tcBorders>
            <w:shd w:val="clear" w:color="auto" w:fill="C0C0C0"/>
          </w:tcPr>
          <w:p>
            <w:pPr>
              <w:spacing w:after="0"/>
              <w:rPr>
                <w:sz w:val="18"/>
                <w:szCs w:val="18"/>
                <w:color w:val="auto"/>
              </w:rPr>
            </w:pPr>
          </w:p>
        </w:tc>
        <w:tc>
          <w:tcPr>
            <w:tcW w:w="1260" w:type="dxa"/>
            <w:vAlign w:val="bottom"/>
            <w:tcBorders>
              <w:bottom w:val="single" w:sz="8" w:color="auto"/>
              <w:right w:val="single" w:sz="8" w:color="auto"/>
            </w:tcBorders>
            <w:shd w:val="clear" w:color="auto" w:fill="C0C0C0"/>
          </w:tcPr>
          <w:p>
            <w:pPr>
              <w:spacing w:after="0"/>
              <w:rPr>
                <w:sz w:val="18"/>
                <w:szCs w:val="18"/>
                <w:color w:val="auto"/>
              </w:rPr>
            </w:pPr>
          </w:p>
        </w:tc>
        <w:tc>
          <w:tcPr>
            <w:tcW w:w="84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18"/>
                <w:szCs w:val="18"/>
                <w:color w:val="auto"/>
              </w:rPr>
              <w:t>Email: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40" w:type="dxa"/>
            <w:vAlign w:val="bottom"/>
            <w:tcBorders>
              <w:bottom w:val="single" w:sz="8" w:color="auto"/>
              <w:right w:val="single" w:sz="8" w:color="auto"/>
            </w:tcBorders>
            <w:gridSpan w:val="4"/>
          </w:tcPr>
          <w:p>
            <w:pPr>
              <w:spacing w:after="0" w:line="176" w:lineRule="exact"/>
              <w:rPr>
                <w:sz w:val="20"/>
                <w:szCs w:val="20"/>
                <w:color w:val="auto"/>
              </w:rPr>
            </w:pPr>
            <w:r>
              <w:rPr>
                <w:rFonts w:ascii="Arial" w:cs="Arial" w:eastAsia="Arial" w:hAnsi="Arial"/>
                <w:sz w:val="18"/>
                <w:szCs w:val="18"/>
                <w:color w:val="0000FF"/>
              </w:rPr>
              <w:t>Dealexecutionlondon@ing.com</w:t>
            </w:r>
          </w:p>
        </w:tc>
        <w:tc>
          <w:tcPr>
            <w:tcW w:w="40" w:type="dxa"/>
            <w:vAlign w:val="bottom"/>
          </w:tcPr>
          <w:p>
            <w:pPr>
              <w:spacing w:after="0"/>
              <w:rPr>
                <w:sz w:val="18"/>
                <w:szCs w:val="18"/>
                <w:color w:val="auto"/>
              </w:rPr>
            </w:pPr>
          </w:p>
        </w:tc>
      </w:tr>
      <w:tr>
        <w:trPr>
          <w:trHeight w:val="547"/>
        </w:trPr>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40" w:type="dxa"/>
            <w:vAlign w:val="bottom"/>
            <w:gridSpan w:val="6"/>
          </w:tcPr>
          <w:p>
            <w:pPr>
              <w:jc w:val="center"/>
              <w:ind w:right="4800"/>
              <w:spacing w:after="0"/>
              <w:rPr>
                <w:sz w:val="20"/>
                <w:szCs w:val="20"/>
                <w:color w:val="auto"/>
              </w:rPr>
            </w:pPr>
            <w:r>
              <w:rPr>
                <w:rFonts w:ascii="Arial" w:cs="Arial" w:eastAsia="Arial" w:hAnsi="Arial"/>
                <w:sz w:val="18"/>
                <w:szCs w:val="18"/>
                <w:b w:val="1"/>
                <w:bCs w:val="1"/>
                <w:color w:val="auto"/>
                <w:w w:val="99"/>
              </w:rPr>
              <w:t>The Bookrunners</w:t>
            </w:r>
          </w:p>
        </w:tc>
        <w:tc>
          <w:tcPr>
            <w:tcW w:w="40" w:type="dxa"/>
            <w:vAlign w:val="bottom"/>
          </w:tcPr>
          <w:p>
            <w:pPr>
              <w:spacing w:after="0"/>
              <w:rPr>
                <w:sz w:val="24"/>
                <w:szCs w:val="24"/>
                <w:color w:val="auto"/>
              </w:rPr>
            </w:pPr>
          </w:p>
        </w:tc>
      </w:tr>
      <w:tr>
        <w:trPr>
          <w:trHeight w:val="189"/>
        </w:trPr>
        <w:tc>
          <w:tcPr>
            <w:tcW w:w="2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2700" w:type="dxa"/>
            <w:vAlign w:val="bottom"/>
            <w:tcBorders>
              <w:left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auto"/>
              <w:right w:val="single" w:sz="8" w:color="auto"/>
            </w:tcBorders>
            <w:shd w:val="clear" w:color="auto" w:fill="C0C0C0"/>
          </w:tcPr>
          <w:p>
            <w:pPr>
              <w:spacing w:after="0"/>
              <w:rPr>
                <w:sz w:val="19"/>
                <w:szCs w:val="19"/>
                <w:color w:val="auto"/>
              </w:rPr>
            </w:pPr>
          </w:p>
        </w:tc>
        <w:tc>
          <w:tcPr>
            <w:tcW w:w="728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DNB (UK) Ltd.</w:t>
            </w:r>
          </w:p>
        </w:tc>
        <w:tc>
          <w:tcPr>
            <w:tcW w:w="40" w:type="dxa"/>
            <w:vAlign w:val="bottom"/>
          </w:tcPr>
          <w:p>
            <w:pPr>
              <w:spacing w:after="0"/>
              <w:rPr>
                <w:sz w:val="19"/>
                <w:szCs w:val="19"/>
                <w:color w:val="auto"/>
              </w:rPr>
            </w:pPr>
          </w:p>
        </w:tc>
      </w:tr>
      <w:tr>
        <w:trPr>
          <w:trHeight w:val="187"/>
        </w:trPr>
        <w:tc>
          <w:tcPr>
            <w:tcW w:w="2700" w:type="dxa"/>
            <w:vAlign w:val="bottom"/>
            <w:tcBorders>
              <w:lef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Facility Office, address, email</w:t>
            </w:r>
          </w:p>
        </w:tc>
        <w:tc>
          <w:tcPr>
            <w:tcW w:w="1260" w:type="dxa"/>
            <w:vAlign w:val="bottom"/>
            <w:tcBorders>
              <w:right w:val="single" w:sz="8" w:color="auto"/>
            </w:tcBorders>
            <w:shd w:val="clear" w:color="auto" w:fill="C0C0C0"/>
          </w:tcPr>
          <w:p>
            <w:pPr>
              <w:ind w:left="60"/>
              <w:spacing w:after="0" w:line="187" w:lineRule="exact"/>
              <w:rPr>
                <w:sz w:val="20"/>
                <w:szCs w:val="20"/>
                <w:color w:val="auto"/>
              </w:rPr>
            </w:pPr>
            <w:r>
              <w:rPr>
                <w:rFonts w:ascii="Arial" w:cs="Arial" w:eastAsia="Arial" w:hAnsi="Arial"/>
                <w:sz w:val="18"/>
                <w:szCs w:val="18"/>
                <w:b w:val="1"/>
                <w:bCs w:val="1"/>
                <w:color w:val="auto"/>
              </w:rPr>
              <w:t>and</w:t>
            </w:r>
          </w:p>
        </w:tc>
        <w:tc>
          <w:tcPr>
            <w:tcW w:w="840" w:type="dxa"/>
            <w:vAlign w:val="bottom"/>
          </w:tcPr>
          <w:p>
            <w:pPr>
              <w:ind w:left="100"/>
              <w:spacing w:after="0" w:line="187" w:lineRule="exact"/>
              <w:rPr>
                <w:sz w:val="20"/>
                <w:szCs w:val="20"/>
                <w:color w:val="auto"/>
              </w:rPr>
            </w:pPr>
            <w:r>
              <w:rPr>
                <w:rFonts w:ascii="Arial" w:cs="Arial" w:eastAsia="Arial" w:hAnsi="Arial"/>
                <w:sz w:val="18"/>
                <w:szCs w:val="18"/>
                <w:color w:val="auto"/>
              </w:rPr>
              <w:t>Address:</w:t>
            </w:r>
          </w:p>
        </w:tc>
        <w:tc>
          <w:tcPr>
            <w:tcW w:w="6440" w:type="dxa"/>
            <w:vAlign w:val="bottom"/>
            <w:tcBorders>
              <w:right w:val="single" w:sz="8" w:color="auto"/>
            </w:tcBorders>
            <w:gridSpan w:val="6"/>
          </w:tcPr>
          <w:p>
            <w:pPr>
              <w:ind w:left="160"/>
              <w:spacing w:after="0" w:line="187" w:lineRule="exact"/>
              <w:rPr>
                <w:sz w:val="20"/>
                <w:szCs w:val="20"/>
                <w:color w:val="auto"/>
              </w:rPr>
            </w:pPr>
            <w:r>
              <w:rPr>
                <w:rFonts w:ascii="Arial" w:cs="Arial" w:eastAsia="Arial" w:hAnsi="Arial"/>
                <w:sz w:val="18"/>
                <w:szCs w:val="18"/>
                <w:color w:val="auto"/>
              </w:rPr>
              <w:t>8th Floor</w:t>
            </w:r>
          </w:p>
        </w:tc>
        <w:tc>
          <w:tcPr>
            <w:tcW w:w="40" w:type="dxa"/>
            <w:vAlign w:val="bottom"/>
          </w:tcPr>
          <w:p>
            <w:pPr>
              <w:spacing w:after="0"/>
              <w:rPr>
                <w:sz w:val="16"/>
                <w:szCs w:val="16"/>
                <w:color w:val="auto"/>
              </w:rPr>
            </w:pPr>
          </w:p>
        </w:tc>
      </w:tr>
      <w:tr>
        <w:trPr>
          <w:trHeight w:val="225"/>
        </w:trPr>
        <w:tc>
          <w:tcPr>
            <w:tcW w:w="2700" w:type="dxa"/>
            <w:vAlign w:val="bottom"/>
            <w:tcBorders>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attention details for notices</w:t>
            </w:r>
          </w:p>
        </w:tc>
        <w:tc>
          <w:tcPr>
            <w:tcW w:w="1260" w:type="dxa"/>
            <w:vAlign w:val="bottom"/>
            <w:tcBorders>
              <w:right w:val="single" w:sz="8" w:color="auto"/>
            </w:tcBorders>
            <w:shd w:val="clear" w:color="auto" w:fill="C0C0C0"/>
          </w:tcPr>
          <w:p>
            <w:pPr>
              <w:spacing w:after="0"/>
              <w:rPr>
                <w:sz w:val="19"/>
                <w:szCs w:val="19"/>
                <w:color w:val="auto"/>
              </w:rPr>
            </w:pPr>
          </w:p>
        </w:tc>
        <w:tc>
          <w:tcPr>
            <w:tcW w:w="840" w:type="dxa"/>
            <w:vAlign w:val="bottom"/>
          </w:tcPr>
          <w:p>
            <w:pPr>
              <w:spacing w:after="0"/>
              <w:rPr>
                <w:sz w:val="19"/>
                <w:szCs w:val="19"/>
                <w:color w:val="auto"/>
              </w:rPr>
            </w:pPr>
          </w:p>
        </w:tc>
        <w:tc>
          <w:tcPr>
            <w:tcW w:w="64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The Walbrook Building</w:t>
            </w:r>
          </w:p>
        </w:tc>
        <w:tc>
          <w:tcPr>
            <w:tcW w:w="40" w:type="dxa"/>
            <w:vAlign w:val="bottom"/>
          </w:tcPr>
          <w:p>
            <w:pPr>
              <w:spacing w:after="0"/>
              <w:rPr>
                <w:sz w:val="19"/>
                <w:szCs w:val="19"/>
                <w:color w:val="auto"/>
              </w:rPr>
            </w:pPr>
          </w:p>
        </w:tc>
      </w:tr>
      <w:tr>
        <w:trPr>
          <w:trHeight w:val="203"/>
        </w:trPr>
        <w:tc>
          <w:tcPr>
            <w:tcW w:w="2700" w:type="dxa"/>
            <w:vAlign w:val="bottom"/>
            <w:tcBorders>
              <w:left w:val="single" w:sz="8" w:color="auto"/>
            </w:tcBorders>
            <w:shd w:val="clear" w:color="auto" w:fill="C0C0C0"/>
          </w:tcPr>
          <w:p>
            <w:pPr>
              <w:spacing w:after="0"/>
              <w:rPr>
                <w:sz w:val="17"/>
                <w:szCs w:val="17"/>
                <w:color w:val="auto"/>
              </w:rPr>
            </w:pPr>
          </w:p>
        </w:tc>
        <w:tc>
          <w:tcPr>
            <w:tcW w:w="1260" w:type="dxa"/>
            <w:vAlign w:val="bottom"/>
            <w:tcBorders>
              <w:right w:val="single" w:sz="8" w:color="auto"/>
            </w:tcBorders>
            <w:shd w:val="clear" w:color="auto" w:fill="C0C0C0"/>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Borders>
              <w:right w:val="single" w:sz="8" w:color="auto"/>
            </w:tcBorders>
            <w:gridSpan w:val="6"/>
          </w:tcPr>
          <w:p>
            <w:pPr>
              <w:ind w:left="180"/>
              <w:spacing w:after="0" w:line="202" w:lineRule="exact"/>
              <w:rPr>
                <w:sz w:val="20"/>
                <w:szCs w:val="20"/>
                <w:color w:val="auto"/>
              </w:rPr>
            </w:pPr>
            <w:r>
              <w:rPr>
                <w:rFonts w:ascii="Arial" w:cs="Arial" w:eastAsia="Arial" w:hAnsi="Arial"/>
                <w:sz w:val="18"/>
                <w:szCs w:val="18"/>
                <w:color w:val="auto"/>
              </w:rPr>
              <w:t>25 Walbrook</w:t>
            </w:r>
          </w:p>
        </w:tc>
        <w:tc>
          <w:tcPr>
            <w:tcW w:w="40" w:type="dxa"/>
            <w:vAlign w:val="bottom"/>
          </w:tcPr>
          <w:p>
            <w:pPr>
              <w:spacing w:after="0"/>
              <w:rPr>
                <w:sz w:val="17"/>
                <w:szCs w:val="17"/>
                <w:color w:val="auto"/>
              </w:rPr>
            </w:pPr>
          </w:p>
        </w:tc>
      </w:tr>
      <w:tr>
        <w:trPr>
          <w:trHeight w:val="217"/>
        </w:trPr>
        <w:tc>
          <w:tcPr>
            <w:tcW w:w="2700" w:type="dxa"/>
            <w:vAlign w:val="bottom"/>
            <w:tcBorders>
              <w:left w:val="single" w:sz="8" w:color="auto"/>
            </w:tcBorders>
            <w:shd w:val="clear" w:color="auto" w:fill="C0C0C0"/>
          </w:tcPr>
          <w:p>
            <w:pPr>
              <w:spacing w:after="0"/>
              <w:rPr>
                <w:sz w:val="18"/>
                <w:szCs w:val="18"/>
                <w:color w:val="auto"/>
              </w:rPr>
            </w:pPr>
          </w:p>
        </w:tc>
        <w:tc>
          <w:tcPr>
            <w:tcW w:w="1260" w:type="dxa"/>
            <w:vAlign w:val="bottom"/>
            <w:tcBorders>
              <w:right w:val="single" w:sz="8" w:color="auto"/>
            </w:tcBorders>
            <w:shd w:val="clear" w:color="auto" w:fill="C0C0C0"/>
          </w:tcPr>
          <w:p>
            <w:pPr>
              <w:spacing w:after="0"/>
              <w:rPr>
                <w:sz w:val="18"/>
                <w:szCs w:val="18"/>
                <w:color w:val="auto"/>
              </w:rPr>
            </w:pPr>
          </w:p>
        </w:tc>
        <w:tc>
          <w:tcPr>
            <w:tcW w:w="840" w:type="dxa"/>
            <w:vAlign w:val="bottom"/>
          </w:tcPr>
          <w:p>
            <w:pPr>
              <w:spacing w:after="0"/>
              <w:rPr>
                <w:sz w:val="18"/>
                <w:szCs w:val="18"/>
                <w:color w:val="auto"/>
              </w:rPr>
            </w:pPr>
          </w:p>
        </w:tc>
        <w:tc>
          <w:tcPr>
            <w:tcW w:w="644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London EC4N 8AF</w:t>
            </w:r>
          </w:p>
        </w:tc>
        <w:tc>
          <w:tcPr>
            <w:tcW w:w="40" w:type="dxa"/>
            <w:vAlign w:val="bottom"/>
          </w:tcPr>
          <w:p>
            <w:pPr>
              <w:spacing w:after="0"/>
              <w:rPr>
                <w:sz w:val="18"/>
                <w:szCs w:val="18"/>
                <w:color w:val="auto"/>
              </w:rPr>
            </w:pPr>
          </w:p>
        </w:tc>
      </w:tr>
      <w:tr>
        <w:trPr>
          <w:trHeight w:val="256"/>
        </w:trPr>
        <w:tc>
          <w:tcPr>
            <w:tcW w:w="2700" w:type="dxa"/>
            <w:vAlign w:val="bottom"/>
            <w:tcBorders>
              <w:left w:val="single" w:sz="8" w:color="auto"/>
            </w:tcBorders>
            <w:shd w:val="clear" w:color="auto" w:fill="C0C0C0"/>
          </w:tcPr>
          <w:p>
            <w:pPr>
              <w:spacing w:after="0"/>
              <w:rPr>
                <w:sz w:val="22"/>
                <w:szCs w:val="22"/>
                <w:color w:val="auto"/>
              </w:rPr>
            </w:pPr>
          </w:p>
        </w:tc>
        <w:tc>
          <w:tcPr>
            <w:tcW w:w="1260" w:type="dxa"/>
            <w:vAlign w:val="bottom"/>
            <w:tcBorders>
              <w:right w:val="single" w:sz="8" w:color="auto"/>
            </w:tcBorders>
            <w:shd w:val="clear" w:color="auto" w:fill="C0C0C0"/>
          </w:tcPr>
          <w:p>
            <w:pPr>
              <w:spacing w:after="0"/>
              <w:rPr>
                <w:sz w:val="22"/>
                <w:szCs w:val="22"/>
                <w:color w:val="auto"/>
              </w:rPr>
            </w:pPr>
          </w:p>
        </w:tc>
        <w:tc>
          <w:tcPr>
            <w:tcW w:w="728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Attention:  Credit Middle Office &amp; Agency</w:t>
            </w:r>
          </w:p>
        </w:tc>
        <w:tc>
          <w:tcPr>
            <w:tcW w:w="40" w:type="dxa"/>
            <w:vAlign w:val="bottom"/>
          </w:tcPr>
          <w:p>
            <w:pPr>
              <w:spacing w:after="0"/>
              <w:rPr>
                <w:sz w:val="22"/>
                <w:szCs w:val="22"/>
                <w:color w:val="auto"/>
              </w:rPr>
            </w:pPr>
          </w:p>
        </w:tc>
      </w:tr>
      <w:tr>
        <w:trPr>
          <w:trHeight w:val="256"/>
        </w:trPr>
        <w:tc>
          <w:tcPr>
            <w:tcW w:w="2700" w:type="dxa"/>
            <w:vAlign w:val="bottom"/>
            <w:tcBorders>
              <w:left w:val="single" w:sz="8" w:color="auto"/>
              <w:bottom w:val="single" w:sz="8" w:color="auto"/>
            </w:tcBorders>
            <w:shd w:val="clear" w:color="auto" w:fill="C0C0C0"/>
          </w:tcPr>
          <w:p>
            <w:pPr>
              <w:spacing w:after="0"/>
              <w:rPr>
                <w:sz w:val="22"/>
                <w:szCs w:val="22"/>
                <w:color w:val="auto"/>
              </w:rPr>
            </w:pPr>
          </w:p>
        </w:tc>
        <w:tc>
          <w:tcPr>
            <w:tcW w:w="1260" w:type="dxa"/>
            <w:vAlign w:val="bottom"/>
            <w:tcBorders>
              <w:bottom w:val="single" w:sz="8" w:color="auto"/>
              <w:right w:val="single" w:sz="8" w:color="auto"/>
            </w:tcBorders>
            <w:shd w:val="clear" w:color="auto" w:fill="C0C0C0"/>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Email:</w:t>
            </w:r>
          </w:p>
        </w:tc>
        <w:tc>
          <w:tcPr>
            <w:tcW w:w="180" w:type="dxa"/>
            <w:vAlign w:val="bottom"/>
            <w:tcBorders>
              <w:bottom w:val="single" w:sz="8" w:color="auto"/>
            </w:tcBorders>
          </w:tcPr>
          <w:p>
            <w:pPr>
              <w:spacing w:after="0"/>
              <w:rPr>
                <w:sz w:val="22"/>
                <w:szCs w:val="22"/>
                <w:color w:val="auto"/>
              </w:rPr>
            </w:pPr>
          </w:p>
        </w:tc>
        <w:tc>
          <w:tcPr>
            <w:tcW w:w="62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0000FF"/>
              </w:rPr>
              <w:t>cmoalondon@dnb.no</w:t>
            </w:r>
          </w:p>
        </w:tc>
        <w:tc>
          <w:tcPr>
            <w:tcW w:w="40" w:type="dxa"/>
            <w:vAlign w:val="bottom"/>
          </w:tcPr>
          <w:p>
            <w:pPr>
              <w:spacing w:after="0"/>
              <w:rPr>
                <w:sz w:val="22"/>
                <w:szCs w:val="22"/>
                <w:color w:val="auto"/>
              </w:rPr>
            </w:pPr>
          </w:p>
        </w:tc>
      </w:tr>
      <w:tr>
        <w:trPr>
          <w:trHeight w:val="412"/>
        </w:trPr>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gridSpan w:val="3"/>
          </w:tcPr>
          <w:p>
            <w:pPr>
              <w:jc w:val="center"/>
              <w:ind w:right="130"/>
              <w:spacing w:after="0"/>
              <w:rPr>
                <w:sz w:val="20"/>
                <w:szCs w:val="20"/>
                <w:color w:val="auto"/>
              </w:rPr>
            </w:pPr>
            <w:r>
              <w:rPr>
                <w:rFonts w:ascii="Arial" w:cs="Arial" w:eastAsia="Arial" w:hAnsi="Arial"/>
                <w:sz w:val="18"/>
                <w:szCs w:val="18"/>
                <w:color w:val="auto"/>
                <w:w w:val="99"/>
              </w:rPr>
              <w:t>154</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27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329" w:name="page330"/>
    <w:bookmarkEnd w:id="329"/>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280" w:type="dxa"/>
            <w:vAlign w:val="bottom"/>
            <w:tcBorders>
              <w:top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ING Bank N.V., London Branch</w:t>
            </w:r>
          </w:p>
        </w:tc>
      </w:tr>
      <w:tr>
        <w:trPr>
          <w:trHeight w:val="187"/>
        </w:trPr>
        <w:tc>
          <w:tcPr>
            <w:tcW w:w="396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Facility Office, address, email and attention</w:t>
            </w:r>
          </w:p>
        </w:tc>
        <w:tc>
          <w:tcPr>
            <w:tcW w:w="920" w:type="dxa"/>
            <w:vAlign w:val="bottom"/>
          </w:tcPr>
          <w:p>
            <w:pPr>
              <w:ind w:left="100"/>
              <w:spacing w:after="0" w:line="187" w:lineRule="exact"/>
              <w:rPr>
                <w:sz w:val="20"/>
                <w:szCs w:val="20"/>
                <w:color w:val="auto"/>
              </w:rPr>
            </w:pPr>
            <w:r>
              <w:rPr>
                <w:rFonts w:ascii="Arial" w:cs="Arial" w:eastAsia="Arial" w:hAnsi="Arial"/>
                <w:sz w:val="18"/>
                <w:szCs w:val="18"/>
                <w:color w:val="auto"/>
              </w:rPr>
              <w:t>Address:</w:t>
            </w:r>
          </w:p>
        </w:tc>
        <w:tc>
          <w:tcPr>
            <w:tcW w:w="6360" w:type="dxa"/>
            <w:vAlign w:val="bottom"/>
            <w:tcBorders>
              <w:right w:val="single" w:sz="8" w:color="auto"/>
            </w:tcBorders>
            <w:gridSpan w:val="4"/>
          </w:tcPr>
          <w:p>
            <w:pPr>
              <w:ind w:left="80"/>
              <w:spacing w:after="0" w:line="187" w:lineRule="exact"/>
              <w:rPr>
                <w:sz w:val="20"/>
                <w:szCs w:val="20"/>
                <w:color w:val="auto"/>
              </w:rPr>
            </w:pPr>
            <w:r>
              <w:rPr>
                <w:rFonts w:ascii="Arial" w:cs="Arial" w:eastAsia="Arial" w:hAnsi="Arial"/>
                <w:sz w:val="18"/>
                <w:szCs w:val="18"/>
                <w:color w:val="auto"/>
              </w:rPr>
              <w:t>8-10 Moorgate</w:t>
            </w:r>
          </w:p>
        </w:tc>
      </w:tr>
      <w:tr>
        <w:trPr>
          <w:trHeight w:val="239"/>
        </w:trPr>
        <w:tc>
          <w:tcPr>
            <w:tcW w:w="396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details for notices</w:t>
            </w:r>
          </w:p>
        </w:tc>
        <w:tc>
          <w:tcPr>
            <w:tcW w:w="920" w:type="dxa"/>
            <w:vAlign w:val="bottom"/>
          </w:tcPr>
          <w:p>
            <w:pPr>
              <w:spacing w:after="0"/>
              <w:rPr>
                <w:sz w:val="20"/>
                <w:szCs w:val="20"/>
                <w:color w:val="auto"/>
              </w:rPr>
            </w:pPr>
          </w:p>
        </w:tc>
        <w:tc>
          <w:tcPr>
            <w:tcW w:w="6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London EC2R 6DA</w:t>
            </w: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FOR CREDIT MATTERS:</w:t>
            </w: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7280" w:type="dxa"/>
            <w:vAlign w:val="bottom"/>
            <w:tcBorders>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Attention:  Adam Byrne and Weilong Liang</w:t>
            </w:r>
          </w:p>
        </w:tc>
      </w:tr>
      <w:tr>
        <w:trPr>
          <w:trHeight w:val="176"/>
        </w:trPr>
        <w:tc>
          <w:tcPr>
            <w:tcW w:w="3960" w:type="dxa"/>
            <w:vAlign w:val="bottom"/>
            <w:tcBorders>
              <w:left w:val="single" w:sz="8" w:color="auto"/>
              <w:right w:val="single" w:sz="8" w:color="auto"/>
            </w:tcBorders>
            <w:shd w:val="clear" w:color="auto" w:fill="C0C0C0"/>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Arial" w:cs="Arial" w:eastAsia="Arial" w:hAnsi="Arial"/>
                <w:sz w:val="18"/>
                <w:szCs w:val="18"/>
                <w:color w:val="auto"/>
              </w:rPr>
              <w:t>Email:</w:t>
            </w:r>
          </w:p>
        </w:tc>
        <w:tc>
          <w:tcPr>
            <w:tcW w:w="100" w:type="dxa"/>
            <w:vAlign w:val="bottom"/>
          </w:tcPr>
          <w:p>
            <w:pPr>
              <w:spacing w:after="0"/>
              <w:rPr>
                <w:sz w:val="15"/>
                <w:szCs w:val="15"/>
                <w:color w:val="auto"/>
              </w:rPr>
            </w:pPr>
          </w:p>
        </w:tc>
        <w:tc>
          <w:tcPr>
            <w:tcW w:w="626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0000FF"/>
              </w:rPr>
              <w:t>Adam.Byrne@ing.com / Weilong.Liang@ing.com</w:t>
            </w:r>
          </w:p>
        </w:tc>
      </w:tr>
      <w:tr>
        <w:trPr>
          <w:trHeight w:val="20"/>
        </w:trPr>
        <w:tc>
          <w:tcPr>
            <w:tcW w:w="3960" w:type="dxa"/>
            <w:vAlign w:val="bottom"/>
            <w:tcBorders>
              <w:left w:val="single" w:sz="8" w:color="auto"/>
              <w:right w:val="single" w:sz="8" w:color="auto"/>
            </w:tcBorders>
            <w:shd w:val="clear" w:color="auto" w:fill="C0C0C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r>
      <w:tr>
        <w:trPr>
          <w:trHeight w:val="41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FOR LOAN ADMINISTRATION:</w:t>
            </w: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7280" w:type="dxa"/>
            <w:vAlign w:val="bottom"/>
            <w:tcBorders>
              <w:right w:val="single" w:sz="8" w:color="auto"/>
            </w:tcBorders>
            <w:gridSpan w:val="5"/>
          </w:tcPr>
          <w:p>
            <w:pPr>
              <w:ind w:left="100"/>
              <w:spacing w:after="0" w:line="202" w:lineRule="exact"/>
              <w:rPr>
                <w:sz w:val="20"/>
                <w:szCs w:val="20"/>
                <w:color w:val="auto"/>
              </w:rPr>
            </w:pPr>
            <w:r>
              <w:rPr>
                <w:rFonts w:ascii="Arial" w:cs="Arial" w:eastAsia="Arial" w:hAnsi="Arial"/>
                <w:sz w:val="18"/>
                <w:szCs w:val="18"/>
                <w:color w:val="auto"/>
              </w:rPr>
              <w:t>Attention:  Thomas Lockhart -Boyd and Stephanie Boughtwood</w:t>
            </w:r>
          </w:p>
        </w:tc>
      </w:tr>
      <w:tr>
        <w:trPr>
          <w:trHeight w:val="217"/>
        </w:trPr>
        <w:tc>
          <w:tcPr>
            <w:tcW w:w="396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92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18"/>
                <w:szCs w:val="18"/>
                <w:color w:val="auto"/>
              </w:rPr>
              <w:t>Email:</w:t>
            </w:r>
          </w:p>
        </w:tc>
        <w:tc>
          <w:tcPr>
            <w:tcW w:w="100" w:type="dxa"/>
            <w:vAlign w:val="bottom"/>
            <w:tcBorders>
              <w:bottom w:val="single" w:sz="8" w:color="auto"/>
            </w:tcBorders>
          </w:tcPr>
          <w:p>
            <w:pPr>
              <w:spacing w:after="0"/>
              <w:rPr>
                <w:sz w:val="18"/>
                <w:szCs w:val="18"/>
                <w:color w:val="auto"/>
              </w:rPr>
            </w:pPr>
          </w:p>
        </w:tc>
        <w:tc>
          <w:tcPr>
            <w:tcW w:w="6260" w:type="dxa"/>
            <w:vAlign w:val="bottom"/>
            <w:tcBorders>
              <w:bottom w:val="single" w:sz="8" w:color="auto"/>
              <w:right w:val="single" w:sz="8" w:color="auto"/>
            </w:tcBorders>
            <w:gridSpan w:val="3"/>
          </w:tcPr>
          <w:p>
            <w:pPr>
              <w:spacing w:after="0" w:line="176" w:lineRule="exact"/>
              <w:rPr>
                <w:sz w:val="20"/>
                <w:szCs w:val="20"/>
                <w:color w:val="auto"/>
              </w:rPr>
            </w:pPr>
            <w:r>
              <w:rPr>
                <w:rFonts w:ascii="Arial" w:cs="Arial" w:eastAsia="Arial" w:hAnsi="Arial"/>
                <w:sz w:val="18"/>
                <w:szCs w:val="18"/>
                <w:color w:val="0000FF"/>
              </w:rPr>
              <w:t>Dealexecutionlondon@ing.com</w:t>
            </w:r>
          </w:p>
        </w:tc>
      </w:tr>
    </w:tbl>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980" w:type="dxa"/>
            <w:vAlign w:val="bottom"/>
            <w:gridSpan w:val="5"/>
          </w:tcPr>
          <w:p>
            <w:pPr>
              <w:jc w:val="center"/>
              <w:ind w:right="4240"/>
              <w:spacing w:after="0"/>
              <w:rPr>
                <w:sz w:val="20"/>
                <w:szCs w:val="20"/>
                <w:color w:val="auto"/>
              </w:rPr>
            </w:pPr>
            <w:r>
              <w:rPr>
                <w:rFonts w:ascii="Arial" w:cs="Arial" w:eastAsia="Arial" w:hAnsi="Arial"/>
                <w:sz w:val="18"/>
                <w:szCs w:val="18"/>
                <w:b w:val="1"/>
                <w:bCs w:val="1"/>
                <w:color w:val="auto"/>
                <w:w w:val="99"/>
              </w:rPr>
              <w:t>The Original Hedging Providers</w:t>
            </w:r>
          </w:p>
        </w:tc>
        <w:tc>
          <w:tcPr>
            <w:tcW w:w="40" w:type="dxa"/>
            <w:vAlign w:val="bottom"/>
          </w:tcPr>
          <w:p>
            <w:pPr>
              <w:spacing w:after="0"/>
              <w:rPr>
                <w:sz w:val="20"/>
                <w:szCs w:val="20"/>
                <w:color w:val="auto"/>
              </w:rPr>
            </w:pPr>
          </w:p>
        </w:tc>
      </w:tr>
      <w:tr>
        <w:trPr>
          <w:trHeight w:val="189"/>
        </w:trPr>
        <w:tc>
          <w:tcPr>
            <w:tcW w:w="3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2"/>
        </w:trPr>
        <w:tc>
          <w:tcPr>
            <w:tcW w:w="35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DNB Bank ASA, London Branch</w:t>
            </w:r>
          </w:p>
        </w:tc>
        <w:tc>
          <w:tcPr>
            <w:tcW w:w="40" w:type="dxa"/>
            <w:vAlign w:val="bottom"/>
          </w:tcPr>
          <w:p>
            <w:pPr>
              <w:spacing w:after="0"/>
              <w:rPr>
                <w:sz w:val="20"/>
                <w:szCs w:val="20"/>
                <w:color w:val="auto"/>
              </w:rPr>
            </w:pPr>
          </w:p>
        </w:tc>
      </w:tr>
      <w:tr>
        <w:trPr>
          <w:trHeight w:val="193"/>
        </w:trPr>
        <w:tc>
          <w:tcPr>
            <w:tcW w:w="3500" w:type="dxa"/>
            <w:vAlign w:val="bottom"/>
            <w:tcBorders>
              <w:left w:val="single" w:sz="8" w:color="auto"/>
              <w:bottom w:val="single" w:sz="8" w:color="auto"/>
              <w:right w:val="single" w:sz="8" w:color="auto"/>
            </w:tcBorders>
            <w:shd w:val="clear" w:color="auto" w:fill="C0C0C0"/>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5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Facility Office, address, email and</w:t>
            </w:r>
          </w:p>
        </w:tc>
        <w:tc>
          <w:tcPr>
            <w:tcW w:w="900" w:type="dxa"/>
            <w:vAlign w:val="bottom"/>
            <w:gridSpan w:val="2"/>
          </w:tcPr>
          <w:p>
            <w:pPr>
              <w:ind w:left="100"/>
              <w:spacing w:after="0" w:line="187" w:lineRule="exact"/>
              <w:rPr>
                <w:sz w:val="20"/>
                <w:szCs w:val="20"/>
                <w:color w:val="auto"/>
              </w:rPr>
            </w:pPr>
            <w:r>
              <w:rPr>
                <w:rFonts w:ascii="Arial" w:cs="Arial" w:eastAsia="Arial" w:hAnsi="Arial"/>
                <w:sz w:val="18"/>
                <w:szCs w:val="18"/>
                <w:color w:val="auto"/>
              </w:rPr>
              <w:t>Address:</w:t>
            </w:r>
          </w:p>
        </w:tc>
        <w:tc>
          <w:tcPr>
            <w:tcW w:w="6840" w:type="dxa"/>
            <w:vAlign w:val="bottom"/>
            <w:tcBorders>
              <w:right w:val="single" w:sz="8" w:color="auto"/>
            </w:tcBorders>
            <w:gridSpan w:val="4"/>
          </w:tcPr>
          <w:p>
            <w:pPr>
              <w:ind w:left="100"/>
              <w:spacing w:after="0" w:line="187" w:lineRule="exact"/>
              <w:rPr>
                <w:sz w:val="20"/>
                <w:szCs w:val="20"/>
                <w:color w:val="auto"/>
              </w:rPr>
            </w:pPr>
            <w:r>
              <w:rPr>
                <w:rFonts w:ascii="Arial" w:cs="Arial" w:eastAsia="Arial" w:hAnsi="Arial"/>
                <w:sz w:val="18"/>
                <w:szCs w:val="18"/>
                <w:color w:val="auto"/>
              </w:rPr>
              <w:t>8th Floor</w:t>
            </w:r>
          </w:p>
        </w:tc>
        <w:tc>
          <w:tcPr>
            <w:tcW w:w="40" w:type="dxa"/>
            <w:vAlign w:val="bottom"/>
          </w:tcPr>
          <w:p>
            <w:pPr>
              <w:spacing w:after="0"/>
              <w:rPr>
                <w:sz w:val="16"/>
                <w:szCs w:val="16"/>
                <w:color w:val="auto"/>
              </w:rPr>
            </w:pPr>
          </w:p>
        </w:tc>
      </w:tr>
      <w:tr>
        <w:trPr>
          <w:trHeight w:val="224"/>
        </w:trPr>
        <w:tc>
          <w:tcPr>
            <w:tcW w:w="35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attention details for notices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The Walbrook Building</w:t>
            </w:r>
          </w:p>
        </w:tc>
        <w:tc>
          <w:tcPr>
            <w:tcW w:w="40" w:type="dxa"/>
            <w:vAlign w:val="bottom"/>
          </w:tcPr>
          <w:p>
            <w:pPr>
              <w:spacing w:after="0"/>
              <w:rPr>
                <w:sz w:val="19"/>
                <w:szCs w:val="19"/>
                <w:color w:val="auto"/>
              </w:rPr>
            </w:pPr>
          </w:p>
        </w:tc>
      </w:tr>
      <w:tr>
        <w:trPr>
          <w:trHeight w:val="203"/>
        </w:trPr>
        <w:tc>
          <w:tcPr>
            <w:tcW w:w="3500" w:type="dxa"/>
            <w:vAlign w:val="bottom"/>
            <w:tcBorders>
              <w:left w:val="single" w:sz="8" w:color="auto"/>
              <w:right w:val="single" w:sz="8" w:color="auto"/>
            </w:tcBorders>
            <w:shd w:val="clear" w:color="auto" w:fill="C0C0C0"/>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25 Walbrook</w:t>
            </w:r>
          </w:p>
        </w:tc>
        <w:tc>
          <w:tcPr>
            <w:tcW w:w="40" w:type="dxa"/>
            <w:vAlign w:val="bottom"/>
          </w:tcPr>
          <w:p>
            <w:pPr>
              <w:spacing w:after="0"/>
              <w:rPr>
                <w:sz w:val="17"/>
                <w:szCs w:val="17"/>
                <w:color w:val="auto"/>
              </w:rPr>
            </w:pPr>
          </w:p>
        </w:tc>
      </w:tr>
      <w:tr>
        <w:trPr>
          <w:trHeight w:val="217"/>
        </w:trPr>
        <w:tc>
          <w:tcPr>
            <w:tcW w:w="3500" w:type="dxa"/>
            <w:vAlign w:val="bottom"/>
            <w:tcBorders>
              <w:left w:val="single" w:sz="8" w:color="auto"/>
              <w:right w:val="single" w:sz="8" w:color="auto"/>
            </w:tcBorders>
            <w:shd w:val="clear" w:color="auto" w:fill="C0C0C0"/>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London EC4N 8AF</w:t>
            </w:r>
          </w:p>
        </w:tc>
        <w:tc>
          <w:tcPr>
            <w:tcW w:w="40" w:type="dxa"/>
            <w:vAlign w:val="bottom"/>
          </w:tcPr>
          <w:p>
            <w:pPr>
              <w:spacing w:after="0"/>
              <w:rPr>
                <w:sz w:val="18"/>
                <w:szCs w:val="18"/>
                <w:color w:val="auto"/>
              </w:rPr>
            </w:pPr>
          </w:p>
        </w:tc>
      </w:tr>
      <w:tr>
        <w:trPr>
          <w:trHeight w:val="257"/>
        </w:trPr>
        <w:tc>
          <w:tcPr>
            <w:tcW w:w="3500" w:type="dxa"/>
            <w:vAlign w:val="bottom"/>
            <w:tcBorders>
              <w:left w:val="single" w:sz="8" w:color="auto"/>
              <w:right w:val="single" w:sz="8" w:color="auto"/>
            </w:tcBorders>
            <w:shd w:val="clear" w:color="auto" w:fill="C0C0C0"/>
          </w:tcPr>
          <w:p>
            <w:pPr>
              <w:spacing w:after="0"/>
              <w:rPr>
                <w:sz w:val="22"/>
                <w:szCs w:val="22"/>
                <w:color w:val="auto"/>
              </w:rPr>
            </w:pPr>
          </w:p>
        </w:tc>
        <w:tc>
          <w:tcPr>
            <w:tcW w:w="7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Attention:  Credit Middle Office &amp; Agency</w:t>
            </w:r>
          </w:p>
        </w:tc>
        <w:tc>
          <w:tcPr>
            <w:tcW w:w="40" w:type="dxa"/>
            <w:vAlign w:val="bottom"/>
          </w:tcPr>
          <w:p>
            <w:pPr>
              <w:spacing w:after="0"/>
              <w:rPr>
                <w:sz w:val="22"/>
                <w:szCs w:val="22"/>
                <w:color w:val="auto"/>
              </w:rPr>
            </w:pPr>
          </w:p>
        </w:tc>
      </w:tr>
      <w:tr>
        <w:trPr>
          <w:trHeight w:val="257"/>
        </w:trPr>
        <w:tc>
          <w:tcPr>
            <w:tcW w:w="3500" w:type="dxa"/>
            <w:vAlign w:val="bottom"/>
            <w:tcBorders>
              <w:left w:val="single" w:sz="8" w:color="auto"/>
              <w:bottom w:val="single" w:sz="8" w:color="auto"/>
              <w:right w:val="single" w:sz="8" w:color="auto"/>
            </w:tcBorders>
            <w:shd w:val="clear" w:color="auto" w:fill="C0C0C0"/>
          </w:tcPr>
          <w:p>
            <w:pPr>
              <w:spacing w:after="0"/>
              <w:rPr>
                <w:sz w:val="22"/>
                <w:szCs w:val="22"/>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Email:</w:t>
            </w:r>
          </w:p>
        </w:tc>
        <w:tc>
          <w:tcPr>
            <w:tcW w:w="684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0000FF"/>
              </w:rPr>
              <w:t>cmoalondon@dnb.no</w:t>
            </w:r>
          </w:p>
        </w:tc>
        <w:tc>
          <w:tcPr>
            <w:tcW w:w="40" w:type="dxa"/>
            <w:vAlign w:val="bottom"/>
          </w:tcPr>
          <w:p>
            <w:pPr>
              <w:spacing w:after="0"/>
              <w:rPr>
                <w:sz w:val="22"/>
                <w:szCs w:val="22"/>
                <w:color w:val="auto"/>
              </w:rPr>
            </w:pPr>
          </w:p>
        </w:tc>
      </w:tr>
      <w:tr>
        <w:trPr>
          <w:trHeight w:val="331"/>
        </w:trPr>
        <w:tc>
          <w:tcPr>
            <w:tcW w:w="3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35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7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ING Bank N.V.</w:t>
            </w:r>
          </w:p>
        </w:tc>
        <w:tc>
          <w:tcPr>
            <w:tcW w:w="40" w:type="dxa"/>
            <w:vAlign w:val="bottom"/>
          </w:tcPr>
          <w:p>
            <w:pPr>
              <w:spacing w:after="0"/>
              <w:rPr>
                <w:sz w:val="20"/>
                <w:szCs w:val="20"/>
                <w:color w:val="auto"/>
              </w:rPr>
            </w:pPr>
          </w:p>
        </w:tc>
      </w:tr>
      <w:tr>
        <w:trPr>
          <w:trHeight w:val="193"/>
        </w:trPr>
        <w:tc>
          <w:tcPr>
            <w:tcW w:w="3500" w:type="dxa"/>
            <w:vAlign w:val="bottom"/>
            <w:tcBorders>
              <w:left w:val="single" w:sz="8" w:color="auto"/>
              <w:bottom w:val="single" w:sz="8" w:color="auto"/>
              <w:right w:val="single" w:sz="8" w:color="auto"/>
            </w:tcBorders>
            <w:shd w:val="clear" w:color="auto" w:fill="C0C0C0"/>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500" w:type="dxa"/>
            <w:vAlign w:val="bottom"/>
            <w:tcBorders>
              <w:left w:val="single" w:sz="8" w:color="auto"/>
              <w:right w:val="single" w:sz="8" w:color="auto"/>
            </w:tcBorders>
            <w:shd w:val="clear" w:color="auto" w:fill="C0C0C0"/>
          </w:tcPr>
          <w:p>
            <w:pPr>
              <w:ind w:left="120"/>
              <w:spacing w:after="0" w:line="187" w:lineRule="exact"/>
              <w:rPr>
                <w:sz w:val="20"/>
                <w:szCs w:val="20"/>
                <w:color w:val="auto"/>
              </w:rPr>
            </w:pPr>
            <w:r>
              <w:rPr>
                <w:rFonts w:ascii="Arial" w:cs="Arial" w:eastAsia="Arial" w:hAnsi="Arial"/>
                <w:sz w:val="18"/>
                <w:szCs w:val="18"/>
                <w:b w:val="1"/>
                <w:bCs w:val="1"/>
                <w:color w:val="auto"/>
              </w:rPr>
              <w:t>Facility Office, address, email and</w:t>
            </w:r>
          </w:p>
        </w:tc>
        <w:tc>
          <w:tcPr>
            <w:tcW w:w="900" w:type="dxa"/>
            <w:vAlign w:val="bottom"/>
            <w:gridSpan w:val="2"/>
          </w:tcPr>
          <w:p>
            <w:pPr>
              <w:ind w:left="100"/>
              <w:spacing w:after="0" w:line="187" w:lineRule="exact"/>
              <w:rPr>
                <w:sz w:val="20"/>
                <w:szCs w:val="20"/>
                <w:color w:val="auto"/>
              </w:rPr>
            </w:pPr>
            <w:r>
              <w:rPr>
                <w:rFonts w:ascii="Arial" w:cs="Arial" w:eastAsia="Arial" w:hAnsi="Arial"/>
                <w:sz w:val="18"/>
                <w:szCs w:val="18"/>
                <w:color w:val="auto"/>
              </w:rPr>
              <w:t>Address:</w:t>
            </w:r>
          </w:p>
        </w:tc>
        <w:tc>
          <w:tcPr>
            <w:tcW w:w="100" w:type="dxa"/>
            <w:vAlign w:val="bottom"/>
          </w:tcPr>
          <w:p>
            <w:pPr>
              <w:spacing w:after="0"/>
              <w:rPr>
                <w:sz w:val="16"/>
                <w:szCs w:val="16"/>
                <w:color w:val="auto"/>
              </w:rPr>
            </w:pPr>
          </w:p>
        </w:tc>
        <w:tc>
          <w:tcPr>
            <w:tcW w:w="6740" w:type="dxa"/>
            <w:vAlign w:val="bottom"/>
            <w:tcBorders>
              <w:right w:val="single" w:sz="8" w:color="auto"/>
            </w:tcBorders>
            <w:gridSpan w:val="3"/>
          </w:tcPr>
          <w:p>
            <w:pPr>
              <w:spacing w:after="0" w:line="187" w:lineRule="exact"/>
              <w:rPr>
                <w:sz w:val="20"/>
                <w:szCs w:val="20"/>
                <w:color w:val="auto"/>
              </w:rPr>
            </w:pPr>
            <w:r>
              <w:rPr>
                <w:rFonts w:ascii="Arial" w:cs="Arial" w:eastAsia="Arial" w:hAnsi="Arial"/>
                <w:sz w:val="18"/>
                <w:szCs w:val="18"/>
                <w:color w:val="auto"/>
              </w:rPr>
              <w:t>Foppingadreef 7</w:t>
            </w:r>
          </w:p>
        </w:tc>
        <w:tc>
          <w:tcPr>
            <w:tcW w:w="40" w:type="dxa"/>
            <w:vAlign w:val="bottom"/>
          </w:tcPr>
          <w:p>
            <w:pPr>
              <w:spacing w:after="0"/>
              <w:rPr>
                <w:sz w:val="16"/>
                <w:szCs w:val="16"/>
                <w:color w:val="auto"/>
              </w:rPr>
            </w:pPr>
          </w:p>
        </w:tc>
      </w:tr>
      <w:tr>
        <w:trPr>
          <w:trHeight w:val="224"/>
        </w:trPr>
        <w:tc>
          <w:tcPr>
            <w:tcW w:w="3500" w:type="dxa"/>
            <w:vAlign w:val="bottom"/>
            <w:tcBorders>
              <w:left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attention details for notices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P.O. Box 1800</w:t>
            </w:r>
          </w:p>
        </w:tc>
        <w:tc>
          <w:tcPr>
            <w:tcW w:w="40" w:type="dxa"/>
            <w:vAlign w:val="bottom"/>
          </w:tcPr>
          <w:p>
            <w:pPr>
              <w:spacing w:after="0"/>
              <w:rPr>
                <w:sz w:val="19"/>
                <w:szCs w:val="19"/>
                <w:color w:val="auto"/>
              </w:rPr>
            </w:pPr>
          </w:p>
        </w:tc>
      </w:tr>
      <w:tr>
        <w:trPr>
          <w:trHeight w:val="203"/>
        </w:trPr>
        <w:tc>
          <w:tcPr>
            <w:tcW w:w="3500" w:type="dxa"/>
            <w:vAlign w:val="bottom"/>
            <w:tcBorders>
              <w:left w:val="single" w:sz="8" w:color="auto"/>
              <w:right w:val="single" w:sz="8" w:color="auto"/>
            </w:tcBorders>
            <w:shd w:val="clear" w:color="auto" w:fill="C0C0C0"/>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NL-1000 BV Amsterdam</w:t>
            </w:r>
          </w:p>
        </w:tc>
        <w:tc>
          <w:tcPr>
            <w:tcW w:w="40" w:type="dxa"/>
            <w:vAlign w:val="bottom"/>
          </w:tcPr>
          <w:p>
            <w:pPr>
              <w:spacing w:after="0"/>
              <w:rPr>
                <w:sz w:val="17"/>
                <w:szCs w:val="17"/>
                <w:color w:val="auto"/>
              </w:rPr>
            </w:pPr>
          </w:p>
        </w:tc>
      </w:tr>
      <w:tr>
        <w:trPr>
          <w:trHeight w:val="217"/>
        </w:trPr>
        <w:tc>
          <w:tcPr>
            <w:tcW w:w="3500" w:type="dxa"/>
            <w:vAlign w:val="bottom"/>
            <w:tcBorders>
              <w:left w:val="single" w:sz="8" w:color="auto"/>
              <w:right w:val="single" w:sz="8" w:color="auto"/>
            </w:tcBorders>
            <w:shd w:val="clear" w:color="auto" w:fill="C0C0C0"/>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c>
          <w:tcPr>
            <w:tcW w:w="40" w:type="dxa"/>
            <w:vAlign w:val="bottom"/>
          </w:tcPr>
          <w:p>
            <w:pPr>
              <w:spacing w:after="0"/>
              <w:rPr>
                <w:sz w:val="18"/>
                <w:szCs w:val="18"/>
                <w:color w:val="auto"/>
              </w:rPr>
            </w:pPr>
          </w:p>
        </w:tc>
      </w:tr>
      <w:tr>
        <w:trPr>
          <w:trHeight w:val="391"/>
        </w:trPr>
        <w:tc>
          <w:tcPr>
            <w:tcW w:w="3500" w:type="dxa"/>
            <w:vAlign w:val="bottom"/>
            <w:tcBorders>
              <w:left w:val="single" w:sz="8" w:color="auto"/>
              <w:right w:val="single" w:sz="8" w:color="auto"/>
            </w:tcBorders>
            <w:shd w:val="clear" w:color="auto" w:fill="C0C0C0"/>
          </w:tcPr>
          <w:p>
            <w:pPr>
              <w:spacing w:after="0"/>
              <w:rPr>
                <w:sz w:val="24"/>
                <w:szCs w:val="24"/>
                <w:color w:val="auto"/>
              </w:rPr>
            </w:pPr>
          </w:p>
        </w:tc>
        <w:tc>
          <w:tcPr>
            <w:tcW w:w="77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Attention: Operations/ Derivatives / TRC 00.13</w:t>
            </w:r>
          </w:p>
        </w:tc>
        <w:tc>
          <w:tcPr>
            <w:tcW w:w="40" w:type="dxa"/>
            <w:vAlign w:val="bottom"/>
          </w:tcPr>
          <w:p>
            <w:pPr>
              <w:spacing w:after="0"/>
              <w:rPr>
                <w:sz w:val="24"/>
                <w:szCs w:val="24"/>
                <w:color w:val="auto"/>
              </w:rPr>
            </w:pPr>
          </w:p>
        </w:tc>
      </w:tr>
      <w:tr>
        <w:trPr>
          <w:trHeight w:val="217"/>
        </w:trPr>
        <w:tc>
          <w:tcPr>
            <w:tcW w:w="3500" w:type="dxa"/>
            <w:vAlign w:val="bottom"/>
            <w:tcBorders>
              <w:left w:val="single" w:sz="8" w:color="auto"/>
              <w:bottom w:val="single" w:sz="8" w:color="auto"/>
              <w:right w:val="single" w:sz="8" w:color="auto"/>
            </w:tcBorders>
            <w:shd w:val="clear" w:color="auto" w:fill="C0C0C0"/>
          </w:tcPr>
          <w:p>
            <w:pPr>
              <w:spacing w:after="0"/>
              <w:rPr>
                <w:sz w:val="18"/>
                <w:szCs w:val="18"/>
                <w:color w:val="auto"/>
              </w:rPr>
            </w:pPr>
          </w:p>
        </w:tc>
        <w:tc>
          <w:tcPr>
            <w:tcW w:w="7740" w:type="dxa"/>
            <w:vAlign w:val="bottom"/>
            <w:tcBorders>
              <w:bottom w:val="single" w:sz="8" w:color="auto"/>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documentation.derivatives.ams@ingbank.com</w:t>
            </w:r>
          </w:p>
        </w:tc>
        <w:tc>
          <w:tcPr>
            <w:tcW w:w="40" w:type="dxa"/>
            <w:vAlign w:val="bottom"/>
          </w:tcPr>
          <w:p>
            <w:pPr>
              <w:spacing w:after="0"/>
              <w:rPr>
                <w:sz w:val="18"/>
                <w:szCs w:val="18"/>
                <w:color w:val="auto"/>
              </w:rPr>
            </w:pPr>
          </w:p>
        </w:tc>
      </w:tr>
      <w:tr>
        <w:trPr>
          <w:trHeight w:val="412"/>
        </w:trPr>
        <w:tc>
          <w:tcPr>
            <w:tcW w:w="3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right"/>
              <w:ind w:right="330"/>
              <w:spacing w:after="0"/>
              <w:rPr>
                <w:sz w:val="20"/>
                <w:szCs w:val="20"/>
                <w:color w:val="auto"/>
              </w:rPr>
            </w:pPr>
            <w:r>
              <w:rPr>
                <w:rFonts w:ascii="Arial" w:cs="Arial" w:eastAsia="Arial" w:hAnsi="Arial"/>
                <w:sz w:val="18"/>
                <w:szCs w:val="18"/>
                <w:color w:val="auto"/>
              </w:rPr>
              <w:t>155</w:t>
            </w:r>
          </w:p>
        </w:tc>
        <w:tc>
          <w:tcPr>
            <w:tcW w:w="17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22"/>
          <w:szCs w:val="22"/>
          <w:b w:val="1"/>
          <w:bCs w:val="1"/>
          <w:color w:val="auto"/>
        </w:rPr>
        <w:t>Schedule 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Ship information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64135</wp:posOffset>
            </wp:positionV>
            <wp:extent cx="71532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331" w:name="page332"/>
    <w:bookmarkEnd w:id="331"/>
    <w:p>
      <w:pPr>
        <w:jc w:val="center"/>
        <w:spacing w:after="0"/>
        <w:rPr>
          <w:sz w:val="20"/>
          <w:szCs w:val="20"/>
          <w:color w:val="auto"/>
        </w:rPr>
      </w:pPr>
      <w:r>
        <w:rPr>
          <w:rFonts w:ascii="Arial" w:cs="Arial" w:eastAsia="Arial" w:hAnsi="Arial"/>
          <w:sz w:val="22"/>
          <w:szCs w:val="22"/>
          <w:b w:val="1"/>
          <w:bCs w:val="1"/>
          <w:color w:val="auto"/>
        </w:rPr>
        <w:t>Schedule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any Utilisation</w:t>
      </w:r>
    </w:p>
    <w:p>
      <w:pPr>
        <w:spacing w:after="0" w:line="176" w:lineRule="exact"/>
        <w:rPr>
          <w:sz w:val="20"/>
          <w:szCs w:val="20"/>
          <w:color w:val="auto"/>
        </w:rPr>
      </w:pPr>
    </w:p>
    <w:p>
      <w:pPr>
        <w:ind w:left="520" w:hanging="512"/>
        <w:spacing w:after="0"/>
        <w:tabs>
          <w:tab w:leader="none" w:pos="520" w:val="left"/>
        </w:tabs>
        <w:numPr>
          <w:ilvl w:val="0"/>
          <w:numId w:val="874"/>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20" w:lineRule="exact"/>
        <w:rPr>
          <w:rFonts w:ascii="Arial" w:cs="Arial" w:eastAsia="Arial" w:hAnsi="Arial"/>
          <w:sz w:val="18"/>
          <w:szCs w:val="18"/>
          <w:b w:val="1"/>
          <w:bCs w:val="1"/>
          <w:color w:val="auto"/>
        </w:rPr>
      </w:pPr>
    </w:p>
    <w:p>
      <w:pPr>
        <w:ind w:left="1040" w:hanging="522"/>
        <w:spacing w:after="0"/>
        <w:tabs>
          <w:tab w:leader="none" w:pos="104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w:t>
      </w:r>
    </w:p>
    <w:p>
      <w:pPr>
        <w:spacing w:after="0" w:line="198" w:lineRule="exact"/>
        <w:rPr>
          <w:rFonts w:ascii="Arial" w:cs="Arial" w:eastAsia="Arial" w:hAnsi="Arial"/>
          <w:sz w:val="18"/>
          <w:szCs w:val="18"/>
          <w:color w:val="auto"/>
        </w:rPr>
      </w:pPr>
    </w:p>
    <w:p>
      <w:pPr>
        <w:ind w:left="1020" w:hanging="502"/>
        <w:spacing w:after="0" w:line="246" w:lineRule="auto"/>
        <w:tabs>
          <w:tab w:leader="none" w:pos="1215"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(or any committee of such board empowered to approve and authorise the following matters):</w:t>
      </w:r>
    </w:p>
    <w:p>
      <w:pPr>
        <w:spacing w:after="0" w:line="161" w:lineRule="exact"/>
        <w:rPr>
          <w:rFonts w:ascii="Arial" w:cs="Arial" w:eastAsia="Arial" w:hAnsi="Arial"/>
          <w:sz w:val="18"/>
          <w:szCs w:val="18"/>
          <w:color w:val="auto"/>
        </w:rPr>
      </w:pPr>
    </w:p>
    <w:p>
      <w:pPr>
        <w:ind w:left="1540" w:hanging="511"/>
        <w:spacing w:after="0" w:line="271" w:lineRule="auto"/>
        <w:tabs>
          <w:tab w:leader="none" w:pos="1554" w:val="left"/>
        </w:tabs>
        <w:numPr>
          <w:ilvl w:val="2"/>
          <w:numId w:val="874"/>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w:t>
      </w:r>
      <w:r>
        <w:rPr>
          <w:rFonts w:ascii="Arial" w:cs="Arial" w:eastAsia="Arial" w:hAnsi="Arial"/>
          <w:sz w:val="18"/>
          <w:szCs w:val="18"/>
          <w:b w:val="1"/>
          <w:bCs w:val="1"/>
          <w:color w:val="auto"/>
        </w:rPr>
        <w:t>Relevant Documents</w:t>
      </w:r>
      <w:r>
        <w:rPr>
          <w:rFonts w:ascii="Arial" w:cs="Arial" w:eastAsia="Arial" w:hAnsi="Arial"/>
          <w:sz w:val="18"/>
          <w:szCs w:val="18"/>
          <w:color w:val="auto"/>
        </w:rPr>
        <w:t>) to which it is a party and resolving that it executes the Relevant Documents;</w:t>
      </w:r>
    </w:p>
    <w:p>
      <w:pPr>
        <w:spacing w:after="0" w:line="162" w:lineRule="exact"/>
        <w:rPr>
          <w:rFonts w:ascii="Arial" w:cs="Arial" w:eastAsia="Arial" w:hAnsi="Arial"/>
          <w:sz w:val="18"/>
          <w:szCs w:val="18"/>
          <w:color w:val="auto"/>
        </w:rPr>
      </w:pPr>
    </w:p>
    <w:p>
      <w:pPr>
        <w:ind w:left="1560" w:hanging="531"/>
        <w:spacing w:after="0"/>
        <w:tabs>
          <w:tab w:leader="none" w:pos="1560" w:val="left"/>
        </w:tabs>
        <w:numPr>
          <w:ilvl w:val="2"/>
          <w:numId w:val="874"/>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on its behalf; and</w:t>
      </w:r>
    </w:p>
    <w:p>
      <w:pPr>
        <w:spacing w:after="0" w:line="198" w:lineRule="exact"/>
        <w:rPr>
          <w:rFonts w:ascii="Arial" w:cs="Arial" w:eastAsia="Arial" w:hAnsi="Arial"/>
          <w:sz w:val="18"/>
          <w:szCs w:val="18"/>
          <w:color w:val="auto"/>
        </w:rPr>
      </w:pPr>
    </w:p>
    <w:p>
      <w:pPr>
        <w:jc w:val="both"/>
        <w:ind w:left="1540" w:hanging="511"/>
        <w:spacing w:after="0"/>
        <w:tabs>
          <w:tab w:leader="none" w:pos="1661" w:val="left"/>
        </w:tabs>
        <w:numPr>
          <w:ilvl w:val="2"/>
          <w:numId w:val="874"/>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189" w:lineRule="exact"/>
        <w:rPr>
          <w:rFonts w:ascii="Arial" w:cs="Arial" w:eastAsia="Arial" w:hAnsi="Arial"/>
          <w:sz w:val="18"/>
          <w:szCs w:val="18"/>
          <w:color w:val="auto"/>
        </w:rPr>
      </w:pPr>
    </w:p>
    <w:p>
      <w:pPr>
        <w:ind w:left="1020" w:hanging="502"/>
        <w:spacing w:after="0" w:line="246" w:lineRule="auto"/>
        <w:tabs>
          <w:tab w:leader="none" w:pos="112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If applicable, a copy of a resolution of the board of directors of the relevant company, establishing any committee referred to in paragraph (b) above and conferring authority on that committee.</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specimen of the signature of each person signing a Finance Document referred to in paragraph (b) above.</w:t>
      </w:r>
    </w:p>
    <w:p>
      <w:pPr>
        <w:spacing w:after="0" w:line="198" w:lineRule="exact"/>
        <w:rPr>
          <w:rFonts w:ascii="Arial" w:cs="Arial" w:eastAsia="Arial" w:hAnsi="Arial"/>
          <w:sz w:val="18"/>
          <w:szCs w:val="18"/>
          <w:color w:val="auto"/>
        </w:rPr>
      </w:pPr>
    </w:p>
    <w:p>
      <w:pPr>
        <w:jc w:val="both"/>
        <w:ind w:left="1020" w:hanging="502"/>
        <w:spacing w:after="0"/>
        <w:tabs>
          <w:tab w:leader="none" w:pos="1067" w:val="left"/>
        </w:tabs>
        <w:numPr>
          <w:ilvl w:val="1"/>
          <w:numId w:val="874"/>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Bermudian law) A copy of a resolution signed by all the holders of the issued shares in each Obligor, approving the terms of, and the transactions contemplated by, the Relevant Documents to which such Obligor is a party.</w:t>
      </w:r>
    </w:p>
    <w:p>
      <w:pPr>
        <w:spacing w:after="0" w:line="189" w:lineRule="exact"/>
        <w:rPr>
          <w:rFonts w:ascii="Arial" w:cs="Arial" w:eastAsia="Arial" w:hAnsi="Arial"/>
          <w:sz w:val="18"/>
          <w:szCs w:val="18"/>
          <w:color w:val="auto"/>
        </w:rPr>
      </w:pPr>
    </w:p>
    <w:p>
      <w:pPr>
        <w:jc w:val="both"/>
        <w:ind w:left="1020" w:hanging="502"/>
        <w:spacing w:after="0" w:line="246" w:lineRule="auto"/>
        <w:tabs>
          <w:tab w:leader="none" w:pos="1125" w:val="left"/>
        </w:tabs>
        <w:numPr>
          <w:ilvl w:val="1"/>
          <w:numId w:val="874"/>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Bermudian law) A copy of a resolution of the board of directors of each corporate shareholder of each Obligor approving the terms of the resolution referred to in paragraph (e) above.</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copy of any power of attorney under which any person is to execute any of the Relevant Documents on behalf of any Obligor.</w:t>
      </w:r>
    </w:p>
    <w:p>
      <w:pPr>
        <w:spacing w:after="0" w:line="198" w:lineRule="exact"/>
        <w:rPr>
          <w:rFonts w:ascii="Arial" w:cs="Arial" w:eastAsia="Arial" w:hAnsi="Arial"/>
          <w:sz w:val="18"/>
          <w:szCs w:val="18"/>
          <w:color w:val="auto"/>
        </w:rPr>
      </w:pPr>
    </w:p>
    <w:p>
      <w:pPr>
        <w:jc w:val="both"/>
        <w:ind w:left="1020" w:hanging="502"/>
        <w:spacing w:after="0"/>
        <w:tabs>
          <w:tab w:leader="none" w:pos="1148"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certifying that each copy document relating to it specified in this Part of this Schedule is correct, complete and in full force and effect as at a date no earlier than the date of this Agreement and that any such resolutions or power of attorney have not been revoked.</w:t>
      </w:r>
    </w:p>
    <w:p>
      <w:pPr>
        <w:spacing w:after="0" w:line="167" w:lineRule="exact"/>
        <w:rPr>
          <w:sz w:val="20"/>
          <w:szCs w:val="20"/>
          <w:color w:val="auto"/>
        </w:rPr>
      </w:pPr>
    </w:p>
    <w:p>
      <w:pPr>
        <w:ind w:left="520" w:hanging="512"/>
        <w:spacing w:after="0"/>
        <w:tabs>
          <w:tab w:leader="none" w:pos="520" w:val="left"/>
        </w:tabs>
        <w:numPr>
          <w:ilvl w:val="0"/>
          <w:numId w:val="875"/>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0" w:lineRule="exact"/>
        <w:rPr>
          <w:rFonts w:ascii="Arial" w:cs="Arial" w:eastAsia="Arial" w:hAnsi="Arial"/>
          <w:sz w:val="18"/>
          <w:szCs w:val="18"/>
          <w:b w:val="1"/>
          <w:bCs w:val="1"/>
          <w:color w:val="auto"/>
        </w:rPr>
      </w:pPr>
    </w:p>
    <w:p>
      <w:pPr>
        <w:ind w:left="1020" w:hanging="502"/>
        <w:spacing w:after="0" w:line="246" w:lineRule="auto"/>
        <w:tabs>
          <w:tab w:leader="none" w:pos="1080" w:val="left"/>
        </w:tabs>
        <w:numPr>
          <w:ilvl w:val="1"/>
          <w:numId w:val="875"/>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addressed to the Arrangers, the Security Agent and the Agent on matters of English law, substantially in the form approved by the Agent.</w:t>
      </w:r>
    </w:p>
    <w:p>
      <w:pPr>
        <w:spacing w:after="0" w:line="183" w:lineRule="exact"/>
        <w:rPr>
          <w:rFonts w:ascii="Arial" w:cs="Arial" w:eastAsia="Arial" w:hAnsi="Arial"/>
          <w:sz w:val="18"/>
          <w:szCs w:val="18"/>
          <w:color w:val="auto"/>
        </w:rPr>
      </w:pPr>
    </w:p>
    <w:p>
      <w:pPr>
        <w:jc w:val="both"/>
        <w:ind w:left="1020" w:hanging="502"/>
        <w:spacing w:after="0"/>
        <w:tabs>
          <w:tab w:leader="none" w:pos="1026" w:val="left"/>
        </w:tabs>
        <w:numPr>
          <w:ilvl w:val="1"/>
          <w:numId w:val="875"/>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the Security Agent and the Agent in each jurisdiction in which an Obligor is incorporated and/or which is the Flag State of a Ship, or in which an Account opened at Utilisation is established or which governs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32" w:name="page333"/>
    <w:bookmarkEnd w:id="332"/>
    <w:p>
      <w:pPr>
        <w:ind w:left="1020"/>
        <w:spacing w:after="0" w:line="246" w:lineRule="auto"/>
        <w:rPr>
          <w:sz w:val="20"/>
          <w:szCs w:val="20"/>
          <w:color w:val="auto"/>
        </w:rPr>
      </w:pPr>
      <w:r>
        <w:rPr>
          <w:rFonts w:ascii="Arial" w:cs="Arial" w:eastAsia="Arial" w:hAnsi="Arial"/>
          <w:sz w:val="18"/>
          <w:szCs w:val="18"/>
          <w:color w:val="auto"/>
        </w:rPr>
        <w:t>assets which are to be the subject of a Security Interest for the benefit of all the Finance Parties substantially in the form approved by the Agent.</w:t>
      </w:r>
    </w:p>
    <w:p>
      <w:pPr>
        <w:spacing w:after="0" w:line="161" w:lineRule="exact"/>
        <w:rPr>
          <w:sz w:val="20"/>
          <w:szCs w:val="20"/>
          <w:color w:val="auto"/>
        </w:rPr>
      </w:pPr>
    </w:p>
    <w:p>
      <w:pPr>
        <w:ind w:left="520" w:hanging="512"/>
        <w:spacing w:after="0"/>
        <w:tabs>
          <w:tab w:leader="none" w:pos="520" w:val="left"/>
        </w:tabs>
        <w:numPr>
          <w:ilvl w:val="0"/>
          <w:numId w:val="876"/>
        </w:numPr>
        <w:rPr>
          <w:rFonts w:ascii="Arial" w:cs="Arial" w:eastAsia="Arial" w:hAnsi="Arial"/>
          <w:sz w:val="18"/>
          <w:szCs w:val="18"/>
          <w:b w:val="1"/>
          <w:bCs w:val="1"/>
          <w:color w:val="auto"/>
        </w:rPr>
      </w:pPr>
      <w:r>
        <w:rPr>
          <w:rFonts w:ascii="Arial" w:cs="Arial" w:eastAsia="Arial" w:hAnsi="Arial"/>
          <w:sz w:val="18"/>
          <w:szCs w:val="18"/>
          <w:b w:val="1"/>
          <w:bCs w:val="1"/>
          <w:color w:val="auto"/>
        </w:rPr>
        <w:t>Legal and beneficial ownership</w:t>
      </w:r>
    </w:p>
    <w:p>
      <w:pPr>
        <w:spacing w:after="0" w:line="220"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The Agent shall have received details of the name, company number and current legal and beneficial owners of each Obligor (other than the Parent) in form and substance acceptable to the Agent.</w:t>
      </w:r>
    </w:p>
    <w:p>
      <w:pPr>
        <w:spacing w:after="0" w:line="161" w:lineRule="exact"/>
        <w:rPr>
          <w:sz w:val="20"/>
          <w:szCs w:val="20"/>
          <w:color w:val="auto"/>
        </w:rPr>
      </w:pPr>
    </w:p>
    <w:p>
      <w:pPr>
        <w:ind w:left="520" w:hanging="512"/>
        <w:spacing w:after="0"/>
        <w:tabs>
          <w:tab w:leader="none" w:pos="520" w:val="left"/>
        </w:tabs>
        <w:numPr>
          <w:ilvl w:val="0"/>
          <w:numId w:val="877"/>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02" w:lineRule="exact"/>
        <w:rPr>
          <w:rFonts w:ascii="Arial" w:cs="Arial" w:eastAsia="Arial" w:hAnsi="Arial"/>
          <w:sz w:val="18"/>
          <w:szCs w:val="18"/>
          <w:b w:val="1"/>
          <w:bCs w:val="1"/>
          <w:color w:val="auto"/>
        </w:rPr>
      </w:pPr>
    </w:p>
    <w:p>
      <w:pPr>
        <w:ind w:left="1020" w:hanging="502"/>
        <w:spacing w:after="0" w:line="267" w:lineRule="auto"/>
        <w:tabs>
          <w:tab w:leader="none" w:pos="104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47.2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entered into on or before the first Utilisation Date, if not an Obligor, has accepted its appointment.</w:t>
      </w:r>
    </w:p>
    <w:p>
      <w:pPr>
        <w:spacing w:after="0" w:line="164" w:lineRule="exact"/>
        <w:rPr>
          <w:rFonts w:ascii="Arial" w:cs="Arial" w:eastAsia="Arial" w:hAnsi="Arial"/>
          <w:sz w:val="18"/>
          <w:szCs w:val="18"/>
          <w:color w:val="auto"/>
        </w:rPr>
      </w:pPr>
    </w:p>
    <w:p>
      <w:pPr>
        <w:jc w:val="both"/>
        <w:ind w:left="1020" w:hanging="502"/>
        <w:spacing w:after="0" w:line="238" w:lineRule="auto"/>
        <w:tabs>
          <w:tab w:leader="none" w:pos="135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Borrowers accordingly) in connection with the entry into and performance of the transactions contemplated by any Finance Document which is executed on and dated the date of the Agreement or for the validity and enforceability of any Finance Document.</w:t>
      </w:r>
    </w:p>
    <w:p>
      <w:pPr>
        <w:spacing w:after="0" w:line="191" w:lineRule="exact"/>
        <w:rPr>
          <w:rFonts w:ascii="Arial" w:cs="Arial" w:eastAsia="Arial" w:hAnsi="Arial"/>
          <w:sz w:val="18"/>
          <w:szCs w:val="18"/>
          <w:color w:val="auto"/>
        </w:rPr>
      </w:pPr>
    </w:p>
    <w:p>
      <w:pPr>
        <w:ind w:left="1040" w:hanging="522"/>
        <w:spacing w:after="0"/>
        <w:tabs>
          <w:tab w:leader="none" w:pos="1040"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The Original Financial Statements and any compliance certificate from the Guarantors.</w:t>
      </w:r>
    </w:p>
    <w:p>
      <w:pPr>
        <w:spacing w:after="0" w:line="176" w:lineRule="exact"/>
        <w:rPr>
          <w:sz w:val="20"/>
          <w:szCs w:val="20"/>
          <w:color w:val="auto"/>
        </w:rPr>
      </w:pPr>
    </w:p>
    <w:p>
      <w:pPr>
        <w:ind w:left="520" w:hanging="512"/>
        <w:spacing w:after="0"/>
        <w:tabs>
          <w:tab w:leader="none" w:pos="520" w:val="left"/>
        </w:tabs>
        <w:numPr>
          <w:ilvl w:val="0"/>
          <w:numId w:val="878"/>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61" w:lineRule="exact"/>
        <w:rPr>
          <w:sz w:val="20"/>
          <w:szCs w:val="20"/>
          <w:color w:val="auto"/>
        </w:rPr>
      </w:pPr>
    </w:p>
    <w:p>
      <w:pPr>
        <w:ind w:left="520" w:hanging="512"/>
        <w:spacing w:after="0"/>
        <w:tabs>
          <w:tab w:leader="none" w:pos="520" w:val="left"/>
        </w:tabs>
        <w:numPr>
          <w:ilvl w:val="0"/>
          <w:numId w:val="879"/>
        </w:numPr>
        <w:rPr>
          <w:rFonts w:ascii="Arial" w:cs="Arial" w:eastAsia="Arial" w:hAnsi="Arial"/>
          <w:sz w:val="18"/>
          <w:szCs w:val="18"/>
          <w:b w:val="1"/>
          <w:bCs w:val="1"/>
          <w:color w:val="auto"/>
        </w:rPr>
      </w:pPr>
      <w:r>
        <w:rPr>
          <w:rFonts w:ascii="Arial" w:cs="Arial" w:eastAsia="Arial" w:hAnsi="Arial"/>
          <w:sz w:val="18"/>
          <w:szCs w:val="18"/>
          <w:b w:val="1"/>
          <w:bCs w:val="1"/>
          <w:color w:val="auto"/>
        </w:rPr>
        <w:t>Charter Documents</w:t>
      </w:r>
    </w:p>
    <w:p>
      <w:pPr>
        <w:spacing w:after="0" w:line="2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copy, certified by an approved person to be a true and complete copy, of the Charter Documents.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t>Part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Utilisation</w:t>
      </w:r>
    </w:p>
    <w:p>
      <w:pPr>
        <w:spacing w:after="0" w:line="176" w:lineRule="exact"/>
        <w:rPr>
          <w:sz w:val="20"/>
          <w:szCs w:val="20"/>
          <w:color w:val="auto"/>
        </w:rPr>
      </w:pPr>
    </w:p>
    <w:p>
      <w:pPr>
        <w:ind w:left="520" w:hanging="512"/>
        <w:spacing w:after="0"/>
        <w:tabs>
          <w:tab w:leader="none" w:pos="520" w:val="left"/>
        </w:tabs>
        <w:numPr>
          <w:ilvl w:val="0"/>
          <w:numId w:val="88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documents</w:t>
      </w:r>
    </w:p>
    <w:p>
      <w:pPr>
        <w:spacing w:after="0" w:line="220" w:lineRule="exact"/>
        <w:rPr>
          <w:rFonts w:ascii="Arial" w:cs="Arial" w:eastAsia="Arial" w:hAnsi="Arial"/>
          <w:sz w:val="18"/>
          <w:szCs w:val="18"/>
          <w:b w:val="1"/>
          <w:bCs w:val="1"/>
          <w:color w:val="auto"/>
        </w:rPr>
      </w:pPr>
    </w:p>
    <w:p>
      <w:pPr>
        <w:jc w:val="both"/>
        <w:ind w:left="1020" w:hanging="502"/>
        <w:spacing w:after="0" w:line="238" w:lineRule="auto"/>
        <w:tabs>
          <w:tab w:leader="none" w:pos="1067" w:val="left"/>
        </w:tabs>
        <w:numPr>
          <w:ilvl w:val="1"/>
          <w:numId w:val="880"/>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Owner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91" w:lineRule="exact"/>
        <w:rPr>
          <w:rFonts w:ascii="Arial" w:cs="Arial" w:eastAsia="Arial" w:hAnsi="Arial"/>
          <w:sz w:val="18"/>
          <w:szCs w:val="18"/>
          <w:color w:val="auto"/>
        </w:rPr>
      </w:pPr>
    </w:p>
    <w:p>
      <w:pPr>
        <w:jc w:val="both"/>
        <w:ind w:left="1020" w:hanging="502"/>
        <w:spacing w:after="0" w:line="238" w:lineRule="auto"/>
        <w:tabs>
          <w:tab w:leader="none" w:pos="1121" w:val="left"/>
        </w:tabs>
        <w:numPr>
          <w:ilvl w:val="1"/>
          <w:numId w:val="880"/>
        </w:numPr>
        <w:rPr>
          <w:rFonts w:ascii="Arial" w:cs="Arial" w:eastAsia="Arial" w:hAnsi="Arial"/>
          <w:sz w:val="18"/>
          <w:szCs w:val="18"/>
          <w:color w:val="auto"/>
        </w:rPr>
      </w:pPr>
      <w:r>
        <w:rPr>
          <w:rFonts w:ascii="Arial" w:cs="Arial" w:eastAsia="Arial" w:hAnsi="Arial"/>
          <w:sz w:val="18"/>
          <w:szCs w:val="18"/>
          <w:color w:val="auto"/>
        </w:rPr>
        <w:t>A certificate of an authorised signatory of each other Obligor which is party to any of the Original Security Documents required to be executed at or before the Utilisation Date for the Ship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67" w:lineRule="exact"/>
        <w:rPr>
          <w:sz w:val="20"/>
          <w:szCs w:val="20"/>
          <w:color w:val="auto"/>
        </w:rPr>
      </w:pPr>
    </w:p>
    <w:p>
      <w:pPr>
        <w:ind w:left="520" w:hanging="512"/>
        <w:spacing w:after="0"/>
        <w:tabs>
          <w:tab w:leader="none" w:pos="520" w:val="left"/>
        </w:tabs>
        <w:numPr>
          <w:ilvl w:val="0"/>
          <w:numId w:val="881"/>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 Request</w:t>
      </w:r>
    </w:p>
    <w:p>
      <w:pPr>
        <w:spacing w:after="0" w:line="20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duly completed Utilisation Request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4" w:lineRule="exact"/>
        <w:rPr>
          <w:sz w:val="20"/>
          <w:szCs w:val="20"/>
          <w:color w:val="auto"/>
        </w:rPr>
      </w:pPr>
    </w:p>
    <w:p>
      <w:pPr>
        <w:ind w:left="520" w:hanging="512"/>
        <w:spacing w:after="0"/>
        <w:tabs>
          <w:tab w:leader="none" w:pos="520" w:val="left"/>
        </w:tabs>
        <w:numPr>
          <w:ilvl w:val="0"/>
          <w:numId w:val="882"/>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0" w:lineRule="exact"/>
        <w:rPr>
          <w:rFonts w:ascii="Arial" w:cs="Arial" w:eastAsia="Arial" w:hAnsi="Arial"/>
          <w:sz w:val="18"/>
          <w:szCs w:val="18"/>
          <w:b w:val="1"/>
          <w:bCs w:val="1"/>
          <w:color w:val="auto"/>
        </w:rPr>
      </w:pPr>
    </w:p>
    <w:p>
      <w:pPr>
        <w:ind w:left="1020" w:hanging="502"/>
        <w:spacing w:after="0" w:line="246" w:lineRule="auto"/>
        <w:tabs>
          <w:tab w:leader="none" w:pos="135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The Mortgage, the Share Security, the Deed of Covenant, Charter Assignment and the Security Power of Attorney for the relevant Ship duly executed by the relevant Owner.</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The Quiet Enjoyment Agreement duly executed by the, Security Agent, the relevant Owner and the Charterer.</w:t>
      </w:r>
    </w:p>
    <w:p>
      <w:pPr>
        <w:spacing w:after="0" w:line="198" w:lineRule="exact"/>
        <w:rPr>
          <w:rFonts w:ascii="Arial" w:cs="Arial" w:eastAsia="Arial" w:hAnsi="Arial"/>
          <w:sz w:val="18"/>
          <w:szCs w:val="18"/>
          <w:color w:val="auto"/>
        </w:rPr>
      </w:pPr>
    </w:p>
    <w:p>
      <w:pPr>
        <w:ind w:left="1040" w:hanging="522"/>
        <w:spacing w:after="0"/>
        <w:tabs>
          <w:tab w:leader="none" w:pos="104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Any Manager’s Undertaking then required pursuant to the Finance Documents duly executed by the relevant manager.</w:t>
      </w:r>
    </w:p>
    <w:p>
      <w:pPr>
        <w:spacing w:after="0" w:line="198" w:lineRule="exact"/>
        <w:rPr>
          <w:rFonts w:ascii="Arial" w:cs="Arial" w:eastAsia="Arial" w:hAnsi="Arial"/>
          <w:sz w:val="18"/>
          <w:szCs w:val="18"/>
          <w:color w:val="auto"/>
        </w:rPr>
      </w:pPr>
    </w:p>
    <w:p>
      <w:pPr>
        <w:ind w:left="1020" w:right="20" w:hanging="502"/>
        <w:spacing w:after="0" w:line="246" w:lineRule="auto"/>
        <w:tabs>
          <w:tab w:leader="none" w:pos="1445" w:val="left"/>
        </w:tabs>
        <w:numPr>
          <w:ilvl w:val="1"/>
          <w:numId w:val="882"/>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of those notices as required by any of the above Security Documents.</w:t>
      </w:r>
    </w:p>
    <w:p>
      <w:pPr>
        <w:spacing w:after="0" w:line="161" w:lineRule="exact"/>
        <w:rPr>
          <w:sz w:val="20"/>
          <w:szCs w:val="20"/>
          <w:color w:val="auto"/>
        </w:rPr>
      </w:pPr>
    </w:p>
    <w:p>
      <w:pPr>
        <w:ind w:left="520" w:right="8180" w:hanging="512"/>
        <w:spacing w:after="0" w:line="482" w:lineRule="auto"/>
        <w:tabs>
          <w:tab w:leader="none" w:pos="528" w:val="left"/>
        </w:tabs>
        <w:numPr>
          <w:ilvl w:val="0"/>
          <w:numId w:val="8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Registration of Ship </w:t>
      </w:r>
      <w:r>
        <w:rPr>
          <w:rFonts w:ascii="Arial" w:cs="Arial" w:eastAsia="Arial" w:hAnsi="Arial"/>
          <w:sz w:val="18"/>
          <w:szCs w:val="18"/>
          <w:color w:val="auto"/>
        </w:rPr>
        <w:t>Evidence that the relevant Ship:</w:t>
      </w:r>
    </w:p>
    <w:p>
      <w:pPr>
        <w:ind w:left="1020" w:right="20" w:hanging="502"/>
        <w:spacing w:after="0" w:line="246" w:lineRule="auto"/>
        <w:tabs>
          <w:tab w:leader="none" w:pos="1121" w:val="left"/>
        </w:tabs>
        <w:numPr>
          <w:ilvl w:val="1"/>
          <w:numId w:val="883"/>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permanently registered in the name of the relevant Owner through the relevant Registry as a Bermudian flagged ship under the laws and flag of the relevant Flag State;</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883"/>
        </w:numPr>
        <w:rPr>
          <w:rFonts w:ascii="Arial" w:cs="Arial" w:eastAsia="Arial" w:hAnsi="Arial"/>
          <w:sz w:val="18"/>
          <w:szCs w:val="18"/>
          <w:color w:val="auto"/>
        </w:rPr>
      </w:pPr>
      <w:r>
        <w:rPr>
          <w:rFonts w:ascii="Arial" w:cs="Arial" w:eastAsia="Arial" w:hAnsi="Arial"/>
          <w:sz w:val="18"/>
          <w:szCs w:val="18"/>
          <w:color w:val="auto"/>
        </w:rPr>
        <w:t>is operationally seaworthy and in every way fit for service;</w:t>
      </w:r>
    </w:p>
    <w:p>
      <w:pPr>
        <w:spacing w:after="0" w:line="198" w:lineRule="exact"/>
        <w:rPr>
          <w:rFonts w:ascii="Arial" w:cs="Arial" w:eastAsia="Arial" w:hAnsi="Arial"/>
          <w:sz w:val="18"/>
          <w:szCs w:val="18"/>
          <w:color w:val="auto"/>
        </w:rPr>
      </w:pPr>
    </w:p>
    <w:p>
      <w:pPr>
        <w:ind w:left="1020" w:hanging="502"/>
        <w:spacing w:after="0" w:line="246" w:lineRule="auto"/>
        <w:tabs>
          <w:tab w:leader="none" w:pos="1151" w:val="left"/>
        </w:tabs>
        <w:numPr>
          <w:ilvl w:val="1"/>
          <w:numId w:val="883"/>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overdue requirements and recommendations of the relevant Classification Society;</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883"/>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w:t>
      </w:r>
    </w:p>
    <w:p>
      <w:pPr>
        <w:spacing w:after="0" w:line="198" w:lineRule="exact"/>
        <w:rPr>
          <w:rFonts w:ascii="Arial" w:cs="Arial" w:eastAsia="Arial" w:hAnsi="Arial"/>
          <w:sz w:val="18"/>
          <w:szCs w:val="18"/>
          <w:color w:val="auto"/>
        </w:rPr>
      </w:pPr>
    </w:p>
    <w:p>
      <w:pPr>
        <w:ind w:left="1040" w:hanging="522"/>
        <w:spacing w:after="0"/>
        <w:tabs>
          <w:tab w:leader="none" w:pos="1040" w:val="left"/>
        </w:tabs>
        <w:numPr>
          <w:ilvl w:val="1"/>
          <w:numId w:val="883"/>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the relevant Charter; and</w:t>
      </w:r>
    </w:p>
    <w:p>
      <w:pPr>
        <w:spacing w:after="0" w:line="198" w:lineRule="exact"/>
        <w:rPr>
          <w:rFonts w:ascii="Arial" w:cs="Arial" w:eastAsia="Arial" w:hAnsi="Arial"/>
          <w:sz w:val="18"/>
          <w:szCs w:val="18"/>
          <w:color w:val="auto"/>
        </w:rPr>
      </w:pPr>
    </w:p>
    <w:p>
      <w:pPr>
        <w:ind w:left="1020" w:hanging="502"/>
        <w:spacing w:after="0"/>
        <w:tabs>
          <w:tab w:leader="none" w:pos="1020" w:val="left"/>
        </w:tabs>
        <w:numPr>
          <w:ilvl w:val="1"/>
          <w:numId w:val="883"/>
        </w:numPr>
        <w:rPr>
          <w:rFonts w:ascii="Arial" w:cs="Arial" w:eastAsia="Arial" w:hAnsi="Arial"/>
          <w:sz w:val="18"/>
          <w:szCs w:val="18"/>
          <w:color w:val="auto"/>
        </w:rPr>
      </w:pPr>
      <w:r>
        <w:rPr>
          <w:rFonts w:ascii="Arial" w:cs="Arial" w:eastAsia="Arial" w:hAnsi="Arial"/>
          <w:sz w:val="18"/>
          <w:szCs w:val="18"/>
          <w:color w:val="auto"/>
        </w:rPr>
        <w:t>is free of any other charter commitment which would require approval under the Finance Documents.</w:t>
      </w:r>
    </w:p>
    <w:p>
      <w:pPr>
        <w:spacing w:after="0" w:line="176" w:lineRule="exact"/>
        <w:rPr>
          <w:sz w:val="20"/>
          <w:szCs w:val="20"/>
          <w:color w:val="auto"/>
        </w:rPr>
      </w:pPr>
    </w:p>
    <w:p>
      <w:pPr>
        <w:ind w:left="520" w:hanging="512"/>
        <w:spacing w:after="0"/>
        <w:tabs>
          <w:tab w:leader="none" w:pos="520" w:val="left"/>
        </w:tabs>
        <w:numPr>
          <w:ilvl w:val="0"/>
          <w:numId w:val="884"/>
        </w:numPr>
        <w:rPr>
          <w:rFonts w:ascii="Arial" w:cs="Arial" w:eastAsia="Arial" w:hAnsi="Arial"/>
          <w:sz w:val="18"/>
          <w:szCs w:val="18"/>
          <w:b w:val="1"/>
          <w:bCs w:val="1"/>
          <w:color w:val="auto"/>
        </w:rPr>
      </w:pPr>
      <w:r>
        <w:rPr>
          <w:rFonts w:ascii="Arial" w:cs="Arial" w:eastAsia="Arial" w:hAnsi="Arial"/>
          <w:sz w:val="18"/>
          <w:szCs w:val="18"/>
          <w:b w:val="1"/>
          <w:bCs w:val="1"/>
          <w:color w:val="auto"/>
        </w:rPr>
        <w:t>Mortgage Registration</w:t>
      </w:r>
    </w:p>
    <w:p>
      <w:pPr>
        <w:spacing w:after="0" w:line="220"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Evidence that the relevant first Mortgage has been registered against the Ship as a first priority mortgage through the Registry under the laws and flag of its Flag State.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4" w:name="page335"/>
    <w:bookmarkEnd w:id="334"/>
    <w:p>
      <w:pPr>
        <w:ind w:left="520" w:hanging="512"/>
        <w:spacing w:after="0"/>
        <w:tabs>
          <w:tab w:leader="none" w:pos="520" w:val="left"/>
        </w:tabs>
        <w:numPr>
          <w:ilvl w:val="0"/>
          <w:numId w:val="88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 relation to the relevant Ship’s Insurances:</w:t>
      </w:r>
    </w:p>
    <w:p>
      <w:pPr>
        <w:spacing w:after="0" w:line="198" w:lineRule="exact"/>
        <w:rPr>
          <w:rFonts w:ascii="Arial" w:cs="Arial" w:eastAsia="Arial" w:hAnsi="Arial"/>
          <w:sz w:val="18"/>
          <w:szCs w:val="18"/>
          <w:b w:val="1"/>
          <w:bCs w:val="1"/>
          <w:color w:val="auto"/>
        </w:rPr>
      </w:pPr>
    </w:p>
    <w:p>
      <w:pPr>
        <w:ind w:left="1040" w:hanging="522"/>
        <w:spacing w:after="0"/>
        <w:tabs>
          <w:tab w:leader="none" w:pos="1040" w:val="left"/>
        </w:tabs>
        <w:numPr>
          <w:ilvl w:val="1"/>
          <w:numId w:val="885"/>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180" w:lineRule="exact"/>
        <w:rPr>
          <w:rFonts w:ascii="Arial" w:cs="Arial" w:eastAsia="Arial" w:hAnsi="Arial"/>
          <w:sz w:val="18"/>
          <w:szCs w:val="18"/>
          <w:color w:val="auto"/>
        </w:rPr>
      </w:pPr>
    </w:p>
    <w:p>
      <w:pPr>
        <w:ind w:left="1040" w:hanging="522"/>
        <w:spacing w:after="0"/>
        <w:tabs>
          <w:tab w:leader="none" w:pos="1040" w:val="left"/>
        </w:tabs>
        <w:numPr>
          <w:ilvl w:val="1"/>
          <w:numId w:val="885"/>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020" w:hanging="502"/>
        <w:spacing w:after="0" w:line="246" w:lineRule="auto"/>
        <w:tabs>
          <w:tab w:leader="none" w:pos="1232" w:val="left"/>
        </w:tabs>
        <w:numPr>
          <w:ilvl w:val="1"/>
          <w:numId w:val="885"/>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61" w:lineRule="exact"/>
        <w:rPr>
          <w:sz w:val="20"/>
          <w:szCs w:val="20"/>
          <w:color w:val="auto"/>
        </w:rPr>
      </w:pPr>
    </w:p>
    <w:p>
      <w:pPr>
        <w:ind w:left="520" w:right="9060" w:hanging="512"/>
        <w:spacing w:after="0" w:line="482" w:lineRule="auto"/>
        <w:tabs>
          <w:tab w:leader="none" w:pos="528" w:val="left"/>
        </w:tabs>
        <w:numPr>
          <w:ilvl w:val="0"/>
          <w:numId w:val="8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ind w:left="1020" w:hanging="502"/>
        <w:spacing w:after="0" w:line="246" w:lineRule="auto"/>
        <w:tabs>
          <w:tab w:leader="none" w:pos="1107" w:val="left"/>
        </w:tabs>
        <w:numPr>
          <w:ilvl w:val="1"/>
          <w:numId w:val="886"/>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relevant Ship for the purposes of that code;</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the safety management certificate in respect of such Ship issued in accordance with the ISM Code;</w:t>
      </w:r>
    </w:p>
    <w:p>
      <w:pPr>
        <w:spacing w:after="0" w:line="198" w:lineRule="exact"/>
        <w:rPr>
          <w:rFonts w:ascii="Arial" w:cs="Arial" w:eastAsia="Arial" w:hAnsi="Arial"/>
          <w:sz w:val="18"/>
          <w:szCs w:val="18"/>
          <w:color w:val="auto"/>
        </w:rPr>
      </w:pPr>
    </w:p>
    <w:p>
      <w:pPr>
        <w:ind w:left="1040" w:hanging="522"/>
        <w:spacing w:after="0"/>
        <w:tabs>
          <w:tab w:leader="none" w:pos="104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such Ship issued under the ISPS Code;</w:t>
      </w:r>
    </w:p>
    <w:p>
      <w:pPr>
        <w:spacing w:after="0" w:line="198" w:lineRule="exact"/>
        <w:rPr>
          <w:rFonts w:ascii="Arial" w:cs="Arial" w:eastAsia="Arial" w:hAnsi="Arial"/>
          <w:sz w:val="18"/>
          <w:szCs w:val="18"/>
          <w:color w:val="auto"/>
        </w:rPr>
      </w:pPr>
    </w:p>
    <w:p>
      <w:pPr>
        <w:ind w:left="1020" w:hanging="502"/>
        <w:spacing w:after="0" w:line="246" w:lineRule="auto"/>
        <w:tabs>
          <w:tab w:leader="none" w:pos="104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such Ship or in relation to its operation under any applicable law.</w:t>
      </w:r>
    </w:p>
    <w:p>
      <w:pPr>
        <w:spacing w:after="0" w:line="161" w:lineRule="exact"/>
        <w:rPr>
          <w:sz w:val="20"/>
          <w:szCs w:val="20"/>
          <w:color w:val="auto"/>
        </w:rPr>
      </w:pPr>
    </w:p>
    <w:p>
      <w:pPr>
        <w:ind w:left="520" w:hanging="512"/>
        <w:spacing w:after="0"/>
        <w:tabs>
          <w:tab w:leader="none" w:pos="520" w:val="left"/>
        </w:tabs>
        <w:numPr>
          <w:ilvl w:val="0"/>
          <w:numId w:val="887"/>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Valuations of the relevant Ship obtained (not more than thirty (30) days before the relevant Utilisation Date)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showing that the Security Value of that Ship will be not less than the Minimum Value in respect of the Advance for that Ship after the proposed Utilisation.</w:t>
      </w:r>
    </w:p>
    <w:p>
      <w:pPr>
        <w:spacing w:after="0" w:line="167" w:lineRule="exact"/>
        <w:rPr>
          <w:sz w:val="20"/>
          <w:szCs w:val="20"/>
          <w:color w:val="auto"/>
        </w:rPr>
      </w:pPr>
    </w:p>
    <w:p>
      <w:pPr>
        <w:ind w:left="520" w:hanging="512"/>
        <w:spacing w:after="0"/>
        <w:tabs>
          <w:tab w:leader="none" w:pos="520" w:val="left"/>
        </w:tabs>
        <w:numPr>
          <w:ilvl w:val="0"/>
          <w:numId w:val="88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02" w:lineRule="exact"/>
        <w:rPr>
          <w:sz w:val="20"/>
          <w:szCs w:val="20"/>
          <w:color w:val="auto"/>
        </w:rPr>
      </w:pPr>
    </w:p>
    <w:p>
      <w:pPr>
        <w:ind w:left="520" w:right="20"/>
        <w:spacing w:after="0" w:line="267" w:lineRule="auto"/>
        <w:rPr>
          <w:sz w:val="20"/>
          <w:szCs w:val="20"/>
          <w:color w:val="auto"/>
        </w:rPr>
      </w:pPr>
      <w:r>
        <w:rPr>
          <w:rFonts w:ascii="Arial" w:cs="Arial" w:eastAsia="Arial" w:hAnsi="Arial"/>
          <w:sz w:val="18"/>
          <w:szCs w:val="18"/>
          <w:color w:val="auto"/>
        </w:rPr>
        <w:t>Evidence that the fees, commissions, costs and expenses that are due from the Borrowers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relevant Utilisation Date.</w:t>
      </w:r>
    </w:p>
    <w:p>
      <w:pPr>
        <w:spacing w:after="0" w:line="143" w:lineRule="exact"/>
        <w:rPr>
          <w:sz w:val="20"/>
          <w:szCs w:val="20"/>
          <w:color w:val="auto"/>
        </w:rPr>
      </w:pPr>
    </w:p>
    <w:p>
      <w:pPr>
        <w:ind w:left="540" w:hanging="532"/>
        <w:spacing w:after="0"/>
        <w:tabs>
          <w:tab w:leader="none" w:pos="540" w:val="left"/>
        </w:tabs>
        <w:numPr>
          <w:ilvl w:val="0"/>
          <w:numId w:val="889"/>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20" w:lineRule="exact"/>
        <w:rPr>
          <w:rFonts w:ascii="Arial" w:cs="Arial" w:eastAsia="Arial" w:hAnsi="Arial"/>
          <w:sz w:val="18"/>
          <w:szCs w:val="18"/>
          <w:b w:val="1"/>
          <w:bCs w:val="1"/>
          <w:color w:val="auto"/>
        </w:rPr>
      </w:pPr>
    </w:p>
    <w:p>
      <w:pPr>
        <w:jc w:val="both"/>
        <w:ind w:left="5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(Promptly as of the Utilisation Date) copies of the relevant Ship’s certificate of financial responsibility and vessel response plan required under United States law and evidence of their approval by the appropriate United States government entity, (to the extent available) a copy of the Inventory of Hazardous Materials or equivalent document acceptable to the Agent in respect of each Ship and (if requested by the Agent) an environmental report in respect of the relevant Ship from an approved person.</w:t>
      </w:r>
    </w:p>
    <w:p>
      <w:pPr>
        <w:spacing w:after="0" w:line="169" w:lineRule="exact"/>
        <w:rPr>
          <w:rFonts w:ascii="Arial" w:cs="Arial" w:eastAsia="Arial" w:hAnsi="Arial"/>
          <w:sz w:val="18"/>
          <w:szCs w:val="18"/>
          <w:b w:val="1"/>
          <w:bCs w:val="1"/>
          <w:color w:val="auto"/>
        </w:rPr>
      </w:pPr>
    </w:p>
    <w:p>
      <w:pPr>
        <w:ind w:left="540" w:hanging="532"/>
        <w:spacing w:after="0"/>
        <w:tabs>
          <w:tab w:leader="none" w:pos="540" w:val="left"/>
        </w:tabs>
        <w:numPr>
          <w:ilvl w:val="0"/>
          <w:numId w:val="88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w:t>
      </w:r>
    </w:p>
    <w:p>
      <w:pPr>
        <w:spacing w:after="0" w:line="220"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If relevant, assurance that any withholding tax will be paid or application to the tax authorities in any Relevant Jurisdiction is or will be sent.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5" w:name="page336"/>
    <w:bookmarkEnd w:id="335"/>
    <w:p>
      <w:pPr>
        <w:ind w:left="540" w:hanging="532"/>
        <w:spacing w:after="0"/>
        <w:tabs>
          <w:tab w:leader="none" w:pos="540" w:val="left"/>
        </w:tabs>
        <w:numPr>
          <w:ilvl w:val="0"/>
          <w:numId w:val="890"/>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Evidence that any consents required in connection with the delivery of the relevant Ship, the registration of title to the relevant Ship, the registration of the Mortgage over the relevant Ship and the assignment of the Ship’s Charter have been obtained.</w:t>
      </w:r>
    </w:p>
    <w:p>
      <w:pPr>
        <w:spacing w:after="0" w:line="161" w:lineRule="exact"/>
        <w:rPr>
          <w:rFonts w:ascii="Arial" w:cs="Arial" w:eastAsia="Arial" w:hAnsi="Arial"/>
          <w:sz w:val="18"/>
          <w:szCs w:val="18"/>
          <w:b w:val="1"/>
          <w:bCs w:val="1"/>
          <w:color w:val="auto"/>
        </w:rPr>
      </w:pPr>
    </w:p>
    <w:p>
      <w:pPr>
        <w:ind w:left="540" w:hanging="532"/>
        <w:spacing w:after="0"/>
        <w:tabs>
          <w:tab w:leader="none" w:pos="540" w:val="left"/>
        </w:tabs>
        <w:numPr>
          <w:ilvl w:val="0"/>
          <w:numId w:val="89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02" w:lineRule="exact"/>
        <w:rPr>
          <w:rFonts w:ascii="Arial" w:cs="Arial" w:eastAsia="Arial" w:hAnsi="Arial"/>
          <w:sz w:val="18"/>
          <w:szCs w:val="18"/>
          <w:b w:val="1"/>
          <w:bCs w:val="1"/>
          <w:color w:val="auto"/>
        </w:rPr>
      </w:pPr>
    </w:p>
    <w:p>
      <w:pPr>
        <w:jc w:val="both"/>
        <w:ind w:left="5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Where a manager has been approved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 a copy, certified by an approved person to be a true and complete copy, of the agreement between the relevant Owner and such Manager, relating to the appointment of each Manager and the management services to be provided by it to the relevant Owner in respect of the relevant Ship.</w:t>
      </w:r>
    </w:p>
    <w:p>
      <w:pPr>
        <w:spacing w:after="0" w:line="159" w:lineRule="exact"/>
        <w:rPr>
          <w:rFonts w:ascii="Arial" w:cs="Arial" w:eastAsia="Arial" w:hAnsi="Arial"/>
          <w:sz w:val="18"/>
          <w:szCs w:val="18"/>
          <w:b w:val="1"/>
          <w:bCs w:val="1"/>
          <w:color w:val="auto"/>
        </w:rPr>
      </w:pPr>
    </w:p>
    <w:p>
      <w:pPr>
        <w:ind w:left="540" w:hanging="532"/>
        <w:spacing w:after="0"/>
        <w:tabs>
          <w:tab w:leader="none" w:pos="540" w:val="left"/>
        </w:tabs>
        <w:numPr>
          <w:ilvl w:val="0"/>
          <w:numId w:val="890"/>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0" w:lineRule="exact"/>
        <w:rPr>
          <w:rFonts w:ascii="Arial" w:cs="Arial" w:eastAsia="Arial" w:hAnsi="Arial"/>
          <w:sz w:val="18"/>
          <w:szCs w:val="18"/>
          <w:b w:val="1"/>
          <w:bCs w:val="1"/>
          <w:color w:val="auto"/>
        </w:rPr>
      </w:pPr>
    </w:p>
    <w:p>
      <w:pPr>
        <w:ind w:left="1020" w:hanging="502"/>
        <w:spacing w:after="0" w:line="246" w:lineRule="auto"/>
        <w:tabs>
          <w:tab w:leader="none" w:pos="1067" w:val="left"/>
        </w:tabs>
        <w:numPr>
          <w:ilvl w:val="1"/>
          <w:numId w:val="890"/>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addressed to the Arrangers, the Security Agent and the Agent and for the benefit of all the Finance Parties on matters of English law, substantially in the form approved by the Agent.</w:t>
      </w:r>
    </w:p>
    <w:p>
      <w:pPr>
        <w:spacing w:after="0" w:line="183" w:lineRule="exact"/>
        <w:rPr>
          <w:rFonts w:ascii="Arial" w:cs="Arial" w:eastAsia="Arial" w:hAnsi="Arial"/>
          <w:sz w:val="18"/>
          <w:szCs w:val="18"/>
          <w:color w:val="auto"/>
        </w:rPr>
      </w:pPr>
    </w:p>
    <w:p>
      <w:pPr>
        <w:jc w:val="both"/>
        <w:ind w:left="1020" w:hanging="502"/>
        <w:spacing w:after="0"/>
        <w:tabs>
          <w:tab w:leader="none" w:pos="1026" w:val="left"/>
        </w:tabs>
        <w:numPr>
          <w:ilvl w:val="1"/>
          <w:numId w:val="890"/>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the Security Agent and the Agent in each jurisdiction in which an Obligor is incorporated and/or which is or is to be the Flag State of the Ship, or which governs any assets which are to be the subject of a Security Interest for the benefit of all the Finance Parties substantially in the form approved by the Agent.</w:t>
      </w:r>
    </w:p>
    <w:p>
      <w:pPr>
        <w:spacing w:after="0" w:line="167" w:lineRule="exact"/>
        <w:rPr>
          <w:rFonts w:ascii="Arial" w:cs="Arial" w:eastAsia="Arial" w:hAnsi="Arial"/>
          <w:sz w:val="18"/>
          <w:szCs w:val="18"/>
          <w:color w:val="auto"/>
        </w:rPr>
      </w:pPr>
    </w:p>
    <w:p>
      <w:pPr>
        <w:ind w:left="520" w:right="8020" w:hanging="512"/>
        <w:spacing w:after="0" w:line="482" w:lineRule="auto"/>
        <w:tabs>
          <w:tab w:leader="none" w:pos="534" w:val="left"/>
        </w:tabs>
        <w:numPr>
          <w:ilvl w:val="0"/>
          <w:numId w:val="8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Repayment of existing facilities </w:t>
      </w:r>
      <w:r>
        <w:rPr>
          <w:rFonts w:ascii="Arial" w:cs="Arial" w:eastAsia="Arial" w:hAnsi="Arial"/>
          <w:sz w:val="18"/>
          <w:szCs w:val="18"/>
          <w:color w:val="auto"/>
        </w:rPr>
        <w:t>Evidence that:</w:t>
      </w:r>
    </w:p>
    <w:p>
      <w:pPr>
        <w:jc w:val="both"/>
        <w:ind w:left="1020" w:hanging="502"/>
        <w:spacing w:after="0" w:line="238" w:lineRule="auto"/>
        <w:tabs>
          <w:tab w:leader="none" w:pos="1134" w:val="left"/>
        </w:tabs>
        <w:numPr>
          <w:ilvl w:val="1"/>
          <w:numId w:val="890"/>
        </w:numPr>
        <w:rPr>
          <w:rFonts w:ascii="Arial" w:cs="Arial" w:eastAsia="Arial" w:hAnsi="Arial"/>
          <w:sz w:val="18"/>
          <w:szCs w:val="18"/>
          <w:color w:val="auto"/>
        </w:rPr>
      </w:pPr>
      <w:r>
        <w:rPr>
          <w:rFonts w:ascii="Arial" w:cs="Arial" w:eastAsia="Arial" w:hAnsi="Arial"/>
          <w:sz w:val="18"/>
          <w:szCs w:val="18"/>
          <w:color w:val="auto"/>
        </w:rPr>
        <w:t>the facility agreement dated 18 February 2016 made between, among others, (a) the Borrowers, GAS-eighteen Ltd. and GAS-twenty Ltd. as joint and several borrowers, (b) DNB Bank ASA, London Branch as agent and security agent, (c) ABN AMRO Bank N.V., DNB (UK) Ltd. and DVB Bank America N.V. as arrangers and (d) the financial institutions listed in Schedule 1 therein as lenders; and</w:t>
      </w:r>
    </w:p>
    <w:p>
      <w:pPr>
        <w:spacing w:after="0" w:line="191" w:lineRule="exact"/>
        <w:rPr>
          <w:rFonts w:ascii="Arial" w:cs="Arial" w:eastAsia="Arial" w:hAnsi="Arial"/>
          <w:sz w:val="18"/>
          <w:szCs w:val="18"/>
          <w:color w:val="auto"/>
        </w:rPr>
      </w:pPr>
    </w:p>
    <w:p>
      <w:pPr>
        <w:ind w:left="520" w:right="100" w:hanging="2"/>
        <w:spacing w:after="0" w:line="456" w:lineRule="auto"/>
        <w:tabs>
          <w:tab w:leader="none" w:pos="1037" w:val="left"/>
        </w:tabs>
        <w:numPr>
          <w:ilvl w:val="1"/>
          <w:numId w:val="890"/>
        </w:numPr>
        <w:rPr>
          <w:rFonts w:ascii="Arial" w:cs="Arial" w:eastAsia="Arial" w:hAnsi="Arial"/>
          <w:sz w:val="18"/>
          <w:szCs w:val="18"/>
          <w:color w:val="auto"/>
        </w:rPr>
      </w:pPr>
      <w:r>
        <w:rPr>
          <w:rFonts w:ascii="Arial" w:cs="Arial" w:eastAsia="Arial" w:hAnsi="Arial"/>
          <w:sz w:val="18"/>
          <w:szCs w:val="18"/>
          <w:color w:val="auto"/>
        </w:rPr>
        <w:t>the Nordea 2016 Facility (except the portion of such facility which relates to the financing thereunder of m.v. “Gaslog Chelsea”), have been or will be repaid in full and cancelled on the Utilisation Date.</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890"/>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02" w:lineRule="exact"/>
        <w:rPr>
          <w:rFonts w:ascii="Arial" w:cs="Arial" w:eastAsia="Arial" w:hAnsi="Arial"/>
          <w:sz w:val="18"/>
          <w:szCs w:val="18"/>
          <w:b w:val="1"/>
          <w:bCs w:val="1"/>
          <w:color w:val="auto"/>
        </w:rPr>
      </w:pPr>
    </w:p>
    <w:p>
      <w:pPr>
        <w:jc w:val="both"/>
        <w:ind w:left="52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Evidence that any Account required to be established 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has been opened and that any Account Security in respect of each such Account has been executed and delivered by the Borrowers in favour of the Security Agent and that any notice required to be given to an Account Bank under that Account Security has been given to it and acknowledged by it in the manner required by that Account Security and that an amount has been credited to it.</w:t>
      </w:r>
    </w:p>
    <w:p>
      <w:pPr>
        <w:spacing w:after="0" w:line="163" w:lineRule="exact"/>
        <w:rPr>
          <w:rFonts w:ascii="Arial" w:cs="Arial" w:eastAsia="Arial" w:hAnsi="Arial"/>
          <w:sz w:val="18"/>
          <w:szCs w:val="18"/>
          <w:b w:val="1"/>
          <w:bCs w:val="1"/>
          <w:color w:val="auto"/>
        </w:rPr>
      </w:pPr>
    </w:p>
    <w:p>
      <w:pPr>
        <w:ind w:left="520" w:right="5580" w:hanging="512"/>
        <w:spacing w:after="0" w:line="482" w:lineRule="auto"/>
        <w:tabs>
          <w:tab w:leader="none" w:pos="534" w:val="left"/>
        </w:tabs>
        <w:numPr>
          <w:ilvl w:val="0"/>
          <w:numId w:val="8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Hedging Master Agreements and Hedging Contract Security </w:t>
      </w:r>
      <w:r>
        <w:rPr>
          <w:rFonts w:ascii="Arial" w:cs="Arial" w:eastAsia="Arial" w:hAnsi="Arial"/>
          <w:sz w:val="18"/>
          <w:szCs w:val="18"/>
          <w:color w:val="auto"/>
        </w:rPr>
        <w:t>Evidence that:</w:t>
      </w:r>
    </w:p>
    <w:p>
      <w:pPr>
        <w:ind w:left="1020" w:hanging="502"/>
        <w:spacing w:after="0" w:line="246" w:lineRule="auto"/>
        <w:tabs>
          <w:tab w:leader="none" w:pos="1202" w:val="left"/>
        </w:tabs>
        <w:numPr>
          <w:ilvl w:val="1"/>
          <w:numId w:val="890"/>
        </w:numPr>
        <w:rPr>
          <w:rFonts w:ascii="Arial" w:cs="Arial" w:eastAsia="Arial" w:hAnsi="Arial"/>
          <w:sz w:val="18"/>
          <w:szCs w:val="18"/>
          <w:color w:val="auto"/>
        </w:rPr>
      </w:pPr>
      <w:r>
        <w:rPr>
          <w:rFonts w:ascii="Arial" w:cs="Arial" w:eastAsia="Arial" w:hAnsi="Arial"/>
          <w:sz w:val="18"/>
          <w:szCs w:val="18"/>
          <w:color w:val="auto"/>
        </w:rPr>
        <w:t>each Hedging Master Agreement has been executed by the Borrowers and each Hedging Provider together with evidence of their novation to the Borrowers by the relevant Group Member;</w:t>
      </w:r>
    </w:p>
    <w:p>
      <w:pPr>
        <w:spacing w:after="0" w:line="183" w:lineRule="exact"/>
        <w:rPr>
          <w:rFonts w:ascii="Arial" w:cs="Arial" w:eastAsia="Arial" w:hAnsi="Arial"/>
          <w:sz w:val="18"/>
          <w:szCs w:val="18"/>
          <w:color w:val="auto"/>
        </w:rPr>
      </w:pPr>
    </w:p>
    <w:p>
      <w:pPr>
        <w:ind w:left="1300" w:hanging="782"/>
        <w:spacing w:after="0"/>
        <w:tabs>
          <w:tab w:leader="none" w:pos="1300" w:val="left"/>
        </w:tabs>
        <w:numPr>
          <w:ilvl w:val="1"/>
          <w:numId w:val="890"/>
        </w:numPr>
        <w:rPr>
          <w:rFonts w:ascii="Arial" w:cs="Arial" w:eastAsia="Arial" w:hAnsi="Arial"/>
          <w:sz w:val="18"/>
          <w:szCs w:val="18"/>
          <w:color w:val="auto"/>
        </w:rPr>
      </w:pPr>
      <w:r>
        <w:rPr>
          <w:rFonts w:ascii="Arial" w:cs="Arial" w:eastAsia="Arial" w:hAnsi="Arial"/>
          <w:sz w:val="18"/>
          <w:szCs w:val="18"/>
          <w:color w:val="auto"/>
        </w:rPr>
        <w:t>the Borrowers have executed the Hedging Contract Security;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6" w:name="page337"/>
    <w:bookmarkEnd w:id="336"/>
    <w:p>
      <w:pPr>
        <w:ind w:left="502" w:hanging="502"/>
        <w:spacing w:after="0" w:line="246" w:lineRule="auto"/>
        <w:tabs>
          <w:tab w:leader="none" w:pos="903" w:val="left"/>
        </w:tabs>
        <w:numPr>
          <w:ilvl w:val="0"/>
          <w:numId w:val="891"/>
        </w:numPr>
        <w:rPr>
          <w:rFonts w:ascii="Arial" w:cs="Arial" w:eastAsia="Arial" w:hAnsi="Arial"/>
          <w:sz w:val="18"/>
          <w:szCs w:val="18"/>
          <w:color w:val="auto"/>
        </w:rPr>
      </w:pPr>
      <w:r>
        <w:rPr>
          <w:rFonts w:ascii="Arial" w:cs="Arial" w:eastAsia="Arial" w:hAnsi="Arial"/>
          <w:sz w:val="18"/>
          <w:szCs w:val="18"/>
          <w:color w:val="auto"/>
        </w:rPr>
        <w:t>any notice required to be given to each Hedging Provider under the Hedging Contract Security has been given to it and acknowledged by it in the manner required by the Hedging Contract Security.</w:t>
      </w:r>
    </w:p>
    <w:p>
      <w:pPr>
        <w:spacing w:after="0" w:line="18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41" w:right="359" w:bottom="1440" w:gutter="0" w:footer="0" w:header="0"/>
        </w:sectPr>
      </w:pPr>
    </w:p>
    <w:bookmarkStart w:id="337" w:name="page338"/>
    <w:bookmarkEnd w:id="337"/>
    <w:p>
      <w:pPr>
        <w:jc w:val="center"/>
        <w:spacing w:after="0"/>
        <w:rPr>
          <w:sz w:val="20"/>
          <w:szCs w:val="20"/>
          <w:color w:val="auto"/>
        </w:rPr>
      </w:pPr>
      <w:r>
        <w:rPr>
          <w:rFonts w:ascii="Arial" w:cs="Arial" w:eastAsia="Arial" w:hAnsi="Arial"/>
          <w:sz w:val="22"/>
          <w:szCs w:val="22"/>
          <w:b w:val="1"/>
          <w:bCs w:val="1"/>
          <w:color w:val="auto"/>
        </w:rPr>
        <w:t>Schedule 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Utilisation Request</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Gas-twenty seven Ltd.</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Gas-twenty one Ltd.</w:t>
      </w:r>
    </w:p>
    <w:p>
      <w:pPr>
        <w:ind w:left="1300"/>
        <w:spacing w:after="0"/>
        <w:rPr>
          <w:sz w:val="20"/>
          <w:szCs w:val="20"/>
          <w:color w:val="auto"/>
        </w:rPr>
      </w:pPr>
      <w:r>
        <w:rPr>
          <w:rFonts w:ascii="Arial" w:cs="Arial" w:eastAsia="Arial" w:hAnsi="Arial"/>
          <w:sz w:val="18"/>
          <w:szCs w:val="18"/>
          <w:b w:val="1"/>
          <w:bCs w:val="1"/>
          <w:color w:val="auto"/>
        </w:rPr>
        <w:t>Gas-nineteen Ltd.</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$200,000,000 Facility Agreement dated [·] 2020 (the “Agreement”)</w:t>
      </w:r>
    </w:p>
    <w:p>
      <w:pPr>
        <w:spacing w:after="0" w:line="234" w:lineRule="exact"/>
        <w:rPr>
          <w:sz w:val="20"/>
          <w:szCs w:val="20"/>
          <w:color w:val="auto"/>
        </w:rPr>
      </w:pPr>
    </w:p>
    <w:p>
      <w:pPr>
        <w:ind w:left="520" w:right="20" w:hanging="512"/>
        <w:spacing w:after="0" w:line="246" w:lineRule="auto"/>
        <w:tabs>
          <w:tab w:leader="none" w:pos="689" w:val="left"/>
        </w:tabs>
        <w:numPr>
          <w:ilvl w:val="0"/>
          <w:numId w:val="892"/>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We wish to borrow the Advances under the Ship Commitment for Ship A, Ship B and Ship C on the following terms:</w:t>
      </w:r>
    </w:p>
    <w:p>
      <w:pPr>
        <w:sectPr>
          <w:pgSz w:w="11900" w:h="16838" w:orient="portrait"/>
          <w:cols w:equalWidth="0" w:num="1">
            <w:col w:w="11240"/>
          </w:cols>
          <w:pgMar w:left="320" w:top="310" w:right="339" w:bottom="1440" w:gutter="0" w:footer="0" w:header="0"/>
        </w:sectPr>
      </w:pP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Proposed Utilisation 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 (or, if that is not a Business Day, the next Business Day)</w:t>
      </w:r>
    </w:p>
    <w:p>
      <w:pPr>
        <w:spacing w:after="0" w:line="213" w:lineRule="exact"/>
        <w:rPr>
          <w:sz w:val="20"/>
          <w:szCs w:val="20"/>
          <w:color w:val="auto"/>
        </w:rPr>
      </w:pPr>
    </w:p>
    <w:p>
      <w:pPr>
        <w:sectPr>
          <w:pgSz w:w="11900" w:h="16838" w:orient="portrait"/>
          <w:cols w:equalWidth="0" w:num="2">
            <w:col w:w="2600" w:space="600"/>
            <w:col w:w="8040"/>
          </w:cols>
          <w:pgMar w:left="320" w:top="310" w:right="339" w:bottom="1440" w:gutter="0" w:footer="0" w:header="0"/>
          <w:type w:val="continuous"/>
        </w:sectPr>
      </w:pPr>
    </w:p>
    <w:p>
      <w:pPr>
        <w:spacing w:after="0" w:line="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[Ship A: $[·]</w:t>
      </w:r>
    </w:p>
    <w:p>
      <w:pPr>
        <w:spacing w:after="0" w:line="213" w:lineRule="exact"/>
        <w:rPr>
          <w:sz w:val="20"/>
          <w:szCs w:val="20"/>
          <w:color w:val="auto"/>
        </w:rPr>
      </w:pPr>
    </w:p>
    <w:p>
      <w:pPr>
        <w:sectPr>
          <w:pgSz w:w="11900" w:h="16838" w:orient="portrait"/>
          <w:cols w:equalWidth="0" w:num="2">
            <w:col w:w="2520" w:space="720"/>
            <w:col w:w="8000"/>
          </w:cols>
          <w:pgMar w:left="320" w:top="310" w:right="339" w:bottom="1440" w:gutter="0" w:footer="0" w:header="0"/>
          <w:type w:val="continuous"/>
        </w:sectPr>
      </w:pPr>
    </w:p>
    <w:p>
      <w:pPr>
        <w:spacing w:after="0" w:line="1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Ship B: $[·]</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Ship C: $[·]]</w:t>
      </w:r>
    </w:p>
    <w:p>
      <w:pPr>
        <w:sectPr>
          <w:pgSz w:w="11900" w:h="16838" w:orient="portrait"/>
          <w:cols w:equalWidth="0" w:num="1">
            <w:col w:w="11240"/>
          </w:cols>
          <w:pgMar w:left="320" w:top="310" w:right="339" w:bottom="1440" w:gutter="0" w:footer="0" w:header="0"/>
          <w:type w:val="continuous"/>
        </w:sectPr>
      </w:pPr>
    </w:p>
    <w:p>
      <w:pPr>
        <w:spacing w:after="0" w:line="219" w:lineRule="exact"/>
        <w:rPr>
          <w:sz w:val="20"/>
          <w:szCs w:val="20"/>
          <w:color w:val="auto"/>
        </w:rPr>
      </w:pPr>
    </w:p>
    <w:p>
      <w:pPr>
        <w:ind w:left="520" w:hanging="512"/>
        <w:spacing w:after="0" w:line="267" w:lineRule="auto"/>
        <w:tabs>
          <w:tab w:leader="none" w:pos="938" w:val="left"/>
        </w:tabs>
        <w:numPr>
          <w:ilvl w:val="0"/>
          <w:numId w:val="893"/>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4.4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is satisfied on the date of this Utilisation Request.</w:t>
      </w:r>
    </w:p>
    <w:p>
      <w:pPr>
        <w:spacing w:after="0" w:line="164" w:lineRule="exact"/>
        <w:rPr>
          <w:rFonts w:ascii="Arial" w:cs="Arial" w:eastAsia="Arial" w:hAnsi="Arial"/>
          <w:sz w:val="18"/>
          <w:szCs w:val="18"/>
          <w:color w:val="auto"/>
        </w:rPr>
      </w:pPr>
    </w:p>
    <w:p>
      <w:pPr>
        <w:ind w:left="520" w:right="20" w:hanging="512"/>
        <w:spacing w:after="0" w:line="246" w:lineRule="auto"/>
        <w:tabs>
          <w:tab w:leader="none" w:pos="597"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purpose of these Advances is to repay the Existing Indebtedness in respect of each of Ship A, Ship B and Ship C and to pay the fees payable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of the Facility Agreement, and the proceeds should be credited to [·].</w:t>
      </w:r>
    </w:p>
    <w:p>
      <w:pPr>
        <w:spacing w:after="0" w:line="196" w:lineRule="exact"/>
        <w:rPr>
          <w:rFonts w:ascii="Arial" w:cs="Arial" w:eastAsia="Arial" w:hAnsi="Arial"/>
          <w:sz w:val="18"/>
          <w:szCs w:val="18"/>
          <w:color w:val="auto"/>
        </w:rPr>
      </w:pPr>
    </w:p>
    <w:p>
      <w:pPr>
        <w:ind w:left="520" w:hanging="512"/>
        <w:spacing w:after="0" w:line="246" w:lineRule="auto"/>
        <w:tabs>
          <w:tab w:leader="none" w:pos="624" w:val="left"/>
        </w:tabs>
        <w:numPr>
          <w:ilvl w:val="0"/>
          <w:numId w:val="893"/>
        </w:numPr>
        <w:rPr>
          <w:rFonts w:ascii="Arial" w:cs="Arial" w:eastAsia="Arial" w:hAnsi="Arial"/>
          <w:sz w:val="18"/>
          <w:szCs w:val="18"/>
          <w:color w:val="auto"/>
        </w:rPr>
      </w:pPr>
      <w:r>
        <w:rPr>
          <w:rFonts w:ascii="Arial" w:cs="Arial" w:eastAsia="Arial" w:hAnsi="Arial"/>
          <w:sz w:val="18"/>
          <w:szCs w:val="18"/>
          <w:color w:val="auto"/>
        </w:rPr>
        <w:t>We confirm that we will use the proceeds of each Advance under the Ship Commitment for Ship A, Ship B and Ship C for our benefit and under our full responsibility and exclusively for the purposes specified in the Agreement.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We request that the first Interest Period for the said Advances be six (6) months.</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This Utilisation Request is irrevocable and cannot be varied without the prior consent of the Majority Lenders.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authorised signatory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GAS-twenty seven Ltd.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338" w:name="page339"/>
    <w:bookmarkEnd w:id="338"/>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authorised signatory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GAS-twenty one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authorised signatory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GAS-nineteen Ltd.</w:t>
      </w:r>
    </w:p>
    <w:p>
      <w:pPr>
        <w:spacing w:after="0" w:line="19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39" w:name="page340"/>
    <w:bookmarkEnd w:id="339"/>
    <w:p>
      <w:pPr>
        <w:jc w:val="center"/>
        <w:spacing w:after="0"/>
        <w:rPr>
          <w:sz w:val="20"/>
          <w:szCs w:val="20"/>
          <w:color w:val="auto"/>
        </w:rPr>
      </w:pPr>
      <w:r>
        <w:rPr>
          <w:rFonts w:ascii="Arial" w:cs="Arial" w:eastAsia="Arial" w:hAnsi="Arial"/>
          <w:sz w:val="22"/>
          <w:szCs w:val="22"/>
          <w:b w:val="1"/>
          <w:bCs w:val="1"/>
          <w:color w:val="auto"/>
        </w:rPr>
        <w:t>Schedule 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[GasLog Ltd.] [GasLog Partners 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$200,000,000 Facility Agreement dated [l] 2020 (the “Agreement”)</w:t>
      </w:r>
    </w:p>
    <w:p>
      <w:pPr>
        <w:spacing w:after="0" w:line="229" w:lineRule="exact"/>
        <w:rPr>
          <w:sz w:val="20"/>
          <w:szCs w:val="20"/>
          <w:color w:val="auto"/>
        </w:rPr>
      </w:pPr>
    </w:p>
    <w:p>
      <w:pPr>
        <w:jc w:val="both"/>
        <w:ind w:left="520" w:hanging="512"/>
        <w:spacing w:after="0" w:line="250" w:lineRule="auto"/>
        <w:tabs>
          <w:tab w:leader="none" w:pos="663" w:val="left"/>
        </w:tabs>
        <w:numPr>
          <w:ilvl w:val="0"/>
          <w:numId w:val="894"/>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clause 20.1 (</w:t>
      </w:r>
      <w:r>
        <w:rPr>
          <w:rFonts w:ascii="Arial" w:cs="Arial" w:eastAsia="Arial" w:hAnsi="Arial"/>
          <w:sz w:val="18"/>
          <w:szCs w:val="18"/>
          <w:i w:val="1"/>
          <w:iCs w:val="1"/>
          <w:color w:val="auto"/>
        </w:rPr>
        <w:t>Financial definitions (Group)</w:t>
      </w:r>
      <w:r>
        <w:rPr>
          <w:rFonts w:ascii="Arial" w:cs="Arial" w:eastAsia="Arial" w:hAnsi="Arial"/>
          <w:sz w:val="18"/>
          <w:szCs w:val="18"/>
          <w:color w:val="auto"/>
        </w:rPr>
        <w:t>) and clause 20.4 (</w:t>
      </w:r>
      <w:r>
        <w:rPr>
          <w:rFonts w:ascii="Arial" w:cs="Arial" w:eastAsia="Arial" w:hAnsi="Arial"/>
          <w:sz w:val="18"/>
          <w:szCs w:val="18"/>
          <w:i w:val="1"/>
          <w:iCs w:val="1"/>
          <w:color w:val="auto"/>
        </w:rPr>
        <w:t>Financial definitions (Parent)</w:t>
      </w:r>
      <w:r>
        <w:rPr>
          <w:rFonts w:ascii="Arial" w:cs="Arial" w:eastAsia="Arial" w:hAnsi="Arial"/>
          <w:sz w:val="18"/>
          <w:szCs w:val="18"/>
          <w:color w:val="auto"/>
        </w:rPr>
        <w:t>) of the Agreement have the same meaning when used in this Compliance Certificate unless given a different meaning in this Compliance Certificate.</w:t>
      </w:r>
    </w:p>
    <w:p>
      <w:pPr>
        <w:spacing w:after="0" w:line="195" w:lineRule="exact"/>
        <w:rPr>
          <w:sz w:val="20"/>
          <w:szCs w:val="20"/>
          <w:color w:val="auto"/>
        </w:rPr>
      </w:pPr>
    </w:p>
    <w:p>
      <w:pPr>
        <w:jc w:val="both"/>
        <w:ind w:left="520" w:hanging="512"/>
        <w:spacing w:after="0" w:line="248" w:lineRule="auto"/>
        <w:tabs>
          <w:tab w:leader="none" w:pos="96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 xml:space="preserve">We confirm that by reference to the [Semi-Annual][Annual] Financial Statements for the [Group] [and the Parent Group] for the financial period ending on [l] attached hereto </w:t>
      </w:r>
      <w:r>
        <w:rPr>
          <w:rFonts w:ascii="Arial" w:cs="Arial" w:eastAsia="Arial" w:hAnsi="Arial"/>
          <w:sz w:val="18"/>
          <w:szCs w:val="18"/>
          <w:b w:val="1"/>
          <w:bCs w:val="1"/>
          <w:i w:val="1"/>
          <w:iCs w:val="1"/>
          <w:color w:val="auto"/>
        </w:rPr>
        <w:t>[report Group and/or Parent Group depending on Active Guarantors, as applicable,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at time of reporting]</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020" w:hanging="502"/>
        <w:spacing w:after="0" w:line="287" w:lineRule="auto"/>
        <w:tabs>
          <w:tab w:leader="none" w:pos="1350" w:val="left"/>
        </w:tabs>
        <w:numPr>
          <w:ilvl w:val="1"/>
          <w:numId w:val="895"/>
        </w:numPr>
        <w:rPr>
          <w:rFonts w:ascii="Arial" w:cs="Arial" w:eastAsia="Arial" w:hAnsi="Arial"/>
          <w:sz w:val="18"/>
          <w:szCs w:val="18"/>
          <w:color w:val="auto"/>
        </w:rPr>
      </w:pPr>
      <w:r>
        <w:rPr>
          <w:rFonts w:ascii="Arial" w:cs="Arial" w:eastAsia="Arial" w:hAnsi="Arial"/>
          <w:sz w:val="18"/>
          <w:szCs w:val="18"/>
          <w:b w:val="1"/>
          <w:bCs w:val="1"/>
          <w:color w:val="auto"/>
        </w:rPr>
        <w:t>Group Net Worth</w:t>
      </w:r>
      <w:r>
        <w:rPr>
          <w:rFonts w:ascii="Arial" w:cs="Arial" w:eastAsia="Arial" w:hAnsi="Arial"/>
          <w:sz w:val="18"/>
          <w:szCs w:val="18"/>
          <w:color w:val="auto"/>
        </w:rPr>
        <w:t>: our Group Market Adjusted Net Worth is $[l] (being $[l] (Group Total Market Adjusted Assets) less $[l]</w:t>
      </w:r>
      <w:r>
        <w:rPr>
          <w:rFonts w:ascii="Arial" w:cs="Arial" w:eastAsia="Arial" w:hAnsi="Arial"/>
          <w:sz w:val="18"/>
          <w:szCs w:val="18"/>
          <w:b w:val="1"/>
          <w:bCs w:val="1"/>
          <w:color w:val="auto"/>
        </w:rPr>
        <w:t xml:space="preserve"> </w:t>
      </w:r>
      <w:r>
        <w:rPr>
          <w:rFonts w:ascii="Arial" w:cs="Arial" w:eastAsia="Arial" w:hAnsi="Arial"/>
          <w:sz w:val="18"/>
          <w:szCs w:val="18"/>
          <w:color w:val="auto"/>
        </w:rPr>
        <w:t>(Group Total Indebtedness)) [Requirement being $350,000,000]];</w:t>
      </w:r>
    </w:p>
    <w:p>
      <w:pPr>
        <w:spacing w:after="0" w:line="139" w:lineRule="exact"/>
        <w:rPr>
          <w:rFonts w:ascii="Arial" w:cs="Arial" w:eastAsia="Arial" w:hAnsi="Arial"/>
          <w:sz w:val="18"/>
          <w:szCs w:val="18"/>
          <w:color w:val="auto"/>
        </w:rPr>
      </w:pPr>
    </w:p>
    <w:p>
      <w:pPr>
        <w:jc w:val="both"/>
        <w:ind w:left="1020" w:hanging="502"/>
        <w:spacing w:after="0" w:line="268" w:lineRule="auto"/>
        <w:tabs>
          <w:tab w:leader="none" w:pos="1472" w:val="left"/>
        </w:tabs>
        <w:numPr>
          <w:ilvl w:val="1"/>
          <w:numId w:val="895"/>
        </w:numPr>
        <w:rPr>
          <w:rFonts w:ascii="Arial" w:cs="Arial" w:eastAsia="Arial" w:hAnsi="Arial"/>
          <w:sz w:val="18"/>
          <w:szCs w:val="18"/>
          <w:color w:val="auto"/>
        </w:rPr>
      </w:pPr>
      <w:r>
        <w:rPr>
          <w:rFonts w:ascii="Arial" w:cs="Arial" w:eastAsia="Arial" w:hAnsi="Arial"/>
          <w:sz w:val="18"/>
          <w:szCs w:val="18"/>
          <w:b w:val="1"/>
          <w:bCs w:val="1"/>
          <w:color w:val="auto"/>
        </w:rPr>
        <w:t>Group current ratio</w:t>
      </w:r>
      <w:r>
        <w:rPr>
          <w:rFonts w:ascii="Arial" w:cs="Arial" w:eastAsia="Arial" w:hAnsi="Arial"/>
          <w:sz w:val="18"/>
          <w:szCs w:val="18"/>
          <w:color w:val="auto"/>
        </w:rPr>
        <w:t>: our Group Current Assets (being $[l]) are [not] greater than or equal to Group Current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(excluding Group Current Portion of Loans (being $[l]))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Requirement being that Group Current Assets shall be greater than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 equal to Group Current Liabilities (excluding the Group Current Portion of Loans</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color w:val="auto"/>
        </w:rPr>
      </w:pPr>
    </w:p>
    <w:p>
      <w:pPr>
        <w:jc w:val="both"/>
        <w:ind w:left="1020" w:hanging="502"/>
        <w:spacing w:after="0" w:line="257" w:lineRule="auto"/>
        <w:tabs>
          <w:tab w:leader="none" w:pos="1340" w:val="left"/>
        </w:tabs>
        <w:numPr>
          <w:ilvl w:val="1"/>
          <w:numId w:val="8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debt service cover</w:t>
      </w:r>
      <w:r>
        <w:rPr>
          <w:rFonts w:ascii="Arial" w:cs="Arial" w:eastAsia="Arial" w:hAnsi="Arial"/>
          <w:sz w:val="18"/>
          <w:szCs w:val="18"/>
          <w:color w:val="auto"/>
        </w:rPr>
        <w:t xml:space="preserve">: taking into account that the Group Cash and Cash Equivalents is less than $110,000,000 as shown in paragraph (e) below, the ratio of EBITDA: Debt Service has been [l] calculated on a four quarter trailing basis (being $[l] EBITDA and $[l] Debt Service)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If applicable, when Group Cash and Cash Equivalents is less than $110,000,000,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requirement being that the ratio of EBITDA to Debt Service is not less than 1.10:1 in each 6 month period</w:t>
      </w:r>
      <w:r>
        <w:rPr>
          <w:rFonts w:ascii="Arial" w:cs="Arial" w:eastAsia="Arial" w:hAnsi="Arial"/>
          <w:sz w:val="18"/>
          <w:szCs w:val="18"/>
          <w:b w:val="1"/>
          <w:bCs w:val="1"/>
          <w:color w:val="auto"/>
        </w:rPr>
        <w:t>];]</w:t>
      </w:r>
    </w:p>
    <w:p>
      <w:pPr>
        <w:spacing w:after="0" w:line="166" w:lineRule="exact"/>
        <w:rPr>
          <w:rFonts w:ascii="Arial" w:cs="Arial" w:eastAsia="Arial" w:hAnsi="Arial"/>
          <w:sz w:val="18"/>
          <w:szCs w:val="18"/>
          <w:color w:val="auto"/>
        </w:rPr>
      </w:pPr>
    </w:p>
    <w:p>
      <w:pPr>
        <w:ind w:left="1020" w:right="20" w:hanging="502"/>
        <w:spacing w:after="0" w:line="287" w:lineRule="auto"/>
        <w:tabs>
          <w:tab w:leader="none" w:pos="1053" w:val="left"/>
        </w:tabs>
        <w:numPr>
          <w:ilvl w:val="1"/>
          <w:numId w:val="895"/>
        </w:numPr>
        <w:rPr>
          <w:rFonts w:ascii="Arial" w:cs="Arial" w:eastAsia="Arial" w:hAnsi="Arial"/>
          <w:sz w:val="18"/>
          <w:szCs w:val="18"/>
          <w:color w:val="auto"/>
        </w:rPr>
      </w:pPr>
      <w:r>
        <w:rPr>
          <w:rFonts w:ascii="Arial" w:cs="Arial" w:eastAsia="Arial" w:hAnsi="Arial"/>
          <w:sz w:val="18"/>
          <w:szCs w:val="18"/>
          <w:b w:val="1"/>
          <w:bCs w:val="1"/>
          <w:color w:val="auto"/>
        </w:rPr>
        <w:t>Group leverage</w:t>
      </w:r>
      <w:r>
        <w:rPr>
          <w:rFonts w:ascii="Arial" w:cs="Arial" w:eastAsia="Arial" w:hAnsi="Arial"/>
          <w:sz w:val="18"/>
          <w:szCs w:val="18"/>
          <w:color w:val="auto"/>
        </w:rPr>
        <w:t>: the Group Maximum Leverage is [l]% (being $[l] Group Total Indebtedness divided by $[l] Group Total Assets)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Group Maximum Leverage shall be less than 75%</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020" w:hanging="502"/>
        <w:spacing w:after="0" w:line="287" w:lineRule="auto"/>
        <w:tabs>
          <w:tab w:leader="none" w:pos="1080" w:val="left"/>
        </w:tabs>
        <w:numPr>
          <w:ilvl w:val="1"/>
          <w:numId w:val="895"/>
        </w:numPr>
        <w:rPr>
          <w:rFonts w:ascii="Arial" w:cs="Arial" w:eastAsia="Arial" w:hAnsi="Arial"/>
          <w:sz w:val="18"/>
          <w:szCs w:val="18"/>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the Group Cash and Cash Equivalents is $[l]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Group Cash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and Cash Equivalents shall be at least $75,000,000</w:t>
      </w:r>
      <w:r>
        <w:rPr>
          <w:rFonts w:ascii="Arial" w:cs="Arial" w:eastAsia="Arial" w:hAnsi="Arial"/>
          <w:sz w:val="18"/>
          <w:szCs w:val="18"/>
          <w:b w:val="1"/>
          <w:bCs w:val="1"/>
          <w:color w:val="auto"/>
        </w:rPr>
        <w:t>];</w:t>
      </w:r>
    </w:p>
    <w:p>
      <w:pPr>
        <w:spacing w:after="0" w:line="139" w:lineRule="exact"/>
        <w:rPr>
          <w:rFonts w:ascii="Arial" w:cs="Arial" w:eastAsia="Arial" w:hAnsi="Arial"/>
          <w:sz w:val="18"/>
          <w:szCs w:val="18"/>
          <w:color w:val="auto"/>
        </w:rPr>
      </w:pPr>
    </w:p>
    <w:p>
      <w:pPr>
        <w:jc w:val="both"/>
        <w:ind w:left="1020" w:hanging="502"/>
        <w:spacing w:after="0" w:line="268" w:lineRule="auto"/>
        <w:tabs>
          <w:tab w:leader="none" w:pos="1138" w:val="left"/>
        </w:tabs>
        <w:numPr>
          <w:ilvl w:val="1"/>
          <w:numId w:val="895"/>
        </w:numPr>
        <w:rPr>
          <w:rFonts w:ascii="Arial" w:cs="Arial" w:eastAsia="Arial" w:hAnsi="Arial"/>
          <w:sz w:val="18"/>
          <w:szCs w:val="18"/>
          <w:color w:val="auto"/>
        </w:rPr>
      </w:pPr>
      <w:r>
        <w:rPr>
          <w:rFonts w:ascii="Arial" w:cs="Arial" w:eastAsia="Arial" w:hAnsi="Arial"/>
          <w:sz w:val="18"/>
          <w:szCs w:val="18"/>
          <w:b w:val="1"/>
          <w:bCs w:val="1"/>
          <w:color w:val="auto"/>
        </w:rPr>
        <w:t xml:space="preserve">Parent Group leverage: </w:t>
      </w:r>
      <w:r>
        <w:rPr>
          <w:rFonts w:ascii="Arial" w:cs="Arial" w:eastAsia="Arial" w:hAnsi="Arial"/>
          <w:sz w:val="18"/>
          <w:szCs w:val="18"/>
          <w:color w:val="auto"/>
        </w:rPr>
        <w:t>the Parent Group Maximum Leverage is [l]% (being $[l] Parent Group Total Indebtedness divided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 Parent Group Total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Requirement being that the Parent</w:t>
      </w:r>
      <w:r>
        <w:rPr>
          <w:rFonts w:ascii="Arial" w:cs="Arial" w:eastAsia="Arial" w:hAnsi="Arial"/>
          <w:sz w:val="18"/>
          <w:szCs w:val="18"/>
          <w:color w:val="auto"/>
        </w:rPr>
        <w:t xml:space="preserve"> </w:t>
      </w:r>
      <w:r>
        <w:rPr>
          <w:rFonts w:ascii="Arial" w:cs="Arial" w:eastAsia="Arial" w:hAnsi="Arial"/>
          <w:sz w:val="18"/>
          <w:szCs w:val="18"/>
          <w:b w:val="1"/>
          <w:bCs w:val="1"/>
          <w:color w:val="auto"/>
        </w:rPr>
        <w:t>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Maximum Leverage shall be less than 65%</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ind w:left="1020" w:hanging="502"/>
        <w:spacing w:after="0" w:line="287" w:lineRule="auto"/>
        <w:tabs>
          <w:tab w:leader="none" w:pos="1391" w:val="left"/>
        </w:tabs>
        <w:numPr>
          <w:ilvl w:val="1"/>
          <w:numId w:val="895"/>
        </w:numPr>
        <w:rPr>
          <w:rFonts w:ascii="Arial" w:cs="Arial" w:eastAsia="Arial" w:hAnsi="Arial"/>
          <w:sz w:val="18"/>
          <w:szCs w:val="18"/>
          <w:color w:val="auto"/>
        </w:rPr>
      </w:pPr>
      <w:r>
        <w:rPr>
          <w:rFonts w:ascii="Arial" w:cs="Arial" w:eastAsia="Arial" w:hAnsi="Arial"/>
          <w:sz w:val="18"/>
          <w:szCs w:val="18"/>
          <w:b w:val="1"/>
          <w:bCs w:val="1"/>
          <w:color w:val="auto"/>
        </w:rPr>
        <w:t>Parent Group Free Liquidity</w:t>
      </w:r>
      <w:r>
        <w:rPr>
          <w:rFonts w:ascii="Arial" w:cs="Arial" w:eastAsia="Arial" w:hAnsi="Arial"/>
          <w:sz w:val="18"/>
          <w:szCs w:val="18"/>
          <w:color w:val="auto"/>
        </w:rPr>
        <w:t>: the Parent Group Free Liquidity is $[l]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Parent</w:t>
      </w:r>
      <w:r>
        <w:rPr>
          <w:rFonts w:ascii="Arial" w:cs="Arial" w:eastAsia="Arial" w:hAnsi="Arial"/>
          <w:sz w:val="18"/>
          <w:szCs w:val="18"/>
          <w:b w:val="1"/>
          <w:bCs w:val="1"/>
          <w:color w:val="auto"/>
        </w:rPr>
        <w:t xml:space="preserve"> Group </w:t>
      </w:r>
      <w:r>
        <w:rPr>
          <w:rFonts w:ascii="Arial" w:cs="Arial" w:eastAsia="Arial" w:hAnsi="Arial"/>
          <w:sz w:val="18"/>
          <w:szCs w:val="18"/>
          <w:b w:val="1"/>
          <w:bCs w:val="1"/>
          <w:i w:val="1"/>
          <w:iCs w:val="1"/>
          <w:color w:val="auto"/>
        </w:rPr>
        <w:t>Free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Liquidity shall be at least $45,000,000</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1" w:lineRule="exact"/>
        <w:rPr>
          <w:sz w:val="20"/>
          <w:szCs w:val="20"/>
          <w:color w:val="auto"/>
        </w:rPr>
      </w:pPr>
    </w:p>
    <w:p>
      <w:pPr>
        <w:ind w:left="520" w:hanging="512"/>
        <w:spacing w:after="0"/>
        <w:tabs>
          <w:tab w:leader="none" w:pos="520" w:val="left"/>
        </w:tabs>
        <w:numPr>
          <w:ilvl w:val="0"/>
          <w:numId w:val="896"/>
        </w:numPr>
        <w:rPr>
          <w:rFonts w:ascii="Arial" w:cs="Arial" w:eastAsia="Arial" w:hAnsi="Arial"/>
          <w:sz w:val="18"/>
          <w:szCs w:val="18"/>
          <w:color w:val="auto"/>
        </w:rPr>
      </w:pPr>
      <w:r>
        <w:rPr>
          <w:rFonts w:ascii="Arial" w:cs="Arial" w:eastAsia="Arial" w:hAnsi="Arial"/>
          <w:sz w:val="18"/>
          <w:szCs w:val="18"/>
          <w:color w:val="auto"/>
        </w:rPr>
        <w:t>In order to demonstrate our confirmations in paragraph 2, we attach:</w:t>
      </w:r>
    </w:p>
    <w:p>
      <w:pPr>
        <w:spacing w:after="0" w:line="193" w:lineRule="exact"/>
        <w:rPr>
          <w:rFonts w:ascii="Arial" w:cs="Arial" w:eastAsia="Arial" w:hAnsi="Arial"/>
          <w:sz w:val="18"/>
          <w:szCs w:val="18"/>
          <w:color w:val="auto"/>
        </w:rPr>
      </w:pPr>
    </w:p>
    <w:p>
      <w:pPr>
        <w:jc w:val="both"/>
        <w:ind w:left="1020" w:hanging="502"/>
        <w:spacing w:after="0" w:line="258" w:lineRule="auto"/>
        <w:tabs>
          <w:tab w:leader="none" w:pos="1269" w:val="left"/>
        </w:tabs>
        <w:numPr>
          <w:ilvl w:val="1"/>
          <w:numId w:val="896"/>
        </w:numPr>
        <w:rPr>
          <w:rFonts w:ascii="Arial" w:cs="Arial" w:eastAsia="Arial" w:hAnsi="Arial"/>
          <w:sz w:val="18"/>
          <w:szCs w:val="18"/>
          <w:color w:val="auto"/>
        </w:rPr>
      </w:pPr>
      <w:r>
        <w:rPr>
          <w:rFonts w:ascii="Arial" w:cs="Arial" w:eastAsia="Arial" w:hAnsi="Arial"/>
          <w:sz w:val="18"/>
          <w:szCs w:val="18"/>
          <w:color w:val="auto"/>
        </w:rPr>
        <w:t>two valuations of all of the Fleet Vessels from [l] and [l], each being Approved Brokers referred to in clause 25.8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Brokers</w:t>
      </w:r>
      <w:r>
        <w:rPr>
          <w:rFonts w:ascii="Arial" w:cs="Arial" w:eastAsia="Arial" w:hAnsi="Arial"/>
          <w:sz w:val="18"/>
          <w:szCs w:val="18"/>
          <w:color w:val="auto"/>
        </w:rPr>
        <w:t>) of the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40" w:name="page341"/>
    <w:bookmarkEnd w:id="340"/>
    <w:p>
      <w:pPr>
        <w:ind w:left="1020" w:hanging="502"/>
        <w:spacing w:after="0" w:line="246" w:lineRule="auto"/>
        <w:tabs>
          <w:tab w:leader="none" w:pos="104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Group] [the Parent Group] prepared in accordance with clause 25.4 (</w:t>
      </w:r>
      <w:r>
        <w:rPr>
          <w:rFonts w:ascii="Arial" w:cs="Arial" w:eastAsia="Arial" w:hAnsi="Arial"/>
          <w:sz w:val="18"/>
          <w:szCs w:val="18"/>
          <w:i w:val="1"/>
          <w:iCs w:val="1"/>
          <w:color w:val="auto"/>
        </w:rPr>
        <w:t>Valuations procedure</w:t>
      </w:r>
      <w:r>
        <w:rPr>
          <w:rFonts w:ascii="Arial" w:cs="Arial" w:eastAsia="Arial" w:hAnsi="Arial"/>
          <w:sz w:val="18"/>
          <w:szCs w:val="18"/>
          <w:color w:val="auto"/>
        </w:rPr>
        <w:t>) of the Agreement; [and]</w:t>
      </w:r>
    </w:p>
    <w:p>
      <w:pPr>
        <w:spacing w:after="0" w:line="196" w:lineRule="exact"/>
        <w:rPr>
          <w:rFonts w:ascii="Arial" w:cs="Arial" w:eastAsia="Arial" w:hAnsi="Arial"/>
          <w:sz w:val="18"/>
          <w:szCs w:val="18"/>
          <w:color w:val="auto"/>
        </w:rPr>
      </w:pPr>
    </w:p>
    <w:p>
      <w:pPr>
        <w:ind w:left="1020" w:right="20" w:hanging="502"/>
        <w:spacing w:after="0" w:line="246" w:lineRule="auto"/>
        <w:tabs>
          <w:tab w:leader="none" w:pos="1097" w:val="left"/>
        </w:tabs>
        <w:numPr>
          <w:ilvl w:val="0"/>
          <w:numId w:val="897"/>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96" w:lineRule="exact"/>
        <w:rPr>
          <w:rFonts w:ascii="Arial" w:cs="Arial" w:eastAsia="Arial" w:hAnsi="Arial"/>
          <w:sz w:val="18"/>
          <w:szCs w:val="18"/>
          <w:color w:val="auto"/>
        </w:rPr>
      </w:pPr>
    </w:p>
    <w:p>
      <w:pPr>
        <w:ind w:left="1020" w:hanging="502"/>
        <w:spacing w:after="0" w:line="246" w:lineRule="auto"/>
        <w:tabs>
          <w:tab w:leader="none" w:pos="1026" w:val="left"/>
        </w:tabs>
        <w:numPr>
          <w:ilvl w:val="0"/>
          <w:numId w:val="897"/>
        </w:numPr>
        <w:rPr>
          <w:rFonts w:ascii="Arial" w:cs="Arial" w:eastAsia="Arial" w:hAnsi="Arial"/>
          <w:sz w:val="18"/>
          <w:szCs w:val="18"/>
          <w:color w:val="auto"/>
        </w:rPr>
      </w:pPr>
      <w:r>
        <w:rPr>
          <w:rFonts w:ascii="Arial" w:cs="Arial" w:eastAsia="Arial" w:hAnsi="Arial"/>
          <w:sz w:val="18"/>
          <w:szCs w:val="18"/>
          <w:color w:val="auto"/>
        </w:rPr>
        <w:t>marked-to-market valuations of all Treasury Transactions entered into by a member of [the Group] [the Parent Group] reconciled against the [Semi-Annual][Annual] Financial Statements.</w:t>
      </w:r>
    </w:p>
    <w:p>
      <w:pPr>
        <w:spacing w:after="0" w:line="197" w:lineRule="exact"/>
        <w:rPr>
          <w:sz w:val="20"/>
          <w:szCs w:val="20"/>
          <w:color w:val="auto"/>
        </w:rPr>
      </w:pPr>
    </w:p>
    <w:p>
      <w:pPr>
        <w:ind w:left="520" w:hanging="512"/>
        <w:spacing w:after="0" w:line="246" w:lineRule="auto"/>
        <w:tabs>
          <w:tab w:leader="none" w:pos="569" w:val="left"/>
        </w:tabs>
        <w:numPr>
          <w:ilvl w:val="0"/>
          <w:numId w:val="898"/>
        </w:numPr>
        <w:rPr>
          <w:rFonts w:ascii="Arial" w:cs="Arial" w:eastAsia="Arial" w:hAnsi="Arial"/>
          <w:sz w:val="18"/>
          <w:szCs w:val="18"/>
          <w:color w:val="auto"/>
        </w:rPr>
      </w:pPr>
      <w:r>
        <w:rPr>
          <w:rFonts w:ascii="Arial" w:cs="Arial" w:eastAsia="Arial" w:hAnsi="Arial"/>
          <w:sz w:val="18"/>
          <w:szCs w:val="18"/>
          <w:color w:val="auto"/>
        </w:rPr>
        <w:t>We confirm that no Event of Default is continuing [If this statement cannot be made, the certificate should identify any Event of Default that is continuing and the steps, if any, being taken to remedy 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For and 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For and 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GASLOG PARTNERS LP]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22"/>
          <w:szCs w:val="22"/>
          <w:b w:val="1"/>
          <w:bCs w:val="1"/>
          <w:color w:val="auto"/>
        </w:rPr>
        <w:t>Schedule 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Transfer Certificate</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The Existing Lender</w:t>
      </w:r>
      <w:r>
        <w:rPr>
          <w:rFonts w:ascii="Arial" w:cs="Arial" w:eastAsia="Arial" w:hAnsi="Arial"/>
          <w:sz w:val="17"/>
          <w:szCs w:val="17"/>
          <w:color w:val="auto"/>
        </w:rPr>
        <w:t xml:space="preserve">]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b w:val="1"/>
          <w:bCs w:val="1"/>
          <w:color w:val="auto"/>
        </w:rPr>
        <w:t>The New Lender</w:t>
      </w:r>
      <w:r>
        <w:rPr>
          <w:rFonts w:ascii="Arial" w:cs="Arial" w:eastAsia="Arial" w:hAnsi="Arial"/>
          <w:sz w:val="17"/>
          <w:szCs w:val="17"/>
          <w:color w:val="auto"/>
        </w:rPr>
        <w:t xml:space="preserve">]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 Facility Agreement dated [</w:t>
      </w:r>
      <w:r>
        <w:rPr>
          <w:rFonts w:ascii="Arial" w:cs="Arial" w:eastAsia="Arial" w:hAnsi="Arial"/>
          <w:sz w:val="18"/>
          <w:szCs w:val="18"/>
          <w:color w:val="auto"/>
        </w:rPr>
        <w:t>l</w:t>
      </w:r>
      <w:r>
        <w:rPr>
          <w:rFonts w:ascii="Arial" w:cs="Arial" w:eastAsia="Arial" w:hAnsi="Arial"/>
          <w:sz w:val="18"/>
          <w:szCs w:val="18"/>
          <w:b w:val="1"/>
          <w:bCs w:val="1"/>
          <w:color w:val="auto"/>
        </w:rPr>
        <w:t xml:space="preserve">] 2020 </w:t>
      </w: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w:t>
      </w:r>
    </w:p>
    <w:p>
      <w:pPr>
        <w:spacing w:after="0" w:line="247" w:lineRule="exact"/>
        <w:rPr>
          <w:sz w:val="20"/>
          <w:szCs w:val="20"/>
          <w:color w:val="auto"/>
        </w:rPr>
      </w:pPr>
    </w:p>
    <w:p>
      <w:pPr>
        <w:ind w:left="520" w:right="20" w:hanging="512"/>
        <w:spacing w:after="0" w:line="246" w:lineRule="auto"/>
        <w:tabs>
          <w:tab w:leader="none" w:pos="731" w:val="left"/>
        </w:tabs>
        <w:numPr>
          <w:ilvl w:val="0"/>
          <w:numId w:val="899"/>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79" w:lineRule="exact"/>
        <w:rPr>
          <w:sz w:val="20"/>
          <w:szCs w:val="20"/>
          <w:color w:val="auto"/>
        </w:rPr>
      </w:pPr>
    </w:p>
    <w:p>
      <w:pPr>
        <w:ind w:left="520" w:hanging="512"/>
        <w:spacing w:after="0"/>
        <w:tabs>
          <w:tab w:leader="none" w:pos="5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We refer to clause 32.5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020" w:hanging="502"/>
        <w:spacing w:after="0"/>
        <w:tabs>
          <w:tab w:leader="none" w:pos="1215" w:val="left"/>
        </w:tabs>
        <w:numPr>
          <w:ilvl w:val="1"/>
          <w:numId w:val="900"/>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Loan under the Agreement as specified in the Schedule.</w:t>
      </w:r>
    </w:p>
    <w:p>
      <w:pPr>
        <w:spacing w:after="0" w:line="202" w:lineRule="exact"/>
        <w:rPr>
          <w:rFonts w:ascii="Arial" w:cs="Arial" w:eastAsia="Arial" w:hAnsi="Arial"/>
          <w:sz w:val="18"/>
          <w:szCs w:val="18"/>
          <w:color w:val="auto"/>
        </w:rPr>
      </w:pPr>
    </w:p>
    <w:p>
      <w:pPr>
        <w:ind w:left="1020" w:right="20" w:hanging="502"/>
        <w:spacing w:after="0" w:line="246" w:lineRule="auto"/>
        <w:tabs>
          <w:tab w:leader="none" w:pos="1148" w:val="left"/>
        </w:tabs>
        <w:numPr>
          <w:ilvl w:val="1"/>
          <w:numId w:val="900"/>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96" w:lineRule="exact"/>
        <w:rPr>
          <w:rFonts w:ascii="Arial" w:cs="Arial" w:eastAsia="Arial" w:hAnsi="Arial"/>
          <w:sz w:val="18"/>
          <w:szCs w:val="18"/>
          <w:color w:val="auto"/>
        </w:rPr>
      </w:pPr>
    </w:p>
    <w:p>
      <w:pPr>
        <w:ind w:left="1020" w:hanging="502"/>
        <w:spacing w:after="0" w:line="246" w:lineRule="auto"/>
        <w:tabs>
          <w:tab w:leader="none" w:pos="1111" w:val="left"/>
        </w:tabs>
        <w:numPr>
          <w:ilvl w:val="1"/>
          <w:numId w:val="900"/>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83" w:lineRule="exact"/>
        <w:rPr>
          <w:rFonts w:ascii="Arial" w:cs="Arial" w:eastAsia="Arial" w:hAnsi="Arial"/>
          <w:sz w:val="18"/>
          <w:szCs w:val="18"/>
          <w:color w:val="auto"/>
        </w:rPr>
      </w:pPr>
    </w:p>
    <w:p>
      <w:pPr>
        <w:ind w:left="1040" w:hanging="522"/>
        <w:spacing w:after="0"/>
        <w:tabs>
          <w:tab w:leader="none" w:pos="1040" w:val="left"/>
        </w:tabs>
        <w:numPr>
          <w:ilvl w:val="1"/>
          <w:numId w:val="900"/>
        </w:numPr>
        <w:rPr>
          <w:rFonts w:ascii="Arial" w:cs="Arial" w:eastAsia="Arial" w:hAnsi="Arial"/>
          <w:sz w:val="18"/>
          <w:szCs w:val="18"/>
          <w:color w:val="auto"/>
        </w:rPr>
      </w:pPr>
      <w:r>
        <w:rPr>
          <w:rFonts w:ascii="Arial" w:cs="Arial" w:eastAsia="Arial" w:hAnsi="Arial"/>
          <w:sz w:val="18"/>
          <w:szCs w:val="18"/>
          <w:color w:val="auto"/>
        </w:rPr>
        <w:t>The proposed Transfer Date is [l].</w:t>
      </w:r>
    </w:p>
    <w:p>
      <w:pPr>
        <w:spacing w:after="0" w:line="238" w:lineRule="exact"/>
        <w:rPr>
          <w:rFonts w:ascii="Arial" w:cs="Arial" w:eastAsia="Arial" w:hAnsi="Arial"/>
          <w:sz w:val="18"/>
          <w:szCs w:val="18"/>
          <w:color w:val="auto"/>
        </w:rPr>
      </w:pPr>
    </w:p>
    <w:p>
      <w:pPr>
        <w:ind w:left="1020" w:hanging="502"/>
        <w:spacing w:after="0" w:line="246" w:lineRule="auto"/>
        <w:tabs>
          <w:tab w:leader="none" w:pos="1350" w:val="left"/>
        </w:tabs>
        <w:numPr>
          <w:ilvl w:val="1"/>
          <w:numId w:val="900"/>
        </w:numPr>
        <w:rPr>
          <w:rFonts w:ascii="Arial" w:cs="Arial" w:eastAsia="Arial" w:hAnsi="Arial"/>
          <w:sz w:val="18"/>
          <w:szCs w:val="18"/>
          <w:color w:val="auto"/>
        </w:rPr>
      </w:pPr>
      <w:r>
        <w:rPr>
          <w:rFonts w:ascii="Arial" w:cs="Arial" w:eastAsia="Arial" w:hAnsi="Arial"/>
          <w:sz w:val="18"/>
          <w:szCs w:val="18"/>
          <w:color w:val="auto"/>
        </w:rPr>
        <w:t>The Facility Office and address, email and attention details for notices of the New Lender for the purposes of clause 39.2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97" w:lineRule="exact"/>
        <w:rPr>
          <w:sz w:val="20"/>
          <w:szCs w:val="20"/>
          <w:color w:val="auto"/>
        </w:rPr>
      </w:pPr>
    </w:p>
    <w:p>
      <w:pPr>
        <w:ind w:left="520" w:hanging="512"/>
        <w:spacing w:after="0" w:line="246" w:lineRule="auto"/>
        <w:tabs>
          <w:tab w:leader="none" w:pos="1068" w:val="left"/>
        </w:tabs>
        <w:numPr>
          <w:ilvl w:val="0"/>
          <w:numId w:val="901"/>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sub-clause 32.4(c) of clause 32.4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w:t>
      </w:r>
    </w:p>
    <w:p>
      <w:pPr>
        <w:spacing w:after="0" w:line="197" w:lineRule="exact"/>
        <w:rPr>
          <w:sz w:val="20"/>
          <w:szCs w:val="20"/>
          <w:color w:val="auto"/>
        </w:rPr>
      </w:pPr>
    </w:p>
    <w:p>
      <w:pPr>
        <w:ind w:left="520" w:right="20" w:hanging="512"/>
        <w:spacing w:after="0" w:line="246" w:lineRule="auto"/>
        <w:tabs>
          <w:tab w:leader="none" w:pos="812" w:val="left"/>
        </w:tabs>
        <w:numPr>
          <w:ilvl w:val="0"/>
          <w:numId w:val="902"/>
        </w:numPr>
        <w:rPr>
          <w:rFonts w:ascii="Arial" w:cs="Arial" w:eastAsia="Arial" w:hAnsi="Arial"/>
          <w:sz w:val="18"/>
          <w:szCs w:val="18"/>
          <w:color w:val="auto"/>
        </w:rPr>
      </w:pPr>
      <w:r>
        <w:rPr>
          <w:rFonts w:ascii="Arial" w:cs="Arial" w:eastAsia="Arial" w:hAnsi="Arial"/>
          <w:sz w:val="18"/>
          <w:szCs w:val="18"/>
          <w:color w:val="auto"/>
        </w:rPr>
        <w:t>The New Lender confirms that it is [not] a Group Member or a Parent Group Member or an Affiliate of any Group Member or any Parent Group Member.</w:t>
      </w:r>
    </w:p>
    <w:p>
      <w:pPr>
        <w:spacing w:after="0" w:line="197" w:lineRule="exact"/>
        <w:rPr>
          <w:sz w:val="20"/>
          <w:szCs w:val="20"/>
          <w:color w:val="auto"/>
        </w:rPr>
      </w:pPr>
    </w:p>
    <w:p>
      <w:pPr>
        <w:ind w:left="520" w:hanging="512"/>
        <w:spacing w:after="0" w:line="246" w:lineRule="auto"/>
        <w:tabs>
          <w:tab w:leader="none" w:pos="839" w:val="left"/>
        </w:tabs>
        <w:numPr>
          <w:ilvl w:val="0"/>
          <w:numId w:val="903"/>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5" w:lineRule="exact"/>
        <w:rPr>
          <w:sz w:val="20"/>
          <w:szCs w:val="20"/>
          <w:color w:val="auto"/>
        </w:rPr>
      </w:pPr>
    </w:p>
    <w:p>
      <w:pPr>
        <w:ind w:left="720" w:hanging="712"/>
        <w:spacing w:after="0"/>
        <w:tabs>
          <w:tab w:leader="none" w:pos="72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 including reference to accession to an intercreditor agreement, mortgage or other Finance Documents to which</w:t>
      </w:r>
    </w:p>
    <w:p>
      <w:pPr>
        <w:spacing w:after="0" w:line="17" w:lineRule="exact"/>
        <w:rPr>
          <w:rFonts w:ascii="Arial" w:cs="Arial" w:eastAsia="Arial" w:hAnsi="Arial"/>
          <w:sz w:val="18"/>
          <w:szCs w:val="18"/>
          <w:color w:val="auto"/>
        </w:rPr>
      </w:pPr>
    </w:p>
    <w:p>
      <w:pPr>
        <w:ind w:left="520"/>
        <w:spacing w:after="0" w:line="246" w:lineRule="auto"/>
        <w:rPr>
          <w:rFonts w:ascii="Arial" w:cs="Arial" w:eastAsia="Arial" w:hAnsi="Arial"/>
          <w:sz w:val="18"/>
          <w:szCs w:val="18"/>
          <w:color w:val="auto"/>
        </w:rPr>
      </w:pPr>
      <w:r>
        <w:rPr>
          <w:rFonts w:ascii="Arial" w:cs="Arial" w:eastAsia="Arial" w:hAnsi="Arial"/>
          <w:sz w:val="18"/>
          <w:szCs w:val="18"/>
          <w:b w:val="1"/>
          <w:bCs w:val="1"/>
          <w:i w:val="1"/>
          <w:iCs w:val="1"/>
          <w:color w:val="auto"/>
        </w:rPr>
        <w:t>Lenders may need to be party and checklist of steps necessary for the New Lender to obtain the benefit of the Security Documents</w:t>
      </w:r>
      <w:r>
        <w:rPr>
          <w:rFonts w:ascii="Arial" w:cs="Arial" w:eastAsia="Arial" w:hAnsi="Arial"/>
          <w:sz w:val="18"/>
          <w:szCs w:val="18"/>
          <w:color w:val="auto"/>
        </w:rPr>
        <w:t>.]</w:t>
      </w:r>
    </w:p>
    <w:p>
      <w:pPr>
        <w:spacing w:after="0" w:line="197" w:lineRule="exact"/>
        <w:rPr>
          <w:sz w:val="20"/>
          <w:szCs w:val="20"/>
          <w:color w:val="auto"/>
        </w:rPr>
      </w:pPr>
    </w:p>
    <w:p>
      <w:pPr>
        <w:ind w:left="520" w:hanging="512"/>
        <w:spacing w:after="0"/>
        <w:tabs>
          <w:tab w:leader="none" w:pos="52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7"/>
          <w:szCs w:val="17"/>
          <w:color w:val="auto"/>
        </w:rPr>
        <w:t>This Transfer Certificate has been entered into on the date stated at the beginning of this Transfer Certificate.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42" w:name="page343"/>
    <w:bookmarkEnd w:id="342"/>
    <w:p>
      <w:pPr>
        <w:jc w:val="both"/>
        <w:spacing w:after="0" w:line="244" w:lineRule="auto"/>
        <w:rPr>
          <w:sz w:val="20"/>
          <w:szCs w:val="20"/>
          <w:color w:val="auto"/>
        </w:rPr>
      </w:pPr>
      <w:r>
        <w:rPr>
          <w:rFonts w:ascii="Arial" w:cs="Arial" w:eastAsia="Arial" w:hAnsi="Arial"/>
          <w:sz w:val="18"/>
          <w:szCs w:val="18"/>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t>The Schedule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[Facility Office address, email and attention details for notices and account details for payments.]</w:t>
      </w:r>
    </w:p>
    <w:p>
      <w:pPr>
        <w:sectPr>
          <w:pgSz w:w="11900" w:h="16838" w:orient="portrait"/>
          <w:cols w:equalWidth="0" w:num="1">
            <w:col w:w="11240"/>
          </w:cols>
          <w:pgMar w:left="320" w:top="333" w:right="3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Lender</w:t>
      </w: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Lender</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98" w:lineRule="exact"/>
        <w:rPr>
          <w:sz w:val="20"/>
          <w:szCs w:val="20"/>
          <w:color w:val="auto"/>
        </w:rPr>
      </w:pPr>
    </w:p>
    <w:p>
      <w:pPr>
        <w:sectPr>
          <w:pgSz w:w="11900" w:h="16838" w:orient="portrait"/>
          <w:cols w:equalWidth="0" w:num="2">
            <w:col w:w="1460" w:space="580"/>
            <w:col w:w="9200"/>
          </w:cols>
          <w:pgMar w:left="320" w:top="3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This is accepted by the Agent as a Transfer Certificate and the Transfer Date is confirmed as [l].</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44" w:name="page345"/>
    <w:bookmarkEnd w:id="344"/>
    <w:p>
      <w:pPr>
        <w:jc w:val="center"/>
        <w:ind w:right="120"/>
        <w:spacing w:after="0"/>
        <w:rPr>
          <w:sz w:val="20"/>
          <w:szCs w:val="20"/>
          <w:color w:val="auto"/>
        </w:rPr>
      </w:pPr>
      <w:r>
        <w:rPr>
          <w:rFonts w:ascii="Arial" w:cs="Arial" w:eastAsia="Arial" w:hAnsi="Arial"/>
          <w:sz w:val="22"/>
          <w:szCs w:val="22"/>
          <w:b w:val="1"/>
          <w:bCs w:val="1"/>
          <w:color w:val="auto"/>
        </w:rPr>
        <w:t>Schedule 7</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Forms of Notifiable Debt Purchase Transaction Notice</w:t>
      </w:r>
    </w:p>
    <w:p>
      <w:pPr>
        <w:sectPr>
          <w:pgSz w:w="11900" w:h="16838" w:orient="portrait"/>
          <w:cols w:equalWidth="0" w:num="1">
            <w:col w:w="11220"/>
          </w:cols>
          <w:pgMar w:left="320" w:top="3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Part 1</w:t>
      </w:r>
    </w:p>
    <w:p>
      <w:pPr>
        <w:spacing w:after="0" w:line="212"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auto"/>
        </w:rPr>
        <w:t>Form of Notice on Entering into Notifiable Debt Purchase Transaction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00" w:lineRule="exact"/>
        <w:rPr>
          <w:sz w:val="20"/>
          <w:szCs w:val="20"/>
          <w:color w:val="auto"/>
        </w:rPr>
      </w:pPr>
    </w:p>
    <w:p>
      <w:pPr>
        <w:sectPr>
          <w:pgSz w:w="11900" w:h="16838" w:orient="portrait"/>
          <w:cols w:equalWidth="0" w:num="2">
            <w:col w:w="260" w:space="720"/>
            <w:col w:w="10240"/>
          </w:cols>
          <w:pgMar w:left="320" w:top="323" w:right="3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Lender]</w:t>
      </w:r>
    </w:p>
    <w:p>
      <w:pPr>
        <w:spacing w:after="0" w:line="211" w:lineRule="exact"/>
        <w:rPr>
          <w:sz w:val="20"/>
          <w:szCs w:val="20"/>
          <w:color w:val="auto"/>
        </w:rPr>
      </w:pPr>
    </w:p>
    <w:p>
      <w:pPr>
        <w:sectPr>
          <w:pgSz w:w="11900" w:h="16838" w:orient="portrait"/>
          <w:cols w:equalWidth="0" w:num="2">
            <w:col w:w="480" w:space="520"/>
            <w:col w:w="10220"/>
          </w:cols>
          <w:pgMar w:left="320" w:top="323" w:right="3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 Facility Agreement dated [l] 2020 (the Agreement)</w:t>
      </w:r>
    </w:p>
    <w:p>
      <w:pPr>
        <w:sectPr>
          <w:pgSz w:w="11900" w:h="16838" w:orient="portrait"/>
          <w:cols w:equalWidth="0" w:num="1">
            <w:col w:w="11220"/>
          </w:cols>
          <w:pgMar w:left="320" w:top="323" w:right="359" w:bottom="1440" w:gutter="0" w:footer="0" w:header="0"/>
          <w:type w:val="continuous"/>
        </w:sectPr>
      </w:pPr>
    </w:p>
    <w:p>
      <w:pPr>
        <w:spacing w:after="0" w:line="247" w:lineRule="exact"/>
        <w:rPr>
          <w:sz w:val="20"/>
          <w:szCs w:val="20"/>
          <w:color w:val="auto"/>
        </w:rPr>
      </w:pPr>
    </w:p>
    <w:p>
      <w:pPr>
        <w:ind w:left="520" w:hanging="512"/>
        <w:spacing w:after="0" w:line="246" w:lineRule="auto"/>
        <w:tabs>
          <w:tab w:leader="none" w:pos="717" w:val="left"/>
        </w:tabs>
        <w:numPr>
          <w:ilvl w:val="0"/>
          <w:numId w:val="906"/>
        </w:numPr>
        <w:rPr>
          <w:rFonts w:ascii="Arial" w:cs="Arial" w:eastAsia="Arial" w:hAnsi="Arial"/>
          <w:sz w:val="18"/>
          <w:szCs w:val="18"/>
          <w:color w:val="auto"/>
        </w:rPr>
      </w:pPr>
      <w:r>
        <w:rPr>
          <w:rFonts w:ascii="Arial" w:cs="Arial" w:eastAsia="Arial" w:hAnsi="Arial"/>
          <w:sz w:val="18"/>
          <w:szCs w:val="18"/>
          <w:color w:val="auto"/>
        </w:rPr>
        <w:t>We refer to clause 33.3(b) of the Agreement. Terms defined in the Agreement have the same meaning in this notice unless given a different meaning in this notice.</w:t>
      </w:r>
    </w:p>
    <w:p>
      <w:pPr>
        <w:spacing w:after="0" w:line="197" w:lineRule="exact"/>
        <w:rPr>
          <w:sz w:val="20"/>
          <w:szCs w:val="20"/>
          <w:color w:val="auto"/>
        </w:rPr>
      </w:pPr>
    </w:p>
    <w:p>
      <w:pPr>
        <w:ind w:left="520" w:hanging="512"/>
        <w:spacing w:after="0"/>
        <w:tabs>
          <w:tab w:leader="none" w:pos="5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We have entered into a Notifiable Debt Purchase Transaction.</w:t>
      </w:r>
    </w:p>
    <w:p>
      <w:pPr>
        <w:spacing w:after="0" w:line="212" w:lineRule="exact"/>
        <w:rPr>
          <w:sz w:val="20"/>
          <w:szCs w:val="20"/>
          <w:color w:val="auto"/>
        </w:rPr>
      </w:pPr>
    </w:p>
    <w:p>
      <w:pPr>
        <w:ind w:left="520" w:hanging="512"/>
        <w:spacing w:after="0" w:line="246" w:lineRule="auto"/>
        <w:tabs>
          <w:tab w:leader="none" w:pos="758" w:val="left"/>
        </w:tabs>
        <w:numPr>
          <w:ilvl w:val="0"/>
          <w:numId w:val="908"/>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ectPr>
          <w:pgSz w:w="11900" w:h="16838" w:orient="portrait"/>
          <w:cols w:equalWidth="0" w:num="1">
            <w:col w:w="11220"/>
          </w:cols>
          <w:pgMar w:left="320" w:top="323" w:right="359" w:bottom="1440" w:gutter="0" w:footer="0" w:header="0"/>
          <w:type w:val="continuous"/>
        </w:sectPr>
      </w:pP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Commitment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 of our Commitment to which Notifiable Debt Purchase Transaction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relates</w:t>
      </w:r>
    </w:p>
    <w:p>
      <w:pPr>
        <w:spacing w:after="0"/>
        <w:rPr>
          <w:sz w:val="20"/>
          <w:szCs w:val="20"/>
          <w:color w:val="auto"/>
        </w:rPr>
      </w:pPr>
      <w:r>
        <w:rPr>
          <w:rFonts w:ascii="Arial" w:cs="Arial" w:eastAsia="Arial" w:hAnsi="Arial"/>
          <w:sz w:val="17"/>
          <w:szCs w:val="17"/>
          <w:i w:val="1"/>
          <w:iCs w:val="1"/>
          <w:color w:val="auto"/>
        </w:rPr>
        <w:t>[insert amount (of Commitment) to which the relevant Debt Purchase Transaction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applies]</w:t>
      </w:r>
    </w:p>
    <w:p>
      <w:pPr>
        <w:spacing w:after="0" w:line="200" w:lineRule="exact"/>
        <w:rPr>
          <w:sz w:val="20"/>
          <w:szCs w:val="20"/>
          <w:color w:val="auto"/>
        </w:rPr>
      </w:pPr>
    </w:p>
    <w:p>
      <w:pPr>
        <w:sectPr>
          <w:pgSz w:w="11900" w:h="16838" w:orient="portrait"/>
          <w:cols w:equalWidth="0" w:num="2">
            <w:col w:w="3460" w:space="720"/>
            <w:col w:w="7040"/>
          </w:cols>
          <w:pgMar w:left="320" w:top="32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1532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type w:val="continuous"/>
        </w:sectPr>
      </w:pPr>
    </w:p>
    <w:bookmarkStart w:id="345" w:name="page346"/>
    <w:bookmarkEnd w:id="345"/>
    <w:p>
      <w:pPr>
        <w:jc w:val="center"/>
        <w:spacing w:after="0"/>
        <w:rPr>
          <w:sz w:val="20"/>
          <w:szCs w:val="20"/>
          <w:color w:val="auto"/>
        </w:rPr>
      </w:pPr>
      <w:r>
        <w:rPr>
          <w:rFonts w:ascii="Arial" w:cs="Arial" w:eastAsia="Arial" w:hAnsi="Arial"/>
          <w:sz w:val="18"/>
          <w:szCs w:val="18"/>
          <w:b w:val="1"/>
          <w:bCs w:val="1"/>
          <w:color w:val="auto"/>
        </w:rPr>
        <w:t>Part 2</w:t>
      </w:r>
    </w:p>
    <w:p>
      <w:pPr>
        <w:spacing w:after="0" w:line="212"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Form of Notice on Termination of Notifiable Debt Purchase Transaction / Notifiable Debt Purchase Transaction ceasing to be with a Parent Affiliate</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$200,000,000 Facility Agreement dated [l] 2020 (the Agreement)</w:t>
      </w:r>
    </w:p>
    <w:p>
      <w:pPr>
        <w:spacing w:after="0" w:line="229" w:lineRule="exact"/>
        <w:rPr>
          <w:sz w:val="20"/>
          <w:szCs w:val="20"/>
          <w:color w:val="auto"/>
        </w:rPr>
      </w:pPr>
    </w:p>
    <w:p>
      <w:pPr>
        <w:ind w:left="520" w:hanging="512"/>
        <w:spacing w:after="0" w:line="267" w:lineRule="auto"/>
        <w:tabs>
          <w:tab w:leader="none" w:pos="636" w:val="left"/>
        </w:tabs>
        <w:numPr>
          <w:ilvl w:val="0"/>
          <w:numId w:val="909"/>
        </w:numPr>
        <w:rPr>
          <w:rFonts w:ascii="Arial" w:cs="Arial" w:eastAsia="Arial" w:hAnsi="Arial"/>
          <w:sz w:val="18"/>
          <w:szCs w:val="18"/>
          <w:color w:val="auto"/>
        </w:rPr>
      </w:pPr>
      <w:r>
        <w:rPr>
          <w:rFonts w:ascii="Arial" w:cs="Arial" w:eastAsia="Arial" w:hAnsi="Arial"/>
          <w:sz w:val="18"/>
          <w:szCs w:val="18"/>
          <w:color w:val="auto"/>
        </w:rPr>
        <w:t>We refer to clause 33.2 (</w:t>
      </w:r>
      <w:r>
        <w:rPr>
          <w:rFonts w:ascii="Arial" w:cs="Arial" w:eastAsia="Arial" w:hAnsi="Arial"/>
          <w:sz w:val="18"/>
          <w:szCs w:val="18"/>
          <w:i w:val="1"/>
          <w:iCs w:val="1"/>
          <w:color w:val="auto"/>
        </w:rPr>
        <w:t>Prohibition on Debt Purchase Transactions by the Group or Parent Group</w:t>
      </w:r>
      <w:r>
        <w:rPr>
          <w:rFonts w:ascii="Arial" w:cs="Arial" w:eastAsia="Arial" w:hAnsi="Arial"/>
          <w:sz w:val="18"/>
          <w:szCs w:val="18"/>
          <w:color w:val="auto"/>
        </w:rPr>
        <w:t>) of the Agreement. Terms defined in the Agreement have the same meaning in this notice unless given a different meaning in this notice.</w:t>
      </w:r>
    </w:p>
    <w:p>
      <w:pPr>
        <w:spacing w:after="0" w:line="165" w:lineRule="exact"/>
        <w:rPr>
          <w:sz w:val="20"/>
          <w:szCs w:val="20"/>
          <w:color w:val="auto"/>
        </w:rPr>
      </w:pPr>
    </w:p>
    <w:p>
      <w:pPr>
        <w:ind w:left="520" w:hanging="512"/>
        <w:spacing w:after="0" w:line="277" w:lineRule="auto"/>
        <w:tabs>
          <w:tab w:leader="none" w:pos="1473" w:val="left"/>
        </w:tabs>
        <w:numPr>
          <w:ilvl w:val="0"/>
          <w:numId w:val="910"/>
        </w:numPr>
        <w:rPr>
          <w:rFonts w:ascii="Arial" w:cs="Arial" w:eastAsia="Arial" w:hAnsi="Arial"/>
          <w:sz w:val="18"/>
          <w:szCs w:val="18"/>
          <w:color w:val="auto"/>
        </w:rPr>
      </w:pPr>
      <w:r>
        <w:rPr>
          <w:rFonts w:ascii="Arial" w:cs="Arial" w:eastAsia="Arial" w:hAnsi="Arial"/>
          <w:sz w:val="18"/>
          <w:szCs w:val="18"/>
          <w:color w:val="auto"/>
        </w:rPr>
        <w:t>A Notifiable Debt Purchase Transaction which we entered into and which we notified you of in a notice dated [l] has [terminated]/[ceased to be with a Parent Affiliate].</w:t>
      </w:r>
    </w:p>
    <w:p>
      <w:pPr>
        <w:spacing w:after="0" w:line="170" w:lineRule="exact"/>
        <w:rPr>
          <w:sz w:val="20"/>
          <w:szCs w:val="20"/>
          <w:color w:val="auto"/>
        </w:rPr>
      </w:pPr>
    </w:p>
    <w:p>
      <w:pPr>
        <w:ind w:left="520" w:right="20" w:hanging="512"/>
        <w:spacing w:after="0" w:line="246" w:lineRule="auto"/>
        <w:tabs>
          <w:tab w:leader="none" w:pos="758" w:val="left"/>
        </w:tabs>
        <w:numPr>
          <w:ilvl w:val="0"/>
          <w:numId w:val="911"/>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ectPr>
          <w:pgSz w:w="11900" w:h="16838" w:orient="portrait"/>
          <w:cols w:equalWidth="0" w:num="1">
            <w:col w:w="11240"/>
          </w:cols>
          <w:pgMar w:left="320" w:top="333" w:right="339" w:bottom="1440" w:gutter="0" w:footer="0" w:header="0"/>
        </w:sectPr>
      </w:pP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Commitment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Amount of our Commitment to which Notifiable Debt Purchase Transaction relates (Base Currency)</w:t>
      </w:r>
    </w:p>
    <w:p>
      <w:pPr>
        <w:spacing w:after="0" w:line="144" w:lineRule="exact"/>
        <w:rPr>
          <w:sz w:val="20"/>
          <w:szCs w:val="20"/>
          <w:color w:val="auto"/>
        </w:rPr>
      </w:pPr>
    </w:p>
    <w:p>
      <w:pPr>
        <w:sectPr>
          <w:pgSz w:w="11900" w:h="16838" w:orient="portrait"/>
          <w:cols w:equalWidth="0" w:num="2">
            <w:col w:w="3460" w:space="720"/>
            <w:col w:w="7060"/>
          </w:cols>
          <w:pgMar w:left="320" w:top="333" w:right="339" w:bottom="1440" w:gutter="0" w:footer="0" w:header="0"/>
          <w:type w:val="continuous"/>
        </w:sectPr>
      </w:pPr>
    </w:p>
    <w:p>
      <w:pPr>
        <w:spacing w:after="0" w:line="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w:t>
      </w:r>
    </w:p>
    <w:p>
      <w:pPr>
        <w:spacing w:after="0" w:line="20" w:lineRule="exact"/>
        <w:rPr>
          <w:sz w:val="20"/>
          <w:szCs w:val="20"/>
          <w:color w:val="auto"/>
        </w:rPr>
      </w:pPr>
      <w:r>
        <w:rPr>
          <w:sz w:val="20"/>
          <w:szCs w:val="20"/>
          <w:color w:val="auto"/>
        </w:rPr>
        <w:br w:type="column"/>
      </w:r>
    </w:p>
    <w:p>
      <w:pPr>
        <w:ind w:right="600"/>
        <w:spacing w:after="0" w:line="267" w:lineRule="auto"/>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p>
      <w:pPr>
        <w:spacing w:after="0" w:line="200" w:lineRule="exact"/>
        <w:rPr>
          <w:sz w:val="20"/>
          <w:szCs w:val="20"/>
          <w:color w:val="auto"/>
        </w:rPr>
      </w:pPr>
    </w:p>
    <w:p>
      <w:pPr>
        <w:sectPr>
          <w:pgSz w:w="11900" w:h="16838" w:orient="portrait"/>
          <w:cols w:equalWidth="0" w:num="2">
            <w:col w:w="3460" w:space="720"/>
            <w:col w:w="706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1532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46" w:name="page347"/>
    <w:bookmarkEnd w:id="346"/>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120" w:type="dxa"/>
            <w:vAlign w:val="bottom"/>
            <w:gridSpan w:val="2"/>
          </w:tcPr>
          <w:p>
            <w:pPr>
              <w:jc w:val="center"/>
              <w:ind w:right="2650"/>
              <w:spacing w:after="0"/>
              <w:rPr>
                <w:sz w:val="20"/>
                <w:szCs w:val="20"/>
                <w:color w:val="auto"/>
              </w:rPr>
            </w:pPr>
            <w:r>
              <w:rPr>
                <w:rFonts w:ascii="Arial" w:cs="Arial" w:eastAsia="Arial" w:hAnsi="Arial"/>
                <w:sz w:val="22"/>
                <w:szCs w:val="22"/>
                <w:b w:val="1"/>
                <w:bCs w:val="1"/>
                <w:color w:val="auto"/>
                <w:w w:val="98"/>
              </w:rPr>
              <w:t>Schedule 8</w:t>
            </w:r>
          </w:p>
        </w:tc>
        <w:tc>
          <w:tcPr>
            <w:tcW w:w="1720" w:type="dxa"/>
            <w:vAlign w:val="bottom"/>
          </w:tcPr>
          <w:p>
            <w:pPr>
              <w:spacing w:after="0"/>
              <w:rPr>
                <w:sz w:val="21"/>
                <w:szCs w:val="21"/>
                <w:color w:val="auto"/>
              </w:rPr>
            </w:pPr>
          </w:p>
        </w:tc>
      </w:tr>
      <w:tr>
        <w:trPr>
          <w:trHeight w:val="285"/>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20" w:type="dxa"/>
            <w:vAlign w:val="bottom"/>
            <w:gridSpan w:val="2"/>
          </w:tcPr>
          <w:p>
            <w:pPr>
              <w:jc w:val="center"/>
              <w:ind w:right="2650"/>
              <w:spacing w:after="0"/>
              <w:rPr>
                <w:sz w:val="20"/>
                <w:szCs w:val="20"/>
                <w:color w:val="auto"/>
              </w:rPr>
            </w:pPr>
            <w:r>
              <w:rPr>
                <w:rFonts w:ascii="Arial" w:cs="Arial" w:eastAsia="Arial" w:hAnsi="Arial"/>
                <w:sz w:val="22"/>
                <w:szCs w:val="22"/>
                <w:b w:val="1"/>
                <w:bCs w:val="1"/>
                <w:color w:val="auto"/>
                <w:w w:val="97"/>
              </w:rPr>
              <w:t>Repayment Schedule</w:t>
            </w:r>
          </w:p>
        </w:tc>
        <w:tc>
          <w:tcPr>
            <w:tcW w:w="1720" w:type="dxa"/>
            <w:vAlign w:val="bottom"/>
          </w:tcPr>
          <w:p>
            <w:pPr>
              <w:spacing w:after="0"/>
              <w:rPr>
                <w:sz w:val="24"/>
                <w:szCs w:val="24"/>
                <w:color w:val="auto"/>
              </w:rPr>
            </w:pPr>
          </w:p>
        </w:tc>
      </w:tr>
      <w:tr>
        <w:trPr>
          <w:trHeight w:val="422"/>
        </w:trPr>
        <w:tc>
          <w:tcPr>
            <w:tcW w:w="4440" w:type="dxa"/>
            <w:vAlign w:val="bottom"/>
            <w:gridSpan w:val="2"/>
          </w:tcPr>
          <w:p>
            <w:pPr>
              <w:spacing w:after="0"/>
              <w:rPr>
                <w:sz w:val="20"/>
                <w:szCs w:val="20"/>
                <w:color w:val="auto"/>
              </w:rPr>
            </w:pPr>
            <w:r>
              <w:rPr>
                <w:rFonts w:ascii="Arial" w:cs="Arial" w:eastAsia="Arial" w:hAnsi="Arial"/>
                <w:sz w:val="18"/>
                <w:szCs w:val="18"/>
                <w:color w:val="auto"/>
              </w:rPr>
              <w:t>For Ship A</w:t>
            </w:r>
          </w:p>
        </w:tc>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b w:val="1"/>
                <w:bCs w:val="1"/>
                <w:color w:val="auto"/>
              </w:rPr>
              <w:t>Repayment Date</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Amount ($)</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7"/>
              </w:rPr>
              <w:t>First</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rPr>
              <w:t>Second</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rPr>
              <w:t>Third</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30"/>
              <w:spacing w:after="0"/>
              <w:rPr>
                <w:sz w:val="20"/>
                <w:szCs w:val="20"/>
                <w:color w:val="auto"/>
              </w:rPr>
            </w:pPr>
            <w:r>
              <w:rPr>
                <w:rFonts w:ascii="Arial" w:cs="Arial" w:eastAsia="Arial" w:hAnsi="Arial"/>
                <w:sz w:val="18"/>
                <w:szCs w:val="18"/>
                <w:color w:val="auto"/>
                <w:w w:val="99"/>
              </w:rPr>
              <w:t>Fourth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6"/>
              </w:rPr>
              <w:t>Fifth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30"/>
              <w:spacing w:after="0"/>
              <w:rPr>
                <w:sz w:val="20"/>
                <w:szCs w:val="20"/>
                <w:color w:val="auto"/>
              </w:rPr>
            </w:pPr>
            <w:r>
              <w:rPr>
                <w:rFonts w:ascii="Arial" w:cs="Arial" w:eastAsia="Arial" w:hAnsi="Arial"/>
                <w:sz w:val="18"/>
                <w:szCs w:val="18"/>
                <w:color w:val="auto"/>
                <w:w w:val="99"/>
              </w:rPr>
              <w:t>Sixth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9"/>
              </w:rPr>
              <w:t>Seventh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7"/>
              </w:rPr>
              <w:t>Eighth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9"/>
              </w:rPr>
              <w:t>Ninth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$4,000,000</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30"/>
              <w:spacing w:after="0"/>
              <w:rPr>
                <w:sz w:val="20"/>
                <w:szCs w:val="20"/>
                <w:color w:val="auto"/>
              </w:rPr>
            </w:pPr>
            <w:r>
              <w:rPr>
                <w:rFonts w:ascii="Arial" w:cs="Arial" w:eastAsia="Arial" w:hAnsi="Arial"/>
                <w:sz w:val="18"/>
                <w:szCs w:val="18"/>
                <w:color w:val="auto"/>
                <w:w w:val="95"/>
              </w:rPr>
              <w:t>Tenth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$76,000,000</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7"/>
              </w:rPr>
              <w:t>Total</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$112,000,000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color w:val="auto"/>
              </w:rPr>
              <w:t>For Ship B</w:t>
            </w:r>
          </w:p>
        </w:tc>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b w:val="1"/>
                <w:bCs w:val="1"/>
                <w:color w:val="auto"/>
              </w:rPr>
              <w:t>Repayment Date</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Amount ($)</w:t>
            </w:r>
          </w:p>
        </w:tc>
        <w:tc>
          <w:tcPr>
            <w:tcW w:w="1720" w:type="dxa"/>
            <w:vAlign w:val="bottom"/>
          </w:tcPr>
          <w:p>
            <w:pPr>
              <w:spacing w:after="0"/>
              <w:rPr>
                <w:sz w:val="22"/>
                <w:szCs w:val="22"/>
                <w:color w:val="auto"/>
              </w:rPr>
            </w:pPr>
          </w:p>
        </w:tc>
      </w:tr>
      <w:tr>
        <w:trPr>
          <w:trHeight w:val="243"/>
        </w:trPr>
        <w:tc>
          <w:tcPr>
            <w:tcW w:w="1720" w:type="dxa"/>
            <w:vAlign w:val="bottom"/>
            <w:tcBorders>
              <w:right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3980" w:type="dxa"/>
            <w:vAlign w:val="bottom"/>
            <w:tcBorders>
              <w:bottom w:val="single" w:sz="8" w:color="auto"/>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7"/>
              </w:rPr>
              <w:t>First</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rPr>
              <w:t>Second</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rPr>
              <w:t>Third</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30"/>
              <w:spacing w:after="0"/>
              <w:rPr>
                <w:sz w:val="20"/>
                <w:szCs w:val="20"/>
                <w:color w:val="auto"/>
              </w:rPr>
            </w:pPr>
            <w:r>
              <w:rPr>
                <w:rFonts w:ascii="Arial" w:cs="Arial" w:eastAsia="Arial" w:hAnsi="Arial"/>
                <w:sz w:val="18"/>
                <w:szCs w:val="18"/>
                <w:color w:val="auto"/>
                <w:w w:val="99"/>
              </w:rPr>
              <w:t>Fourth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10"/>
              <w:spacing w:after="0"/>
              <w:rPr>
                <w:sz w:val="20"/>
                <w:szCs w:val="20"/>
                <w:color w:val="auto"/>
              </w:rPr>
            </w:pPr>
            <w:r>
              <w:rPr>
                <w:rFonts w:ascii="Arial" w:cs="Arial" w:eastAsia="Arial" w:hAnsi="Arial"/>
                <w:sz w:val="18"/>
                <w:szCs w:val="18"/>
                <w:color w:val="auto"/>
                <w:w w:val="96"/>
              </w:rPr>
              <w:t>Fifth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2720" w:type="dxa"/>
            <w:vAlign w:val="bottom"/>
          </w:tcPr>
          <w:p>
            <w:pPr>
              <w:jc w:val="center"/>
              <w:ind w:left="1030"/>
              <w:spacing w:after="0"/>
              <w:rPr>
                <w:sz w:val="20"/>
                <w:szCs w:val="20"/>
                <w:color w:val="auto"/>
              </w:rPr>
            </w:pPr>
            <w:r>
              <w:rPr>
                <w:rFonts w:ascii="Arial" w:cs="Arial" w:eastAsia="Arial" w:hAnsi="Arial"/>
                <w:sz w:val="18"/>
                <w:szCs w:val="18"/>
                <w:color w:val="auto"/>
                <w:w w:val="99"/>
              </w:rPr>
              <w:t>Sixth</w:t>
            </w:r>
          </w:p>
        </w:tc>
        <w:tc>
          <w:tcPr>
            <w:tcW w:w="114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426"/>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20" w:type="dxa"/>
            <w:vAlign w:val="bottom"/>
            <w:gridSpan w:val="2"/>
          </w:tcPr>
          <w:p>
            <w:pPr>
              <w:jc w:val="center"/>
              <w:ind w:right="2650"/>
              <w:spacing w:after="0"/>
              <w:rPr>
                <w:sz w:val="20"/>
                <w:szCs w:val="20"/>
                <w:color w:val="auto"/>
              </w:rPr>
            </w:pPr>
            <w:r>
              <w:rPr>
                <w:rFonts w:ascii="Arial" w:cs="Arial" w:eastAsia="Arial" w:hAnsi="Arial"/>
                <w:sz w:val="18"/>
                <w:szCs w:val="18"/>
                <w:color w:val="auto"/>
                <w:w w:val="99"/>
              </w:rPr>
              <w:t>172</w:t>
            </w: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00" w:right="29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283"/>
        </w:trPr>
        <w:tc>
          <w:tcPr>
            <w:tcW w:w="1720" w:type="dxa"/>
            <w:vAlign w:val="bottom"/>
            <w:tcBorders>
              <w:right w:val="single" w:sz="8" w:color="auto"/>
            </w:tcBorders>
          </w:tcPr>
          <w:p>
            <w:pPr>
              <w:spacing w:after="0"/>
              <w:rPr>
                <w:sz w:val="24"/>
                <w:szCs w:val="24"/>
                <w:color w:val="auto"/>
              </w:rPr>
            </w:pPr>
          </w:p>
        </w:tc>
        <w:tc>
          <w:tcPr>
            <w:tcW w:w="31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b w:val="1"/>
                <w:bCs w:val="1"/>
                <w:color w:val="auto"/>
              </w:rPr>
              <w:t>Repayment Date</w:t>
            </w:r>
          </w:p>
        </w:tc>
        <w:tc>
          <w:tcPr>
            <w:tcW w:w="680" w:type="dxa"/>
            <w:vAlign w:val="bottom"/>
            <w:tcBorders>
              <w:top w:val="single" w:sz="8" w:color="auto"/>
              <w:right w:val="single" w:sz="8" w:color="auto"/>
            </w:tcBorders>
          </w:tcPr>
          <w:p>
            <w:pPr>
              <w:spacing w:after="0"/>
              <w:rPr>
                <w:sz w:val="24"/>
                <w:szCs w:val="24"/>
                <w:color w:val="auto"/>
              </w:rPr>
            </w:pPr>
          </w:p>
        </w:tc>
        <w:tc>
          <w:tcPr>
            <w:tcW w:w="39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Amount ($)</w:t>
            </w:r>
          </w:p>
        </w:tc>
        <w:tc>
          <w:tcPr>
            <w:tcW w:w="1720" w:type="dxa"/>
            <w:vAlign w:val="bottom"/>
          </w:tcPr>
          <w:p>
            <w:pPr>
              <w:spacing w:after="0"/>
              <w:rPr>
                <w:sz w:val="24"/>
                <w:szCs w:val="24"/>
                <w:color w:val="auto"/>
              </w:rPr>
            </w:pPr>
          </w:p>
        </w:tc>
      </w:tr>
      <w:tr>
        <w:trPr>
          <w:trHeight w:val="243"/>
        </w:trPr>
        <w:tc>
          <w:tcPr>
            <w:tcW w:w="1720" w:type="dxa"/>
            <w:vAlign w:val="bottom"/>
            <w:tcBorders>
              <w:right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3980" w:type="dxa"/>
            <w:vAlign w:val="bottom"/>
            <w:tcBorders>
              <w:bottom w:val="single" w:sz="8" w:color="auto"/>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9"/>
              </w:rPr>
              <w:t>Seventh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7"/>
              </w:rPr>
              <w:t>Eighth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9"/>
              </w:rPr>
              <w:t>Ninth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70"/>
              <w:spacing w:after="0"/>
              <w:rPr>
                <w:sz w:val="20"/>
                <w:szCs w:val="20"/>
                <w:color w:val="auto"/>
              </w:rPr>
            </w:pPr>
            <w:r>
              <w:rPr>
                <w:rFonts w:ascii="Arial" w:cs="Arial" w:eastAsia="Arial" w:hAnsi="Arial"/>
                <w:sz w:val="18"/>
                <w:szCs w:val="18"/>
                <w:color w:val="auto"/>
                <w:w w:val="95"/>
              </w:rPr>
              <w:t>Tenth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$22,000,000</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w w:val="97"/>
              </w:rPr>
              <w:t>Total</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426"/>
        </w:trPr>
        <w:tc>
          <w:tcPr>
            <w:tcW w:w="4900" w:type="dxa"/>
            <w:vAlign w:val="bottom"/>
            <w:gridSpan w:val="2"/>
          </w:tcPr>
          <w:p>
            <w:pPr>
              <w:spacing w:after="0"/>
              <w:rPr>
                <w:sz w:val="20"/>
                <w:szCs w:val="20"/>
                <w:color w:val="auto"/>
              </w:rPr>
            </w:pPr>
            <w:r>
              <w:rPr>
                <w:rFonts w:ascii="Arial" w:cs="Arial" w:eastAsia="Arial" w:hAnsi="Arial"/>
                <w:sz w:val="18"/>
                <w:szCs w:val="18"/>
                <w:color w:val="auto"/>
              </w:rPr>
              <w:t>For Ship C</w:t>
            </w: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rPr>
              <w:t>Repayment Date</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Amount ($)</w:t>
            </w:r>
          </w:p>
        </w:tc>
        <w:tc>
          <w:tcPr>
            <w:tcW w:w="1720" w:type="dxa"/>
            <w:vAlign w:val="bottom"/>
          </w:tcPr>
          <w:p>
            <w:pPr>
              <w:spacing w:after="0"/>
              <w:rPr>
                <w:sz w:val="22"/>
                <w:szCs w:val="22"/>
                <w:color w:val="auto"/>
              </w:rPr>
            </w:pPr>
          </w:p>
        </w:tc>
      </w:tr>
      <w:tr>
        <w:trPr>
          <w:trHeight w:val="243"/>
        </w:trPr>
        <w:tc>
          <w:tcPr>
            <w:tcW w:w="1720" w:type="dxa"/>
            <w:vAlign w:val="bottom"/>
            <w:tcBorders>
              <w:right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3980" w:type="dxa"/>
            <w:vAlign w:val="bottom"/>
            <w:tcBorders>
              <w:bottom w:val="single" w:sz="8" w:color="auto"/>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7"/>
              </w:rPr>
              <w:t>First</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rPr>
              <w:t>Second</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rPr>
              <w:t>Third</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70"/>
              <w:spacing w:after="0"/>
              <w:rPr>
                <w:sz w:val="20"/>
                <w:szCs w:val="20"/>
                <w:color w:val="auto"/>
              </w:rPr>
            </w:pPr>
            <w:r>
              <w:rPr>
                <w:rFonts w:ascii="Arial" w:cs="Arial" w:eastAsia="Arial" w:hAnsi="Arial"/>
                <w:sz w:val="18"/>
                <w:szCs w:val="18"/>
                <w:color w:val="auto"/>
                <w:w w:val="99"/>
              </w:rPr>
              <w:t>Fourth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6"/>
              </w:rPr>
              <w:t>Fifth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70"/>
              <w:spacing w:after="0"/>
              <w:rPr>
                <w:sz w:val="20"/>
                <w:szCs w:val="20"/>
                <w:color w:val="auto"/>
              </w:rPr>
            </w:pPr>
            <w:r>
              <w:rPr>
                <w:rFonts w:ascii="Arial" w:cs="Arial" w:eastAsia="Arial" w:hAnsi="Arial"/>
                <w:sz w:val="18"/>
                <w:szCs w:val="18"/>
                <w:color w:val="auto"/>
                <w:w w:val="99"/>
              </w:rPr>
              <w:t>Sixth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9"/>
              </w:rPr>
              <w:t>Seventh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7"/>
              </w:rPr>
              <w:t>Eighth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9"/>
              </w:rPr>
              <w:t>Ninth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$2,444,444.44</w:t>
            </w:r>
          </w:p>
        </w:tc>
        <w:tc>
          <w:tcPr>
            <w:tcW w:w="1720" w:type="dxa"/>
            <w:vAlign w:val="bottom"/>
          </w:tcPr>
          <w:p>
            <w:pPr>
              <w:spacing w:after="0"/>
              <w:rPr>
                <w:sz w:val="22"/>
                <w:szCs w:val="22"/>
                <w:color w:val="auto"/>
              </w:rPr>
            </w:pPr>
          </w:p>
        </w:tc>
      </w:tr>
      <w:tr>
        <w:trPr>
          <w:trHeight w:val="41"/>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70"/>
              <w:spacing w:after="0"/>
              <w:rPr>
                <w:sz w:val="20"/>
                <w:szCs w:val="20"/>
                <w:color w:val="auto"/>
              </w:rPr>
            </w:pPr>
            <w:r>
              <w:rPr>
                <w:rFonts w:ascii="Arial" w:cs="Arial" w:eastAsia="Arial" w:hAnsi="Arial"/>
                <w:sz w:val="18"/>
                <w:szCs w:val="18"/>
                <w:color w:val="auto"/>
                <w:w w:val="95"/>
              </w:rPr>
              <w:t>Tenth</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1720" w:type="dxa"/>
            <w:vAlign w:val="bottom"/>
            <w:tcBorders>
              <w:right w:val="single" w:sz="8" w:color="auto"/>
            </w:tcBorders>
          </w:tcPr>
          <w:p>
            <w:pPr>
              <w:spacing w:after="0"/>
              <w:rPr>
                <w:sz w:val="22"/>
                <w:szCs w:val="22"/>
                <w:color w:val="auto"/>
              </w:rPr>
            </w:pPr>
          </w:p>
        </w:tc>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w w:val="97"/>
              </w:rPr>
              <w:t>Total</w:t>
            </w:r>
          </w:p>
        </w:tc>
        <w:tc>
          <w:tcPr>
            <w:tcW w:w="680" w:type="dxa"/>
            <w:vAlign w:val="bottom"/>
            <w:tcBorders>
              <w:right w:val="single" w:sz="8" w:color="auto"/>
            </w:tcBorders>
          </w:tcPr>
          <w:p>
            <w:pPr>
              <w:spacing w:after="0"/>
              <w:rPr>
                <w:sz w:val="22"/>
                <w:szCs w:val="22"/>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$44,000,000</w:t>
            </w:r>
          </w:p>
        </w:tc>
        <w:tc>
          <w:tcPr>
            <w:tcW w:w="1720" w:type="dxa"/>
            <w:vAlign w:val="bottom"/>
          </w:tcPr>
          <w:p>
            <w:pPr>
              <w:spacing w:after="0"/>
              <w:rPr>
                <w:sz w:val="22"/>
                <w:szCs w:val="22"/>
                <w:color w:val="auto"/>
              </w:rPr>
            </w:pPr>
          </w:p>
        </w:tc>
      </w:tr>
      <w:tr>
        <w:trPr>
          <w:trHeight w:val="40"/>
        </w:trPr>
        <w:tc>
          <w:tcPr>
            <w:tcW w:w="1720" w:type="dxa"/>
            <w:vAlign w:val="bottom"/>
            <w:tcBorders>
              <w:right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r>
        <w:trPr>
          <w:trHeight w:val="426"/>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60" w:type="dxa"/>
            <w:vAlign w:val="bottom"/>
            <w:gridSpan w:val="2"/>
          </w:tcPr>
          <w:p>
            <w:pPr>
              <w:jc w:val="right"/>
              <w:ind w:right="3690"/>
              <w:spacing w:after="0"/>
              <w:rPr>
                <w:sz w:val="20"/>
                <w:szCs w:val="20"/>
                <w:color w:val="auto"/>
              </w:rPr>
            </w:pPr>
            <w:r>
              <w:rPr>
                <w:rFonts w:ascii="Arial" w:cs="Arial" w:eastAsia="Arial" w:hAnsi="Arial"/>
                <w:sz w:val="18"/>
                <w:szCs w:val="18"/>
                <w:color w:val="auto"/>
              </w:rPr>
              <w:t>173</w:t>
            </w: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440" w:type="dxa"/>
            <w:vAlign w:val="bottom"/>
          </w:tcPr>
          <w:p>
            <w:pPr>
              <w:ind w:left="920"/>
              <w:spacing w:after="0"/>
              <w:rPr>
                <w:sz w:val="20"/>
                <w:szCs w:val="20"/>
                <w:color w:val="auto"/>
              </w:rPr>
            </w:pPr>
            <w:r>
              <w:rPr>
                <w:rFonts w:ascii="Arial" w:cs="Arial" w:eastAsia="Arial" w:hAnsi="Arial"/>
                <w:sz w:val="18"/>
                <w:szCs w:val="18"/>
                <w:b w:val="1"/>
                <w:bCs w:val="1"/>
                <w:color w:val="auto"/>
              </w:rPr>
              <w:t>SIGNATURES</w:t>
            </w: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THE BORROWERS</w:t>
            </w:r>
          </w:p>
        </w:tc>
        <w:tc>
          <w:tcPr>
            <w:tcW w:w="3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1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GAS-TWENTY SEVEN LTD.</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GAS-TWENTY ONE LTD.</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GAS-NINETEEN LTD.</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THE GUARANTORS</w:t>
            </w:r>
          </w:p>
        </w:tc>
        <w:tc>
          <w:tcPr>
            <w:tcW w:w="3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
        </w:trPr>
        <w:tc>
          <w:tcPr>
            <w:tcW w:w="1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39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GASLOG PARTNERS LP</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GASLOG PARTNERS HOLDINGS LLC</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GASLOG LTD.</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GASLOG CARRIERS LTD.</w:t>
            </w:r>
          </w:p>
        </w:tc>
        <w:tc>
          <w:tcPr>
            <w:tcW w:w="7160" w:type="dxa"/>
            <w:vAlign w:val="bottom"/>
            <w:gridSpan w:val="4"/>
          </w:tcPr>
          <w:p>
            <w:pPr>
              <w:ind w:left="3200"/>
              <w:spacing w:after="0"/>
              <w:rPr>
                <w:sz w:val="20"/>
                <w:szCs w:val="20"/>
                <w:color w:val="auto"/>
              </w:rPr>
            </w:pPr>
            <w:r>
              <w:rPr>
                <w:rFonts w:ascii="Arial" w:cs="Arial" w:eastAsia="Arial" w:hAnsi="Arial"/>
                <w:sz w:val="18"/>
                <w:szCs w:val="18"/>
                <w:color w:val="auto"/>
              </w:rPr>
              <w:t>)  /s/ Richard H Martin Jr</w:t>
            </w: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THE ARRANGERS</w:t>
            </w:r>
          </w:p>
        </w:tc>
        <w:tc>
          <w:tcPr>
            <w:tcW w:w="2500" w:type="dxa"/>
            <w:vAlign w:val="bottom"/>
            <w:gridSpan w:val="2"/>
          </w:tcPr>
          <w:p>
            <w:pPr>
              <w:spacing w:after="0"/>
              <w:rPr>
                <w:sz w:val="24"/>
                <w:szCs w:val="24"/>
                <w:color w:val="auto"/>
              </w:rPr>
            </w:pPr>
          </w:p>
        </w:tc>
        <w:tc>
          <w:tcPr>
            <w:tcW w:w="3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9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DNB (UK) LTD.</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3720" w:type="dxa"/>
            <w:vAlign w:val="bottom"/>
            <w:gridSpan w:val="3"/>
          </w:tcPr>
          <w:p>
            <w:pPr>
              <w:spacing w:after="0"/>
              <w:rPr>
                <w:sz w:val="20"/>
                <w:szCs w:val="20"/>
                <w:color w:val="auto"/>
              </w:rPr>
            </w:pPr>
            <w:r>
              <w:rPr>
                <w:rFonts w:ascii="Arial" w:cs="Arial" w:eastAsia="Arial" w:hAnsi="Arial"/>
                <w:sz w:val="18"/>
                <w:szCs w:val="18"/>
                <w:color w:val="auto"/>
              </w:rPr>
              <w:t>/s/ Llian Williams</w:t>
            </w:r>
          </w:p>
        </w:tc>
      </w:tr>
      <w:tr>
        <w:trPr>
          <w:trHeight w:val="209"/>
        </w:trPr>
        <w:tc>
          <w:tcPr>
            <w:tcW w:w="412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ING BANK N.V., LONDON BRANCH</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3720" w:type="dxa"/>
            <w:vAlign w:val="bottom"/>
            <w:gridSpan w:val="3"/>
          </w:tcPr>
          <w:p>
            <w:pPr>
              <w:spacing w:after="0"/>
              <w:rPr>
                <w:sz w:val="20"/>
                <w:szCs w:val="20"/>
                <w:color w:val="auto"/>
              </w:rPr>
            </w:pPr>
            <w:r>
              <w:rPr>
                <w:rFonts w:ascii="Arial" w:cs="Arial" w:eastAsia="Arial" w:hAnsi="Arial"/>
                <w:sz w:val="18"/>
                <w:szCs w:val="18"/>
                <w:color w:val="auto"/>
              </w:rPr>
              <w:t>/s/ Llian Williams</w:t>
            </w:r>
          </w:p>
        </w:tc>
      </w:tr>
      <w:tr>
        <w:trPr>
          <w:trHeight w:val="209"/>
        </w:trPr>
        <w:tc>
          <w:tcPr>
            <w:tcW w:w="412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80" w:type="dxa"/>
            <w:vAlign w:val="bottom"/>
            <w:gridSpan w:val="2"/>
          </w:tcPr>
          <w:p>
            <w:pPr>
              <w:spacing w:after="0"/>
              <w:rPr>
                <w:sz w:val="18"/>
                <w:szCs w:val="18"/>
                <w:color w:val="auto"/>
              </w:rPr>
            </w:pPr>
          </w:p>
        </w:tc>
      </w:tr>
      <w:tr>
        <w:trPr>
          <w:trHeight w:val="217"/>
        </w:trPr>
        <w:tc>
          <w:tcPr>
            <w:tcW w:w="4120" w:type="dxa"/>
            <w:vAlign w:val="bottom"/>
            <w:gridSpan w:val="3"/>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2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Pr>
          <w:p>
            <w:pPr>
              <w:ind w:left="1360"/>
              <w:spacing w:after="0"/>
              <w:rPr>
                <w:sz w:val="20"/>
                <w:szCs w:val="20"/>
                <w:color w:val="auto"/>
              </w:rPr>
            </w:pPr>
            <w:r>
              <w:rPr>
                <w:rFonts w:ascii="Arial" w:cs="Arial" w:eastAsia="Arial" w:hAnsi="Arial"/>
                <w:sz w:val="18"/>
                <w:szCs w:val="18"/>
                <w:color w:val="auto"/>
              </w:rPr>
              <w:t>174</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8"/>
        </w:trPr>
        <w:tc>
          <w:tcPr>
            <w:tcW w:w="16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07"/>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THE ORIGINAL LENDERS</w:t>
            </w:r>
          </w:p>
        </w:tc>
        <w:tc>
          <w:tcPr>
            <w:tcW w:w="2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399"/>
        </w:trPr>
        <w:tc>
          <w:tcPr>
            <w:tcW w:w="220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DNB (UK) LTD.</w:t>
            </w:r>
          </w:p>
        </w:tc>
        <w:tc>
          <w:tcPr>
            <w:tcW w:w="2720" w:type="dxa"/>
            <w:vAlign w:val="bottom"/>
            <w:gridSpan w:val="2"/>
          </w:tcPr>
          <w:p>
            <w:pPr>
              <w:spacing w:after="0"/>
              <w:rPr>
                <w:sz w:val="24"/>
                <w:szCs w:val="24"/>
                <w:color w:val="auto"/>
              </w:rPr>
            </w:pP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ING BANK N.V., LONDON BRANCH</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THE BOOKRUNNERS</w:t>
            </w: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98"/>
        </w:trPr>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DNB (UK) LTD.</w:t>
            </w:r>
          </w:p>
        </w:tc>
        <w:tc>
          <w:tcPr>
            <w:tcW w:w="3080" w:type="dxa"/>
            <w:vAlign w:val="bottom"/>
            <w:gridSpan w:val="5"/>
          </w:tcPr>
          <w:p>
            <w:pPr>
              <w:spacing w:after="0"/>
              <w:rPr>
                <w:sz w:val="24"/>
                <w:szCs w:val="24"/>
                <w:color w:val="auto"/>
              </w:rPr>
            </w:pP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ING BANK N.V., LONDON BRANCH</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9"/>
              </w:rPr>
              <w:t>THE STRUCTURING AND DOCUMENTATION BANK</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9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ING BANK N.V., LONDON BRANCH</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THE ACCOUNT BANK</w:t>
            </w: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39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DNB BANK ASA, LONDON BRANCH</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THE AGENT</w:t>
            </w: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39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DNB BANK ASA, LONDON BRANCH</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378"/>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THE SECURITY AGENT</w:t>
            </w: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
        </w:trPr>
        <w:tc>
          <w:tcPr>
            <w:tcW w:w="2000" w:type="dxa"/>
            <w:vAlign w:val="bottom"/>
            <w:gridSpan w:val="4"/>
            <w:shd w:val="clear" w:color="auto" w:fill="000000"/>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399"/>
        </w:trPr>
        <w:tc>
          <w:tcPr>
            <w:tcW w:w="4920" w:type="dxa"/>
            <w:vAlign w:val="bottom"/>
            <w:gridSpan w:val="7"/>
          </w:tcPr>
          <w:p>
            <w:pPr>
              <w:spacing w:after="0"/>
              <w:rPr>
                <w:sz w:val="20"/>
                <w:szCs w:val="20"/>
                <w:color w:val="auto"/>
              </w:rPr>
            </w:pPr>
            <w:r>
              <w:rPr>
                <w:rFonts w:ascii="Arial" w:cs="Arial" w:eastAsia="Arial" w:hAnsi="Arial"/>
                <w:sz w:val="18"/>
                <w:szCs w:val="18"/>
                <w:b w:val="1"/>
                <w:bCs w:val="1"/>
                <w:color w:val="auto"/>
              </w:rPr>
              <w:t>DNB BANK ASA, LONDON BRANCH</w:t>
            </w:r>
          </w:p>
        </w:tc>
        <w:tc>
          <w:tcPr>
            <w:tcW w:w="2660" w:type="dxa"/>
            <w:vAlign w:val="bottom"/>
          </w:tcPr>
          <w:p>
            <w:pPr>
              <w:ind w:left="2420"/>
              <w:spacing w:after="0"/>
              <w:rPr>
                <w:sz w:val="20"/>
                <w:szCs w:val="20"/>
                <w:color w:val="auto"/>
              </w:rPr>
            </w:pPr>
            <w:r>
              <w:rPr>
                <w:rFonts w:ascii="Arial" w:cs="Arial" w:eastAsia="Arial" w:hAnsi="Arial"/>
                <w:sz w:val="18"/>
                <w:szCs w:val="18"/>
                <w:color w:val="auto"/>
              </w:rPr>
              <w:t>)</w:t>
            </w:r>
          </w:p>
        </w:tc>
        <w:tc>
          <w:tcPr>
            <w:tcW w:w="3700" w:type="dxa"/>
            <w:vAlign w:val="bottom"/>
            <w:gridSpan w:val="2"/>
          </w:tcPr>
          <w:p>
            <w:pPr>
              <w:spacing w:after="0"/>
              <w:rPr>
                <w:sz w:val="20"/>
                <w:szCs w:val="20"/>
                <w:color w:val="auto"/>
              </w:rPr>
            </w:pPr>
            <w:r>
              <w:rPr>
                <w:rFonts w:ascii="Arial" w:cs="Arial" w:eastAsia="Arial" w:hAnsi="Arial"/>
                <w:sz w:val="18"/>
                <w:szCs w:val="18"/>
                <w:color w:val="auto"/>
              </w:rPr>
              <w:t>/s/ Llian Williams</w:t>
            </w:r>
          </w:p>
        </w:tc>
      </w:tr>
      <w:tr>
        <w:trPr>
          <w:trHeight w:val="20"/>
        </w:trPr>
        <w:tc>
          <w:tcPr>
            <w:tcW w:w="4920" w:type="dxa"/>
            <w:vAlign w:val="bottom"/>
            <w:gridSpan w:val="7"/>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3"/>
        </w:trPr>
        <w:tc>
          <w:tcPr>
            <w:tcW w:w="4920" w:type="dxa"/>
            <w:vAlign w:val="bottom"/>
            <w:gridSpan w:val="7"/>
          </w:tcPr>
          <w:p>
            <w:pPr>
              <w:spacing w:after="0"/>
              <w:rPr>
                <w:sz w:val="20"/>
                <w:szCs w:val="20"/>
                <w:color w:val="auto"/>
              </w:rPr>
            </w:pPr>
            <w:r>
              <w:rPr>
                <w:rFonts w:ascii="Arial" w:cs="Arial" w:eastAsia="Arial" w:hAnsi="Arial"/>
                <w:sz w:val="18"/>
                <w:szCs w:val="18"/>
                <w:color w:val="auto"/>
              </w:rPr>
              <w:t>By:</w:t>
            </w:r>
          </w:p>
        </w:tc>
        <w:tc>
          <w:tcPr>
            <w:tcW w:w="6360" w:type="dxa"/>
            <w:vAlign w:val="bottom"/>
            <w:gridSpan w:val="3"/>
          </w:tcPr>
          <w:p>
            <w:pPr>
              <w:ind w:left="2420"/>
              <w:spacing w:after="0"/>
              <w:rPr>
                <w:sz w:val="20"/>
                <w:szCs w:val="20"/>
                <w:color w:val="auto"/>
              </w:rPr>
            </w:pPr>
            <w:r>
              <w:rPr>
                <w:rFonts w:ascii="Arial" w:cs="Arial" w:eastAsia="Arial" w:hAnsi="Arial"/>
                <w:sz w:val="18"/>
                <w:szCs w:val="18"/>
                <w:color w:val="auto"/>
              </w:rPr>
              <w:t>)  Attorney-in-fact</w:t>
            </w:r>
          </w:p>
        </w:tc>
      </w:tr>
      <w:tr>
        <w:trPr>
          <w:trHeight w:val="419"/>
        </w:trPr>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ind w:left="560"/>
              <w:spacing w:after="0"/>
              <w:rPr>
                <w:sz w:val="20"/>
                <w:szCs w:val="20"/>
                <w:color w:val="auto"/>
              </w:rPr>
            </w:pPr>
            <w:r>
              <w:rPr>
                <w:rFonts w:ascii="Arial" w:cs="Arial" w:eastAsia="Arial" w:hAnsi="Arial"/>
                <w:sz w:val="18"/>
                <w:szCs w:val="18"/>
                <w:color w:val="auto"/>
              </w:rPr>
              <w:t>175</w:t>
            </w: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18"/>
        </w:trPr>
        <w:tc>
          <w:tcPr>
            <w:tcW w:w="10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THE HEDGING PROVIDERS</w:t>
            </w:r>
          </w:p>
        </w:tc>
        <w:tc>
          <w:tcPr>
            <w:tcW w:w="6980" w:type="dxa"/>
            <w:vAlign w:val="bottom"/>
          </w:tcPr>
          <w:p>
            <w:pPr>
              <w:spacing w:after="0"/>
              <w:rPr>
                <w:sz w:val="17"/>
                <w:szCs w:val="17"/>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25"/>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DNB BANK ASA, LONDON BRANCH</w:t>
            </w:r>
          </w:p>
        </w:tc>
        <w:tc>
          <w:tcPr>
            <w:tcW w:w="6980" w:type="dxa"/>
            <w:vAlign w:val="bottom"/>
          </w:tcPr>
          <w:p>
            <w:pPr>
              <w:ind w:left="3040"/>
              <w:spacing w:after="0"/>
              <w:rPr>
                <w:sz w:val="20"/>
                <w:szCs w:val="20"/>
                <w:color w:val="auto"/>
              </w:rPr>
            </w:pPr>
            <w:r>
              <w:rPr>
                <w:rFonts w:ascii="Arial" w:cs="Arial" w:eastAsia="Arial" w:hAnsi="Arial"/>
                <w:sz w:val="18"/>
                <w:szCs w:val="18"/>
                <w:color w:val="auto"/>
              </w:rPr>
              <w:t>)  ………………………………</w:t>
            </w:r>
          </w:p>
        </w:tc>
      </w:tr>
      <w:tr>
        <w:trPr>
          <w:trHeight w:val="217"/>
        </w:trPr>
        <w:tc>
          <w:tcPr>
            <w:tcW w:w="4300" w:type="dxa"/>
            <w:vAlign w:val="bottom"/>
            <w:gridSpan w:val="2"/>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3040"/>
              <w:spacing w:after="0"/>
              <w:rPr>
                <w:sz w:val="20"/>
                <w:szCs w:val="20"/>
                <w:color w:val="auto"/>
              </w:rPr>
            </w:pPr>
            <w:r>
              <w:rPr>
                <w:rFonts w:ascii="Arial" w:cs="Arial" w:eastAsia="Arial" w:hAnsi="Arial"/>
                <w:sz w:val="18"/>
                <w:szCs w:val="18"/>
                <w:color w:val="auto"/>
              </w:rPr>
              <w:t>)</w:t>
            </w:r>
          </w:p>
        </w:tc>
      </w:tr>
      <w:tr>
        <w:trPr>
          <w:trHeight w:val="83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ING BANK N.V.</w:t>
            </w:r>
          </w:p>
        </w:tc>
        <w:tc>
          <w:tcPr>
            <w:tcW w:w="6980" w:type="dxa"/>
            <w:vAlign w:val="bottom"/>
          </w:tcPr>
          <w:p>
            <w:pPr>
              <w:ind w:left="3040"/>
              <w:spacing w:after="0"/>
              <w:rPr>
                <w:sz w:val="20"/>
                <w:szCs w:val="20"/>
                <w:color w:val="auto"/>
              </w:rPr>
            </w:pPr>
            <w:r>
              <w:rPr>
                <w:rFonts w:ascii="Arial" w:cs="Arial" w:eastAsia="Arial" w:hAnsi="Arial"/>
                <w:sz w:val="18"/>
                <w:szCs w:val="18"/>
                <w:color w:val="auto"/>
              </w:rPr>
              <w:t>)  ………………………………</w:t>
            </w:r>
          </w:p>
        </w:tc>
      </w:tr>
      <w:tr>
        <w:trPr>
          <w:trHeight w:val="217"/>
        </w:trPr>
        <w:tc>
          <w:tcPr>
            <w:tcW w:w="4300" w:type="dxa"/>
            <w:vAlign w:val="bottom"/>
            <w:gridSpan w:val="2"/>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3040"/>
              <w:spacing w:after="0"/>
              <w:rPr>
                <w:sz w:val="20"/>
                <w:szCs w:val="20"/>
                <w:color w:val="auto"/>
              </w:rPr>
            </w:pPr>
            <w:r>
              <w:rPr>
                <w:rFonts w:ascii="Arial" w:cs="Arial" w:eastAsia="Arial" w:hAnsi="Arial"/>
                <w:sz w:val="18"/>
                <w:szCs w:val="18"/>
                <w:color w:val="auto"/>
              </w:rPr>
              <w:t>)</w:t>
            </w:r>
          </w:p>
        </w:tc>
      </w:tr>
      <w:tr>
        <w:trPr>
          <w:trHeight w:val="418"/>
        </w:trPr>
        <w:tc>
          <w:tcPr>
            <w:tcW w:w="2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980" w:type="dxa"/>
            <w:vAlign w:val="bottom"/>
          </w:tcPr>
          <w:p>
            <w:pPr>
              <w:ind w:left="1180"/>
              <w:spacing w:after="0"/>
              <w:rPr>
                <w:sz w:val="20"/>
                <w:szCs w:val="20"/>
                <w:color w:val="auto"/>
              </w:rPr>
            </w:pPr>
            <w:r>
              <w:rPr>
                <w:rFonts w:ascii="Arial" w:cs="Arial" w:eastAsia="Arial" w:hAnsi="Arial"/>
                <w:sz w:val="18"/>
                <w:szCs w:val="18"/>
                <w:color w:val="auto"/>
              </w:rPr>
              <w:t>176</w:t>
            </w:r>
          </w:p>
        </w:tc>
      </w:tr>
      <w:tr>
        <w:trPr>
          <w:trHeight w:val="118"/>
        </w:trPr>
        <w:tc>
          <w:tcPr>
            <w:tcW w:w="236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351" w:name="page352"/>
    <w:bookmarkEnd w:id="351"/>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June 30, 2020 and Declares Cash Distribution</w:t>
      </w:r>
    </w:p>
    <w:p>
      <w:pPr>
        <w:spacing w:after="0" w:line="22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 xml:space="preserve">Piraeus, Greece, August 5, 2020, GasLog Partners LP (“GasLog Partners” or the “Partnership”) (NYSE: GLOP), </w:t>
      </w:r>
      <w:r>
        <w:rPr>
          <w:rFonts w:ascii="Arial" w:cs="Arial" w:eastAsia="Arial" w:hAnsi="Arial"/>
          <w:sz w:val="16"/>
          <w:szCs w:val="16"/>
          <w:color w:val="auto"/>
        </w:rPr>
        <w:t>an international owner and operator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today reported its financial results for the three-month period ended June 30,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340" w:right="60" w:hanging="332"/>
        <w:spacing w:after="0" w:line="250" w:lineRule="auto"/>
        <w:tabs>
          <w:tab w:leader="none" w:pos="304" w:val="left"/>
        </w:tabs>
        <w:numPr>
          <w:ilvl w:val="0"/>
          <w:numId w:val="912"/>
        </w:numPr>
        <w:rPr>
          <w:rFonts w:ascii="Arial" w:cs="Arial" w:eastAsia="Arial" w:hAnsi="Arial"/>
          <w:sz w:val="18"/>
          <w:szCs w:val="18"/>
          <w:color w:val="auto"/>
        </w:rPr>
      </w:pPr>
      <w:r>
        <w:rPr>
          <w:rFonts w:ascii="Arial" w:cs="Arial" w:eastAsia="Arial" w:hAnsi="Arial"/>
          <w:sz w:val="16"/>
          <w:szCs w:val="16"/>
          <w:color w:val="auto"/>
        </w:rPr>
        <w:t>Post quarter-end, refinanced 2021 debt maturities in full with two new credit facilities representing a total of $454.0 million and delivering $14.9 million of incremental liquidity.</w:t>
      </w:r>
    </w:p>
    <w:p>
      <w:pPr>
        <w:spacing w:after="0" w:line="11" w:lineRule="exact"/>
        <w:rPr>
          <w:rFonts w:ascii="Arial" w:cs="Arial" w:eastAsia="Arial" w:hAnsi="Arial"/>
          <w:sz w:val="18"/>
          <w:szCs w:val="18"/>
          <w:color w:val="auto"/>
        </w:rPr>
      </w:pPr>
    </w:p>
    <w:p>
      <w:pPr>
        <w:ind w:left="340" w:right="160" w:hanging="332"/>
        <w:spacing w:after="0" w:line="250" w:lineRule="auto"/>
        <w:tabs>
          <w:tab w:leader="none" w:pos="304" w:val="left"/>
        </w:tabs>
        <w:numPr>
          <w:ilvl w:val="0"/>
          <w:numId w:val="912"/>
        </w:numPr>
        <w:rPr>
          <w:rFonts w:ascii="Arial" w:cs="Arial" w:eastAsia="Arial" w:hAnsi="Arial"/>
          <w:sz w:val="18"/>
          <w:szCs w:val="18"/>
          <w:color w:val="auto"/>
        </w:rPr>
      </w:pPr>
      <w:r>
        <w:rPr>
          <w:rFonts w:ascii="Arial" w:cs="Arial" w:eastAsia="Arial" w:hAnsi="Arial"/>
          <w:sz w:val="16"/>
          <w:szCs w:val="16"/>
          <w:color w:val="auto"/>
        </w:rPr>
        <w:t xml:space="preserve">Re-chartered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for a period of approximately two years with Singapore Carbon Hydrogen Energy Pte. Ltd., a wholly owned subsidiary of JOVO Group (“JOVO”), a leading independent energy company in China.</w:t>
      </w:r>
    </w:p>
    <w:p>
      <w:pPr>
        <w:spacing w:after="0" w:line="10" w:lineRule="exact"/>
        <w:rPr>
          <w:rFonts w:ascii="Arial" w:cs="Arial" w:eastAsia="Arial" w:hAnsi="Arial"/>
          <w:sz w:val="18"/>
          <w:szCs w:val="18"/>
          <w:color w:val="auto"/>
        </w:rPr>
      </w:pPr>
    </w:p>
    <w:p>
      <w:pPr>
        <w:ind w:left="300" w:hanging="292"/>
        <w:spacing w:after="0"/>
        <w:tabs>
          <w:tab w:leader="none" w:pos="300" w:val="left"/>
        </w:tabs>
        <w:numPr>
          <w:ilvl w:val="0"/>
          <w:numId w:val="912"/>
        </w:numPr>
        <w:rPr>
          <w:rFonts w:ascii="Arial" w:cs="Arial" w:eastAsia="Arial" w:hAnsi="Arial"/>
          <w:sz w:val="18"/>
          <w:szCs w:val="18"/>
          <w:color w:val="auto"/>
        </w:rPr>
      </w:pPr>
      <w:r>
        <w:rPr>
          <w:rFonts w:ascii="Arial" w:cs="Arial" w:eastAsia="Arial" w:hAnsi="Arial"/>
          <w:sz w:val="16"/>
          <w:szCs w:val="16"/>
          <w:color w:val="auto"/>
        </w:rPr>
        <w:t>Published the Partnership’s inaugural Sustainability Report for 2019 on June 11, 2020.</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04" w:val="left"/>
        </w:tabs>
        <w:numPr>
          <w:ilvl w:val="0"/>
          <w:numId w:val="912"/>
        </w:numPr>
        <w:rPr>
          <w:rFonts w:ascii="Arial" w:cs="Arial" w:eastAsia="Arial" w:hAnsi="Arial"/>
          <w:sz w:val="18"/>
          <w:szCs w:val="18"/>
          <w:color w:val="auto"/>
        </w:rPr>
      </w:pPr>
      <w:r>
        <w:rPr>
          <w:rFonts w:ascii="Arial" w:cs="Arial" w:eastAsia="Arial" w:hAnsi="Arial"/>
          <w:sz w:val="16"/>
          <w:szCs w:val="16"/>
          <w:color w:val="auto"/>
        </w:rPr>
        <w:t>Announced organizational changes in relation to our senior management, the board of directors and GasLog Ltd.’s (“GasLog”) Stamford office, aiming to enhance execution and efficiency and to reduce overhead costs.</w:t>
      </w:r>
    </w:p>
    <w:p>
      <w:pPr>
        <w:spacing w:after="0" w:line="10" w:lineRule="exact"/>
        <w:rPr>
          <w:rFonts w:ascii="Arial" w:cs="Arial" w:eastAsia="Arial" w:hAnsi="Arial"/>
          <w:sz w:val="18"/>
          <w:szCs w:val="18"/>
          <w:color w:val="auto"/>
        </w:rPr>
      </w:pPr>
    </w:p>
    <w:p>
      <w:pPr>
        <w:ind w:left="300" w:hanging="292"/>
        <w:spacing w:after="0"/>
        <w:tabs>
          <w:tab w:leader="none" w:pos="300" w:val="left"/>
        </w:tabs>
        <w:numPr>
          <w:ilvl w:val="0"/>
          <w:numId w:val="912"/>
        </w:numPr>
        <w:rPr>
          <w:rFonts w:ascii="Arial" w:cs="Arial" w:eastAsia="Arial" w:hAnsi="Arial"/>
          <w:sz w:val="18"/>
          <w:szCs w:val="18"/>
          <w:color w:val="auto"/>
        </w:rPr>
      </w:pPr>
      <w:r>
        <w:rPr>
          <w:rFonts w:ascii="Arial" w:cs="Arial" w:eastAsia="Arial" w:hAnsi="Arial"/>
          <w:sz w:val="16"/>
          <w:szCs w:val="16"/>
          <w:color w:val="auto"/>
        </w:rPr>
        <w:t>As of June 30, 2020, recognized a non-cash impairment loss of $18.8 million in aggregate on certain of our steam turbine propulsion (“Steam”) vessels.</w:t>
      </w:r>
    </w:p>
    <w:p>
      <w:pPr>
        <w:spacing w:after="0" w:line="9" w:lineRule="exact"/>
        <w:rPr>
          <w:rFonts w:ascii="Arial" w:cs="Arial" w:eastAsia="Arial" w:hAnsi="Arial"/>
          <w:sz w:val="18"/>
          <w:szCs w:val="18"/>
          <w:color w:val="auto"/>
        </w:rPr>
      </w:pPr>
    </w:p>
    <w:p>
      <w:pPr>
        <w:ind w:left="340" w:right="460" w:hanging="332"/>
        <w:spacing w:after="0" w:line="230" w:lineRule="auto"/>
        <w:tabs>
          <w:tab w:leader="none" w:pos="304" w:val="left"/>
        </w:tabs>
        <w:numPr>
          <w:ilvl w:val="0"/>
          <w:numId w:val="912"/>
        </w:numPr>
        <w:rPr>
          <w:rFonts w:ascii="Arial" w:cs="Arial" w:eastAsia="Arial" w:hAnsi="Arial"/>
          <w:sz w:val="18"/>
          <w:szCs w:val="18"/>
          <w:color w:val="auto"/>
        </w:rPr>
      </w:pPr>
      <w:r>
        <w:rPr>
          <w:rFonts w:ascii="Arial" w:cs="Arial" w:eastAsia="Arial" w:hAnsi="Arial"/>
          <w:sz w:val="16"/>
          <w:szCs w:val="16"/>
          <w:color w:val="auto"/>
        </w:rPr>
        <w:t>Quarterly IFRS (as defined below) and Partnership Performance Results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Revenues, Profit, Adjusted 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$84.4 million, $8.2 million, $25.6 million and $60.4 million, respectively.</w:t>
      </w:r>
    </w:p>
    <w:p>
      <w:pPr>
        <w:spacing w:after="0" w:line="1" w:lineRule="exact"/>
        <w:rPr>
          <w:rFonts w:ascii="Arial" w:cs="Arial" w:eastAsia="Arial" w:hAnsi="Arial"/>
          <w:sz w:val="18"/>
          <w:szCs w:val="18"/>
          <w:color w:val="auto"/>
        </w:rPr>
      </w:pPr>
    </w:p>
    <w:p>
      <w:pPr>
        <w:ind w:left="300" w:hanging="292"/>
        <w:spacing w:after="0" w:line="238" w:lineRule="auto"/>
        <w:tabs>
          <w:tab w:leader="none" w:pos="300" w:val="left"/>
        </w:tabs>
        <w:numPr>
          <w:ilvl w:val="0"/>
          <w:numId w:val="912"/>
        </w:numPr>
        <w:rPr>
          <w:rFonts w:ascii="Arial" w:cs="Arial" w:eastAsia="Arial" w:hAnsi="Arial"/>
          <w:sz w:val="18"/>
          <w:szCs w:val="18"/>
          <w:color w:val="auto"/>
        </w:rPr>
      </w:pPr>
      <w:r>
        <w:rPr>
          <w:rFonts w:ascii="Arial" w:cs="Arial" w:eastAsia="Arial" w:hAnsi="Arial"/>
          <w:sz w:val="16"/>
          <w:szCs w:val="16"/>
          <w:color w:val="auto"/>
        </w:rPr>
        <w:t>Quarterly Earnings/(loss) per unit (“EPU”) - common (basic) and Adjusted EPU</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 common (basic) of $0.01 and $0.38, respectively.</w:t>
      </w:r>
    </w:p>
    <w:p>
      <w:pPr>
        <w:ind w:left="300" w:hanging="292"/>
        <w:spacing w:after="0" w:line="223" w:lineRule="auto"/>
        <w:tabs>
          <w:tab w:leader="none" w:pos="300" w:val="left"/>
        </w:tabs>
        <w:numPr>
          <w:ilvl w:val="0"/>
          <w:numId w:val="912"/>
        </w:numPr>
        <w:rPr>
          <w:rFonts w:ascii="Arial" w:cs="Arial" w:eastAsia="Arial" w:hAnsi="Arial"/>
          <w:sz w:val="18"/>
          <w:szCs w:val="18"/>
          <w:color w:val="auto"/>
        </w:rPr>
      </w:pPr>
      <w:r>
        <w:rPr>
          <w:rFonts w:ascii="Arial" w:cs="Arial" w:eastAsia="Arial" w:hAnsi="Arial"/>
          <w:sz w:val="16"/>
          <w:szCs w:val="16"/>
          <w:color w:val="auto"/>
        </w:rPr>
        <w:t>Declared cash distribution of $0.125 per common unit for the second quarter of 2020, unchanged from the first quarter of 2020.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12"/>
        </w:numPr>
        <w:rPr>
          <w:rFonts w:ascii="Arial" w:cs="Arial" w:eastAsia="Arial" w:hAnsi="Arial"/>
          <w:sz w:val="18"/>
          <w:szCs w:val="18"/>
          <w:color w:val="auto"/>
        </w:rPr>
      </w:pPr>
      <w:r>
        <w:rPr>
          <w:rFonts w:ascii="Arial" w:cs="Arial" w:eastAsia="Arial" w:hAnsi="Arial"/>
          <w:sz w:val="16"/>
          <w:szCs w:val="16"/>
          <w:color w:val="auto"/>
        </w:rPr>
        <w:t>Distribution coverage ratio</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4.2x.</w:t>
      </w:r>
    </w:p>
    <w:p>
      <w:pPr>
        <w:spacing w:after="0" w:line="168" w:lineRule="exact"/>
        <w:rPr>
          <w:sz w:val="20"/>
          <w:szCs w:val="20"/>
          <w:color w:val="auto"/>
        </w:rPr>
      </w:pPr>
    </w:p>
    <w:p>
      <w:pPr>
        <w:ind w:left="340" w:right="140" w:hanging="332"/>
        <w:spacing w:after="0" w:line="187" w:lineRule="auto"/>
        <w:tabs>
          <w:tab w:leader="none" w:pos="328" w:val="left"/>
        </w:tabs>
        <w:numPr>
          <w:ilvl w:val="0"/>
          <w:numId w:val="913"/>
        </w:numPr>
        <w:rPr>
          <w:rFonts w:ascii="Arial" w:cs="Arial" w:eastAsia="Arial" w:hAnsi="Arial"/>
          <w:sz w:val="23"/>
          <w:szCs w:val="23"/>
          <w:color w:val="auto"/>
          <w:vertAlign w:val="superscript"/>
        </w:rPr>
      </w:pPr>
      <w:r>
        <w:rPr>
          <w:rFonts w:ascii="Arial" w:cs="Arial" w:eastAsia="Arial" w:hAnsi="Arial"/>
          <w:sz w:val="14"/>
          <w:szCs w:val="14"/>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of these measures with respect to the most directly comparable financial measures calculated and presented in accordance with IFRS, please refer to Exhibit II at the end of this press release.</w:t>
      </w:r>
    </w:p>
    <w:p>
      <w:pPr>
        <w:ind w:left="340" w:right="400" w:hanging="332"/>
        <w:spacing w:after="0" w:line="182" w:lineRule="auto"/>
        <w:tabs>
          <w:tab w:leader="none" w:pos="328" w:val="left"/>
        </w:tabs>
        <w:numPr>
          <w:ilvl w:val="0"/>
          <w:numId w:val="913"/>
        </w:numPr>
        <w:rPr>
          <w:rFonts w:ascii="Arial" w:cs="Arial" w:eastAsia="Arial" w:hAnsi="Arial"/>
          <w:sz w:val="23"/>
          <w:szCs w:val="23"/>
          <w:color w:val="auto"/>
          <w:vertAlign w:val="superscript"/>
        </w:rPr>
      </w:pPr>
      <w:r>
        <w:rPr>
          <w:rFonts w:ascii="Arial" w:cs="Arial" w:eastAsia="Arial" w:hAnsi="Arial"/>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ind w:left="340" w:right="80" w:hanging="332"/>
        <w:spacing w:after="0" w:line="191" w:lineRule="auto"/>
        <w:tabs>
          <w:tab w:leader="none" w:pos="328" w:val="left"/>
        </w:tabs>
        <w:numPr>
          <w:ilvl w:val="0"/>
          <w:numId w:val="913"/>
        </w:numPr>
        <w:rPr>
          <w:rFonts w:ascii="Arial" w:cs="Arial" w:eastAsia="Arial" w:hAnsi="Arial"/>
          <w:sz w:val="23"/>
          <w:szCs w:val="23"/>
          <w:color w:val="auto"/>
          <w:vertAlign w:val="superscript"/>
        </w:rPr>
      </w:pPr>
      <w:r>
        <w:rPr>
          <w:rFonts w:ascii="Arial" w:cs="Arial" w:eastAsia="Arial" w:hAnsi="Arial"/>
          <w:sz w:val="14"/>
          <w:szCs w:val="14"/>
          <w:color w:val="auto"/>
        </w:rPr>
        <w:t>Distribution coverage ratio represents the ratio of Distributable cash flow to the cash distribution declared. Distributable cash flow is a non-GAAP financial measure and should not be used in isolation or as a substitute for GasLog Partners’ financial results presented in accordance with IFRS. For the definition and reconciliation of Distributable cash flow to the most directly comparable financial measure calculated and presented in accordance with IFRS, please refer to Exhibit III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jc w:val="both"/>
        <w:ind w:right="240"/>
        <w:spacing w:after="0" w:line="305" w:lineRule="auto"/>
        <w:rPr>
          <w:sz w:val="20"/>
          <w:szCs w:val="20"/>
          <w:color w:val="auto"/>
        </w:rPr>
      </w:pPr>
      <w:r>
        <w:rPr>
          <w:rFonts w:ascii="Arial" w:cs="Arial" w:eastAsia="Arial" w:hAnsi="Arial"/>
          <w:sz w:val="15"/>
          <w:szCs w:val="15"/>
          <w:color w:val="auto"/>
        </w:rPr>
        <w:t>Mr. Andrew Orekar, Chief Executive Officer, commented: “I am pleased to announce another solid quarter for the Partnership, delivered despite the continued challenges presented by the COVID-19 pandemic. There remains significant uncertainty in our operating and commercial environment as a result of COVID-19, and in response the Partnership continues to seek ways to increase vessel utilization while our capital allocation prioritizes debt repayment.</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 this end, in the second quarter of 2020, we signed a new, two-year time charter for one of our Steam vessels, increasing our charter coverage to 86% for the remainder of 2020 and 59% for 2021, and retired $23.1 million of debt, bringing our total for the year-to-date to $55.8 million. We also published our inaugural Sustainability Report for 2019, in which we highlight our clear vision and commitment from our board of directors to a sustainability strategy.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we closed $454.0 million of new debt facilities, successfully refinancing our 2021 debt maturities in full. The refinancing provides an incremental $14.9 million of liquidity and, following the transaction, the Partnership’s nearest debt maturity is not until 2024.</w:t>
      </w:r>
    </w:p>
    <w:p>
      <w:pPr>
        <w:spacing w:after="0" w:line="17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Lastly, today we are announcing a distribution of $0.125 per common unit for the second quarter, unchanged from the first quarter of 2020, and a 33% payout of our Adjusted EPU.”</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COVID-19 Update</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Given the current uncertainty in relation to COVID-19, we have disclosed certain risks and uncertainties in our Form 6-K for the three months ended June 30, 2020 (refer to Exhibit 99.2), which also updates the risk factors described in our Annual Report on Form 20-F filed with the SEC on March 3, 2020 and Quarterly Report on Form 6-K filed with the SEC on May 7,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GasLog Partners’ and GasLog’s focus continues to be on ensuring the health and safety of our employees while providing safe and reliable operations for our customers.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2" w:name="page353"/>
    <w:bookmarkEnd w:id="352"/>
    <w:p>
      <w:pPr>
        <w:jc w:val="both"/>
        <w:ind w:left="660" w:hanging="328"/>
        <w:spacing w:after="0" w:line="257" w:lineRule="auto"/>
        <w:tabs>
          <w:tab w:leader="none" w:pos="745" w:val="left"/>
        </w:tabs>
        <w:numPr>
          <w:ilvl w:val="0"/>
          <w:numId w:val="914"/>
        </w:numPr>
        <w:rPr>
          <w:rFonts w:ascii="Arial" w:cs="Arial" w:eastAsia="Arial" w:hAnsi="Arial"/>
          <w:sz w:val="18"/>
          <w:szCs w:val="18"/>
          <w:color w:val="auto"/>
        </w:rPr>
      </w:pPr>
      <w:r>
        <w:rPr>
          <w:rFonts w:ascii="Arial" w:cs="Arial" w:eastAsia="Arial" w:hAnsi="Arial"/>
          <w:sz w:val="16"/>
          <w:szCs w:val="16"/>
          <w:color w:val="auto"/>
        </w:rPr>
        <w:t>Beginning on June 1, 2020, employees at our Piraeus, Greece location returned to the office on a rotational basis at a capacity of approximately 50.0%. Piraeus office personnel have been provided with the appropriate personal protective equipment and modifications were made to the office’s floor plan to ensure social distancing; plexiglass dividers were installed and enhanced cleaning procedures have been enacted. All other onshore locations continue under a “work from home” policy in accordance with local guidelines and regulations;</w:t>
      </w:r>
    </w:p>
    <w:p>
      <w:pPr>
        <w:spacing w:after="0" w:line="10" w:lineRule="exact"/>
        <w:rPr>
          <w:rFonts w:ascii="Arial" w:cs="Arial" w:eastAsia="Arial" w:hAnsi="Arial"/>
          <w:sz w:val="18"/>
          <w:szCs w:val="18"/>
          <w:color w:val="auto"/>
        </w:rPr>
      </w:pPr>
    </w:p>
    <w:p>
      <w:pPr>
        <w:ind w:left="660" w:hanging="328"/>
        <w:spacing w:after="0" w:line="266" w:lineRule="auto"/>
        <w:tabs>
          <w:tab w:leader="none" w:pos="624" w:val="left"/>
        </w:tabs>
        <w:numPr>
          <w:ilvl w:val="0"/>
          <w:numId w:val="914"/>
        </w:numPr>
        <w:rPr>
          <w:rFonts w:ascii="Arial" w:cs="Arial" w:eastAsia="Arial" w:hAnsi="Arial"/>
          <w:sz w:val="17"/>
          <w:szCs w:val="17"/>
          <w:color w:val="auto"/>
        </w:rPr>
      </w:pPr>
      <w:r>
        <w:rPr>
          <w:rFonts w:ascii="Arial" w:cs="Arial" w:eastAsia="Arial" w:hAnsi="Arial"/>
          <w:sz w:val="15"/>
          <w:szCs w:val="15"/>
          <w:color w:val="auto"/>
        </w:rPr>
        <w:t>Crew changes continue to be planned at every opportunity and to date GasLog has been able to rotate approximately 80.0% of the officers and a smaller percentage of the other ranks. The majority of the crew rotation difficulties we face, are due to continued lockdowns in Singapore and the Philippines; and</w:t>
      </w:r>
    </w:p>
    <w:p>
      <w:pPr>
        <w:spacing w:after="0" w:line="10" w:lineRule="exact"/>
        <w:rPr>
          <w:rFonts w:ascii="Arial" w:cs="Arial" w:eastAsia="Arial" w:hAnsi="Arial"/>
          <w:sz w:val="17"/>
          <w:szCs w:val="17"/>
          <w:color w:val="auto"/>
        </w:rPr>
      </w:pPr>
    </w:p>
    <w:p>
      <w:pPr>
        <w:ind w:left="660" w:hanging="328"/>
        <w:spacing w:after="0" w:line="263" w:lineRule="auto"/>
        <w:tabs>
          <w:tab w:leader="none" w:pos="799" w:val="left"/>
        </w:tabs>
        <w:numPr>
          <w:ilvl w:val="0"/>
          <w:numId w:val="914"/>
        </w:numPr>
        <w:rPr>
          <w:rFonts w:ascii="Arial" w:cs="Arial" w:eastAsia="Arial" w:hAnsi="Arial"/>
          <w:sz w:val="18"/>
          <w:szCs w:val="18"/>
          <w:color w:val="auto"/>
        </w:rPr>
      </w:pPr>
      <w:r>
        <w:rPr>
          <w:rFonts w:ascii="Arial" w:cs="Arial" w:eastAsia="Arial" w:hAnsi="Arial"/>
          <w:sz w:val="16"/>
          <w:szCs w:val="16"/>
          <w:color w:val="auto"/>
        </w:rPr>
        <w:t>As a result of these measures, and the dedication of employees onshore and aboard our vessels, approximately 100% of our fleet continues to be available for commercial use.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COVID-19 placed downward pressure on economic activity and energy demand during the second quarter and there remains significant uncertainty regarding near-term LNG demand and, therefore, LNG shipping requirements.</w:t>
      </w:r>
    </w:p>
    <w:p>
      <w:pPr>
        <w:spacing w:after="0" w:line="185" w:lineRule="exact"/>
        <w:rPr>
          <w:sz w:val="20"/>
          <w:szCs w:val="20"/>
          <w:color w:val="auto"/>
        </w:rPr>
      </w:pPr>
    </w:p>
    <w:p>
      <w:pPr>
        <w:ind w:left="620" w:hanging="288"/>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6"/>
          <w:szCs w:val="16"/>
          <w:color w:val="auto"/>
        </w:rPr>
        <w:t>The Partnership’s charter coverage for the remainder of 2020 is 86%;</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has led to greater volatility in spot rates;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5"/>
        </w:numPr>
        <w:rPr>
          <w:rFonts w:ascii="Arial" w:cs="Arial" w:eastAsia="Arial" w:hAnsi="Arial"/>
          <w:sz w:val="18"/>
          <w:szCs w:val="18"/>
          <w:color w:val="auto"/>
        </w:rPr>
      </w:pPr>
      <w:r>
        <w:rPr>
          <w:rFonts w:ascii="Arial" w:cs="Arial" w:eastAsia="Arial" w:hAnsi="Arial"/>
          <w:sz w:val="16"/>
          <w:szCs w:val="16"/>
          <w:color w:val="auto"/>
        </w:rPr>
        <w:t>The utilization and earnings of our vessels trading in the spot market may be materially lower than their earnings under their initial multi-year charters.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sustained impact on global capital and bank credit markets, affecting access, timing and cost of capital.</w:t>
      </w:r>
    </w:p>
    <w:p>
      <w:pPr>
        <w:spacing w:after="0" w:line="248" w:lineRule="exact"/>
        <w:rPr>
          <w:sz w:val="20"/>
          <w:szCs w:val="20"/>
          <w:color w:val="auto"/>
        </w:rPr>
      </w:pPr>
    </w:p>
    <w:p>
      <w:pPr>
        <w:ind w:left="660" w:right="20" w:hanging="328"/>
        <w:spacing w:after="0" w:line="250" w:lineRule="auto"/>
        <w:tabs>
          <w:tab w:leader="none" w:pos="705" w:val="left"/>
        </w:tabs>
        <w:numPr>
          <w:ilvl w:val="0"/>
          <w:numId w:val="916"/>
        </w:numPr>
        <w:rPr>
          <w:rFonts w:ascii="Arial" w:cs="Arial" w:eastAsia="Arial" w:hAnsi="Arial"/>
          <w:sz w:val="18"/>
          <w:szCs w:val="18"/>
          <w:color w:val="auto"/>
        </w:rPr>
      </w:pPr>
      <w:r>
        <w:rPr>
          <w:rFonts w:ascii="Arial" w:cs="Arial" w:eastAsia="Arial" w:hAnsi="Arial"/>
          <w:sz w:val="16"/>
          <w:szCs w:val="16"/>
          <w:color w:val="auto"/>
        </w:rPr>
        <w:t>Notwithstanding COVID-19, we have refinanced in full the Partnership’s debt maturities due in 2021 with two new credit facilities representing a total of $454.0 million, strengthening the balance sheet and delivering $14.9 million of incremental liquidity to the Partnership.</w:t>
      </w:r>
    </w:p>
    <w:p>
      <w:pPr>
        <w:spacing w:after="0" w:line="11" w:lineRule="exact"/>
        <w:rPr>
          <w:rFonts w:ascii="Arial" w:cs="Arial" w:eastAsia="Arial" w:hAnsi="Arial"/>
          <w:sz w:val="18"/>
          <w:szCs w:val="18"/>
          <w:color w:val="auto"/>
        </w:rPr>
      </w:pPr>
    </w:p>
    <w:p>
      <w:pPr>
        <w:ind w:left="660" w:right="380" w:hanging="328"/>
        <w:spacing w:after="0" w:line="263" w:lineRule="auto"/>
        <w:tabs>
          <w:tab w:leader="none" w:pos="624" w:val="left"/>
        </w:tabs>
        <w:numPr>
          <w:ilvl w:val="0"/>
          <w:numId w:val="916"/>
        </w:numPr>
        <w:rPr>
          <w:rFonts w:ascii="Arial" w:cs="Arial" w:eastAsia="Arial" w:hAnsi="Arial"/>
          <w:sz w:val="18"/>
          <w:szCs w:val="18"/>
          <w:color w:val="auto"/>
        </w:rPr>
      </w:pPr>
      <w:r>
        <w:rPr>
          <w:rFonts w:ascii="Arial" w:cs="Arial" w:eastAsia="Arial" w:hAnsi="Arial"/>
          <w:sz w:val="16"/>
          <w:szCs w:val="16"/>
          <w:color w:val="auto"/>
        </w:rPr>
        <w:t>As of June 30, 2020, we recognized a non-cash impairment loss of $18.8 million in aggregate on certain of our Steam vessels due to uncertainty regarding the effects of COVID-19 in the short-term spot market, as discussed in the Commercial update above.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25"/>
        </w:trPr>
        <w:tc>
          <w:tcPr>
            <w:tcW w:w="138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w w:val="94"/>
              </w:rPr>
              <w:t>IFRS Common Control Reported Results</w:t>
            </w:r>
            <w:r>
              <w:rPr>
                <w:rFonts w:ascii="Arial" w:cs="Arial" w:eastAsia="Arial" w:hAnsi="Arial"/>
                <w:sz w:val="21"/>
                <w:szCs w:val="21"/>
                <w:b w:val="1"/>
                <w:bCs w:val="1"/>
                <w:color w:val="auto"/>
                <w:w w:val="94"/>
                <w:vertAlign w:val="superscript"/>
              </w:rPr>
              <w:t>(1)</w:t>
            </w:r>
            <w:r>
              <w:rPr>
                <w:rFonts w:ascii="Arial" w:cs="Arial" w:eastAsia="Arial" w:hAnsi="Arial"/>
                <w:sz w:val="16"/>
                <w:szCs w:val="16"/>
                <w:b w:val="1"/>
                <w:bCs w:val="1"/>
                <w:color w:val="auto"/>
                <w:w w:val="94"/>
              </w:rPr>
              <w:t xml:space="preserve"> and</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7"/>
          </w:tcPr>
          <w:p>
            <w:pPr>
              <w:jc w:val="right"/>
              <w:ind w:right="820"/>
              <w:spacing w:after="0" w:line="217" w:lineRule="exact"/>
              <w:rPr>
                <w:sz w:val="20"/>
                <w:szCs w:val="20"/>
                <w:color w:val="auto"/>
              </w:rPr>
            </w:pPr>
            <w:r>
              <w:rPr>
                <w:rFonts w:ascii="Arial" w:cs="Arial" w:eastAsia="Arial" w:hAnsi="Arial"/>
                <w:sz w:val="16"/>
                <w:szCs w:val="16"/>
                <w:b w:val="1"/>
                <w:bCs w:val="1"/>
                <w:color w:val="auto"/>
              </w:rPr>
              <w:t>Partnership Performance Results</w:t>
            </w:r>
            <w:r>
              <w:rPr>
                <w:rFonts w:ascii="Arial" w:cs="Arial" w:eastAsia="Arial" w:hAnsi="Arial"/>
                <w:sz w:val="21"/>
                <w:szCs w:val="21"/>
                <w:b w:val="1"/>
                <w:bCs w:val="1"/>
                <w:color w:val="auto"/>
                <w:vertAlign w:val="superscript"/>
              </w:rPr>
              <w:t>(2)</w:t>
            </w: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13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0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w w:val="89"/>
              </w:rPr>
              <w:t>For the three months ended</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 Change from</w:t>
            </w:r>
          </w:p>
        </w:tc>
        <w:tc>
          <w:tcPr>
            <w:tcW w:w="60" w:type="dxa"/>
            <w:vAlign w:val="bottom"/>
          </w:tcPr>
          <w:p>
            <w:pPr>
              <w:spacing w:after="0"/>
              <w:rPr>
                <w:sz w:val="17"/>
                <w:szCs w:val="17"/>
                <w:color w:val="auto"/>
              </w:rPr>
            </w:pPr>
          </w:p>
        </w:tc>
      </w:tr>
      <w:tr>
        <w:trPr>
          <w:trHeight w:val="188"/>
        </w:trPr>
        <w:tc>
          <w:tcPr>
            <w:tcW w:w="1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7"/>
              </w:rPr>
              <w:t>March 31,</w:t>
            </w: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60" w:type="dxa"/>
            <w:vAlign w:val="bottom"/>
          </w:tcPr>
          <w:p>
            <w:pPr>
              <w:spacing w:after="0"/>
              <w:rPr>
                <w:sz w:val="16"/>
                <w:szCs w:val="16"/>
                <w:color w:val="auto"/>
              </w:rPr>
            </w:pPr>
          </w:p>
        </w:tc>
      </w:tr>
      <w:tr>
        <w:trPr>
          <w:trHeight w:val="213"/>
        </w:trPr>
        <w:tc>
          <w:tcPr>
            <w:tcW w:w="424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212"/>
        </w:trPr>
        <w:tc>
          <w:tcPr>
            <w:tcW w:w="4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1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84,448</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(8%)</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r>
      <w:tr>
        <w:trPr>
          <w:trHeight w:val="226"/>
        </w:trPr>
        <w:tc>
          <w:tcPr>
            <w:tcW w:w="4240" w:type="dxa"/>
            <w:vAlign w:val="bottom"/>
            <w:gridSpan w:val="2"/>
          </w:tcPr>
          <w:p>
            <w:pPr>
              <w:spacing w:after="0"/>
              <w:rPr>
                <w:sz w:val="20"/>
                <w:szCs w:val="20"/>
                <w:color w:val="auto"/>
              </w:rPr>
            </w:pPr>
            <w:r>
              <w:rPr>
                <w:rFonts w:ascii="Arial" w:cs="Arial" w:eastAsia="Arial" w:hAnsi="Arial"/>
                <w:sz w:val="16"/>
                <w:szCs w:val="16"/>
                <w:color w:val="auto"/>
              </w:rPr>
              <w:t>Profit</w:t>
            </w:r>
          </w:p>
        </w:tc>
        <w:tc>
          <w:tcPr>
            <w:tcW w:w="1180" w:type="dxa"/>
            <w:vAlign w:val="bottom"/>
          </w:tcPr>
          <w:p>
            <w:pPr>
              <w:jc w:val="right"/>
              <w:spacing w:after="0"/>
              <w:rPr>
                <w:sz w:val="20"/>
                <w:szCs w:val="20"/>
                <w:color w:val="auto"/>
              </w:rPr>
            </w:pPr>
            <w:r>
              <w:rPr>
                <w:rFonts w:ascii="Arial" w:cs="Arial" w:eastAsia="Arial" w:hAnsi="Arial"/>
                <w:sz w:val="16"/>
                <w:szCs w:val="16"/>
                <w:color w:val="auto"/>
              </w:rPr>
              <w:t>19,143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8,213</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33"/>
        </w:trPr>
        <w:tc>
          <w:tcPr>
            <w:tcW w:w="4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0.25</w:t>
            </w:r>
          </w:p>
        </w:tc>
        <w:tc>
          <w:tcPr>
            <w:tcW w:w="1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0.01</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(95%)</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20"/>
                <w:szCs w:val="20"/>
                <w:color w:val="auto"/>
              </w:rPr>
            </w:pPr>
          </w:p>
        </w:tc>
      </w:tr>
      <w:tr>
        <w:trPr>
          <w:trHeight w:val="230"/>
        </w:trPr>
        <w:tc>
          <w:tcPr>
            <w:tcW w:w="4240" w:type="dxa"/>
            <w:vAlign w:val="bottom"/>
            <w:gridSpan w:val="2"/>
          </w:tcPr>
          <w:p>
            <w:pPr>
              <w:spacing w:after="0" w:line="230"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27,789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25,619</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240" w:type="dxa"/>
            <w:vAlign w:val="bottom"/>
            <w:gridSpan w:val="2"/>
            <w:shd w:val="clear" w:color="auto" w:fill="E5FFFF"/>
          </w:tcPr>
          <w:p>
            <w:pPr>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(3)</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67,503</w:t>
            </w:r>
          </w:p>
        </w:tc>
        <w:tc>
          <w:tcPr>
            <w:tcW w:w="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64,201</w:t>
            </w:r>
          </w:p>
        </w:tc>
        <w:tc>
          <w:tcPr>
            <w:tcW w:w="1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60,350</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(11%)</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9"/>
                <w:szCs w:val="19"/>
                <w:color w:val="auto"/>
              </w:rPr>
            </w:pPr>
          </w:p>
        </w:tc>
      </w:tr>
      <w:tr>
        <w:trPr>
          <w:trHeight w:val="230"/>
        </w:trPr>
        <w:tc>
          <w:tcPr>
            <w:tcW w:w="4240" w:type="dxa"/>
            <w:vAlign w:val="bottom"/>
            <w:gridSpan w:val="2"/>
          </w:tcPr>
          <w:p>
            <w:pPr>
              <w:spacing w:after="0" w:line="230" w:lineRule="exact"/>
              <w:rPr>
                <w:sz w:val="20"/>
                <w:szCs w:val="20"/>
                <w:color w:val="auto"/>
              </w:rPr>
            </w:pPr>
            <w:r>
              <w:rPr>
                <w:rFonts w:ascii="Arial" w:cs="Arial" w:eastAsia="Arial" w:hAnsi="Arial"/>
                <w:sz w:val="16"/>
                <w:szCs w:val="16"/>
                <w:color w:val="auto"/>
              </w:rPr>
              <w:t>Adjusted EPU, common (basic)</w:t>
            </w:r>
            <w:r>
              <w:rPr>
                <w:rFonts w:ascii="Arial" w:cs="Arial" w:eastAsia="Arial" w:hAnsi="Arial"/>
                <w:sz w:val="21"/>
                <w:szCs w:val="21"/>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0.44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0.38</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240" w:type="dxa"/>
            <w:vAlign w:val="bottom"/>
            <w:gridSpan w:val="2"/>
            <w:shd w:val="clear" w:color="auto" w:fill="E5FFFF"/>
          </w:tcPr>
          <w:p>
            <w:pPr>
              <w:spacing w:after="0" w:line="230"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(3)</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29,399</w:t>
            </w:r>
          </w:p>
        </w:tc>
        <w:tc>
          <w:tcPr>
            <w:tcW w:w="1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27,356</w:t>
            </w:r>
          </w:p>
        </w:tc>
        <w:tc>
          <w:tcPr>
            <w:tcW w:w="1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25,328</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(14%)</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9"/>
                <w:szCs w:val="19"/>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6"/>
                <w:szCs w:val="16"/>
                <w:color w:val="auto"/>
              </w:rPr>
              <w:t>Cash distributions declared</w:t>
            </w:r>
          </w:p>
        </w:tc>
        <w:tc>
          <w:tcPr>
            <w:tcW w:w="1180" w:type="dxa"/>
            <w:vAlign w:val="bottom"/>
          </w:tcPr>
          <w:p>
            <w:pPr>
              <w:jc w:val="right"/>
              <w:spacing w:after="0"/>
              <w:rPr>
                <w:sz w:val="20"/>
                <w:szCs w:val="20"/>
                <w:color w:val="auto"/>
              </w:rPr>
            </w:pPr>
            <w:r>
              <w:rPr>
                <w:rFonts w:ascii="Arial" w:cs="Arial" w:eastAsia="Arial" w:hAnsi="Arial"/>
                <w:sz w:val="16"/>
                <w:szCs w:val="16"/>
                <w:color w:val="auto"/>
              </w:rPr>
              <w:t>26,640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5,970</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(78%)</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r>
    </w:tbl>
    <w:p>
      <w:pPr>
        <w:spacing w:after="0" w:line="200" w:lineRule="exact"/>
        <w:rPr>
          <w:sz w:val="20"/>
          <w:szCs w:val="20"/>
          <w:color w:val="auto"/>
        </w:rPr>
      </w:pPr>
    </w:p>
    <w:p>
      <w:pPr>
        <w:spacing w:after="0" w:line="219" w:lineRule="exact"/>
        <w:rPr>
          <w:sz w:val="20"/>
          <w:szCs w:val="20"/>
          <w:color w:val="auto"/>
        </w:rPr>
      </w:pPr>
    </w:p>
    <w:p>
      <w:pPr>
        <w:ind w:left="660" w:right="160" w:hanging="328"/>
        <w:spacing w:after="0" w:line="201" w:lineRule="auto"/>
        <w:tabs>
          <w:tab w:leader="none" w:pos="648" w:val="left"/>
        </w:tabs>
        <w:numPr>
          <w:ilvl w:val="0"/>
          <w:numId w:val="917"/>
        </w:numPr>
        <w:rPr>
          <w:rFonts w:ascii="Arial" w:cs="Arial" w:eastAsia="Arial" w:hAnsi="Arial"/>
          <w:sz w:val="23"/>
          <w:szCs w:val="23"/>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transfers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4" w:lineRule="exact"/>
        <w:rPr>
          <w:rFonts w:ascii="Arial" w:cs="Arial" w:eastAsia="Arial" w:hAnsi="Arial"/>
          <w:sz w:val="23"/>
          <w:szCs w:val="23"/>
          <w:color w:val="auto"/>
          <w:vertAlign w:val="superscript"/>
        </w:rPr>
      </w:pPr>
    </w:p>
    <w:p>
      <w:pPr>
        <w:ind w:left="660" w:right="40" w:hanging="328"/>
        <w:spacing w:after="0" w:line="228" w:lineRule="auto"/>
        <w:tabs>
          <w:tab w:leader="none" w:pos="648" w:val="left"/>
        </w:tabs>
        <w:numPr>
          <w:ilvl w:val="0"/>
          <w:numId w:val="917"/>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of these measurements with respect to the most directly comparable financial measures presented in accordance with IFRS, please refer to Exhibit II at the end of this press release.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53" w:name="page354"/>
    <w:bookmarkEnd w:id="353"/>
    <w:p>
      <w:pPr>
        <w:ind w:left="660" w:right="160" w:hanging="328"/>
        <w:spacing w:after="0" w:line="196" w:lineRule="auto"/>
        <w:tabs>
          <w:tab w:leader="none" w:pos="648" w:val="left"/>
        </w:tabs>
        <w:numPr>
          <w:ilvl w:val="0"/>
          <w:numId w:val="918"/>
        </w:numPr>
        <w:rPr>
          <w:rFonts w:ascii="Arial" w:cs="Arial" w:eastAsia="Arial" w:hAnsi="Arial"/>
          <w:sz w:val="23"/>
          <w:szCs w:val="23"/>
          <w:color w:val="auto"/>
          <w:vertAlign w:val="superscript"/>
        </w:rPr>
      </w:pPr>
      <w:r>
        <w:rPr>
          <w:rFonts w:ascii="Arial" w:cs="Arial" w:eastAsia="Arial" w:hAnsi="Arial"/>
          <w:sz w:val="14"/>
          <w:szCs w:val="14"/>
          <w:color w:val="auto"/>
        </w:rPr>
        <w:t>Adjusted Profit, Adjusted EBITDA, Adjusted EPU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There were 1,318 revenue operating days for the quarter ended June 30, 2020 compared to 1,273 revenue operating days for the quarter ended March 31, 2020 and 1,340 revenue operating days for the quarter ended June 30, 2019.</w:t>
      </w:r>
    </w:p>
    <w:p>
      <w:pPr>
        <w:spacing w:after="0" w:line="172" w:lineRule="exact"/>
        <w:rPr>
          <w:sz w:val="20"/>
          <w:szCs w:val="20"/>
          <w:color w:val="auto"/>
        </w:rPr>
      </w:pPr>
    </w:p>
    <w:p>
      <w:pPr>
        <w:ind w:right="20"/>
        <w:spacing w:after="0" w:line="335" w:lineRule="auto"/>
        <w:rPr>
          <w:sz w:val="20"/>
          <w:szCs w:val="20"/>
          <w:color w:val="auto"/>
        </w:rPr>
      </w:pPr>
      <w:r>
        <w:rPr>
          <w:rFonts w:ascii="Arial" w:cs="Arial" w:eastAsia="Arial" w:hAnsi="Arial"/>
          <w:sz w:val="14"/>
          <w:szCs w:val="14"/>
          <w:color w:val="auto"/>
        </w:rPr>
        <w:t>The decrease in profit in the second quarter of 2020 as compared to the same period in 2019 is mainly attributable to a non-cash impairment loss of $18.8 million recognized on certain of the Partnership’s Steam vessels in the three months ended June 30, 2020 (refer to “Impairment Loss on Vessels” below), partially offset by a $10.1 million net decrease in loss from the mark-to-market valuation of the derivatives attributable to the Partnership, which were carried at fair value through profit or loss.</w:t>
      </w:r>
    </w:p>
    <w:p>
      <w:pPr>
        <w:spacing w:after="0" w:line="149"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The decrease in profit in the second quarter of 2020 as compared to the first quarter of 2020 is mainly attributable to the non-cash impairment loss mentioned above, partially offset by a decrease of $15.1 million in mark-to-market loss on derivatives.</w:t>
      </w:r>
    </w:p>
    <w:p>
      <w:pPr>
        <w:spacing w:after="0" w:line="17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 xml:space="preserve">The decrease in Adjusted EBITDA in the second quarter of 2020 as compared to the same period in 2019 is mainly attributable to a decrease in revenues of $7.4 million, due in part to the expirations of the initial multi-year time charters of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in October 2019, January 2020 and April 2020, respectively, which reflects the increased volatility in spot rates in the second quarter of 2020. This was partially offset by a net decrease of $0.9 million in vessel operating costs and voyage expenses and commissions, as well as a decrease of $0.3 million in general and administrative expenses.</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The decrease in Adjusted EBITDA in the second quarter of 2020 as compared to the first quarter of 2020 is mainly attributable to a decrease in revenues of $6.9 million, due in part to the expirations of the time charters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in April 2020 and May 2020, respectively, which reflects the combined impact of COVID-19 and normal seasonality that has led to greater volatility in spot rates in the second quarter of 2020. This was partially offset by a decrease of $3.3 million in vessel operating costs and voyage expenses and commissions.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Refinancing</w:t>
      </w:r>
    </w:p>
    <w:p>
      <w:pPr>
        <w:spacing w:after="0" w:line="239"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$8.6 million beginning in January 2021, with a final balloon amount of $174.3 million payable concurrently with the last installment in July 2025. Interest on the facility will be payable at a rate of U.S. dollar (“USD”) London Interbank Offered Rate (“LIBOR”) plus a margin. The relevant amount of $260.3 million was drawn on July 21, 2020, out of which $258.5 million was used to refinance the outstanding indebtedness of GAS-twenty Ltd., GAS-seven Ltd. and GAS-eight Ltd., the respective entities owning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w:t>
      </w:r>
    </w:p>
    <w:p>
      <w:pPr>
        <w:spacing w:after="0" w:line="163"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 xml:space="preserve">Also on July 16, 2020, GasLog Partners entered into a credit agreement of $193.7 million with DNB Bank ASA, London Branch, and ING Bank N.V., London Branch, each an original lender, with DNB Bank ASA, London Branch acting as security agent and trustee for and on behalf of the other finance parties mentioned above, in order to refinance the existing indebtedness due in 2021 on three of its vessels. The facility will amortize over ten equal semi-annual installments of $8.6 million beginning in January 2021, with a final balloon amount of $107.7 million payable concurrently with the last installment in July 2025. Interest on the facility will be payable at a rate of USD LIBOR plus a margin. DNB Bank ASA, London Branch and ING Bank N.V., London Branch were also registered as hedging providers under the facility. The relevant amount of $193.7 million was drawn on July 21, 2020, out of which $174.9 million was used to refinance the outstanding indebtedness of GAS-nineteen Ltd., GAS-twenty one Ltd. and GAS-twenty seven Ltd., the respective entities owning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Becki Anne</w:t>
      </w:r>
      <w:r>
        <w:rPr>
          <w:rFonts w:ascii="Arial" w:cs="Arial" w:eastAsia="Arial" w:hAnsi="Arial"/>
          <w:sz w:val="14"/>
          <w:szCs w:val="14"/>
          <w:color w:val="auto"/>
        </w:rPr>
        <w:t>. Finally, in</w:t>
      </w:r>
    </w:p>
    <w:p>
      <w:pPr>
        <w:spacing w:after="0" w:line="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July 2020, the Partnership entered into four new interest rate swap agreements with an aggregate notional amount of $133.3 million due in 2024 and 2025 with the hedging providers under the facility.</w:t>
      </w:r>
    </w:p>
    <w:p>
      <w:pPr>
        <w:spacing w:after="0" w:line="176"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signing and closing of the two credit facilities described above was completed during a time of unprecedented uncertainty in credit and bank markets and saw participation from new and existing lenders, which underscores the strength and scale of our platform to attract new capital providers, refinance in full our debt maturities due in 2021, strengthen the balance sheet and create additional liquidity.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 xml:space="preserve">Methane Shirley Elisabeth </w:t>
      </w:r>
      <w:r>
        <w:rPr>
          <w:rFonts w:ascii="Arial" w:cs="Arial" w:eastAsia="Arial" w:hAnsi="Arial"/>
          <w:sz w:val="16"/>
          <w:szCs w:val="16"/>
          <w:b w:val="1"/>
          <w:bCs w:val="1"/>
          <w:u w:val="single" w:color="auto"/>
          <w:color w:val="auto"/>
        </w:rPr>
        <w:t>New Charter Agreement</w:t>
      </w:r>
    </w:p>
    <w:p>
      <w:pPr>
        <w:spacing w:after="0" w:line="239" w:lineRule="exact"/>
        <w:rPr>
          <w:sz w:val="20"/>
          <w:szCs w:val="20"/>
          <w:color w:val="auto"/>
        </w:rPr>
      </w:pPr>
    </w:p>
    <w:p>
      <w:pPr>
        <w:jc w:val="both"/>
        <w:ind w:right="40"/>
        <w:spacing w:after="0" w:line="369" w:lineRule="auto"/>
        <w:rPr>
          <w:sz w:val="20"/>
          <w:szCs w:val="20"/>
          <w:color w:val="auto"/>
        </w:rPr>
      </w:pPr>
      <w:r>
        <w:rPr>
          <w:rFonts w:ascii="Arial" w:cs="Arial" w:eastAsia="Arial" w:hAnsi="Arial"/>
          <w:sz w:val="14"/>
          <w:szCs w:val="14"/>
          <w:color w:val="auto"/>
        </w:rPr>
        <w:t xml:space="preserve">On June 2, 2020, GasLog Partners entered into a new time charter agreement for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a 145,000 cubic meters (“cbm”) Steam LNG carrier built in 2007, with a subsidiary of JOVO, a leading independent energy company in China. The charter commenced on July 12, 2020 and has a duration of approximately two years.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Inaugural Sustainability Report</w:t>
      </w:r>
    </w:p>
    <w:p>
      <w:pPr>
        <w:spacing w:after="0" w:line="239"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On June 11, 2020, the Partnership issued its inaugural 2019 Sustainability Report. Although the Partnership relies on GasLog for the management and operations of its fleet, the report presents GasLog Partners’ strategy and commitment toward environmental, social and governance (“ESG”) practices. In addition, the report is transparent in its presentation of operational data, detailing vessel-by-vessel CO</w:t>
      </w:r>
      <w:r>
        <w:rPr>
          <w:rFonts w:ascii="Arial" w:cs="Arial" w:eastAsia="Arial" w:hAnsi="Arial"/>
          <w:sz w:val="18"/>
          <w:szCs w:val="18"/>
          <w:color w:val="auto"/>
          <w:vertAlign w:val="subscript"/>
        </w:rPr>
        <w:t>2</w:t>
      </w:r>
      <w:r>
        <w:rPr>
          <w:rFonts w:ascii="Arial" w:cs="Arial" w:eastAsia="Arial" w:hAnsi="Arial"/>
          <w:sz w:val="14"/>
          <w:szCs w:val="14"/>
          <w:color w:val="auto"/>
        </w:rPr>
        <w:t xml:space="preserve"> emissions, fleetwide methane emission and efficiency indices and also presents the numerous Key Performance Indicators underscoring our ESG commitment. A copy of the report can be found on our website at </w:t>
      </w:r>
      <w:r>
        <w:rPr>
          <w:rFonts w:ascii="Arial" w:cs="Arial" w:eastAsia="Arial" w:hAnsi="Arial"/>
          <w:sz w:val="14"/>
          <w:szCs w:val="14"/>
          <w:u w:val="single" w:color="auto"/>
          <w:color w:val="0000FF"/>
        </w:rPr>
        <w:t>www.gaslogmlp.com/investors/sustainability</w:t>
      </w:r>
      <w:r>
        <w:rPr>
          <w:rFonts w:ascii="Arial" w:cs="Arial" w:eastAsia="Arial" w:hAnsi="Arial"/>
          <w:sz w:val="14"/>
          <w:szCs w:val="14"/>
          <w:color w:val="auto"/>
        </w:rPr>
        <w: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4" w:name="page355"/>
    <w:bookmarkEnd w:id="354"/>
    <w:p>
      <w:pPr>
        <w:spacing w:after="0"/>
        <w:rPr>
          <w:sz w:val="20"/>
          <w:szCs w:val="20"/>
          <w:color w:val="auto"/>
        </w:rPr>
      </w:pPr>
      <w:r>
        <w:rPr>
          <w:rFonts w:ascii="Arial" w:cs="Arial" w:eastAsia="Arial" w:hAnsi="Arial"/>
          <w:sz w:val="16"/>
          <w:szCs w:val="16"/>
          <w:b w:val="1"/>
          <w:bCs w:val="1"/>
          <w:u w:val="single" w:color="auto"/>
          <w:color w:val="auto"/>
        </w:rPr>
        <w:t>GasLog Organizational Update</w:t>
      </w:r>
    </w:p>
    <w:p>
      <w:pPr>
        <w:spacing w:after="0" w:line="239"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Following previous GasLog’s announcements to relocate more of its employees including several members of senior management to Piraeus, Greece, home of our operational platform, in order to enhance execution, efficiency and operational excellence and to reduce overhead costs, we have decided to expand this plan to include GasLog Partners and GasLog’s Stamford office. In addition, we have taken steps to reduce the size of the Partnership’s board of directors from seven members to five and GasLog will be closing its Stamford, Connecticut office.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Chief Executive Officer (“CEO”) Transition</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Andrew Orekar, CEO of GasLog Partners, has informed the Partnership that, as a result of the relocation of his role to Piraeus, Greece, he will be stepping down from his position on September 15, 2020. Paul Wogan, currently CEO of GasLog, will also assume the responsibilities of CEO of GasLog Partners on September 16, 2020. Please see today’s separate press release on this matter.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Impairment Loss on Vessels</w:t>
      </w:r>
    </w:p>
    <w:p>
      <w:pPr>
        <w:spacing w:after="0" w:line="239" w:lineRule="exact"/>
        <w:rPr>
          <w:sz w:val="20"/>
          <w:szCs w:val="20"/>
          <w:color w:val="auto"/>
        </w:rPr>
      </w:pPr>
    </w:p>
    <w:p>
      <w:pPr>
        <w:ind w:right="140"/>
        <w:spacing w:after="0" w:line="324" w:lineRule="auto"/>
        <w:rPr>
          <w:sz w:val="20"/>
          <w:szCs w:val="20"/>
          <w:color w:val="auto"/>
        </w:rPr>
      </w:pPr>
      <w:r>
        <w:rPr>
          <w:rFonts w:ascii="Arial" w:cs="Arial" w:eastAsia="Arial" w:hAnsi="Arial"/>
          <w:sz w:val="14"/>
          <w:szCs w:val="14"/>
          <w:color w:val="auto"/>
        </w:rPr>
        <w:t xml:space="preserve">As of June 30, 2020, the Partnership recognized a non-cash impairment loss of $18.8 million in aggregate on certain of its Steam vessels. The COVID-19 pandemic placed downward pressure on economic activity and energy demand, as well as significant uncertainty regarding future near-term LNG demand and, therefore LNG shipping requirements. This has reduced our expectations for the estimated rates at which employment for our vessels could be secured over the near-term in the spot market. The non-cash impairment loss of $18.8 million was recognized with respect to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Heather Sally.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May 14, 2020,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aggregate cash distributions of $7,582 were paid on June 15, 2020 to all unitholders of record as of June 8,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On August 4, 2020, the board of directors of GasLog Partners approved and declared a quarterly cash distribution of $0.125 per common unit for the quarter ended June 30, 2020. The cash distribution is payable on August 20, 2020 to all unitholders of record as of August 17,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 Repurchase Programme</w:t>
      </w:r>
    </w:p>
    <w:p>
      <w:pPr>
        <w:spacing w:after="0" w:line="239"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On February 5, 2020, the board of directors of GasLog Partners authorized a renewal of the Partnership’s unit repurchase programme, taking the total authority outstanding under the programme to $25.0 million which may be utilized from February 10, 2020 to December 31, 2021. In the three months ended June 30, 2020, GasLog Partners did not repurchase or cancel any of the Partnership’s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No issuances of common units were made in the first six months of 2020 under the Partnership’s ATM Programme of up to $250.0 million. Since the commencement of the ATM Programme through August 5, 2020,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3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As of June 30, 2020, we had $72.2 million of cash and cash equivalents, of which $53.3 million was held in current accounts and $18.9 million was held in time deposits with an original duration of less than three months. As of June 30, 2020, an amount of $15.0 million was held as cash collateral with respect to our derivative instruments with GasLog, pursuant to a Credit Support Annex entered into between GasLog Partners and GasLog in March 2020, which has a maximum cash collateral requirement of $15.0 million and a termination date of December 31, 2020.</w:t>
      </w:r>
    </w:p>
    <w:p>
      <w:pPr>
        <w:spacing w:after="0" w:line="189"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color w:val="auto"/>
        </w:rPr>
        <w:t>As of June 30, 2020, we had an aggregate of $1,319.1 million of borrowings outstanding under our credit facilities, of which $313.0 million is repayable within one year. On July 21, 2020, we drew down $454.0 million under the new facilities entered into on July 16, 2020 and prepaid in full an amount of $433.4 million of aggregate outstanding debt, which would have been due in April and July 2021. In addition, as of June 30, 2020, we had unused availability under our revolving credit facilities of $30.0 million.</w:t>
      </w:r>
    </w:p>
    <w:p>
      <w:pPr>
        <w:spacing w:after="0" w:line="149"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46.8% of its floating interest rate exposure on its outstanding debt as of June 30, 2020, at a weighted average interest rate of approximately 1.9% (excluding margin).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55" w:name="page356"/>
    <w:bookmarkEnd w:id="355"/>
    <w:p>
      <w:pPr>
        <w:ind w:right="20"/>
        <w:spacing w:after="0" w:line="273" w:lineRule="auto"/>
        <w:rPr>
          <w:sz w:val="20"/>
          <w:szCs w:val="20"/>
          <w:color w:val="auto"/>
        </w:rPr>
      </w:pPr>
      <w:r>
        <w:rPr>
          <w:rFonts w:ascii="Arial" w:cs="Arial" w:eastAsia="Arial" w:hAnsi="Arial"/>
          <w:sz w:val="16"/>
          <w:szCs w:val="16"/>
          <w:color w:val="auto"/>
        </w:rPr>
        <w:t xml:space="preserve">As part of the closing of the Partnership’s refinancing in July 2020, the Partnership entered into four new interest rate swap agreements with an aggregate notional amount of $133.3 million due in 2024 and 2025 with the facility lenders DNB Bank ASA, London Branch and ING Bank N.V., London Branch, all secured under the GasLog Partners’ $193.7 million facility agreement signed on July 16, 2020 in relation to the GAS-nineteen Ltd., the GAS-twenty Ltd. and the GAS-twenty seven Ltd., the vessel owning entities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w:t>
      </w:r>
    </w:p>
    <w:p>
      <w:pPr>
        <w:spacing w:after="0" w:line="18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Furthermore, the Partnership has in place six forward foreign exchange contracts with GasLog with a notional value of €9.6 million and 3 forward foreign exchange contracts with GasLog with a notional value of Singapore $0.8 million, with staggered maturities within 2020, to mitigate its foreign exchange transaction exposure in its operating expenses.</w:t>
      </w:r>
    </w:p>
    <w:p>
      <w:pPr>
        <w:spacing w:after="0" w:line="184"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As of June 30, 2020, our current assets totaled $105.9 million and current liabilities totaled $387.2 million, resulting in a negative working capital position of $281.3 million. Current liabilities include $318.3 million of loans due within one year, $243.0 million of which was refinanced on July 16, 2020. 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commercial and financial market conditions, we anticipate that our primary sources of funds over the next 12 months will be available cash, cash from operations and existing debt, including the credit agreements entered into on July 16, 2020, which refinanced in full the debt maturities due in 2021. We believe that these anticipated sources of funds will be sufficient to meet our liquidity needs and to comply with our banking covenants for at least 12 months from the end of the reporting period. Additionally, we may enter into new debt facilities in the future, as well as public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that are beyond our control.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LNG demand was 86 million tonnes (“mt”) in the second quarter of 2020, according to Poten, compared to 87 mt in the second quarter of 2019, or a decrease of approximately 2%. More specifically, Chinese LNG demand was 16 mt in the second quarter of 2020, an increase of 20% year-over-year, while demand from the Middle East was 5 mt, growing over 1 mt, or 39%. In contrast, demand from Asia, excluding China, declined by 4 mt, or 8%, and demand from Europe declined by approximately 1 mt or 3%.</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Global LNG supply was approximately 89 mt in the first quarter of 2020, an increase of 2 mt over the second quarter of 2019, or 2%, according to Poten. Supply from the United States (“U.S.”) increased over 3 mt, or 39%, the result of production increase from new large projects including Cameron and Freeport, while re-exports out of Europe increased by 2 mt, or over 140%. This growth was offset by declines out of the Middle East and North Africa, where supply decreased by over 2 mt, or 8%. Looking ahead, approximately 94 mt of new LNG capacity is expected to begin production during 2020-2025, according to estimates from Wood Mackenzie.</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In the LNG shipping spot market, tri-fuel diesel electric vessel (“TFDE”) headline rates, as reported by Clarksons, averaged $35,000 per day in the second quarter of 2020, a decrease from the averages of $57,000 in the first quarter of 2020 and $49,000 in the second quarter of 2019. Headline spot rates for Steam vessels averaged $23,000 per day in the second quarter of 2020, a decrease from the averages of $40,000 per day in the first quarter of 2020 and $33,000 per day in the second quarter of 2019. Headline spot rates in the second quarter were negatively impacted by declines in LNG demand due, in part, to ongoing impacts from the COVID-19 outbreak to the global economy as well as high inventories of natural gas and LNG, particularly in Europe, which limited opportunities for LNG arbitrage trading between Atlantic and Pacific basins. Clarksons currently assesses headline spot rates for TFDE and Steam LNG carriers at $36,500 per day and $23,000 per day, respectively.</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Although many economies around the world have begun to reopen in various stages, the COVID-19 outbreak continues to create high levels of uncertainty for LNG demand and, therefore, LNG shipping, at least through the near-term. In addition, global gas prices and gas price differentials between the Atlantic and Pacific basins remain near their historic lows, limiting the opportunities for inter-basin trading, as evidenced by the reported cancellation of over 100 cargoes out of the U.S. during the third quarter of 2020. These factors, when combined with scheduled deliveries to the global fleet and usual seasonal trading patterns, have the potential to keep downward pressure on rates in the spot and short-term shipping markets over the near-term. Further ahead, futures curves for global natural gas prices indicate the potential for higher LNG demand and the resumption of inter-basin trading during the Northern Hemisphere winter, which if realized, would be expected to translate into higher utilization for the global LNG carrier fleet.</w:t>
      </w:r>
    </w:p>
    <w:p>
      <w:pPr>
        <w:spacing w:after="0" w:line="19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As of July 31, 2020, the orderbook totals 109 dedicated LNG carriers (&gt;100,000 cbm), according to estimates from Poten, representing 20% of the on-the-water fleet. Of these, 70 vessels (or 64%) have multi-year charters. Orders for newbuild LNG carriers are on pace for their lowest annual total since 2017 as just 6 newbuildings have been ordered so far in 2020, all of which are chartered under multi-year contracts.</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color w:val="auto"/>
        </w:rPr>
        <w:t>GasLog Partners and GasLog will host a joint conference call to discuss their results for the second quarter of 2020 at 8.30 a.m. EDT (3.30 p.m. EEST) on Wednesday, August 5, 2020. Senior management of GasLog and GasLog Partners will review the operational and financial performance of both companies. The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color w:val="auto"/>
        </w:rPr>
        <w:t>+44 20 3107 0289 (United Kingdom)</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1796557</w:t>
      </w:r>
    </w:p>
    <w:p>
      <w:pPr>
        <w:spacing w:after="0" w:line="23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 live webcast of the conference call will also be available on the Investor Relations page of both the GasLog (</w:t>
      </w:r>
      <w:r>
        <w:rPr>
          <w:rFonts w:ascii="Arial" w:cs="Arial" w:eastAsia="Arial" w:hAnsi="Arial"/>
          <w:sz w:val="16"/>
          <w:szCs w:val="16"/>
          <w:u w:val="single" w:color="auto"/>
          <w:color w:val="0000FF"/>
        </w:rPr>
        <w:t>http://www.gaslogltd.com/investors</w:t>
      </w:r>
      <w:r>
        <w:rPr>
          <w:rFonts w:ascii="Arial" w:cs="Arial" w:eastAsia="Arial" w:hAnsi="Arial"/>
          <w:sz w:val="16"/>
          <w:szCs w:val="16"/>
          <w:color w:val="auto"/>
        </w:rPr>
        <w:t>) and GasLog Partners (</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 websites.</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pages of the companies’ websites as referenced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360" w:hanging="328"/>
        <w:spacing w:after="0" w:line="266" w:lineRule="auto"/>
        <w:tabs>
          <w:tab w:leader="none" w:pos="624" w:val="left"/>
        </w:tabs>
        <w:numPr>
          <w:ilvl w:val="0"/>
          <w:numId w:val="919"/>
        </w:numPr>
        <w:rPr>
          <w:rFonts w:ascii="Arial" w:cs="Arial" w:eastAsia="Arial" w:hAnsi="Arial"/>
          <w:sz w:val="17"/>
          <w:szCs w:val="17"/>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jc w:val="both"/>
        <w:ind w:left="660" w:right="220" w:hanging="328"/>
        <w:spacing w:after="0" w:line="255" w:lineRule="auto"/>
        <w:tabs>
          <w:tab w:leader="none" w:pos="624"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the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24" w:val="left"/>
        </w:tabs>
        <w:numPr>
          <w:ilvl w:val="0"/>
          <w:numId w:val="919"/>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9" w:lineRule="exact"/>
        <w:rPr>
          <w:rFonts w:ascii="Arial" w:cs="Arial" w:eastAsia="Arial" w:hAnsi="Arial"/>
          <w:sz w:val="18"/>
          <w:szCs w:val="18"/>
          <w:color w:val="auto"/>
        </w:rPr>
      </w:pPr>
    </w:p>
    <w:p>
      <w:pPr>
        <w:ind w:left="660" w:right="220" w:hanging="328"/>
        <w:spacing w:after="0" w:line="255" w:lineRule="auto"/>
        <w:tabs>
          <w:tab w:leader="none" w:pos="624" w:val="left"/>
        </w:tabs>
        <w:numPr>
          <w:ilvl w:val="0"/>
          <w:numId w:val="919"/>
        </w:numPr>
        <w:rPr>
          <w:rFonts w:ascii="Arial" w:cs="Arial" w:eastAsia="Arial" w:hAnsi="Arial"/>
          <w:sz w:val="18"/>
          <w:szCs w:val="18"/>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19"/>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7" w:name="page358"/>
    <w:bookmarkEnd w:id="357"/>
    <w:p>
      <w:pPr>
        <w:ind w:left="620" w:hanging="288"/>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6"/>
          <w:szCs w:val="16"/>
          <w:color w:val="auto"/>
        </w:rPr>
        <w:t>the impact on us and the shipping industry of environmental concerns,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0"/>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right="360" w:hanging="328"/>
        <w:spacing w:after="0" w:line="255" w:lineRule="auto"/>
        <w:tabs>
          <w:tab w:leader="none" w:pos="624" w:val="left"/>
        </w:tabs>
        <w:numPr>
          <w:ilvl w:val="0"/>
          <w:numId w:val="920"/>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0"/>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60" w:right="40" w:hanging="328"/>
        <w:spacing w:after="0" w:line="263" w:lineRule="auto"/>
        <w:tabs>
          <w:tab w:leader="none" w:pos="624" w:val="left"/>
        </w:tabs>
        <w:numPr>
          <w:ilvl w:val="0"/>
          <w:numId w:val="920"/>
        </w:numPr>
        <w:rPr>
          <w:rFonts w:ascii="Arial" w:cs="Arial" w:eastAsia="Arial" w:hAnsi="Arial"/>
          <w:sz w:val="18"/>
          <w:szCs w:val="18"/>
          <w:color w:val="auto"/>
        </w:rPr>
      </w:pPr>
      <w:r>
        <w:rPr>
          <w:rFonts w:ascii="Arial" w:cs="Arial" w:eastAsia="Arial" w:hAnsi="Arial"/>
          <w:sz w:val="16"/>
          <w:szCs w:val="16"/>
          <w:color w:val="auto"/>
        </w:rPr>
        <w:t xml:space="preserve">other risks and uncertainties described in the Partnership’s Annual Report on Form 20-F filed with the SEC on March 3, 2020 and Quarterly Report on Form 6-K filed with the SEC on May 7, 2020, available at </w:t>
      </w:r>
      <w:r>
        <w:rPr>
          <w:rFonts w:ascii="Arial" w:cs="Arial" w:eastAsia="Arial" w:hAnsi="Arial"/>
          <w:sz w:val="16"/>
          <w:szCs w:val="16"/>
          <w:u w:val="single" w:color="auto"/>
          <w:color w:val="0000FF"/>
        </w:rPr>
        <w:t>http://www.sec.gov</w:t>
      </w:r>
      <w:r>
        <w:rPr>
          <w:rFonts w:ascii="Arial" w:cs="Arial" w:eastAsia="Arial" w:hAnsi="Arial"/>
          <w:sz w:val="16"/>
          <w:szCs w:val="16"/>
          <w:color w:val="auto"/>
        </w:rPr>
        <w:t>.</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Achilleas Tasioulas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+30-210-459-1210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58" w:right="45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11"/>
        </w:trPr>
        <w:tc>
          <w:tcPr>
            <w:tcW w:w="8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b w:val="1"/>
                <w:bCs w:val="1"/>
                <w:color w:val="auto"/>
              </w:rPr>
              <w:t>As of December 31, 2019 and June 30, 2020</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11"/>
        </w:trPr>
        <w:tc>
          <w:tcPr>
            <w:tcW w:w="8120" w:type="dxa"/>
            <w:vAlign w:val="bottom"/>
          </w:tcPr>
          <w:p>
            <w:pPr>
              <w:spacing w:after="0"/>
              <w:rPr>
                <w:sz w:val="24"/>
                <w:szCs w:val="24"/>
                <w:color w:val="auto"/>
              </w:rPr>
            </w:pPr>
          </w:p>
        </w:tc>
        <w:tc>
          <w:tcPr>
            <w:tcW w:w="156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Pr>
          <w:p>
            <w:pPr>
              <w:jc w:val="right"/>
              <w:ind w:right="32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812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2020</w:t>
            </w:r>
          </w:p>
        </w:tc>
      </w:tr>
      <w:tr>
        <w:trPr>
          <w:trHeight w:val="185"/>
        </w:trPr>
        <w:tc>
          <w:tcPr>
            <w:tcW w:w="8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4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128</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285</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Tangible fixed assets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2,286,430</w:t>
            </w:r>
          </w:p>
        </w:tc>
        <w:tc>
          <w:tcPr>
            <w:tcW w:w="1380" w:type="dxa"/>
            <w:vAlign w:val="bottom"/>
          </w:tcPr>
          <w:p>
            <w:pPr>
              <w:jc w:val="right"/>
              <w:spacing w:after="0"/>
              <w:rPr>
                <w:sz w:val="20"/>
                <w:szCs w:val="20"/>
                <w:color w:val="auto"/>
              </w:rPr>
            </w:pPr>
            <w:r>
              <w:rPr>
                <w:rFonts w:ascii="Arial" w:cs="Arial" w:eastAsia="Arial" w:hAnsi="Arial"/>
                <w:sz w:val="16"/>
                <w:szCs w:val="16"/>
                <w:color w:val="auto"/>
              </w:rPr>
              <w:t>2,238,857</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1,033</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759</w:t>
            </w:r>
          </w:p>
        </w:tc>
      </w:tr>
      <w:tr>
        <w:trPr>
          <w:trHeight w:val="196"/>
        </w:trPr>
        <w:tc>
          <w:tcPr>
            <w:tcW w:w="8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2,287,591</w:t>
            </w:r>
          </w:p>
        </w:tc>
        <w:tc>
          <w:tcPr>
            <w:tcW w:w="16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2,239,901</w:t>
            </w:r>
          </w:p>
        </w:tc>
      </w:tr>
      <w:tr>
        <w:trPr>
          <w:trHeight w:val="182"/>
        </w:trPr>
        <w:tc>
          <w:tcPr>
            <w:tcW w:w="8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4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7,147</w:t>
            </w:r>
          </w:p>
        </w:tc>
        <w:tc>
          <w:tcPr>
            <w:tcW w:w="1380" w:type="dxa"/>
            <w:vAlign w:val="bottom"/>
          </w:tcPr>
          <w:p>
            <w:pPr>
              <w:jc w:val="right"/>
              <w:spacing w:after="0"/>
              <w:rPr>
                <w:sz w:val="20"/>
                <w:szCs w:val="20"/>
                <w:color w:val="auto"/>
              </w:rPr>
            </w:pPr>
            <w:r>
              <w:rPr>
                <w:rFonts w:ascii="Arial" w:cs="Arial" w:eastAsia="Arial" w:hAnsi="Arial"/>
                <w:sz w:val="16"/>
                <w:szCs w:val="16"/>
                <w:color w:val="auto"/>
              </w:rPr>
              <w:t>12,943</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3,353</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4,222</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1,597</w:t>
            </w:r>
          </w:p>
        </w:tc>
        <w:tc>
          <w:tcPr>
            <w:tcW w:w="1380" w:type="dxa"/>
            <w:vAlign w:val="bottom"/>
          </w:tcPr>
          <w:p>
            <w:pPr>
              <w:jc w:val="right"/>
              <w:spacing w:after="0"/>
              <w:rPr>
                <w:sz w:val="20"/>
                <w:szCs w:val="20"/>
                <w:color w:val="auto"/>
              </w:rPr>
            </w:pPr>
            <w:r>
              <w:rPr>
                <w:rFonts w:ascii="Arial" w:cs="Arial" w:eastAsia="Arial" w:hAnsi="Arial"/>
                <w:sz w:val="16"/>
                <w:szCs w:val="16"/>
                <w:color w:val="auto"/>
              </w:rPr>
              <w:t>16,526</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372</w:t>
            </w:r>
          </w:p>
        </w:tc>
        <w:tc>
          <w:tcPr>
            <w:tcW w:w="138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rPr>
              <w:t>—</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96,884</w:t>
            </w:r>
          </w:p>
        </w:tc>
        <w:tc>
          <w:tcPr>
            <w:tcW w:w="1380" w:type="dxa"/>
            <w:vAlign w:val="bottom"/>
          </w:tcPr>
          <w:p>
            <w:pPr>
              <w:jc w:val="right"/>
              <w:spacing w:after="0"/>
              <w:rPr>
                <w:sz w:val="20"/>
                <w:szCs w:val="20"/>
                <w:color w:val="auto"/>
              </w:rPr>
            </w:pPr>
            <w:r>
              <w:rPr>
                <w:rFonts w:ascii="Arial" w:cs="Arial" w:eastAsia="Arial" w:hAnsi="Arial"/>
                <w:sz w:val="16"/>
                <w:szCs w:val="16"/>
                <w:color w:val="auto"/>
              </w:rPr>
              <w:t>72,210</w:t>
            </w:r>
          </w:p>
        </w:tc>
      </w:tr>
      <w:tr>
        <w:trPr>
          <w:trHeight w:val="196"/>
        </w:trPr>
        <w:tc>
          <w:tcPr>
            <w:tcW w:w="8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109,353</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105,901</w:t>
            </w:r>
          </w:p>
        </w:tc>
      </w:tr>
      <w:tr>
        <w:trPr>
          <w:trHeight w:val="203"/>
        </w:trPr>
        <w:tc>
          <w:tcPr>
            <w:tcW w:w="8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2,396,944</w:t>
            </w:r>
          </w:p>
        </w:tc>
        <w:tc>
          <w:tcPr>
            <w:tcW w:w="16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2,345,802</w:t>
            </w:r>
          </w:p>
        </w:tc>
      </w:tr>
      <w:tr>
        <w:trPr>
          <w:trHeight w:val="189"/>
        </w:trPr>
        <w:tc>
          <w:tcPr>
            <w:tcW w:w="8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4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 (46,860,182 units issued and outstanding as of December 31, 2019 and 46,737,124 units</w:t>
            </w:r>
          </w:p>
        </w:tc>
        <w:tc>
          <w:tcPr>
            <w:tcW w:w="14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r>
      <w:tr>
        <w:trPr>
          <w:trHeight w:val="212"/>
        </w:trPr>
        <w:tc>
          <w:tcPr>
            <w:tcW w:w="81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issued and outstanding as of June 30, 2020)</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606,811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581,227</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General partner (1,021,336 units issued and outstanding as of December 31, 2019 and June 30, 2020)</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11,271</w:t>
            </w:r>
          </w:p>
        </w:tc>
        <w:tc>
          <w:tcPr>
            <w:tcW w:w="1380" w:type="dxa"/>
            <w:vAlign w:val="bottom"/>
          </w:tcPr>
          <w:p>
            <w:pPr>
              <w:jc w:val="right"/>
              <w:spacing w:after="0"/>
              <w:rPr>
                <w:sz w:val="20"/>
                <w:szCs w:val="20"/>
                <w:color w:val="auto"/>
              </w:rPr>
            </w:pPr>
            <w:r>
              <w:rPr>
                <w:rFonts w:ascii="Arial" w:cs="Arial" w:eastAsia="Arial" w:hAnsi="Arial"/>
                <w:sz w:val="16"/>
                <w:szCs w:val="16"/>
                <w:color w:val="auto"/>
              </w:rPr>
              <w:t>10,735</w:t>
            </w:r>
          </w:p>
        </w:tc>
      </w:tr>
      <w:tr>
        <w:trPr>
          <w:trHeight w:val="19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Preference unitholders (5,750,000 Series A Preference Units, 4,600,000 Series B Preference Units and 4,000,000</w:t>
            </w:r>
          </w:p>
        </w:tc>
        <w:tc>
          <w:tcPr>
            <w:tcW w:w="14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r>
      <w:tr>
        <w:trPr>
          <w:trHeight w:val="212"/>
        </w:trPr>
        <w:tc>
          <w:tcPr>
            <w:tcW w:w="81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Series C Preference Units issued and outstanding as of December 31, 2019 and June 30, 2020)</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347,889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347,889</w:t>
            </w:r>
          </w:p>
        </w:tc>
      </w:tr>
      <w:tr>
        <w:trPr>
          <w:trHeight w:val="196"/>
        </w:trPr>
        <w:tc>
          <w:tcPr>
            <w:tcW w:w="8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965,971</w:t>
            </w:r>
          </w:p>
        </w:tc>
        <w:tc>
          <w:tcPr>
            <w:tcW w:w="16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939,851</w:t>
            </w:r>
          </w:p>
        </w:tc>
      </w:tr>
      <w:tr>
        <w:trPr>
          <w:trHeight w:val="183"/>
        </w:trPr>
        <w:tc>
          <w:tcPr>
            <w:tcW w:w="8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4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16,630</w:t>
            </w:r>
          </w:p>
        </w:tc>
        <w:tc>
          <w:tcPr>
            <w:tcW w:w="1380" w:type="dxa"/>
            <w:vAlign w:val="bottom"/>
          </w:tcPr>
          <w:p>
            <w:pPr>
              <w:jc w:val="right"/>
              <w:spacing w:after="0"/>
              <w:rPr>
                <w:sz w:val="20"/>
                <w:szCs w:val="20"/>
                <w:color w:val="auto"/>
              </w:rPr>
            </w:pPr>
            <w:r>
              <w:rPr>
                <w:rFonts w:ascii="Arial" w:cs="Arial" w:eastAsia="Arial" w:hAnsi="Arial"/>
                <w:sz w:val="16"/>
                <w:szCs w:val="16"/>
                <w:color w:val="auto"/>
              </w:rPr>
              <w:t>18,553</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5,642</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6,540</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2,607</w:t>
            </w:r>
          </w:p>
        </w:tc>
        <w:tc>
          <w:tcPr>
            <w:tcW w:w="1380" w:type="dxa"/>
            <w:vAlign w:val="bottom"/>
          </w:tcPr>
          <w:p>
            <w:pPr>
              <w:jc w:val="right"/>
              <w:spacing w:after="0"/>
              <w:rPr>
                <w:sz w:val="20"/>
                <w:szCs w:val="20"/>
                <w:color w:val="auto"/>
              </w:rPr>
            </w:pPr>
            <w:r>
              <w:rPr>
                <w:rFonts w:ascii="Arial" w:cs="Arial" w:eastAsia="Arial" w:hAnsi="Arial"/>
                <w:sz w:val="16"/>
                <w:szCs w:val="16"/>
                <w:color w:val="auto"/>
              </w:rPr>
              <w:t>8,864</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51,570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39,777</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109,822</w:t>
            </w:r>
          </w:p>
        </w:tc>
        <w:tc>
          <w:tcPr>
            <w:tcW w:w="1380" w:type="dxa"/>
            <w:vAlign w:val="bottom"/>
          </w:tcPr>
          <w:p>
            <w:pPr>
              <w:jc w:val="right"/>
              <w:spacing w:after="0"/>
              <w:rPr>
                <w:sz w:val="20"/>
                <w:szCs w:val="20"/>
                <w:color w:val="auto"/>
              </w:rPr>
            </w:pPr>
            <w:r>
              <w:rPr>
                <w:rFonts w:ascii="Arial" w:cs="Arial" w:eastAsia="Arial" w:hAnsi="Arial"/>
                <w:sz w:val="16"/>
                <w:szCs w:val="16"/>
                <w:color w:val="auto"/>
              </w:rPr>
              <w:t>313,009</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472</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427</w:t>
            </w:r>
          </w:p>
        </w:tc>
      </w:tr>
      <w:tr>
        <w:trPr>
          <w:trHeight w:val="196"/>
        </w:trPr>
        <w:tc>
          <w:tcPr>
            <w:tcW w:w="8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186,743</w:t>
            </w:r>
          </w:p>
        </w:tc>
        <w:tc>
          <w:tcPr>
            <w:tcW w:w="16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387,170</w:t>
            </w:r>
          </w:p>
        </w:tc>
      </w:tr>
      <w:tr>
        <w:trPr>
          <w:trHeight w:val="183"/>
        </w:trPr>
        <w:tc>
          <w:tcPr>
            <w:tcW w:w="8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4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6,688</w:t>
            </w:r>
          </w:p>
        </w:tc>
        <w:tc>
          <w:tcPr>
            <w:tcW w:w="1380" w:type="dxa"/>
            <w:vAlign w:val="bottom"/>
          </w:tcPr>
          <w:p>
            <w:pPr>
              <w:jc w:val="right"/>
              <w:spacing w:after="0"/>
              <w:rPr>
                <w:sz w:val="20"/>
                <w:szCs w:val="20"/>
                <w:color w:val="auto"/>
              </w:rPr>
            </w:pPr>
            <w:r>
              <w:rPr>
                <w:rFonts w:ascii="Arial" w:cs="Arial" w:eastAsia="Arial" w:hAnsi="Arial"/>
                <w:sz w:val="16"/>
                <w:szCs w:val="16"/>
                <w:color w:val="auto"/>
              </w:rPr>
              <w:t>12,276</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1,236,202</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1,006,102</w:t>
            </w: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414</w:t>
            </w:r>
          </w:p>
        </w:tc>
        <w:tc>
          <w:tcPr>
            <w:tcW w:w="13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03"/>
        </w:trPr>
        <w:tc>
          <w:tcPr>
            <w:tcW w:w="812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5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926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w:t>
            </w:r>
          </w:p>
        </w:tc>
      </w:tr>
      <w:tr>
        <w:trPr>
          <w:trHeight w:val="196"/>
        </w:trPr>
        <w:tc>
          <w:tcPr>
            <w:tcW w:w="8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1,244,230</w:t>
            </w:r>
          </w:p>
        </w:tc>
        <w:tc>
          <w:tcPr>
            <w:tcW w:w="16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1,018,781</w:t>
            </w:r>
          </w:p>
        </w:tc>
      </w:tr>
      <w:tr>
        <w:trPr>
          <w:trHeight w:val="203"/>
        </w:trPr>
        <w:tc>
          <w:tcPr>
            <w:tcW w:w="8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2,396,944</w:t>
            </w:r>
          </w:p>
        </w:tc>
        <w:tc>
          <w:tcPr>
            <w:tcW w:w="16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2,345,802</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42" w:right="519" w:bottom="1440" w:gutter="0" w:footer="0" w:header="0"/>
        </w:sectPr>
      </w:pPr>
    </w:p>
    <w:bookmarkStart w:id="359" w:name="page360"/>
    <w:bookmarkEnd w:id="35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2019 and June 30,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30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For the three months ended</w:t>
            </w: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 2019</w:t>
            </w:r>
          </w:p>
        </w:tc>
        <w:tc>
          <w:tcPr>
            <w:tcW w:w="15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June 30, 2020</w:t>
            </w:r>
          </w:p>
        </w:tc>
        <w:tc>
          <w:tcPr>
            <w:tcW w:w="14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June 30, 2019</w:t>
            </w:r>
          </w:p>
        </w:tc>
        <w:tc>
          <w:tcPr>
            <w:tcW w:w="14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199"/>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8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84,448</w:t>
            </w:r>
          </w:p>
        </w:tc>
        <w:tc>
          <w:tcPr>
            <w:tcW w:w="10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185,690</w:t>
            </w:r>
          </w:p>
        </w:tc>
        <w:tc>
          <w:tcPr>
            <w:tcW w:w="8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175,801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Net pool allocation</w:t>
            </w:r>
          </w:p>
        </w:tc>
        <w:tc>
          <w:tcPr>
            <w:tcW w:w="1420" w:type="dxa"/>
            <w:vAlign w:val="bottom"/>
          </w:tcPr>
          <w:p>
            <w:pPr>
              <w:jc w:val="right"/>
              <w:spacing w:after="0"/>
              <w:rPr>
                <w:sz w:val="20"/>
                <w:szCs w:val="20"/>
                <w:color w:val="auto"/>
              </w:rPr>
            </w:pPr>
            <w:r>
              <w:rPr>
                <w:rFonts w:ascii="Arial" w:cs="Arial" w:eastAsia="Arial" w:hAnsi="Arial"/>
                <w:sz w:val="16"/>
                <w:szCs w:val="16"/>
                <w:color w:val="auto"/>
              </w:rPr>
              <w:t>1,024</w:t>
            </w:r>
          </w:p>
        </w:tc>
        <w:tc>
          <w:tcPr>
            <w:tcW w:w="8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1,058</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(2,037)</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(2,782)</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(3,874)</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(18,548)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(16,895)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(37,179)</w:t>
            </w:r>
          </w:p>
        </w:tc>
        <w:tc>
          <w:tcPr>
            <w:tcW w:w="1400" w:type="dxa"/>
            <w:vAlign w:val="bottom"/>
          </w:tcPr>
          <w:p>
            <w:pPr>
              <w:jc w:val="right"/>
              <w:spacing w:after="0"/>
              <w:rPr>
                <w:sz w:val="20"/>
                <w:szCs w:val="20"/>
                <w:color w:val="auto"/>
              </w:rPr>
            </w:pPr>
            <w:r>
              <w:rPr>
                <w:rFonts w:ascii="Arial" w:cs="Arial" w:eastAsia="Arial" w:hAnsi="Arial"/>
                <w:sz w:val="16"/>
                <w:szCs w:val="16"/>
                <w:color w:val="auto"/>
              </w:rPr>
              <w:t>(35,988)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(22,137)</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(20,675)</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(44,007)</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(41,273)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(4,741</w:t>
            </w:r>
            <w:r>
              <w:rPr>
                <w:rFonts w:ascii="Arial" w:cs="Arial" w:eastAsia="Arial" w:hAnsi="Arial"/>
                <w:sz w:val="16"/>
                <w:szCs w:val="16"/>
                <w:b w:val="1"/>
                <w:bCs w:val="1"/>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(4,421</w:t>
            </w:r>
            <w:r>
              <w:rPr>
                <w:rFonts w:ascii="Arial" w:cs="Arial" w:eastAsia="Arial" w:hAnsi="Arial"/>
                <w:sz w:val="16"/>
                <w:szCs w:val="16"/>
                <w:b w:val="1"/>
                <w:bCs w:val="1"/>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(9,435)</w:t>
            </w:r>
          </w:p>
        </w:tc>
        <w:tc>
          <w:tcPr>
            <w:tcW w:w="1400" w:type="dxa"/>
            <w:vAlign w:val="bottom"/>
          </w:tcPr>
          <w:p>
            <w:pPr>
              <w:jc w:val="right"/>
              <w:spacing w:after="0"/>
              <w:rPr>
                <w:sz w:val="20"/>
                <w:szCs w:val="20"/>
                <w:color w:val="auto"/>
              </w:rPr>
            </w:pPr>
            <w:r>
              <w:rPr>
                <w:rFonts w:ascii="Arial" w:cs="Arial" w:eastAsia="Arial" w:hAnsi="Arial"/>
                <w:sz w:val="16"/>
                <w:szCs w:val="16"/>
                <w:color w:val="auto"/>
              </w:rPr>
              <w:t>(8,592)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5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(18,841)</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(18,841)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45,366</w:t>
            </w:r>
          </w:p>
        </w:tc>
        <w:tc>
          <w:tcPr>
            <w:tcW w:w="8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20,834</w:t>
            </w:r>
          </w:p>
        </w:tc>
        <w:tc>
          <w:tcPr>
            <w:tcW w:w="10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92,253</w:t>
            </w:r>
          </w:p>
        </w:tc>
        <w:tc>
          <w:tcPr>
            <w:tcW w:w="8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64,437</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(13,067)</w:t>
            </w:r>
          </w:p>
        </w:tc>
        <w:tc>
          <w:tcPr>
            <w:tcW w:w="10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(38,116</w:t>
            </w:r>
          </w:p>
        </w:tc>
        <w:tc>
          <w:tcPr>
            <w:tcW w:w="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(28,580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Financial income</w:t>
            </w:r>
          </w:p>
        </w:tc>
        <w:tc>
          <w:tcPr>
            <w:tcW w:w="1420" w:type="dxa"/>
            <w:vAlign w:val="bottom"/>
          </w:tcPr>
          <w:p>
            <w:pPr>
              <w:jc w:val="right"/>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77</w:t>
            </w:r>
          </w:p>
        </w:tc>
        <w:tc>
          <w:tcPr>
            <w:tcW w:w="1400" w:type="dxa"/>
            <w:vAlign w:val="bottom"/>
          </w:tcPr>
          <w:p>
            <w:pPr>
              <w:jc w:val="right"/>
              <w:spacing w:after="0"/>
              <w:rPr>
                <w:sz w:val="20"/>
                <w:szCs w:val="20"/>
                <w:color w:val="auto"/>
              </w:rPr>
            </w:pPr>
            <w:r>
              <w:rPr>
                <w:rFonts w:ascii="Arial" w:cs="Arial" w:eastAsia="Arial" w:hAnsi="Arial"/>
                <w:sz w:val="16"/>
                <w:szCs w:val="16"/>
                <w:color w:val="auto"/>
              </w:rPr>
              <w:t>1,165</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5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(8,266)</w:t>
            </w:r>
          </w:p>
        </w:tc>
        <w:tc>
          <w:tcPr>
            <w:tcW w:w="150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369</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(13,143)</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(13,751)</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(26,223)</w:t>
            </w:r>
          </w:p>
        </w:tc>
        <w:tc>
          <w:tcPr>
            <w:tcW w:w="8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(12,621</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(50,094</w:t>
            </w:r>
          </w:p>
        </w:tc>
        <w:tc>
          <w:tcPr>
            <w:tcW w:w="8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(42,055</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80" w:type="dxa"/>
            <w:vAlign w:val="bottom"/>
            <w:tcBorders>
              <w:bottom w:val="single" w:sz="8" w:color="E5FFFF"/>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100" w:type="dxa"/>
            <w:vAlign w:val="bottom"/>
            <w:tcBorders>
              <w:bottom w:val="single" w:sz="8" w:color="E5FFFF"/>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42,159</w:t>
            </w:r>
          </w:p>
        </w:tc>
        <w:tc>
          <w:tcPr>
            <w:tcW w:w="80" w:type="dxa"/>
            <w:vAlign w:val="bottom"/>
            <w:tcBorders>
              <w:bottom w:val="single" w:sz="8" w:color="E5FFFF"/>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line="176" w:lineRule="exact"/>
              <w:rPr>
                <w:sz w:val="20"/>
                <w:szCs w:val="20"/>
                <w:color w:val="auto"/>
              </w:rPr>
            </w:pPr>
            <w:r>
              <w:rPr>
                <w:rFonts w:ascii="Arial" w:cs="Arial" w:eastAsia="Arial" w:hAnsi="Arial"/>
                <w:sz w:val="16"/>
                <w:szCs w:val="16"/>
                <w:color w:val="auto"/>
              </w:rPr>
              <w:t>Less: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5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(2,650)</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8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8,213</w:t>
            </w:r>
          </w:p>
        </w:tc>
        <w:tc>
          <w:tcPr>
            <w:tcW w:w="10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39,509</w:t>
            </w:r>
          </w:p>
        </w:tc>
        <w:tc>
          <w:tcPr>
            <w:tcW w:w="8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Common units</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11,329</w:t>
            </w: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617</w:t>
            </w:r>
          </w:p>
        </w:tc>
        <w:tc>
          <w:tcPr>
            <w:tcW w:w="1400" w:type="dxa"/>
            <w:vAlign w:val="bottom"/>
          </w:tcPr>
          <w:p>
            <w:pPr>
              <w:jc w:val="right"/>
              <w:spacing w:after="0"/>
              <w:rPr>
                <w:sz w:val="20"/>
                <w:szCs w:val="20"/>
                <w:color w:val="auto"/>
              </w:rPr>
            </w:pPr>
            <w:r>
              <w:rPr>
                <w:rFonts w:ascii="Arial" w:cs="Arial" w:eastAsia="Arial" w:hAnsi="Arial"/>
                <w:sz w:val="16"/>
                <w:szCs w:val="16"/>
                <w:color w:val="auto"/>
              </w:rPr>
              <w:t>23,858</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14</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w:t>
            </w:r>
          </w:p>
        </w:tc>
        <w:tc>
          <w:tcPr>
            <w:tcW w:w="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N/A</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Preference units</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7,582</w:t>
            </w:r>
          </w:p>
        </w:tc>
        <w:tc>
          <w:tcPr>
            <w:tcW w:w="8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7,582</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15,164</w:t>
            </w:r>
          </w:p>
        </w:tc>
        <w:tc>
          <w:tcPr>
            <w:tcW w:w="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for the period (basic and diluted):</w:t>
            </w:r>
          </w:p>
        </w:tc>
        <w:tc>
          <w:tcPr>
            <w:tcW w:w="14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Common unit, basic</w:t>
            </w:r>
          </w:p>
        </w:tc>
        <w:tc>
          <w:tcPr>
            <w:tcW w:w="142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0.01</w:t>
            </w:r>
          </w:p>
        </w:tc>
        <w:tc>
          <w:tcPr>
            <w:tcW w:w="1400" w:type="dxa"/>
            <w:vAlign w:val="bottom"/>
          </w:tcPr>
          <w:p>
            <w:pPr>
              <w:jc w:val="right"/>
              <w:spacing w:after="0"/>
              <w:rPr>
                <w:sz w:val="20"/>
                <w:szCs w:val="20"/>
                <w:color w:val="auto"/>
              </w:rPr>
            </w:pPr>
            <w:r>
              <w:rPr>
                <w:rFonts w:ascii="Arial" w:cs="Arial" w:eastAsia="Arial" w:hAnsi="Arial"/>
                <w:sz w:val="16"/>
                <w:szCs w:val="16"/>
                <w:color w:val="auto"/>
              </w:rPr>
              <w:t>0.53</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0.01</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0.52</w:t>
            </w:r>
          </w:p>
        </w:tc>
        <w:tc>
          <w:tcPr>
            <w:tcW w:w="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General partner unit</w:t>
            </w:r>
          </w:p>
        </w:tc>
        <w:tc>
          <w:tcPr>
            <w:tcW w:w="142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color w:val="auto"/>
              </w:rPr>
              <w:t>0.01</w:t>
            </w:r>
          </w:p>
        </w:tc>
        <w:tc>
          <w:tcPr>
            <w:tcW w:w="1400" w:type="dxa"/>
            <w:vAlign w:val="bottom"/>
          </w:tcPr>
          <w:p>
            <w:pPr>
              <w:jc w:val="right"/>
              <w:spacing w:after="0"/>
              <w:rPr>
                <w:sz w:val="20"/>
                <w:szCs w:val="20"/>
                <w:color w:val="auto"/>
              </w:rPr>
            </w:pPr>
            <w:r>
              <w:rPr>
                <w:rFonts w:ascii="Arial" w:cs="Arial" w:eastAsia="Arial" w:hAnsi="Arial"/>
                <w:sz w:val="16"/>
                <w:szCs w:val="16"/>
                <w:color w:val="auto"/>
              </w:rPr>
              <w:t>0.52</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360" w:name="page361"/>
    <w:bookmarkEnd w:id="36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2019 and June 30,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330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3"/>
        </w:trPr>
        <w:tc>
          <w:tcPr>
            <w:tcW w:w="7260" w:type="dxa"/>
            <w:vAlign w:val="bottom"/>
          </w:tcPr>
          <w:p>
            <w:pPr>
              <w:spacing w:after="0"/>
              <w:rPr>
                <w:sz w:val="17"/>
                <w:szCs w:val="17"/>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June 30,</w:t>
            </w:r>
          </w:p>
        </w:tc>
        <w:tc>
          <w:tcPr>
            <w:tcW w:w="14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E5FFFF"/>
            </w:tcBorders>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42,159</w:t>
            </w:r>
          </w:p>
        </w:tc>
        <w:tc>
          <w:tcPr>
            <w:tcW w:w="46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22,382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Adjustments for:</w:t>
            </w: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44,007</w:t>
            </w:r>
          </w:p>
        </w:tc>
        <w:tc>
          <w:tcPr>
            <w:tcW w:w="46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41,273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18,841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880" w:type="dxa"/>
            <w:vAlign w:val="bottom"/>
            <w:gridSpan w:val="2"/>
            <w:shd w:val="clear" w:color="auto" w:fill="E5FFFF"/>
          </w:tcPr>
          <w:p>
            <w:pPr>
              <w:jc w:val="right"/>
              <w:ind w:right="420"/>
              <w:spacing w:after="0"/>
              <w:rPr>
                <w:sz w:val="20"/>
                <w:szCs w:val="20"/>
                <w:color w:val="auto"/>
              </w:rPr>
            </w:pPr>
            <w:r>
              <w:rPr>
                <w:rFonts w:ascii="Arial" w:cs="Arial" w:eastAsia="Arial" w:hAnsi="Arial"/>
                <w:sz w:val="16"/>
                <w:szCs w:val="16"/>
                <w:color w:val="auto"/>
              </w:rPr>
              <w:t>38,116</w:t>
            </w: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28,580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Financial income</w:t>
            </w:r>
          </w:p>
        </w:tc>
        <w:tc>
          <w:tcPr>
            <w:tcW w:w="1880" w:type="dxa"/>
            <w:vAlign w:val="bottom"/>
            <w:gridSpan w:val="2"/>
          </w:tcPr>
          <w:p>
            <w:pPr>
              <w:jc w:val="right"/>
              <w:ind w:right="380"/>
              <w:spacing w:after="0"/>
              <w:rPr>
                <w:sz w:val="20"/>
                <w:szCs w:val="20"/>
                <w:color w:val="auto"/>
              </w:rPr>
            </w:pPr>
            <w:r>
              <w:rPr>
                <w:rFonts w:ascii="Arial" w:cs="Arial" w:eastAsia="Arial" w:hAnsi="Arial"/>
                <w:sz w:val="16"/>
                <w:szCs w:val="16"/>
                <w:color w:val="auto"/>
              </w:rPr>
              <w:t>(1,165)</w:t>
            </w:r>
          </w:p>
        </w:tc>
        <w:tc>
          <w:tcPr>
            <w:tcW w:w="138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 on derivatives held for trading</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14,253</w:t>
            </w:r>
          </w:p>
        </w:tc>
        <w:tc>
          <w:tcPr>
            <w:tcW w:w="46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12,217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Share-based compensation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46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137,879</w:t>
            </w:r>
          </w:p>
        </w:tc>
        <w:tc>
          <w:tcPr>
            <w:tcW w:w="46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123,676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1880" w:type="dxa"/>
            <w:vAlign w:val="bottom"/>
            <w:gridSpan w:val="2"/>
          </w:tcPr>
          <w:p>
            <w:pPr>
              <w:jc w:val="right"/>
              <w:ind w:right="380"/>
              <w:spacing w:after="0"/>
              <w:rPr>
                <w:sz w:val="20"/>
                <w:szCs w:val="20"/>
                <w:color w:val="auto"/>
              </w:rPr>
            </w:pPr>
            <w:r>
              <w:rPr>
                <w:rFonts w:ascii="Arial" w:cs="Arial" w:eastAsia="Arial" w:hAnsi="Arial"/>
                <w:sz w:val="16"/>
                <w:szCs w:val="16"/>
                <w:color w:val="auto"/>
              </w:rPr>
              <w:t>(11,882)</w:t>
            </w:r>
          </w:p>
        </w:tc>
        <w:tc>
          <w:tcPr>
            <w:tcW w:w="1380" w:type="dxa"/>
            <w:vAlign w:val="bottom"/>
          </w:tcPr>
          <w:p>
            <w:pPr>
              <w:jc w:val="right"/>
              <w:spacing w:after="0"/>
              <w:rPr>
                <w:sz w:val="20"/>
                <w:szCs w:val="20"/>
                <w:color w:val="auto"/>
              </w:rPr>
            </w:pPr>
            <w:r>
              <w:rPr>
                <w:rFonts w:ascii="Arial" w:cs="Arial" w:eastAsia="Arial" w:hAnsi="Arial"/>
                <w:sz w:val="16"/>
                <w:szCs w:val="16"/>
                <w:color w:val="auto"/>
              </w:rPr>
              <w:t>(29,083)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125,997</w:t>
            </w:r>
          </w:p>
        </w:tc>
        <w:tc>
          <w:tcPr>
            <w:tcW w:w="4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94,593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(34,308</w:t>
            </w:r>
          </w:p>
        </w:tc>
        <w:tc>
          <w:tcPr>
            <w:tcW w:w="460" w:type="dxa"/>
            <w:vAlign w:val="bottom"/>
            <w:tcBorders>
              <w:bottom w:val="single" w:sz="8" w:color="E5FFFF"/>
            </w:tcBorders>
          </w:tcPr>
          <w:p>
            <w:pPr>
              <w:jc w:val="right"/>
              <w:ind w:right="380"/>
              <w:spacing w:after="0"/>
              <w:rPr>
                <w:sz w:val="20"/>
                <w:szCs w:val="20"/>
                <w:color w:val="auto"/>
              </w:rPr>
            </w:pPr>
            <w:r>
              <w:rPr>
                <w:rFonts w:ascii="Arial" w:cs="Arial" w:eastAsia="Arial" w:hAnsi="Arial"/>
                <w:sz w:val="8"/>
                <w:szCs w:val="8"/>
                <w:color w:val="auto"/>
                <w:w w:val="73"/>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91,689</w:t>
            </w:r>
          </w:p>
        </w:tc>
        <w:tc>
          <w:tcPr>
            <w:tcW w:w="460" w:type="dxa"/>
            <w:vAlign w:val="bottom"/>
            <w:shd w:val="clear" w:color="auto" w:fill="E5FFFF"/>
          </w:tcPr>
          <w:p>
            <w:pPr>
              <w:spacing w:after="0"/>
              <w:rPr>
                <w:sz w:val="17"/>
                <w:szCs w:val="17"/>
                <w:color w:val="auto"/>
              </w:rPr>
            </w:pPr>
          </w:p>
        </w:tc>
        <w:tc>
          <w:tcPr>
            <w:tcW w:w="138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66,224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w:t>
            </w:r>
          </w:p>
        </w:tc>
        <w:tc>
          <w:tcPr>
            <w:tcW w:w="18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(6,737)</w:t>
            </w: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(12,027)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1420" w:type="dxa"/>
            <w:vAlign w:val="bottom"/>
          </w:tcPr>
          <w:p>
            <w:pPr>
              <w:jc w:val="right"/>
              <w:spacing w:after="0"/>
              <w:rPr>
                <w:sz w:val="20"/>
                <w:szCs w:val="20"/>
                <w:color w:val="auto"/>
              </w:rPr>
            </w:pPr>
            <w:r>
              <w:rPr>
                <w:rFonts w:ascii="Arial" w:cs="Arial" w:eastAsia="Arial" w:hAnsi="Arial"/>
                <w:sz w:val="16"/>
                <w:szCs w:val="16"/>
                <w:color w:val="auto"/>
              </w:rPr>
              <w:t>4,021</w:t>
            </w:r>
          </w:p>
        </w:tc>
        <w:tc>
          <w:tcPr>
            <w:tcW w:w="46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1,130</w:t>
            </w:r>
          </w:p>
        </w:tc>
        <w:tc>
          <w:tcPr>
            <w:tcW w:w="46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1420" w:type="dxa"/>
            <w:vAlign w:val="bottom"/>
          </w:tcPr>
          <w:p>
            <w:pPr>
              <w:jc w:val="right"/>
              <w:spacing w:after="0"/>
              <w:rPr>
                <w:sz w:val="20"/>
                <w:szCs w:val="20"/>
                <w:color w:val="auto"/>
              </w:rPr>
            </w:pPr>
            <w:r>
              <w:rPr>
                <w:rFonts w:ascii="Arial" w:cs="Arial" w:eastAsia="Arial" w:hAnsi="Arial"/>
                <w:sz w:val="16"/>
                <w:szCs w:val="16"/>
                <w:color w:val="auto"/>
              </w:rPr>
              <w:t>15,000</w:t>
            </w:r>
          </w:p>
        </w:tc>
        <w:tc>
          <w:tcPr>
            <w:tcW w:w="46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18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(24,000)</w:t>
            </w: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(10,586</w:t>
            </w:r>
          </w:p>
        </w:tc>
        <w:tc>
          <w:tcPr>
            <w:tcW w:w="460" w:type="dxa"/>
            <w:vAlign w:val="bottom"/>
            <w:tcBorders>
              <w:bottom w:val="single" w:sz="8" w:color="E5FFFF"/>
            </w:tcBorders>
          </w:tcPr>
          <w:p>
            <w:pPr>
              <w:jc w:val="right"/>
              <w:ind w:right="380"/>
              <w:spacing w:after="0"/>
              <w:rPr>
                <w:sz w:val="20"/>
                <w:szCs w:val="20"/>
                <w:color w:val="auto"/>
              </w:rPr>
            </w:pPr>
            <w:r>
              <w:rPr>
                <w:rFonts w:ascii="Arial" w:cs="Arial" w:eastAsia="Arial" w:hAnsi="Arial"/>
                <w:sz w:val="8"/>
                <w:szCs w:val="8"/>
                <w:b w:val="1"/>
                <w:bCs w:val="1"/>
                <w:color w:val="auto"/>
                <w:w w:val="7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420" w:type="dxa"/>
            <w:vAlign w:val="bottom"/>
            <w:shd w:val="clear" w:color="auto" w:fill="E5FFFF"/>
          </w:tcPr>
          <w:p>
            <w:pPr>
              <w:spacing w:after="0"/>
              <w:rPr>
                <w:sz w:val="15"/>
                <w:szCs w:val="15"/>
                <w:color w:val="auto"/>
              </w:rPr>
            </w:pPr>
          </w:p>
        </w:tc>
        <w:tc>
          <w:tcPr>
            <w:tcW w:w="460" w:type="dxa"/>
            <w:vAlign w:val="bottom"/>
            <w:shd w:val="clear" w:color="auto" w:fill="E5FFFF"/>
          </w:tcPr>
          <w:p>
            <w:pPr>
              <w:spacing w:after="0"/>
              <w:rPr>
                <w:sz w:val="15"/>
                <w:szCs w:val="15"/>
                <w:color w:val="auto"/>
              </w:rPr>
            </w:pPr>
          </w:p>
        </w:tc>
        <w:tc>
          <w:tcPr>
            <w:tcW w:w="1380" w:type="dxa"/>
            <w:vAlign w:val="bottom"/>
            <w:tcBorders>
              <w:right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Borrowings drawdowns</w:t>
            </w:r>
          </w:p>
        </w:tc>
        <w:tc>
          <w:tcPr>
            <w:tcW w:w="1420" w:type="dxa"/>
            <w:vAlign w:val="bottom"/>
          </w:tcPr>
          <w:p>
            <w:pPr>
              <w:jc w:val="right"/>
              <w:spacing w:after="0"/>
              <w:rPr>
                <w:sz w:val="20"/>
                <w:szCs w:val="20"/>
                <w:color w:val="auto"/>
              </w:rPr>
            </w:pPr>
            <w:r>
              <w:rPr>
                <w:rFonts w:ascii="Arial" w:cs="Arial" w:eastAsia="Arial" w:hAnsi="Arial"/>
                <w:sz w:val="16"/>
                <w:szCs w:val="16"/>
                <w:color w:val="auto"/>
              </w:rPr>
              <w:t>435,000</w:t>
            </w:r>
          </w:p>
        </w:tc>
        <w:tc>
          <w:tcPr>
            <w:tcW w:w="4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8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(403,072)</w:t>
            </w: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(55,805)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880" w:type="dxa"/>
            <w:vAlign w:val="bottom"/>
            <w:gridSpan w:val="2"/>
          </w:tcPr>
          <w:p>
            <w:pPr>
              <w:jc w:val="right"/>
              <w:ind w:right="380"/>
              <w:spacing w:after="0"/>
              <w:rPr>
                <w:sz w:val="20"/>
                <w:szCs w:val="20"/>
                <w:color w:val="auto"/>
              </w:rPr>
            </w:pPr>
            <w:r>
              <w:rPr>
                <w:rFonts w:ascii="Arial" w:cs="Arial" w:eastAsia="Arial" w:hAnsi="Arial"/>
                <w:sz w:val="16"/>
                <w:szCs w:val="16"/>
                <w:color w:val="auto"/>
              </w:rPr>
              <w:t>(4,972)</w:t>
            </w:r>
          </w:p>
        </w:tc>
        <w:tc>
          <w:tcPr>
            <w:tcW w:w="1380" w:type="dxa"/>
            <w:vAlign w:val="bottom"/>
          </w:tcPr>
          <w:p>
            <w:pPr>
              <w:jc w:val="right"/>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public offerings and issuances of common units and general partner units</w:t>
            </w:r>
          </w:p>
        </w:tc>
        <w:tc>
          <w:tcPr>
            <w:tcW w:w="1420" w:type="dxa"/>
            <w:vAlign w:val="bottom"/>
            <w:shd w:val="clear" w:color="auto" w:fill="E5FFFF"/>
          </w:tcPr>
          <w:p>
            <w:pPr>
              <w:spacing w:after="0"/>
              <w:rPr>
                <w:sz w:val="16"/>
                <w:szCs w:val="16"/>
                <w:color w:val="auto"/>
              </w:rPr>
            </w:pPr>
          </w:p>
        </w:tc>
        <w:tc>
          <w:tcPr>
            <w:tcW w:w="460" w:type="dxa"/>
            <w:vAlign w:val="bottom"/>
            <w:shd w:val="clear" w:color="auto" w:fill="E5FFFF"/>
          </w:tcPr>
          <w:p>
            <w:pPr>
              <w:spacing w:after="0"/>
              <w:rPr>
                <w:sz w:val="16"/>
                <w:szCs w:val="16"/>
                <w:color w:val="auto"/>
              </w:rPr>
            </w:pPr>
          </w:p>
        </w:tc>
        <w:tc>
          <w:tcPr>
            <w:tcW w:w="1380" w:type="dxa"/>
            <w:vAlign w:val="bottom"/>
            <w:tcBorders>
              <w:right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(net of underwriting discounts and commissions)</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1,996</w:t>
            </w:r>
          </w:p>
        </w:tc>
        <w:tc>
          <w:tcPr>
            <w:tcW w:w="460" w:type="dxa"/>
            <w:vAlign w:val="bottom"/>
            <w:shd w:val="clear" w:color="auto" w:fill="E5FFFF"/>
          </w:tcPr>
          <w:p>
            <w:pPr>
              <w:spacing w:after="0"/>
              <w:rPr>
                <w:sz w:val="18"/>
                <w:szCs w:val="18"/>
                <w:color w:val="auto"/>
              </w:rPr>
            </w:pP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1880" w:type="dxa"/>
            <w:vAlign w:val="bottom"/>
            <w:gridSpan w:val="2"/>
          </w:tcPr>
          <w:p>
            <w:pPr>
              <w:jc w:val="right"/>
              <w:ind w:right="380"/>
              <w:spacing w:after="0"/>
              <w:rPr>
                <w:sz w:val="20"/>
                <w:szCs w:val="20"/>
                <w:color w:val="auto"/>
              </w:rPr>
            </w:pPr>
            <w:r>
              <w:rPr>
                <w:rFonts w:ascii="Arial" w:cs="Arial" w:eastAsia="Arial" w:hAnsi="Arial"/>
                <w:sz w:val="16"/>
                <w:szCs w:val="16"/>
                <w:color w:val="auto"/>
              </w:rPr>
              <w:t>(9,921)</w:t>
            </w:r>
          </w:p>
        </w:tc>
        <w:tc>
          <w:tcPr>
            <w:tcW w:w="1380" w:type="dxa"/>
            <w:vAlign w:val="bottom"/>
          </w:tcPr>
          <w:p>
            <w:pPr>
              <w:jc w:val="right"/>
              <w:spacing w:after="0"/>
              <w:rPr>
                <w:sz w:val="20"/>
                <w:szCs w:val="20"/>
                <w:color w:val="auto"/>
              </w:rPr>
            </w:pPr>
            <w:r>
              <w:rPr>
                <w:rFonts w:ascii="Arial" w:cs="Arial" w:eastAsia="Arial" w:hAnsi="Arial"/>
                <w:sz w:val="16"/>
                <w:szCs w:val="16"/>
                <w:color w:val="auto"/>
              </w:rPr>
              <w:t>(996)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8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(890)</w:t>
            </w: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Cash distribution to GasLog in exchange for contribution of net assets</w:t>
            </w:r>
          </w:p>
        </w:tc>
        <w:tc>
          <w:tcPr>
            <w:tcW w:w="1880" w:type="dxa"/>
            <w:vAlign w:val="bottom"/>
            <w:gridSpan w:val="2"/>
          </w:tcPr>
          <w:p>
            <w:pPr>
              <w:jc w:val="right"/>
              <w:ind w:right="380"/>
              <w:spacing w:after="0"/>
              <w:rPr>
                <w:sz w:val="20"/>
                <w:szCs w:val="20"/>
                <w:color w:val="auto"/>
              </w:rPr>
            </w:pPr>
            <w:r>
              <w:rPr>
                <w:rFonts w:ascii="Arial" w:cs="Arial" w:eastAsia="Arial" w:hAnsi="Arial"/>
                <w:sz w:val="16"/>
                <w:szCs w:val="16"/>
                <w:color w:val="auto"/>
              </w:rPr>
              <w:t>(93,646)</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Distributions paid</w:t>
            </w:r>
          </w:p>
        </w:tc>
        <w:tc>
          <w:tcPr>
            <w:tcW w:w="18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(69,712)</w:t>
            </w:r>
          </w:p>
        </w:tc>
        <w:tc>
          <w:tcPr>
            <w:tcW w:w="13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(47,885)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1880" w:type="dxa"/>
            <w:vAlign w:val="bottom"/>
            <w:gridSpan w:val="2"/>
          </w:tcPr>
          <w:p>
            <w:pPr>
              <w:jc w:val="right"/>
              <w:ind w:right="380"/>
              <w:spacing w:after="0"/>
              <w:rPr>
                <w:sz w:val="20"/>
                <w:szCs w:val="20"/>
                <w:color w:val="auto"/>
              </w:rPr>
            </w:pPr>
            <w:r>
              <w:rPr>
                <w:rFonts w:ascii="Arial" w:cs="Arial" w:eastAsia="Arial" w:hAnsi="Arial"/>
                <w:sz w:val="16"/>
                <w:szCs w:val="16"/>
                <w:color w:val="auto"/>
              </w:rPr>
              <w:t>(247)</w:t>
            </w:r>
          </w:p>
        </w:tc>
        <w:tc>
          <w:tcPr>
            <w:tcW w:w="138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7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(145,464)</w:t>
            </w:r>
          </w:p>
        </w:tc>
        <w:tc>
          <w:tcPr>
            <w:tcW w:w="4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(79,178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(64,361)</w:t>
            </w:r>
          </w:p>
        </w:tc>
        <w:tc>
          <w:tcPr>
            <w:tcW w:w="46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(24,674</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460" w:type="dxa"/>
            <w:vAlign w:val="bottom"/>
            <w:shd w:val="clear" w:color="auto" w:fill="E5FFFF"/>
          </w:tcPr>
          <w:p>
            <w:pPr>
              <w:spacing w:after="0"/>
              <w:rPr>
                <w:sz w:val="17"/>
                <w:szCs w:val="17"/>
                <w:color w:val="auto"/>
              </w:rPr>
            </w:pPr>
          </w:p>
        </w:tc>
        <w:tc>
          <w:tcPr>
            <w:tcW w:w="138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96,884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69,009</w:t>
            </w:r>
          </w:p>
        </w:tc>
        <w:tc>
          <w:tcPr>
            <w:tcW w:w="4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00"/>
          </w:cols>
          <w:pgMar w:left="320" w:top="342" w:right="67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IFRS Common Control Reported Results in our Financial Statements and Partnership Performance Results</w:t>
      </w:r>
    </w:p>
    <w:p>
      <w:pPr>
        <w:spacing w:after="0" w:line="239" w:lineRule="exact"/>
        <w:rPr>
          <w:sz w:val="20"/>
          <w:szCs w:val="20"/>
          <w:color w:val="auto"/>
        </w:rPr>
      </w:pPr>
    </w:p>
    <w:p>
      <w:pPr>
        <w:ind w:right="120"/>
        <w:spacing w:after="0" w:line="324" w:lineRule="auto"/>
        <w:rPr>
          <w:sz w:val="20"/>
          <w:szCs w:val="20"/>
          <w:color w:val="auto"/>
        </w:rPr>
      </w:pPr>
      <w:r>
        <w:rPr>
          <w:rFonts w:ascii="Arial" w:cs="Arial" w:eastAsia="Arial" w:hAnsi="Arial"/>
          <w:sz w:val="14"/>
          <w:szCs w:val="14"/>
          <w:color w:val="auto"/>
        </w:rPr>
        <w:t xml:space="preserve">Our Partnership Performance Results are non-GAAP measures and exclude amounts related to GAS-twelve Ltd. (the owner of the </w:t>
      </w:r>
      <w:r>
        <w:rPr>
          <w:rFonts w:ascii="Arial" w:cs="Arial" w:eastAsia="Arial" w:hAnsi="Arial"/>
          <w:sz w:val="14"/>
          <w:szCs w:val="14"/>
          <w:i w:val="1"/>
          <w:iCs w:val="1"/>
          <w:color w:val="auto"/>
        </w:rPr>
        <w:t>GasLog Glasgow</w:t>
      </w:r>
      <w:r>
        <w:rPr>
          <w:rFonts w:ascii="Arial" w:cs="Arial" w:eastAsia="Arial" w:hAnsi="Arial"/>
          <w:sz w:val="14"/>
          <w:szCs w:val="14"/>
          <w:color w:val="auto"/>
        </w:rPr>
        <w:t>) for the period prior to its transfer to the Partnership on April 1, 2019. While such amounts are reflected in the Partnership’s unaudited condensed consolidated financial statements because the transfer to the Partnership was accounted for as a reorganization of entities under common control under IFRS, GAS-twelve Ltd. was not owned by the Partnership prior to its transfer to the Partnership on April 1, 2019 and accordingly the Partnership was not entitled to the cash or results generated in the period prior to such transfer.</w:t>
      </w:r>
    </w:p>
    <w:p>
      <w:pPr>
        <w:spacing w:after="0" w:line="157"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Our IFRS Common Control Reported Results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8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Amounts reflected in the Partnership’s unaudited condensed consolidated financial statements for the three months ended June 30, 2019, the three months ended March 31, 2020 and the three months ended June 30, 2020 are fully attributable to the Partnership. The Partnership Performance Results reported in the second quarter of 2019, the first quarter of 2020 and the second quarter of 2020, respectively, are the same as the IFRS Common Control Reported Results for the respective periods since there were no vessel acquisitions from GasLog during these quarters, which would have resulted in retrospective adjustment of the historical financial statements.</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62" w:name="page363"/>
    <w:bookmarkEnd w:id="362"/>
    <w:p>
      <w:pPr>
        <w:spacing w:after="0"/>
        <w:rPr>
          <w:sz w:val="20"/>
          <w:szCs w:val="20"/>
          <w:color w:val="auto"/>
        </w:rPr>
      </w:pPr>
      <w:r>
        <w:rPr>
          <w:rFonts w:ascii="Arial" w:cs="Arial" w:eastAsia="Arial" w:hAnsi="Arial"/>
          <w:sz w:val="16"/>
          <w:szCs w:val="16"/>
          <w:b w:val="1"/>
          <w:bCs w:val="1"/>
          <w:color w:val="auto"/>
        </w:rPr>
        <w:t>EXHIBIT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EBITDA is defined as earnings before financial income and costs, gain/loss on derivatives, taxes, depreciation and amortization. Adjusted EBITDA is defined as EBITDA before impairment loss on vessels. Adjusted Profit represents earnings before (a) non-cash gain/loss on derivatives that includes unrealized gain/loss on derivatives held for trading, (b) write-off and accelerated amortization of unamortized loan fees and (c) impairment loss on vessels. Adjusted EPU, represents earnings attributable to unitholders before (a) non-cash gain/loss on derivatives that includes unrealized gain/loss on derivatives held for trading, (b) write-off and accelerated amortization of unamortized loan fees and (c) impairment loss on vessels.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in the case of Adjusted Profit and Adjusted EPU, non-cash gain/loss on derivatives, write-off and accelerated amortization of unamortized loan fees and impairment loss on vessels, which items are affected by various and possibly changing financing methods, financial market conditions, general shipping market conditions, capital structure and historical cost basis and which items may significantly affect results of operations between periods. In the current period, impairment has been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84"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EBITDA, Adjusted EBITDA, Adjusted Profit and Adjusted EPU are presented on the basis of IFRS Common Control Reported Results and Partnership Performance Results. Partnership Performance Results are non-GAAP measures. Amounts reflected in the Partnership’s unaudited condensed consolidated financial statements for the three months ended June 30, 2019, the three months ended March 31, 2020 and the three months ended June 30, 2020 are fully attributable to the Partnership. The Partnership Performance Results reported in the second quarter of 2019, the first quarter of 2020 and the second quarter of 2020, respectively, are the same as the IFRS Common Control Reported Results for the respective periods since there were no vessel acquisitions from GasLog during these quarters, which would have resulted in retrospective adjustment of the historical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p>
      <w:pPr>
        <w:spacing w:after="0" w:line="258"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IFRS Common Control Reported Results/ Partnership Performance Results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For the three months ended</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3"/>
        </w:trPr>
        <w:tc>
          <w:tcPr>
            <w:tcW w:w="4400" w:type="dxa"/>
            <w:vAlign w:val="bottom"/>
          </w:tcPr>
          <w:p>
            <w:pPr>
              <w:spacing w:after="0"/>
              <w:rPr>
                <w:sz w:val="20"/>
                <w:szCs w:val="20"/>
                <w:color w:val="auto"/>
              </w:rPr>
            </w:pPr>
          </w:p>
        </w:tc>
        <w:tc>
          <w:tcPr>
            <w:tcW w:w="1520" w:type="dxa"/>
            <w:vAlign w:val="bottom"/>
          </w:tcPr>
          <w:p>
            <w:pPr>
              <w:ind w:left="540"/>
              <w:spacing w:after="0"/>
              <w:rPr>
                <w:sz w:val="20"/>
                <w:szCs w:val="20"/>
                <w:color w:val="auto"/>
              </w:rPr>
            </w:pPr>
            <w:r>
              <w:rPr>
                <w:rFonts w:ascii="Arial" w:cs="Arial" w:eastAsia="Arial" w:hAnsi="Arial"/>
                <w:sz w:val="16"/>
                <w:szCs w:val="16"/>
                <w:b w:val="1"/>
                <w:bCs w:val="1"/>
                <w:color w:val="auto"/>
                <w:w w:val="92"/>
              </w:rPr>
              <w:t>June 30, 2019</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March 31, 2020</w:t>
            </w:r>
          </w:p>
        </w:tc>
        <w:tc>
          <w:tcPr>
            <w:tcW w:w="198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52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8"/>
              </w:rPr>
              <w:t>19,143</w:t>
            </w:r>
          </w:p>
        </w:tc>
        <w:tc>
          <w:tcPr>
            <w:tcW w:w="14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4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6"/>
        </w:trPr>
        <w:tc>
          <w:tcPr>
            <w:tcW w:w="59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22,137</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20,598</w:t>
            </w:r>
          </w:p>
        </w:tc>
        <w:tc>
          <w:tcPr>
            <w:tcW w:w="14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6"/>
                <w:szCs w:val="16"/>
                <w:color w:val="auto"/>
              </w:rPr>
              <w:t>20,675</w:t>
            </w:r>
          </w:p>
        </w:tc>
        <w:tc>
          <w:tcPr>
            <w:tcW w:w="40" w:type="dxa"/>
            <w:vAlign w:val="bottom"/>
          </w:tcPr>
          <w:p>
            <w:pPr>
              <w:spacing w:after="0"/>
              <w:rPr>
                <w:sz w:val="19"/>
                <w:szCs w:val="19"/>
                <w:color w:val="auto"/>
              </w:rPr>
            </w:pPr>
          </w:p>
        </w:tc>
      </w:tr>
      <w:tr>
        <w:trPr>
          <w:trHeight w:val="233"/>
        </w:trPr>
        <w:tc>
          <w:tcPr>
            <w:tcW w:w="59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5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8"/>
              </w:rPr>
              <w:t>18,484</w:t>
            </w:r>
          </w:p>
        </w:tc>
        <w:tc>
          <w:tcPr>
            <w:tcW w:w="140" w:type="dxa"/>
            <w:vAlign w:val="bottom"/>
            <w:shd w:val="clear" w:color="auto" w:fill="E5FFFF"/>
          </w:tcPr>
          <w:p>
            <w:pPr>
              <w:spacing w:after="0"/>
              <w:rPr>
                <w:sz w:val="20"/>
                <w:szCs w:val="20"/>
                <w:color w:val="auto"/>
              </w:rPr>
            </w:pP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140" w:type="dxa"/>
            <w:vAlign w:val="bottom"/>
            <w:shd w:val="clear" w:color="auto" w:fill="E5FFFF"/>
          </w:tcPr>
          <w:p>
            <w:pPr>
              <w:spacing w:after="0"/>
              <w:rPr>
                <w:sz w:val="20"/>
                <w:szCs w:val="20"/>
                <w:color w:val="auto"/>
              </w:rPr>
            </w:pP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592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(527)</w:t>
            </w:r>
          </w:p>
        </w:tc>
        <w:tc>
          <w:tcPr>
            <w:tcW w:w="2240" w:type="dxa"/>
            <w:vAlign w:val="bottom"/>
            <w:gridSpan w:val="2"/>
          </w:tcPr>
          <w:p>
            <w:pPr>
              <w:jc w:val="right"/>
              <w:ind w:right="80"/>
              <w:spacing w:after="0"/>
              <w:rPr>
                <w:sz w:val="20"/>
                <w:szCs w:val="20"/>
                <w:color w:val="auto"/>
              </w:rPr>
            </w:pPr>
            <w:r>
              <w:rPr>
                <w:rFonts w:ascii="Arial" w:cs="Arial" w:eastAsia="Arial" w:hAnsi="Arial"/>
                <w:sz w:val="16"/>
                <w:szCs w:val="16"/>
                <w:color w:val="auto"/>
              </w:rPr>
              <w:t>(199)</w:t>
            </w: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(77)</w:t>
            </w:r>
          </w:p>
        </w:tc>
      </w:tr>
      <w:tr>
        <w:trPr>
          <w:trHeight w:val="232"/>
        </w:trPr>
        <w:tc>
          <w:tcPr>
            <w:tcW w:w="59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140" w:type="dxa"/>
            <w:vAlign w:val="bottom"/>
            <w:shd w:val="clear" w:color="auto" w:fill="E5FFFF"/>
          </w:tcPr>
          <w:p>
            <w:pPr>
              <w:spacing w:after="0"/>
              <w:rPr>
                <w:sz w:val="20"/>
                <w:szCs w:val="20"/>
                <w:color w:val="auto"/>
              </w:rPr>
            </w:pP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14,120</w:t>
            </w:r>
          </w:p>
        </w:tc>
        <w:tc>
          <w:tcPr>
            <w:tcW w:w="140" w:type="dxa"/>
            <w:vAlign w:val="bottom"/>
            <w:shd w:val="clear" w:color="auto" w:fill="E5FFFF"/>
          </w:tcPr>
          <w:p>
            <w:pPr>
              <w:spacing w:after="0"/>
              <w:rPr>
                <w:sz w:val="20"/>
                <w:szCs w:val="20"/>
                <w:color w:val="auto"/>
              </w:rPr>
            </w:pP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7"/>
        </w:trPr>
        <w:tc>
          <w:tcPr>
            <w:tcW w:w="44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5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67,503</w:t>
            </w:r>
          </w:p>
        </w:tc>
        <w:tc>
          <w:tcPr>
            <w:tcW w:w="140" w:type="dxa"/>
            <w:vAlign w:val="bottom"/>
            <w:tcBorders>
              <w:bottom w:val="single" w:sz="8" w:color="E5FFFF"/>
            </w:tcBorders>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40" w:type="dxa"/>
            <w:vAlign w:val="bottom"/>
            <w:tcBorders>
              <w:bottom w:val="single" w:sz="8" w:color="E5FFFF"/>
            </w:tcBorders>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52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22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18,841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5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67,503</w:t>
            </w:r>
          </w:p>
        </w:tc>
        <w:tc>
          <w:tcPr>
            <w:tcW w:w="14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4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60,350</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b w:val="1"/>
          <w:bCs w:val="1"/>
          <w:color w:val="auto"/>
        </w:rPr>
        <w:t>Reconciliation of Profit to Adjusted Profit: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p>
      <w:pPr>
        <w:spacing w:after="0" w:line="231"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IFRS Common Control Reported Results/ Partnership Performance Results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5"/>
              </w:rPr>
              <w:t>For the three months ended</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4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Arial" w:cs="Arial" w:eastAsia="Arial" w:hAnsi="Arial"/>
                <w:sz w:val="16"/>
                <w:szCs w:val="16"/>
                <w:b w:val="1"/>
                <w:bCs w:val="1"/>
                <w:color w:val="auto"/>
                <w:w w:val="88"/>
              </w:rPr>
              <w:t>June 30, 2019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6"/>
                <w:szCs w:val="16"/>
                <w:b w:val="1"/>
                <w:bCs w:val="1"/>
                <w:color w:val="auto"/>
              </w:rPr>
              <w:t>March 31, 2020</w:t>
            </w:r>
          </w:p>
        </w:tc>
        <w:tc>
          <w:tcPr>
            <w:tcW w:w="182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6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89"/>
              </w:rPr>
              <w:t>19,143</w:t>
            </w:r>
          </w:p>
        </w:tc>
        <w:tc>
          <w:tcPr>
            <w:tcW w:w="20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7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8,213</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240" w:type="dxa"/>
            <w:vAlign w:val="bottom"/>
            <w:gridSpan w:val="3"/>
          </w:tcPr>
          <w:p>
            <w:pPr>
              <w:spacing w:after="0"/>
              <w:rPr>
                <w:sz w:val="20"/>
                <w:szCs w:val="20"/>
                <w:color w:val="auto"/>
              </w:rPr>
            </w:pPr>
            <w:r>
              <w:rPr>
                <w:rFonts w:ascii="Arial" w:cs="Arial" w:eastAsia="Arial" w:hAnsi="Arial"/>
                <w:sz w:val="16"/>
                <w:szCs w:val="16"/>
                <w:color w:val="auto"/>
              </w:rPr>
              <w:t>Non-cash loss/(gain) on derivatives</w:t>
            </w:r>
          </w:p>
        </w:tc>
        <w:tc>
          <w:tcPr>
            <w:tcW w:w="460" w:type="dxa"/>
            <w:vAlign w:val="bottom"/>
          </w:tcPr>
          <w:p>
            <w:pPr>
              <w:jc w:val="right"/>
              <w:spacing w:after="0"/>
              <w:rPr>
                <w:sz w:val="20"/>
                <w:szCs w:val="20"/>
                <w:color w:val="auto"/>
              </w:rPr>
            </w:pPr>
            <w:r>
              <w:rPr>
                <w:rFonts w:ascii="Arial" w:cs="Arial" w:eastAsia="Arial" w:hAnsi="Arial"/>
                <w:sz w:val="16"/>
                <w:szCs w:val="16"/>
                <w:color w:val="auto"/>
              </w:rPr>
              <w:t>8,646</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13,652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6"/>
                <w:szCs w:val="16"/>
                <w:color w:val="auto"/>
              </w:rPr>
              <w:t>(1,435)</w:t>
            </w:r>
          </w:p>
        </w:tc>
      </w:tr>
      <w:tr>
        <w:trPr>
          <w:trHeight w:val="203"/>
        </w:trPr>
        <w:tc>
          <w:tcPr>
            <w:tcW w:w="6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520" w:type="dxa"/>
            <w:vAlign w:val="bottom"/>
            <w:gridSpan w:val="4"/>
            <w:shd w:val="clear" w:color="auto" w:fill="E5FFFF"/>
          </w:tcPr>
          <w:p>
            <w:pPr>
              <w:jc w:val="right"/>
              <w:ind w:right="979"/>
              <w:spacing w:after="0"/>
              <w:rPr>
                <w:sz w:val="20"/>
                <w:szCs w:val="20"/>
                <w:color w:val="auto"/>
              </w:rPr>
            </w:pPr>
            <w:r>
              <w:rPr>
                <w:rFonts w:ascii="Arial" w:cs="Arial" w:eastAsia="Arial" w:hAnsi="Arial"/>
                <w:sz w:val="16"/>
                <w:szCs w:val="16"/>
                <w:color w:val="auto"/>
              </w:rPr>
              <w:t>—</w:t>
            </w:r>
          </w:p>
        </w:tc>
        <w:tc>
          <w:tcPr>
            <w:tcW w:w="1660" w:type="dxa"/>
            <w:vAlign w:val="bottom"/>
            <w:gridSpan w:val="4"/>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82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18,841</w:t>
            </w:r>
          </w:p>
        </w:tc>
      </w:tr>
      <w:tr>
        <w:trPr>
          <w:trHeight w:val="196"/>
        </w:trPr>
        <w:tc>
          <w:tcPr>
            <w:tcW w:w="484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2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27,789</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27,821</w:t>
            </w: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25,619</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Reconciliation of Profit to EPU and Adjusted EPU:</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2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4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w w:val="89"/>
              </w:rPr>
              <w:t>For the three months ended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6"/>
              </w:rPr>
              <w:t>June 30, 2019</w:t>
            </w:r>
          </w:p>
        </w:tc>
        <w:tc>
          <w:tcPr>
            <w:tcW w:w="16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March 31, 2020</w:t>
            </w:r>
          </w:p>
        </w:tc>
        <w:tc>
          <w:tcPr>
            <w:tcW w:w="18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61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for the period and profit attributable to Partnership’s operations</w:t>
            </w:r>
          </w:p>
        </w:tc>
        <w:tc>
          <w:tcPr>
            <w:tcW w:w="140" w:type="dxa"/>
            <w:vAlign w:val="bottom"/>
            <w:tcBorders>
              <w:top w:val="single" w:sz="8" w:color="auto"/>
            </w:tcBorders>
            <w:shd w:val="clear" w:color="auto" w:fill="E5FFFF"/>
          </w:tcPr>
          <w:p>
            <w:pPr>
              <w:spacing w:after="0"/>
              <w:rPr>
                <w:sz w:val="17"/>
                <w:szCs w:val="17"/>
                <w:color w:val="auto"/>
              </w:rPr>
            </w:pPr>
          </w:p>
        </w:tc>
        <w:tc>
          <w:tcPr>
            <w:tcW w:w="12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120" w:type="dxa"/>
            <w:vAlign w:val="bottom"/>
            <w:tcBorders>
              <w:top w:val="single" w:sz="8" w:color="E5FFFF"/>
            </w:tcBorders>
            <w:shd w:val="clear" w:color="auto" w:fill="E5FFFF"/>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tcPr>
          <w:p>
            <w:pPr>
              <w:spacing w:after="0"/>
              <w:rPr>
                <w:sz w:val="20"/>
                <w:szCs w:val="20"/>
                <w:color w:val="auto"/>
              </w:rPr>
            </w:pPr>
            <w:r>
              <w:rPr>
                <w:rFonts w:ascii="Arial" w:cs="Arial" w:eastAsia="Arial" w:hAnsi="Arial"/>
                <w:sz w:val="16"/>
                <w:szCs w:val="16"/>
                <w:color w:val="auto"/>
              </w:rPr>
              <w:t>Adjustment for:</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Paid and accrued preference unit distributions</w:t>
            </w:r>
          </w:p>
        </w:tc>
        <w:tc>
          <w:tcPr>
            <w:tcW w:w="1520" w:type="dxa"/>
            <w:vAlign w:val="bottom"/>
            <w:gridSpan w:val="4"/>
            <w:shd w:val="clear" w:color="auto" w:fill="E5FFFF"/>
          </w:tcPr>
          <w:p>
            <w:pPr>
              <w:jc w:val="right"/>
              <w:ind w:right="159"/>
              <w:spacing w:after="0"/>
              <w:rPr>
                <w:sz w:val="20"/>
                <w:szCs w:val="20"/>
                <w:color w:val="auto"/>
              </w:rPr>
            </w:pPr>
            <w:r>
              <w:rPr>
                <w:rFonts w:ascii="Arial" w:cs="Arial" w:eastAsia="Arial" w:hAnsi="Arial"/>
                <w:sz w:val="16"/>
                <w:szCs w:val="16"/>
                <w:color w:val="auto"/>
              </w:rPr>
              <w:t>(7,582)</w:t>
            </w:r>
          </w:p>
        </w:tc>
        <w:tc>
          <w:tcPr>
            <w:tcW w:w="166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(7,582)</w:t>
            </w:r>
          </w:p>
        </w:tc>
        <w:tc>
          <w:tcPr>
            <w:tcW w:w="15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(7,582)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1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11,561</w:t>
            </w:r>
          </w:p>
        </w:tc>
        <w:tc>
          <w:tcPr>
            <w:tcW w:w="280" w:type="dxa"/>
            <w:vAlign w:val="bottom"/>
            <w:tcBorders>
              <w:bottom w:val="single" w:sz="8" w:color="E5FFFF"/>
            </w:tcBorders>
          </w:tcPr>
          <w:p>
            <w:pPr>
              <w:spacing w:after="0"/>
              <w:rPr>
                <w:sz w:val="20"/>
                <w:szCs w:val="20"/>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6,587</w:t>
            </w:r>
          </w:p>
        </w:tc>
        <w:tc>
          <w:tcPr>
            <w:tcW w:w="280" w:type="dxa"/>
            <w:vAlign w:val="bottom"/>
            <w:tcBorders>
              <w:bottom w:val="single" w:sz="8" w:color="E5FF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120" w:type="dxa"/>
            <w:vAlign w:val="bottom"/>
            <w:tcBorders>
              <w:bottom w:val="single" w:sz="8" w:color="E5FFFF"/>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6100" w:type="dxa"/>
            <w:vAlign w:val="bottom"/>
            <w:gridSpan w:val="2"/>
            <w:shd w:val="clear" w:color="auto" w:fill="E5FFFF"/>
          </w:tcPr>
          <w:p>
            <w:pPr>
              <w:spacing w:after="0" w:line="166" w:lineRule="exact"/>
              <w:rPr>
                <w:sz w:val="20"/>
                <w:szCs w:val="20"/>
                <w:color w:val="auto"/>
              </w:rPr>
            </w:pPr>
            <w:r>
              <w:rPr>
                <w:rFonts w:ascii="Arial" w:cs="Arial" w:eastAsia="Arial" w:hAnsi="Arial"/>
                <w:sz w:val="16"/>
                <w:szCs w:val="16"/>
                <w:color w:val="auto"/>
              </w:rPr>
              <w:t>Common units</w:t>
            </w:r>
          </w:p>
        </w:tc>
        <w:tc>
          <w:tcPr>
            <w:tcW w:w="140" w:type="dxa"/>
            <w:vAlign w:val="bottom"/>
            <w:shd w:val="clear" w:color="auto" w:fill="E5FFFF"/>
          </w:tcPr>
          <w:p>
            <w:pPr>
              <w:spacing w:after="0"/>
              <w:rPr>
                <w:sz w:val="15"/>
                <w:szCs w:val="15"/>
                <w:color w:val="auto"/>
              </w:rPr>
            </w:pPr>
          </w:p>
        </w:tc>
        <w:tc>
          <w:tcPr>
            <w:tcW w:w="12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11,329</w:t>
            </w:r>
          </w:p>
        </w:tc>
        <w:tc>
          <w:tcPr>
            <w:tcW w:w="280" w:type="dxa"/>
            <w:vAlign w:val="bottom"/>
            <w:shd w:val="clear" w:color="auto" w:fill="E5FFFF"/>
          </w:tcPr>
          <w:p>
            <w:pPr>
              <w:spacing w:after="0"/>
              <w:rPr>
                <w:sz w:val="15"/>
                <w:szCs w:val="15"/>
                <w:color w:val="auto"/>
              </w:rPr>
            </w:pPr>
          </w:p>
        </w:tc>
        <w:tc>
          <w:tcPr>
            <w:tcW w:w="13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6,446</w:t>
            </w: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E5FFFF"/>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240" w:type="dxa"/>
            <w:vAlign w:val="bottom"/>
            <w:gridSpan w:val="3"/>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17"/>
                <w:szCs w:val="17"/>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6"/>
                <w:szCs w:val="16"/>
                <w:color w:val="auto"/>
              </w:rPr>
              <w:t>141</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4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tcPr>
          <w:p>
            <w:pPr>
              <w:spacing w:after="0"/>
              <w:rPr>
                <w:sz w:val="20"/>
                <w:szCs w:val="20"/>
                <w:color w:val="auto"/>
              </w:rPr>
            </w:pPr>
            <w:r>
              <w:rPr>
                <w:rFonts w:ascii="Arial" w:cs="Arial" w:eastAsia="Arial" w:hAnsi="Arial"/>
                <w:sz w:val="16"/>
                <w:szCs w:val="16"/>
                <w:color w:val="auto"/>
              </w:rPr>
              <w:t>Common units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45,300,760</w:t>
            </w:r>
          </w:p>
        </w:tc>
        <w:tc>
          <w:tcPr>
            <w:tcW w:w="280" w:type="dxa"/>
            <w:vAlign w:val="bottom"/>
          </w:tcPr>
          <w:p>
            <w:pPr>
              <w:spacing w:after="0"/>
              <w:rPr>
                <w:sz w:val="17"/>
                <w:szCs w:val="17"/>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6"/>
                <w:szCs w:val="16"/>
                <w:color w:val="auto"/>
              </w:rPr>
              <w:t>46,764,077</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46,713,991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930,387</w:t>
            </w:r>
          </w:p>
        </w:tc>
        <w:tc>
          <w:tcPr>
            <w:tcW w:w="280" w:type="dxa"/>
            <w:vAlign w:val="bottom"/>
            <w:shd w:val="clear" w:color="auto" w:fill="E5FFFF"/>
          </w:tcPr>
          <w:p>
            <w:pPr>
              <w:spacing w:after="0"/>
              <w:rPr>
                <w:sz w:val="17"/>
                <w:szCs w:val="17"/>
                <w:color w:val="auto"/>
              </w:rPr>
            </w:pPr>
          </w:p>
        </w:tc>
        <w:tc>
          <w:tcPr>
            <w:tcW w:w="1660" w:type="dxa"/>
            <w:vAlign w:val="bottom"/>
            <w:gridSpan w:val="4"/>
            <w:shd w:val="clear" w:color="auto" w:fill="E5FFFF"/>
          </w:tcPr>
          <w:p>
            <w:pPr>
              <w:jc w:val="right"/>
              <w:ind w:right="280"/>
              <w:spacing w:after="0"/>
              <w:rPr>
                <w:sz w:val="20"/>
                <w:szCs w:val="20"/>
                <w:color w:val="auto"/>
              </w:rPr>
            </w:pPr>
            <w:r>
              <w:rPr>
                <w:rFonts w:ascii="Arial" w:cs="Arial" w:eastAsia="Arial" w:hAnsi="Arial"/>
                <w:sz w:val="16"/>
                <w:szCs w:val="16"/>
                <w:color w:val="auto"/>
              </w:rPr>
              <w:t>1,021,336</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1,021,336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EPU (basic)</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Common units</w:t>
            </w:r>
          </w:p>
        </w:tc>
        <w:tc>
          <w:tcPr>
            <w:tcW w:w="12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0.25</w:t>
            </w:r>
          </w:p>
        </w:tc>
        <w:tc>
          <w:tcPr>
            <w:tcW w:w="280" w:type="dxa"/>
            <w:vAlign w:val="bottom"/>
            <w:shd w:val="clear" w:color="auto" w:fill="E5FFFF"/>
          </w:tcPr>
          <w:p>
            <w:pPr>
              <w:spacing w:after="0"/>
              <w:rPr>
                <w:sz w:val="17"/>
                <w:szCs w:val="17"/>
                <w:color w:val="auto"/>
              </w:rPr>
            </w:pPr>
          </w:p>
        </w:tc>
        <w:tc>
          <w:tcPr>
            <w:tcW w:w="1660" w:type="dxa"/>
            <w:vAlign w:val="bottom"/>
            <w:gridSpan w:val="4"/>
            <w:shd w:val="clear" w:color="auto" w:fill="E5FFFF"/>
          </w:tcPr>
          <w:p>
            <w:pPr>
              <w:jc w:val="right"/>
              <w:ind w:right="280"/>
              <w:spacing w:after="0"/>
              <w:rPr>
                <w:sz w:val="20"/>
                <w:szCs w:val="20"/>
                <w:color w:val="auto"/>
              </w:rPr>
            </w:pPr>
            <w:r>
              <w:rPr>
                <w:rFonts w:ascii="Arial" w:cs="Arial" w:eastAsia="Arial" w:hAnsi="Arial"/>
                <w:sz w:val="16"/>
                <w:szCs w:val="16"/>
                <w:color w:val="auto"/>
              </w:rPr>
              <w:t>0.14</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gridSpan w:val="3"/>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0.25</w:t>
            </w:r>
          </w:p>
        </w:tc>
        <w:tc>
          <w:tcPr>
            <w:tcW w:w="280" w:type="dxa"/>
            <w:vAlign w:val="bottom"/>
          </w:tcPr>
          <w:p>
            <w:pPr>
              <w:spacing w:after="0"/>
              <w:rPr>
                <w:sz w:val="17"/>
                <w:szCs w:val="17"/>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6"/>
                <w:szCs w:val="16"/>
                <w:color w:val="auto"/>
              </w:rPr>
              <w:t>0.14</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2019</w:t>
            </w:r>
          </w:p>
        </w:tc>
        <w:tc>
          <w:tcPr>
            <w:tcW w:w="16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2020</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196"/>
        </w:trPr>
        <w:tc>
          <w:tcPr>
            <w:tcW w:w="6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 and profit attributable to Partnership’s operations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12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Adjustment for:</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E5FFFF"/>
          </w:tcPr>
          <w:p>
            <w:pPr>
              <w:spacing w:after="0"/>
              <w:rPr>
                <w:sz w:val="20"/>
                <w:szCs w:val="20"/>
                <w:color w:val="auto"/>
              </w:rPr>
            </w:pPr>
            <w:r>
              <w:rPr>
                <w:rFonts w:ascii="Arial" w:cs="Arial" w:eastAsia="Arial" w:hAnsi="Arial"/>
                <w:sz w:val="16"/>
                <w:szCs w:val="16"/>
                <w:color w:val="auto"/>
              </w:rPr>
              <w:t>Paid and accrued preference unit distributions</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(7,582)</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(7,582)</w:t>
            </w:r>
          </w:p>
        </w:tc>
        <w:tc>
          <w:tcPr>
            <w:tcW w:w="15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Partnership’s profit used in EPU calculation</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11,561</w:t>
            </w:r>
          </w:p>
        </w:tc>
        <w:tc>
          <w:tcPr>
            <w:tcW w:w="280" w:type="dxa"/>
            <w:vAlign w:val="bottom"/>
            <w:tcBorders>
              <w:bottom w:val="single" w:sz="8" w:color="E5FF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6,587</w:t>
            </w:r>
          </w:p>
        </w:tc>
        <w:tc>
          <w:tcPr>
            <w:tcW w:w="280" w:type="dxa"/>
            <w:vAlign w:val="bottom"/>
            <w:tcBorders>
              <w:bottom w:val="single" w:sz="8" w:color="E5FF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12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100" w:type="dxa"/>
            <w:vAlign w:val="bottom"/>
            <w:shd w:val="clear" w:color="auto" w:fill="E5FFFF"/>
          </w:tcPr>
          <w:p>
            <w:pPr>
              <w:spacing w:after="0" w:line="166" w:lineRule="exact"/>
              <w:rPr>
                <w:sz w:val="20"/>
                <w:szCs w:val="20"/>
                <w:color w:val="auto"/>
              </w:rPr>
            </w:pPr>
            <w:r>
              <w:rPr>
                <w:rFonts w:ascii="Arial" w:cs="Arial" w:eastAsia="Arial" w:hAnsi="Arial"/>
                <w:sz w:val="16"/>
                <w:szCs w:val="16"/>
                <w:color w:val="auto"/>
              </w:rPr>
              <w:t>Non-cash loss/(gain) on derivatives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8,646</w:t>
            </w: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13,652</w:t>
            </w: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18,841</w:t>
            </w:r>
          </w:p>
        </w:tc>
        <w:tc>
          <w:tcPr>
            <w:tcW w:w="0" w:type="dxa"/>
            <w:vAlign w:val="bottom"/>
          </w:tcPr>
          <w:p>
            <w:pPr>
              <w:spacing w:after="0"/>
              <w:rPr>
                <w:sz w:val="1"/>
                <w:szCs w:val="1"/>
                <w:color w:val="auto"/>
              </w:rPr>
            </w:pPr>
          </w:p>
        </w:tc>
      </w:tr>
      <w:tr>
        <w:trPr>
          <w:trHeight w:val="196"/>
        </w:trPr>
        <w:tc>
          <w:tcPr>
            <w:tcW w:w="61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Partnership’s profit used in EPU calculation attributable to:</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20,207</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20,239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18,037</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color w:val="auto"/>
              </w:rPr>
              <w:t>Common units</w:t>
            </w: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vMerge w:val="continue"/>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19,803</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19,805</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404</w:t>
            </w:r>
          </w:p>
        </w:tc>
        <w:tc>
          <w:tcPr>
            <w:tcW w:w="2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434</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45,300,760</w:t>
            </w:r>
          </w:p>
        </w:tc>
        <w:tc>
          <w:tcPr>
            <w:tcW w:w="2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46,764,077</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46,713,991</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General partner units</w:t>
            </w:r>
          </w:p>
        </w:tc>
        <w:tc>
          <w:tcPr>
            <w:tcW w:w="1380" w:type="dxa"/>
            <w:vAlign w:val="bottom"/>
          </w:tcPr>
          <w:p>
            <w:pPr>
              <w:jc w:val="right"/>
              <w:spacing w:after="0"/>
              <w:rPr>
                <w:sz w:val="20"/>
                <w:szCs w:val="20"/>
                <w:color w:val="auto"/>
              </w:rPr>
            </w:pPr>
            <w:r>
              <w:rPr>
                <w:rFonts w:ascii="Arial" w:cs="Arial" w:eastAsia="Arial" w:hAnsi="Arial"/>
                <w:sz w:val="16"/>
                <w:szCs w:val="16"/>
                <w:color w:val="auto"/>
              </w:rPr>
              <w:t>930,387</w:t>
            </w:r>
          </w:p>
        </w:tc>
        <w:tc>
          <w:tcPr>
            <w:tcW w:w="28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1,021,336</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1,021,336</w:t>
            </w:r>
          </w:p>
        </w:tc>
        <w:tc>
          <w:tcPr>
            <w:tcW w:w="0" w:type="dxa"/>
            <w:vAlign w:val="bottom"/>
          </w:tcPr>
          <w:p>
            <w:pPr>
              <w:spacing w:after="0"/>
              <w:rPr>
                <w:sz w:val="1"/>
                <w:szCs w:val="1"/>
                <w:color w:val="auto"/>
              </w:rPr>
            </w:pPr>
          </w:p>
        </w:tc>
      </w:tr>
      <w:tr>
        <w:trPr>
          <w:trHeight w:val="203"/>
        </w:trPr>
        <w:tc>
          <w:tcPr>
            <w:tcW w:w="61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Adjusted EPU (basic)</w:t>
            </w:r>
          </w:p>
        </w:tc>
        <w:tc>
          <w:tcPr>
            <w:tcW w:w="1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Common units</w:t>
            </w:r>
          </w:p>
        </w:tc>
        <w:tc>
          <w:tcPr>
            <w:tcW w:w="1380" w:type="dxa"/>
            <w:vAlign w:val="bottom"/>
          </w:tcPr>
          <w:p>
            <w:pPr>
              <w:jc w:val="right"/>
              <w:spacing w:after="0"/>
              <w:rPr>
                <w:sz w:val="20"/>
                <w:szCs w:val="20"/>
                <w:color w:val="auto"/>
              </w:rPr>
            </w:pPr>
            <w:r>
              <w:rPr>
                <w:rFonts w:ascii="Arial" w:cs="Arial" w:eastAsia="Arial" w:hAnsi="Arial"/>
                <w:sz w:val="16"/>
                <w:szCs w:val="16"/>
                <w:color w:val="auto"/>
              </w:rPr>
              <w:t>0.44</w:t>
            </w:r>
          </w:p>
        </w:tc>
        <w:tc>
          <w:tcPr>
            <w:tcW w:w="28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0.42</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3"/>
        </w:trPr>
        <w:tc>
          <w:tcPr>
            <w:tcW w:w="61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0.43</w:t>
            </w:r>
          </w:p>
        </w:tc>
        <w:tc>
          <w:tcPr>
            <w:tcW w:w="28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0.42</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Distributable Cash Flow</w:t>
      </w:r>
    </w:p>
    <w:p>
      <w:pPr>
        <w:spacing w:after="0" w:line="23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Distributable cash flow means Adjusted EBITDA, on the basis of the Partnership Performance Results, after considering financial costs for the period, including realized loss on derivatives (interest rate swaps and forward foreign exchange contracts) and excluding amortization of loan fees,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64" w:name="page365"/>
    <w:bookmarkEnd w:id="364"/>
    <w:p>
      <w:pPr>
        <w:ind w:right="40"/>
        <w:spacing w:after="0" w:line="269" w:lineRule="auto"/>
        <w:rPr>
          <w:sz w:val="20"/>
          <w:szCs w:val="20"/>
          <w:color w:val="auto"/>
        </w:rPr>
      </w:pPr>
      <w:r>
        <w:rPr>
          <w:rFonts w:ascii="Arial" w:cs="Arial" w:eastAsia="Arial" w:hAnsi="Arial"/>
          <w:sz w:val="16"/>
          <w:szCs w:val="16"/>
          <w:color w:val="auto"/>
        </w:rPr>
        <w:t>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20"/>
                <w:szCs w:val="20"/>
                <w:color w:val="auto"/>
              </w:rPr>
            </w:pPr>
            <w:r>
              <w:rPr>
                <w:rFonts w:ascii="Arial" w:cs="Arial" w:eastAsia="Arial" w:hAnsi="Arial"/>
                <w:sz w:val="16"/>
                <w:szCs w:val="16"/>
                <w:b w:val="1"/>
                <w:bCs w:val="1"/>
                <w:color w:val="auto"/>
              </w:rPr>
              <w:t>Reconciliation of Distributable Cash Flow to Partnership’s Profit: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8"/>
        </w:trPr>
        <w:tc>
          <w:tcPr>
            <w:tcW w:w="54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1"/>
        </w:trPr>
        <w:tc>
          <w:tcPr>
            <w:tcW w:w="5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0"/>
              </w:rPr>
              <w:t>For the three months ended</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440" w:type="dxa"/>
            <w:vAlign w:val="bottom"/>
          </w:tcPr>
          <w:p>
            <w:pPr>
              <w:spacing w:after="0"/>
              <w:rPr>
                <w:sz w:val="18"/>
                <w:szCs w:val="18"/>
                <w:color w:val="auto"/>
              </w:rPr>
            </w:pPr>
          </w:p>
        </w:tc>
        <w:tc>
          <w:tcPr>
            <w:tcW w:w="1620" w:type="dxa"/>
            <w:vAlign w:val="bottom"/>
            <w:gridSpan w:val="2"/>
          </w:tcPr>
          <w:p>
            <w:pPr>
              <w:jc w:val="right"/>
              <w:ind w:right="300"/>
              <w:spacing w:after="0" w:line="217" w:lineRule="exact"/>
              <w:rPr>
                <w:sz w:val="20"/>
                <w:szCs w:val="20"/>
                <w:color w:val="auto"/>
              </w:rPr>
            </w:pPr>
            <w:r>
              <w:rPr>
                <w:rFonts w:ascii="Arial" w:cs="Arial" w:eastAsia="Arial" w:hAnsi="Arial"/>
                <w:sz w:val="16"/>
                <w:szCs w:val="16"/>
                <w:b w:val="1"/>
                <w:bCs w:val="1"/>
                <w:color w:val="auto"/>
              </w:rPr>
              <w:t xml:space="preserve">June 30, 2019 </w:t>
            </w:r>
            <w:r>
              <w:rPr>
                <w:rFonts w:ascii="Arial" w:cs="Arial" w:eastAsia="Arial" w:hAnsi="Arial"/>
                <w:sz w:val="21"/>
                <w:szCs w:val="21"/>
                <w:b w:val="1"/>
                <w:bCs w:val="1"/>
                <w:color w:val="auto"/>
                <w:vertAlign w:val="superscript"/>
              </w:rPr>
              <w:t>(1)</w:t>
            </w:r>
          </w:p>
        </w:tc>
        <w:tc>
          <w:tcPr>
            <w:tcW w:w="20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March 31, 2020</w:t>
            </w:r>
          </w:p>
        </w:tc>
        <w:tc>
          <w:tcPr>
            <w:tcW w:w="1680" w:type="dxa"/>
            <w:vAlign w:val="bottom"/>
            <w:gridSpan w:val="2"/>
          </w:tcPr>
          <w:p>
            <w:pPr>
              <w:jc w:val="right"/>
              <w:ind w:right="340"/>
              <w:spacing w:after="0" w:line="217" w:lineRule="exact"/>
              <w:rPr>
                <w:sz w:val="20"/>
                <w:szCs w:val="20"/>
                <w:color w:val="auto"/>
              </w:rPr>
            </w:pPr>
            <w:r>
              <w:rPr>
                <w:rFonts w:ascii="Arial" w:cs="Arial" w:eastAsia="Arial" w:hAnsi="Arial"/>
                <w:sz w:val="16"/>
                <w:szCs w:val="16"/>
                <w:b w:val="1"/>
                <w:bCs w:val="1"/>
                <w:color w:val="auto"/>
              </w:rPr>
              <w:t xml:space="preserve">June 30, 2020 </w:t>
            </w:r>
            <w:r>
              <w:rPr>
                <w:rFonts w:ascii="Arial" w:cs="Arial" w:eastAsia="Arial" w:hAnsi="Arial"/>
                <w:sz w:val="21"/>
                <w:szCs w:val="21"/>
                <w:b w:val="1"/>
                <w:bCs w:val="1"/>
                <w:color w:val="auto"/>
                <w:vertAlign w:val="superscript"/>
              </w:rPr>
              <w:t>(4)</w:t>
            </w:r>
          </w:p>
        </w:tc>
      </w:tr>
      <w:tr>
        <w:trPr>
          <w:trHeight w:val="196"/>
        </w:trPr>
        <w:tc>
          <w:tcPr>
            <w:tcW w:w="5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Partnership’s profit for the period</w:t>
            </w:r>
          </w:p>
        </w:tc>
        <w:tc>
          <w:tcPr>
            <w:tcW w:w="15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2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8,213</w:t>
            </w: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Depreciation</w:t>
            </w:r>
          </w:p>
        </w:tc>
        <w:tc>
          <w:tcPr>
            <w:tcW w:w="1540" w:type="dxa"/>
            <w:vAlign w:val="bottom"/>
          </w:tcPr>
          <w:p>
            <w:pPr>
              <w:jc w:val="right"/>
              <w:spacing w:after="0"/>
              <w:rPr>
                <w:sz w:val="20"/>
                <w:szCs w:val="20"/>
                <w:color w:val="auto"/>
              </w:rPr>
            </w:pPr>
            <w:r>
              <w:rPr>
                <w:rFonts w:ascii="Arial" w:cs="Arial" w:eastAsia="Arial" w:hAnsi="Arial"/>
                <w:sz w:val="16"/>
                <w:szCs w:val="16"/>
                <w:color w:val="auto"/>
              </w:rPr>
              <w:t>22,137</w:t>
            </w:r>
          </w:p>
        </w:tc>
        <w:tc>
          <w:tcPr>
            <w:tcW w:w="8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20,598</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20,675</w:t>
            </w:r>
          </w:p>
        </w:tc>
        <w:tc>
          <w:tcPr>
            <w:tcW w:w="120" w:type="dxa"/>
            <w:vAlign w:val="bottom"/>
          </w:tcPr>
          <w:p>
            <w:pPr>
              <w:spacing w:after="0"/>
              <w:rPr>
                <w:sz w:val="17"/>
                <w:szCs w:val="17"/>
                <w:color w:val="auto"/>
              </w:rPr>
            </w:pPr>
          </w:p>
        </w:tc>
      </w:tr>
      <w:tr>
        <w:trPr>
          <w:trHeight w:val="203"/>
        </w:trPr>
        <w:tc>
          <w:tcPr>
            <w:tcW w:w="54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8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28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13,067</w:t>
            </w:r>
          </w:p>
        </w:tc>
        <w:tc>
          <w:tcPr>
            <w:tcW w:w="120" w:type="dxa"/>
            <w:vAlign w:val="bottom"/>
            <w:shd w:val="clear" w:color="auto" w:fill="E5FFFF"/>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Financial income</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(527)</w:t>
            </w:r>
          </w:p>
        </w:tc>
        <w:tc>
          <w:tcPr>
            <w:tcW w:w="2040" w:type="dxa"/>
            <w:vAlign w:val="bottom"/>
            <w:gridSpan w:val="3"/>
          </w:tcPr>
          <w:p>
            <w:pPr>
              <w:jc w:val="right"/>
              <w:ind w:right="220"/>
              <w:spacing w:after="0"/>
              <w:rPr>
                <w:sz w:val="20"/>
                <w:szCs w:val="20"/>
                <w:color w:val="auto"/>
              </w:rPr>
            </w:pPr>
            <w:r>
              <w:rPr>
                <w:rFonts w:ascii="Arial" w:cs="Arial" w:eastAsia="Arial" w:hAnsi="Arial"/>
                <w:sz w:val="16"/>
                <w:szCs w:val="16"/>
                <w:color w:val="auto"/>
              </w:rPr>
              <w:t>(199)</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r>
      <w:tr>
        <w:trPr>
          <w:trHeight w:val="203"/>
        </w:trPr>
        <w:tc>
          <w:tcPr>
            <w:tcW w:w="544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8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14,120</w:t>
            </w: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(369)</w:t>
            </w:r>
          </w:p>
        </w:tc>
      </w:tr>
      <w:tr>
        <w:trPr>
          <w:trHeight w:val="196"/>
        </w:trPr>
        <w:tc>
          <w:tcPr>
            <w:tcW w:w="5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8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280" w:type="dxa"/>
            <w:vAlign w:val="bottom"/>
            <w:tcBorders>
              <w:bottom w:val="single" w:sz="8" w:color="E5FF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41,509</w:t>
            </w:r>
          </w:p>
        </w:tc>
        <w:tc>
          <w:tcPr>
            <w:tcW w:w="120" w:type="dxa"/>
            <w:vAlign w:val="bottom"/>
            <w:tcBorders>
              <w:bottom w:val="single" w:sz="8" w:color="E5FFFF"/>
            </w:tcBorders>
          </w:tcPr>
          <w:p>
            <w:pPr>
              <w:spacing w:after="0"/>
              <w:rPr>
                <w:sz w:val="17"/>
                <w:szCs w:val="17"/>
                <w:color w:val="auto"/>
              </w:rPr>
            </w:pPr>
          </w:p>
        </w:tc>
      </w:tr>
      <w:tr>
        <w:trPr>
          <w:trHeight w:val="196"/>
        </w:trPr>
        <w:tc>
          <w:tcPr>
            <w:tcW w:w="544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62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18,841</w:t>
            </w:r>
          </w:p>
        </w:tc>
        <w:tc>
          <w:tcPr>
            <w:tcW w:w="120" w:type="dxa"/>
            <w:vAlign w:val="bottom"/>
            <w:shd w:val="clear" w:color="auto" w:fill="E5FFFF"/>
          </w:tcPr>
          <w:p>
            <w:pPr>
              <w:spacing w:after="0"/>
              <w:rPr>
                <w:sz w:val="17"/>
                <w:szCs w:val="17"/>
                <w:color w:val="auto"/>
              </w:rPr>
            </w:pPr>
          </w:p>
        </w:tc>
      </w:tr>
      <w:tr>
        <w:trPr>
          <w:trHeight w:val="196"/>
        </w:trPr>
        <w:tc>
          <w:tcPr>
            <w:tcW w:w="54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Adjusted EBITDA</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8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280" w:type="dxa"/>
            <w:vAlign w:val="bottom"/>
            <w:tcBorders>
              <w:bottom w:val="single" w:sz="8" w:color="E5FF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60,350</w:t>
            </w:r>
          </w:p>
        </w:tc>
        <w:tc>
          <w:tcPr>
            <w:tcW w:w="120" w:type="dxa"/>
            <w:vAlign w:val="bottom"/>
            <w:tcBorders>
              <w:bottom w:val="single" w:sz="8" w:color="E5FFFF"/>
            </w:tcBorders>
          </w:tcPr>
          <w:p>
            <w:pPr>
              <w:spacing w:after="0"/>
              <w:rPr>
                <w:sz w:val="17"/>
                <w:szCs w:val="17"/>
                <w:color w:val="auto"/>
              </w:rPr>
            </w:pPr>
          </w:p>
        </w:tc>
      </w:tr>
      <w:tr>
        <w:trPr>
          <w:trHeight w:val="173"/>
        </w:trPr>
        <w:tc>
          <w:tcPr>
            <w:tcW w:w="5440" w:type="dxa"/>
            <w:vAlign w:val="bottom"/>
            <w:shd w:val="clear" w:color="auto" w:fill="E5FFFF"/>
          </w:tcPr>
          <w:p>
            <w:pPr>
              <w:spacing w:after="0" w:line="173" w:lineRule="exact"/>
              <w:rPr>
                <w:sz w:val="20"/>
                <w:szCs w:val="20"/>
                <w:color w:val="auto"/>
              </w:rPr>
            </w:pPr>
            <w:r>
              <w:rPr>
                <w:rFonts w:ascii="Arial" w:cs="Arial" w:eastAsia="Arial" w:hAnsi="Arial"/>
                <w:sz w:val="16"/>
                <w:szCs w:val="16"/>
                <w:color w:val="auto"/>
              </w:rPr>
              <w:t>Financial costs (excluding amortization of loan fees and lease expense) and</w:t>
            </w:r>
          </w:p>
        </w:tc>
        <w:tc>
          <w:tcPr>
            <w:tcW w:w="15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5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5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r>
      <w:tr>
        <w:trPr>
          <w:trHeight w:val="212"/>
        </w:trPr>
        <w:tc>
          <w:tcPr>
            <w:tcW w:w="54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realized loss on derivatives</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(16,666)</w:t>
            </w:r>
          </w:p>
        </w:tc>
        <w:tc>
          <w:tcPr>
            <w:tcW w:w="204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(14,467)</w:t>
            </w: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(12,644)</w:t>
            </w: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6"/>
                <w:szCs w:val="16"/>
                <w:color w:val="auto"/>
              </w:rPr>
              <w:t xml:space="preserve">Dry-docking capital reserve </w:t>
            </w:r>
            <w:r>
              <w:rPr>
                <w:rFonts w:ascii="Arial" w:cs="Arial" w:eastAsia="Arial" w:hAnsi="Arial"/>
                <w:sz w:val="21"/>
                <w:szCs w:val="21"/>
                <w:color w:val="auto"/>
                <w:vertAlign w:val="superscript"/>
              </w:rPr>
              <w:t>(2)</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(4,170)</w:t>
            </w:r>
          </w:p>
        </w:tc>
        <w:tc>
          <w:tcPr>
            <w:tcW w:w="2040" w:type="dxa"/>
            <w:vAlign w:val="bottom"/>
            <w:gridSpan w:val="3"/>
          </w:tcPr>
          <w:p>
            <w:pPr>
              <w:jc w:val="right"/>
              <w:ind w:right="220"/>
              <w:spacing w:after="0"/>
              <w:rPr>
                <w:sz w:val="20"/>
                <w:szCs w:val="20"/>
                <w:color w:val="auto"/>
              </w:rPr>
            </w:pPr>
            <w:r>
              <w:rPr>
                <w:rFonts w:ascii="Arial" w:cs="Arial" w:eastAsia="Arial" w:hAnsi="Arial"/>
                <w:sz w:val="16"/>
                <w:szCs w:val="16"/>
                <w:color w:val="auto"/>
              </w:rPr>
              <w:t>(4,027)</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(4,027)</w:t>
            </w:r>
          </w:p>
        </w:tc>
      </w:tr>
      <w:tr>
        <w:trPr>
          <w:trHeight w:val="203"/>
        </w:trPr>
        <w:tc>
          <w:tcPr>
            <w:tcW w:w="54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 xml:space="preserve">Replacement capital reserve </w:t>
            </w:r>
            <w:r>
              <w:rPr>
                <w:rFonts w:ascii="Arial" w:cs="Arial" w:eastAsia="Arial" w:hAnsi="Arial"/>
                <w:sz w:val="21"/>
                <w:szCs w:val="21"/>
                <w:color w:val="auto"/>
                <w:vertAlign w:val="superscript"/>
              </w:rPr>
              <w:t>(2)</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(9,686)</w:t>
            </w:r>
          </w:p>
        </w:tc>
        <w:tc>
          <w:tcPr>
            <w:tcW w:w="204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(10,769)</w:t>
            </w: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(10,769)</w:t>
            </w: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Accrued preferred equity distribution</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(7,582)</w:t>
            </w:r>
          </w:p>
        </w:tc>
        <w:tc>
          <w:tcPr>
            <w:tcW w:w="2040" w:type="dxa"/>
            <w:vAlign w:val="bottom"/>
            <w:gridSpan w:val="3"/>
          </w:tcPr>
          <w:p>
            <w:pPr>
              <w:jc w:val="right"/>
              <w:ind w:right="220"/>
              <w:spacing w:after="0"/>
              <w:rPr>
                <w:sz w:val="20"/>
                <w:szCs w:val="20"/>
                <w:color w:val="auto"/>
              </w:rPr>
            </w:pPr>
            <w:r>
              <w:rPr>
                <w:rFonts w:ascii="Arial" w:cs="Arial" w:eastAsia="Arial" w:hAnsi="Arial"/>
                <w:sz w:val="16"/>
                <w:szCs w:val="16"/>
                <w:color w:val="auto"/>
              </w:rPr>
              <w:t>(7,582)</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(7,582)</w:t>
            </w:r>
          </w:p>
        </w:tc>
      </w:tr>
      <w:tr>
        <w:trPr>
          <w:trHeight w:val="196"/>
        </w:trPr>
        <w:tc>
          <w:tcPr>
            <w:tcW w:w="5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Distributable cash flow</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29,399</w:t>
            </w:r>
          </w:p>
        </w:tc>
        <w:tc>
          <w:tcPr>
            <w:tcW w:w="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27,356</w:t>
            </w:r>
          </w:p>
        </w:tc>
        <w:tc>
          <w:tcPr>
            <w:tcW w:w="2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25,328</w:t>
            </w:r>
          </w:p>
        </w:tc>
        <w:tc>
          <w:tcPr>
            <w:tcW w:w="120" w:type="dxa"/>
            <w:vAlign w:val="bottom"/>
            <w:tcBorders>
              <w:top w:val="single" w:sz="8" w:color="E5FFFF"/>
            </w:tcBorders>
            <w:shd w:val="clear" w:color="auto" w:fill="E5FFFF"/>
          </w:tcPr>
          <w:p>
            <w:pPr>
              <w:spacing w:after="0"/>
              <w:rPr>
                <w:sz w:val="17"/>
                <w:szCs w:val="17"/>
                <w:color w:val="auto"/>
              </w:rPr>
            </w:pPr>
          </w:p>
        </w:tc>
      </w:tr>
      <w:tr>
        <w:trPr>
          <w:trHeight w:val="196"/>
        </w:trPr>
        <w:tc>
          <w:tcPr>
            <w:tcW w:w="5440" w:type="dxa"/>
            <w:vAlign w:val="bottom"/>
            <w:tcBorders>
              <w:bottom w:val="single" w:sz="8" w:color="E5FFFF"/>
            </w:tcBorders>
          </w:tcPr>
          <w:p>
            <w:pPr>
              <w:spacing w:after="0" w:line="196" w:lineRule="exact"/>
              <w:rPr>
                <w:sz w:val="20"/>
                <w:szCs w:val="20"/>
                <w:color w:val="auto"/>
              </w:rPr>
            </w:pPr>
            <w:r>
              <w:rPr>
                <w:rFonts w:ascii="Arial" w:cs="Arial" w:eastAsia="Arial" w:hAnsi="Arial"/>
                <w:sz w:val="16"/>
                <w:szCs w:val="16"/>
                <w:color w:val="auto"/>
              </w:rPr>
              <w:t xml:space="preserve">Other reserves </w:t>
            </w:r>
            <w:r>
              <w:rPr>
                <w:rFonts w:ascii="Arial" w:cs="Arial" w:eastAsia="Arial" w:hAnsi="Arial"/>
                <w:sz w:val="21"/>
                <w:szCs w:val="21"/>
                <w:color w:val="auto"/>
                <w:vertAlign w:val="superscript"/>
              </w:rPr>
              <w:t>(3)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(21,389)</w:t>
            </w:r>
          </w:p>
        </w:tc>
        <w:tc>
          <w:tcPr>
            <w:tcW w:w="280" w:type="dxa"/>
            <w:vAlign w:val="bottom"/>
            <w:tcBorders>
              <w:bottom w:val="single" w:sz="8" w:color="E5FF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(19,358)</w:t>
            </w:r>
          </w:p>
        </w:tc>
        <w:tc>
          <w:tcPr>
            <w:tcW w:w="120" w:type="dxa"/>
            <w:vAlign w:val="bottom"/>
            <w:tcBorders>
              <w:bottom w:val="single" w:sz="8" w:color="E5FFFF"/>
            </w:tcBorders>
          </w:tcPr>
          <w:p>
            <w:pPr>
              <w:spacing w:after="0"/>
              <w:rPr>
                <w:sz w:val="17"/>
                <w:szCs w:val="17"/>
                <w:color w:val="auto"/>
              </w:rPr>
            </w:pPr>
          </w:p>
        </w:tc>
      </w:tr>
      <w:tr>
        <w:trPr>
          <w:trHeight w:val="196"/>
        </w:trPr>
        <w:tc>
          <w:tcPr>
            <w:tcW w:w="5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distribution declared</w:t>
            </w: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26,640</w:t>
            </w:r>
          </w:p>
        </w:tc>
        <w:tc>
          <w:tcPr>
            <w:tcW w:w="8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5,967</w:t>
            </w:r>
          </w:p>
        </w:tc>
        <w:tc>
          <w:tcPr>
            <w:tcW w:w="280" w:type="dxa"/>
            <w:vAlign w:val="bottom"/>
            <w:tcBorders>
              <w:bottom w:val="single" w:sz="8" w:color="E5FFFF"/>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5,970</w:t>
            </w:r>
          </w:p>
        </w:tc>
        <w:tc>
          <w:tcPr>
            <w:tcW w:w="120" w:type="dxa"/>
            <w:vAlign w:val="bottom"/>
            <w:tcBorders>
              <w:bottom w:val="single" w:sz="8" w:color="E5FFFF"/>
            </w:tcBorders>
            <w:shd w:val="clear" w:color="auto" w:fill="E5FFFF"/>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260" w:hanging="332"/>
        <w:spacing w:after="0" w:line="262" w:lineRule="auto"/>
        <w:tabs>
          <w:tab w:leader="none" w:pos="328" w:val="left"/>
        </w:tabs>
        <w:numPr>
          <w:ilvl w:val="0"/>
          <w:numId w:val="921"/>
        </w:numPr>
        <w:rPr>
          <w:rFonts w:ascii="Arial" w:cs="Arial" w:eastAsia="Arial" w:hAnsi="Arial"/>
          <w:sz w:val="21"/>
          <w:szCs w:val="21"/>
          <w:color w:val="auto"/>
          <w:vertAlign w:val="superscript"/>
        </w:rPr>
      </w:pPr>
      <w:r>
        <w:rPr>
          <w:rFonts w:ascii="Arial" w:cs="Arial" w:eastAsia="Arial" w:hAnsi="Arial"/>
          <w:sz w:val="15"/>
          <w:szCs w:val="15"/>
          <w:color w:val="auto"/>
        </w:rPr>
        <w:t xml:space="preserve">Excludes amounts related to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for the period prior to its transfer to the Partnership on April 1, 2019. While such amounts are reflected in the Partnership’s unaudited condensed consolidated financial statements because the transfer to the Partnership was accounted as a reorganization of entities under common control under IFRS, GAS-twelve Ltd. was not owned by the Partnership prior to its respective transfer to the Partnership in April 2019 and accordingly the Partnership was not entitled to the cash or results generated in the period prior to such transfer.</w:t>
      </w:r>
    </w:p>
    <w:p>
      <w:pPr>
        <w:spacing w:after="0" w:line="197" w:lineRule="exact"/>
        <w:rPr>
          <w:rFonts w:ascii="Arial" w:cs="Arial" w:eastAsia="Arial" w:hAnsi="Arial"/>
          <w:sz w:val="21"/>
          <w:szCs w:val="21"/>
          <w:color w:val="auto"/>
          <w:vertAlign w:val="superscript"/>
        </w:rPr>
      </w:pPr>
    </w:p>
    <w:p>
      <w:pPr>
        <w:ind w:left="340" w:hanging="332"/>
        <w:spacing w:after="0" w:line="218" w:lineRule="auto"/>
        <w:tabs>
          <w:tab w:leader="none" w:pos="328" w:val="left"/>
        </w:tabs>
        <w:numPr>
          <w:ilvl w:val="0"/>
          <w:numId w:val="921"/>
        </w:numPr>
        <w:rPr>
          <w:rFonts w:ascii="Arial" w:cs="Arial" w:eastAsia="Arial" w:hAnsi="Arial"/>
          <w:sz w:val="23"/>
          <w:szCs w:val="23"/>
          <w:color w:val="auto"/>
          <w:vertAlign w:val="superscript"/>
        </w:rPr>
      </w:pPr>
      <w:r>
        <w:rPr>
          <w:rFonts w:ascii="Arial" w:cs="Arial" w:eastAsia="Arial" w:hAnsi="Arial"/>
          <w:sz w:val="16"/>
          <w:szCs w:val="16"/>
          <w:color w:val="auto"/>
        </w:rPr>
        <w:t>Effective January 1, 2020, the Partnership revised the assumed re-investment rate used in calculating the dry-docking capital reserve and the replacement capital reserve to reflect recent movements in market interest rate forecasts.</w:t>
      </w:r>
    </w:p>
    <w:p>
      <w:pPr>
        <w:spacing w:after="0" w:line="213" w:lineRule="exact"/>
        <w:rPr>
          <w:rFonts w:ascii="Arial" w:cs="Arial" w:eastAsia="Arial" w:hAnsi="Arial"/>
          <w:sz w:val="23"/>
          <w:szCs w:val="23"/>
          <w:color w:val="auto"/>
          <w:vertAlign w:val="superscript"/>
        </w:rPr>
      </w:pPr>
    </w:p>
    <w:p>
      <w:pPr>
        <w:ind w:left="340" w:right="640" w:hanging="332"/>
        <w:spacing w:after="0" w:line="218" w:lineRule="auto"/>
        <w:tabs>
          <w:tab w:leader="none" w:pos="328" w:val="left"/>
        </w:tabs>
        <w:numPr>
          <w:ilvl w:val="0"/>
          <w:numId w:val="921"/>
        </w:numPr>
        <w:rPr>
          <w:rFonts w:ascii="Arial" w:cs="Arial" w:eastAsia="Arial" w:hAnsi="Arial"/>
          <w:sz w:val="23"/>
          <w:szCs w:val="23"/>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213" w:lineRule="exact"/>
        <w:rPr>
          <w:rFonts w:ascii="Arial" w:cs="Arial" w:eastAsia="Arial" w:hAnsi="Arial"/>
          <w:sz w:val="23"/>
          <w:szCs w:val="23"/>
          <w:color w:val="auto"/>
          <w:vertAlign w:val="superscript"/>
        </w:rPr>
      </w:pPr>
    </w:p>
    <w:p>
      <w:pPr>
        <w:ind w:left="340" w:right="680" w:hanging="332"/>
        <w:spacing w:after="0" w:line="218" w:lineRule="auto"/>
        <w:tabs>
          <w:tab w:leader="none" w:pos="328" w:val="left"/>
        </w:tabs>
        <w:numPr>
          <w:ilvl w:val="0"/>
          <w:numId w:val="921"/>
        </w:numPr>
        <w:rPr>
          <w:rFonts w:ascii="Arial" w:cs="Arial" w:eastAsia="Arial" w:hAnsi="Arial"/>
          <w:sz w:val="23"/>
          <w:szCs w:val="23"/>
          <w:color w:val="auto"/>
          <w:vertAlign w:val="superscript"/>
        </w:rPr>
      </w:pPr>
      <w:r>
        <w:rPr>
          <w:rFonts w:ascii="Arial" w:cs="Arial" w:eastAsia="Arial" w:hAnsi="Arial"/>
          <w:sz w:val="16"/>
          <w:szCs w:val="16"/>
          <w:color w:val="auto"/>
        </w:rPr>
        <w:t>For the three months ended June 30, 2020, the cash distributions declared and the other reserves have been calculated based on the number of units issued and outstanding as of June 30, 2020.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Six Months Ended June 30, 2020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60" w:firstLine="405"/>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three-and six-month periods ended June 30, 2020 and June 30, 2019.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3, 2020.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80" w:firstLine="383"/>
        <w:spacing w:after="0" w:line="268"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120" w:hanging="328"/>
        <w:spacing w:after="0" w:line="284" w:lineRule="auto"/>
        <w:tabs>
          <w:tab w:leader="none" w:pos="624" w:val="left"/>
        </w:tabs>
        <w:numPr>
          <w:ilvl w:val="0"/>
          <w:numId w:val="922"/>
        </w:numPr>
        <w:rPr>
          <w:rFonts w:ascii="Arial" w:cs="Arial" w:eastAsia="Arial" w:hAnsi="Arial"/>
          <w:sz w:val="16"/>
          <w:szCs w:val="16"/>
          <w:color w:val="auto"/>
        </w:rPr>
      </w:pPr>
      <w:r>
        <w:rPr>
          <w:rFonts w:ascii="Arial" w:cs="Arial" w:eastAsia="Arial" w:hAnsi="Arial"/>
          <w:sz w:val="14"/>
          <w:szCs w:val="14"/>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9" w:lineRule="exact"/>
        <w:rPr>
          <w:rFonts w:ascii="Arial" w:cs="Arial" w:eastAsia="Arial" w:hAnsi="Arial"/>
          <w:sz w:val="16"/>
          <w:szCs w:val="16"/>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jc w:val="both"/>
        <w:ind w:left="660" w:right="220" w:hanging="328"/>
        <w:spacing w:after="0" w:line="255" w:lineRule="auto"/>
        <w:tabs>
          <w:tab w:leader="none" w:pos="624"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the Euro;</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24"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Ltd. (“GasLog”) or by acquiring other assets from third parties;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24" w:val="left"/>
        </w:tabs>
        <w:numPr>
          <w:ilvl w:val="0"/>
          <w:numId w:val="922"/>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9" w:lineRule="exact"/>
        <w:rPr>
          <w:rFonts w:ascii="Arial" w:cs="Arial" w:eastAsia="Arial" w:hAnsi="Arial"/>
          <w:sz w:val="18"/>
          <w:szCs w:val="18"/>
          <w:color w:val="auto"/>
        </w:rPr>
      </w:pPr>
    </w:p>
    <w:p>
      <w:pPr>
        <w:ind w:left="660" w:right="220" w:hanging="328"/>
        <w:spacing w:after="0" w:line="255" w:lineRule="auto"/>
        <w:tabs>
          <w:tab w:leader="none" w:pos="624" w:val="left"/>
        </w:tabs>
        <w:numPr>
          <w:ilvl w:val="0"/>
          <w:numId w:val="922"/>
        </w:numPr>
        <w:rPr>
          <w:rFonts w:ascii="Arial" w:cs="Arial" w:eastAsia="Arial" w:hAnsi="Arial"/>
          <w:sz w:val="18"/>
          <w:szCs w:val="18"/>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8"/>
          <w:szCs w:val="18"/>
          <w:color w:val="auto"/>
        </w:rPr>
      </w:pPr>
      <w:r>
        <w:rPr>
          <w:rFonts w:ascii="Arial" w:cs="Arial" w:eastAsia="Arial" w:hAnsi="Arial"/>
          <w:sz w:val="16"/>
          <w:szCs w:val="16"/>
          <w:color w:val="auto"/>
        </w:rPr>
        <w:t>the impact on us and the shipping industry of environmental concerns,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2"/>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6" w:name="page367"/>
    <w:bookmarkEnd w:id="366"/>
    <w:p>
      <w:pPr>
        <w:ind w:left="660" w:right="460" w:hanging="328"/>
        <w:spacing w:after="0" w:line="255" w:lineRule="auto"/>
        <w:tabs>
          <w:tab w:leader="none" w:pos="624" w:val="left"/>
        </w:tabs>
        <w:numPr>
          <w:ilvl w:val="0"/>
          <w:numId w:val="923"/>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3"/>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3"/>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60" w:right="140" w:hanging="328"/>
        <w:spacing w:after="0" w:line="263" w:lineRule="auto"/>
        <w:tabs>
          <w:tab w:leader="none" w:pos="624" w:val="left"/>
        </w:tabs>
        <w:numPr>
          <w:ilvl w:val="0"/>
          <w:numId w:val="923"/>
        </w:numPr>
        <w:rPr>
          <w:rFonts w:ascii="Arial" w:cs="Arial" w:eastAsia="Arial" w:hAnsi="Arial"/>
          <w:sz w:val="18"/>
          <w:szCs w:val="18"/>
          <w:color w:val="auto"/>
        </w:rPr>
      </w:pPr>
      <w:r>
        <w:rPr>
          <w:rFonts w:ascii="Arial" w:cs="Arial" w:eastAsia="Arial" w:hAnsi="Arial"/>
          <w:sz w:val="16"/>
          <w:szCs w:val="16"/>
          <w:color w:val="auto"/>
        </w:rPr>
        <w:t xml:space="preserve">other risks and uncertainties described in the Partnership’s Annual Report on Form 20-F filed with the SEC on March 3, 2020 and Quarterly Report on Form 6-K filed with the SEC on May 7, 2020, available at </w:t>
      </w:r>
      <w:r>
        <w:rPr>
          <w:rFonts w:ascii="Arial" w:cs="Arial" w:eastAsia="Arial" w:hAnsi="Arial"/>
          <w:sz w:val="16"/>
          <w:szCs w:val="16"/>
          <w:u w:val="single" w:color="auto"/>
          <w:color w:val="0000FF"/>
        </w:rPr>
        <w:t>http://www.sec.gov</w:t>
      </w:r>
      <w:r>
        <w:rPr>
          <w:rFonts w:ascii="Arial" w:cs="Arial" w:eastAsia="Arial" w:hAnsi="Arial"/>
          <w:sz w:val="16"/>
          <w:szCs w:val="16"/>
          <w:color w:val="auto"/>
        </w:rPr>
        <w:t>.</w:t>
      </w:r>
    </w:p>
    <w:p>
      <w:pPr>
        <w:spacing w:after="0" w:line="193" w:lineRule="exact"/>
        <w:rPr>
          <w:sz w:val="20"/>
          <w:szCs w:val="20"/>
          <w:color w:val="auto"/>
        </w:rPr>
      </w:pPr>
    </w:p>
    <w:p>
      <w:pPr>
        <w:ind w:right="10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6"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However, given the current uncertainty in relation to COVID-19 and in an effort to facilitate robust disclosure, we have identified the following risks and uncertainties or updated the risk factors described in our Annual Report on Form 20-F filed with the SEC on March 3, 2020 and Quarterly Report on Form 6-K filed with the SEC on May 7,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control the outbreak of the COVID-19 virus is negatively affecting the global economy, energy demand and our business.</w:t>
      </w:r>
    </w:p>
    <w:p>
      <w:pPr>
        <w:spacing w:after="0" w:line="235" w:lineRule="exact"/>
        <w:rPr>
          <w:sz w:val="20"/>
          <w:szCs w:val="20"/>
          <w:color w:val="auto"/>
        </w:rPr>
      </w:pPr>
    </w:p>
    <w:p>
      <w:pPr>
        <w:ind w:right="20" w:firstLine="405"/>
        <w:spacing w:after="0" w:line="284" w:lineRule="auto"/>
        <w:rPr>
          <w:sz w:val="20"/>
          <w:szCs w:val="20"/>
          <w:color w:val="auto"/>
        </w:rPr>
      </w:pPr>
      <w:r>
        <w:rPr>
          <w:rFonts w:ascii="Arial" w:cs="Arial" w:eastAsia="Arial" w:hAnsi="Arial"/>
          <w:sz w:val="15"/>
          <w:szCs w:val="15"/>
          <w:color w:val="auto"/>
        </w:rPr>
        <w:t xml:space="preserve">The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have fallen by approximately 35% since the end of 2019. Natural gas prices in the primary European and Asian markets for LNG have fallen to an even greater extent. Together with reduced economic activity as a result of the COVID-19 virus, the decline in oil and gas prices has disincentivized trading of LNG and reduced the demand for LNG carriers and may continue to do so in the future. In the financial markets, the virus, and the responses of governments around the world to manage the impact of the virus, have led to lower interest rates and extreme volatility in the prices of equities, bonds, commodities and their respective derivatives. Our unit price has declined significantly this year, due, in part, to the impact of the COVID-19 virus. Record low interest rates and exchange rates, especially the U.S. dollar exchange rate, have required us to post $15.0 million of cash collateral against our current marked-to-market derivative liabilities pursuant to a Credit Support Annex entered into between GasLog Partners and GasLog in March 2020. The ongoing spread of the COVID-19 virus may negatively affect our business and operations, the health of our crews and the availability of our fleet, particularly if crew members contract COVID-19 as well as our financial position and prospects. The reduction in LNG demand and the closure of, or restricted access to, ports and terminals in regions affected by the virus may lead to further reduced chartering activity and, in the extreme, an inability of our charterers to meet their obligations under the terms of their term charters. Furthermore, we may be unable to secure charters for our vessels at rates that are sufficient to meet our financial obligations, particularly for the vessels that are coming off-charter in the next twelve months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in November 2020,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in December 2020, the </w:t>
      </w:r>
      <w:r>
        <w:rPr>
          <w:rFonts w:ascii="Arial" w:cs="Arial" w:eastAsia="Arial" w:hAnsi="Arial"/>
          <w:sz w:val="15"/>
          <w:szCs w:val="15"/>
          <w:i w:val="1"/>
          <w:iCs w:val="1"/>
          <w:color w:val="auto"/>
        </w:rPr>
        <w:t>GasLog Seattle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in June 2021). We have three vessels in the spot market, and these vessels are currently experiencing reduced spot charter rates and demand. Continued exposure to the spot market or extended periods of idle time between charters could adversely affect our future liquidity, results of operations and cash flows. Failure to control the spread of the virus could significantly impact economic activity and demand for LNG and LNG shipping which could further negatively affect our business, financial condition, results of operations and cash available for distribution. Should the COVID-19 pandemic continue to negatively impact market rates in the long-term, there would be a significant negative impact on our liquidity and financial condition, as well as the future carrying values of our vessels could be further affected due to a potential unfavorable permanent impact in the key assumptions such as the estimates of future charter rates for non-contracted revenue days and the discount rate in our future impairment assessments.</w:t>
      </w:r>
    </w:p>
    <w:p>
      <w:pPr>
        <w:spacing w:after="0" w:line="182" w:lineRule="exact"/>
        <w:rPr>
          <w:sz w:val="20"/>
          <w:szCs w:val="20"/>
          <w:color w:val="auto"/>
        </w:rPr>
      </w:pPr>
    </w:p>
    <w:p>
      <w:pPr>
        <w:jc w:val="both"/>
        <w:ind w:right="160" w:firstLine="405"/>
        <w:spacing w:after="0" w:line="305" w:lineRule="auto"/>
        <w:rPr>
          <w:sz w:val="20"/>
          <w:szCs w:val="20"/>
          <w:color w:val="auto"/>
        </w:rPr>
      </w:pPr>
      <w:r>
        <w:rPr>
          <w:rFonts w:ascii="Arial" w:cs="Arial" w:eastAsia="Arial" w:hAnsi="Arial"/>
          <w:sz w:val="15"/>
          <w:szCs w:val="15"/>
          <w:color w:val="auto"/>
        </w:rPr>
        <w:t>Although we have taken extensive measures to limit the impact of COVID-19 on business continuity, including implementation of a strict “work from home” policy for shore-based employees, as required depending on each location, and the commencement of select rotations of offshore personnel where possible, giving effect to local restrictions on the movement of offshore staff, these may not be sufficient to protect our business against the impact of COVID-19.</w:t>
      </w:r>
    </w:p>
    <w:p>
      <w:pPr>
        <w:spacing w:after="0" w:line="166" w:lineRule="exact"/>
        <w:rPr>
          <w:sz w:val="20"/>
          <w:szCs w:val="20"/>
          <w:color w:val="auto"/>
        </w:rPr>
      </w:pPr>
    </w:p>
    <w:p>
      <w:pPr>
        <w:ind w:right="60"/>
        <w:spacing w:after="0" w:line="355" w:lineRule="auto"/>
        <w:rPr>
          <w:sz w:val="20"/>
          <w:szCs w:val="20"/>
          <w:color w:val="auto"/>
        </w:rPr>
      </w:pPr>
      <w:r>
        <w:rPr>
          <w:rFonts w:ascii="Arial" w:cs="Arial" w:eastAsia="Arial" w:hAnsi="Arial"/>
          <w:sz w:val="13"/>
          <w:szCs w:val="13"/>
          <w:b w:val="1"/>
          <w:bCs w:val="1"/>
          <w:i w:val="1"/>
          <w:iCs w:val="1"/>
          <w:color w:val="auto"/>
        </w:rPr>
        <w:t>In the remaining months of 2020, three of our vessels are scheduled to be dry-docked and, in 2021, five of our vessels are scheduled to be dry-docked. The dry-dockings for four of these vessels (three in 2020 and one in 2021)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41" w:lineRule="exact"/>
        <w:rPr>
          <w:sz w:val="20"/>
          <w:szCs w:val="20"/>
          <w:color w:val="auto"/>
        </w:rPr>
      </w:pPr>
    </w:p>
    <w:p>
      <w:pPr>
        <w:ind w:right="20" w:firstLine="405"/>
        <w:spacing w:after="0" w:line="311" w:lineRule="auto"/>
        <w:rPr>
          <w:sz w:val="20"/>
          <w:szCs w:val="20"/>
          <w:color w:val="auto"/>
        </w:rPr>
      </w:pPr>
      <w:r>
        <w:rPr>
          <w:rFonts w:ascii="Arial" w:cs="Arial" w:eastAsia="Arial" w:hAnsi="Arial"/>
          <w:sz w:val="14"/>
          <w:szCs w:val="14"/>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2020 and 2021, some of the dry-dockings will be longer and more costly than normal as a result of the need to install BWTS on each vessel in order to comply with regulatory requirements. Furthermore, the COVID-19 virus, including the recent “stop work” order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2020 (three vessels), 2021 (five vessels) and 2023 (four vessels).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367" w:name="page368"/>
    <w:bookmarkEnd w:id="367"/>
    <w:p>
      <w:pPr>
        <w:ind w:right="20"/>
        <w:spacing w:after="0" w:line="311" w:lineRule="auto"/>
        <w:rPr>
          <w:sz w:val="20"/>
          <w:szCs w:val="20"/>
          <w:color w:val="auto"/>
        </w:rPr>
      </w:pPr>
      <w:r>
        <w:rPr>
          <w:rFonts w:ascii="Arial" w:cs="Arial" w:eastAsia="Arial" w:hAnsi="Arial"/>
          <w:sz w:val="14"/>
          <w:szCs w:val="14"/>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units may make it difficult or impossible for us to access the equity or equity-linked capital markets. The recent fall in U.S. interest rates, has required us to post cash collateral against our current marked-to-market derivative liabilities.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w:t>
      </w:r>
    </w:p>
    <w:p>
      <w:pPr>
        <w:spacing w:after="0" w:line="167" w:lineRule="exact"/>
        <w:rPr>
          <w:sz w:val="20"/>
          <w:szCs w:val="20"/>
          <w:color w:val="auto"/>
        </w:rPr>
      </w:pPr>
    </w:p>
    <w:p>
      <w:pPr>
        <w:ind w:right="80" w:firstLine="405"/>
        <w:spacing w:after="0" w:line="293" w:lineRule="auto"/>
        <w:rPr>
          <w:sz w:val="20"/>
          <w:szCs w:val="20"/>
          <w:color w:val="auto"/>
        </w:rPr>
      </w:pPr>
      <w:r>
        <w:rPr>
          <w:rFonts w:ascii="Arial" w:cs="Arial" w:eastAsia="Arial" w:hAnsi="Arial"/>
          <w:sz w:val="15"/>
          <w:szCs w:val="15"/>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The COVID-19 virus is having a significant negative impact on global financial markets. If we are unable to access the capital markets or raise additional bank financing or generate sufficient cash flow to meet our debt, capital expenditure and other business requirements, we may be forced to take actions such as:</w:t>
      </w:r>
    </w:p>
    <w:p>
      <w:pPr>
        <w:spacing w:after="0" w:line="188" w:lineRule="exact"/>
        <w:rPr>
          <w:sz w:val="20"/>
          <w:szCs w:val="20"/>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seeking waivers or consents from our creditors;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restructuring our debt;</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seeking additional debt or equity capital;</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selling assets;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further reducing distributions;</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reducing, delaying or cancelling our business activities, acquisitions, investments or capital expenditures; or</w:t>
      </w:r>
    </w:p>
    <w:p>
      <w:pPr>
        <w:spacing w:after="0" w:line="49" w:lineRule="exact"/>
        <w:rPr>
          <w:rFonts w:ascii="Arial" w:cs="Arial" w:eastAsia="Arial" w:hAnsi="Arial"/>
          <w:sz w:val="18"/>
          <w:szCs w:val="18"/>
          <w:color w:val="auto"/>
        </w:rPr>
      </w:pPr>
    </w:p>
    <w:p>
      <w:pPr>
        <w:ind w:left="620" w:hanging="288"/>
        <w:spacing w:after="0"/>
        <w:tabs>
          <w:tab w:leader="none" w:pos="620" w:val="left"/>
        </w:tabs>
        <w:numPr>
          <w:ilvl w:val="0"/>
          <w:numId w:val="924"/>
        </w:numPr>
        <w:rPr>
          <w:rFonts w:ascii="Arial" w:cs="Arial" w:eastAsia="Arial" w:hAnsi="Arial"/>
          <w:sz w:val="18"/>
          <w:szCs w:val="18"/>
          <w:color w:val="auto"/>
        </w:rPr>
      </w:pPr>
      <w:r>
        <w:rPr>
          <w:rFonts w:ascii="Arial" w:cs="Arial" w:eastAsia="Arial" w:hAnsi="Arial"/>
          <w:sz w:val="16"/>
          <w:szCs w:val="16"/>
          <w:color w:val="auto"/>
        </w:rPr>
        <w:t>seeking bankruptcy protection.</w:t>
      </w:r>
    </w:p>
    <w:p>
      <w:pPr>
        <w:spacing w:after="0" w:line="212" w:lineRule="exact"/>
        <w:rPr>
          <w:sz w:val="20"/>
          <w:szCs w:val="20"/>
          <w:color w:val="auto"/>
        </w:rPr>
      </w:pPr>
    </w:p>
    <w:p>
      <w:pPr>
        <w:ind w:right="20" w:firstLine="405"/>
        <w:spacing w:after="0" w:line="267"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Following the recent significant fall in the value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 Despite the recent refinancing of the Partnership’s debt maturities due in 2021, our liquidity position could be challenged in the future, and we may need to raise equity in order to remain in compliance with the financial covenants within our loan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9" w:lineRule="exact"/>
        <w:rPr>
          <w:sz w:val="20"/>
          <w:szCs w:val="20"/>
          <w:color w:val="auto"/>
        </w:rPr>
      </w:pPr>
    </w:p>
    <w:p>
      <w:pPr>
        <w:ind w:right="40" w:firstLine="383"/>
        <w:spacing w:after="0" w:line="289" w:lineRule="auto"/>
        <w:rPr>
          <w:sz w:val="20"/>
          <w:szCs w:val="20"/>
          <w:color w:val="auto"/>
        </w:rPr>
      </w:pPr>
      <w:r>
        <w:rPr>
          <w:rFonts w:ascii="Arial" w:cs="Arial" w:eastAsia="Arial" w:hAnsi="Arial"/>
          <w:sz w:val="15"/>
          <w:szCs w:val="15"/>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$8.6 million beginning in January 2021, with a final balloon amount of $174.3 million payable concurrently with the last installment in July 2025. Interest on the facility will be payable at a rate of U.S. dollar (“USD”) London Interbank Offered Rate (“LIBOR”) plus a margin. The relevant amount of $260.3 million was drawn on July 21, 2020, out of which $258.5 million was used to refinance the outstanding indebtedness of GAS-twenty Ltd., GAS-seven Ltd. and GAS-eight Ltd., the respective entities owning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Seattle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The facility includes customary restrictive covenants aligned with the ones in the existing bank credit facilities of the Partnership.</w:t>
      </w:r>
    </w:p>
    <w:p>
      <w:pPr>
        <w:spacing w:after="0" w:line="180" w:lineRule="exact"/>
        <w:rPr>
          <w:sz w:val="20"/>
          <w:szCs w:val="20"/>
          <w:color w:val="auto"/>
        </w:rPr>
      </w:pPr>
    </w:p>
    <w:p>
      <w:pPr>
        <w:ind w:right="20" w:firstLine="383"/>
        <w:spacing w:after="0" w:line="288" w:lineRule="auto"/>
        <w:rPr>
          <w:sz w:val="20"/>
          <w:szCs w:val="20"/>
          <w:color w:val="auto"/>
        </w:rPr>
      </w:pPr>
      <w:r>
        <w:rPr>
          <w:rFonts w:ascii="Arial" w:cs="Arial" w:eastAsia="Arial" w:hAnsi="Arial"/>
          <w:sz w:val="15"/>
          <w:szCs w:val="15"/>
          <w:color w:val="auto"/>
        </w:rPr>
        <w:t xml:space="preserve">Also on July 16, 2020, GasLog Partners entered into a credit agreement of $193.7 million with DNB Bank ASA, London Branch, and ING Bank N.V., London Branch, each an original lender, with DNB Bank ASA, London Branch acting as security agent and trustee for and on behalf of the other finance parties mentioned above, in order to refinance the existing indebtedness due in 2021 with respect to three of its vessels. The facility will amortize over ten equal semi-annual installments of $8.6 million beginning in January 2021, with a final balloon amount of $107.7 million payable concurrently with the last installment in July 2025. Interest on the facility will be payable at a rate of USD LIBOR plus a margin. DNB Bank ASA, London Branch and ING Bank N.V., London Branch were also registered as hedging providers under the facility. The relevant amount of $193.7 million was drawn on July 21, 2020, out of which $174.9 million was used to refinance the outstanding indebtedness of GAS-nineteen Ltd., GAS-twenty one Ltd. and GAS-twenty seven Ltd., the respective entities owning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Becki Anne</w:t>
      </w:r>
      <w:r>
        <w:rPr>
          <w:rFonts w:ascii="Arial" w:cs="Arial" w:eastAsia="Arial" w:hAnsi="Arial"/>
          <w:sz w:val="15"/>
          <w:szCs w:val="15"/>
          <w:color w:val="auto"/>
        </w:rPr>
        <w:t>. The facility includes customary restrictive covenants aligned with the ones in the existing bank credit facilities of the Partnership.</w:t>
      </w:r>
    </w:p>
    <w:p>
      <w:pPr>
        <w:spacing w:after="0" w:line="180" w:lineRule="exact"/>
        <w:rPr>
          <w:sz w:val="20"/>
          <w:szCs w:val="20"/>
          <w:color w:val="auto"/>
        </w:rPr>
      </w:pPr>
    </w:p>
    <w:p>
      <w:pPr>
        <w:ind w:right="100" w:firstLine="383"/>
        <w:spacing w:after="0" w:line="297" w:lineRule="auto"/>
        <w:rPr>
          <w:sz w:val="20"/>
          <w:szCs w:val="20"/>
          <w:color w:val="auto"/>
        </w:rPr>
      </w:pPr>
      <w:r>
        <w:rPr>
          <w:rFonts w:ascii="Arial" w:cs="Arial" w:eastAsia="Arial" w:hAnsi="Arial"/>
          <w:sz w:val="15"/>
          <w:szCs w:val="15"/>
          <w:color w:val="auto"/>
        </w:rPr>
        <w:t xml:space="preserve">As part of the closing of the Partnership’s refinancing in July 2020, the Partnership entered into four new interest rate swap agreements with an aggregate notional amount of $133.3 million due in 2024 and 2025 with the facility lenders DNB Bank ASA, London Branch and ING Bank N.V., London Branch due, all secured under the GasLog Partners’ $193.7 million facility agreement signed on July 16, 2020 in relation to the GAS-nineteen Ltd., the GAS-twenty Ltd. and the GAS-twenty seven Ltd., the vessel owning entities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Becki Anne</w:t>
      </w:r>
      <w:r>
        <w:rPr>
          <w:rFonts w:ascii="Arial" w:cs="Arial" w:eastAsia="Arial" w:hAnsi="Arial"/>
          <w:sz w:val="15"/>
          <w:szCs w:val="15"/>
          <w:color w:val="auto"/>
        </w:rPr>
        <w:t>.</w:t>
      </w:r>
    </w:p>
    <w:p>
      <w:pPr>
        <w:spacing w:after="0" w:line="172" w:lineRule="exact"/>
        <w:rPr>
          <w:sz w:val="20"/>
          <w:szCs w:val="20"/>
          <w:color w:val="auto"/>
        </w:rPr>
      </w:pPr>
    </w:p>
    <w:p>
      <w:pPr>
        <w:ind w:firstLine="383"/>
        <w:spacing w:after="0" w:line="278" w:lineRule="auto"/>
        <w:rPr>
          <w:sz w:val="20"/>
          <w:szCs w:val="20"/>
          <w:color w:val="auto"/>
        </w:rPr>
      </w:pPr>
      <w:r>
        <w:rPr>
          <w:rFonts w:ascii="Arial" w:cs="Arial" w:eastAsia="Arial" w:hAnsi="Arial"/>
          <w:sz w:val="16"/>
          <w:szCs w:val="16"/>
          <w:color w:val="auto"/>
        </w:rPr>
        <w:t>As of June 30, 2020, GasLog held a 35.6% interest in the Partnership (including 2.0%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b w:val="1"/>
          <w:bCs w:val="1"/>
          <w:color w:val="auto"/>
        </w:rPr>
        <w:t>COVID-19 Update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GasLog Partners and GasLog’s focus continues to be on ensuring the health and safety of our employees while providing safe and reliable operations for our customers.</w:t>
      </w:r>
    </w:p>
    <w:p>
      <w:pPr>
        <w:spacing w:after="0" w:line="260" w:lineRule="exact"/>
        <w:rPr>
          <w:sz w:val="20"/>
          <w:szCs w:val="20"/>
          <w:color w:val="auto"/>
        </w:rPr>
      </w:pPr>
    </w:p>
    <w:p>
      <w:pPr>
        <w:jc w:val="both"/>
        <w:ind w:left="660" w:hanging="328"/>
        <w:spacing w:after="0" w:line="257" w:lineRule="auto"/>
        <w:tabs>
          <w:tab w:leader="none" w:pos="745" w:val="left"/>
        </w:tabs>
        <w:numPr>
          <w:ilvl w:val="0"/>
          <w:numId w:val="925"/>
        </w:numPr>
        <w:rPr>
          <w:rFonts w:ascii="Arial" w:cs="Arial" w:eastAsia="Arial" w:hAnsi="Arial"/>
          <w:sz w:val="18"/>
          <w:szCs w:val="18"/>
          <w:color w:val="auto"/>
        </w:rPr>
      </w:pPr>
      <w:r>
        <w:rPr>
          <w:rFonts w:ascii="Arial" w:cs="Arial" w:eastAsia="Arial" w:hAnsi="Arial"/>
          <w:sz w:val="16"/>
          <w:szCs w:val="16"/>
          <w:color w:val="auto"/>
        </w:rPr>
        <w:t>Beginning on June 1, 2020, employees at our Piraeus, Greece location returned to the office on a rotational basis at a capacity of approximately 50.0%. Piraeus office personnel have been provided with the appropriate personal protective equipment and modifications were made to the office’s floor plan to ensure social distancing; plexiglass dividers were installed and enhanced cleaning procedures have been enacted. All other onshore locations continue under a “work from home” policy in accordance with local guidelines and regulations;</w:t>
      </w:r>
    </w:p>
    <w:p>
      <w:pPr>
        <w:spacing w:after="0" w:line="10" w:lineRule="exact"/>
        <w:rPr>
          <w:rFonts w:ascii="Arial" w:cs="Arial" w:eastAsia="Arial" w:hAnsi="Arial"/>
          <w:sz w:val="18"/>
          <w:szCs w:val="18"/>
          <w:color w:val="auto"/>
        </w:rPr>
      </w:pPr>
    </w:p>
    <w:p>
      <w:pPr>
        <w:ind w:left="660" w:hanging="328"/>
        <w:spacing w:after="0" w:line="266" w:lineRule="auto"/>
        <w:tabs>
          <w:tab w:leader="none" w:pos="624" w:val="left"/>
        </w:tabs>
        <w:numPr>
          <w:ilvl w:val="0"/>
          <w:numId w:val="925"/>
        </w:numPr>
        <w:rPr>
          <w:rFonts w:ascii="Arial" w:cs="Arial" w:eastAsia="Arial" w:hAnsi="Arial"/>
          <w:sz w:val="17"/>
          <w:szCs w:val="17"/>
          <w:color w:val="auto"/>
        </w:rPr>
      </w:pPr>
      <w:r>
        <w:rPr>
          <w:rFonts w:ascii="Arial" w:cs="Arial" w:eastAsia="Arial" w:hAnsi="Arial"/>
          <w:sz w:val="15"/>
          <w:szCs w:val="15"/>
          <w:color w:val="auto"/>
        </w:rPr>
        <w:t>Crew changes continue to be planned at every opportunity and to date GasLog has been able to rotate approximately 80.0% of the officers and a smaller percentage of the other ranks. The majority of the crew rotation difficulties we face, are due to continued lockdowns in Singapore and the Philippines; and</w:t>
      </w:r>
    </w:p>
    <w:p>
      <w:pPr>
        <w:spacing w:after="0" w:line="10" w:lineRule="exact"/>
        <w:rPr>
          <w:rFonts w:ascii="Arial" w:cs="Arial" w:eastAsia="Arial" w:hAnsi="Arial"/>
          <w:sz w:val="17"/>
          <w:szCs w:val="17"/>
          <w:color w:val="auto"/>
        </w:rPr>
      </w:pPr>
    </w:p>
    <w:p>
      <w:pPr>
        <w:ind w:left="660" w:hanging="328"/>
        <w:spacing w:after="0" w:line="263" w:lineRule="auto"/>
        <w:tabs>
          <w:tab w:leader="none" w:pos="799" w:val="left"/>
        </w:tabs>
        <w:numPr>
          <w:ilvl w:val="0"/>
          <w:numId w:val="925"/>
        </w:numPr>
        <w:rPr>
          <w:rFonts w:ascii="Arial" w:cs="Arial" w:eastAsia="Arial" w:hAnsi="Arial"/>
          <w:sz w:val="18"/>
          <w:szCs w:val="18"/>
          <w:color w:val="auto"/>
        </w:rPr>
      </w:pPr>
      <w:r>
        <w:rPr>
          <w:rFonts w:ascii="Arial" w:cs="Arial" w:eastAsia="Arial" w:hAnsi="Arial"/>
          <w:sz w:val="16"/>
          <w:szCs w:val="16"/>
          <w:color w:val="auto"/>
        </w:rPr>
        <w:t>As a result of these measures, and the dedication of employees onshore and aboard our vessels, approximately 100% of our fleet continues to be available for commercial use.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COVID-19 placed downward pressure on economic activity and energy demand during the second quarter and there remains significant uncertainty regarding near-term LNG demand and, therefore, LNG shipping requirements.</w:t>
      </w:r>
    </w:p>
    <w:p>
      <w:pPr>
        <w:spacing w:after="0" w:line="185" w:lineRule="exact"/>
        <w:rPr>
          <w:sz w:val="20"/>
          <w:szCs w:val="20"/>
          <w:color w:val="auto"/>
        </w:rPr>
      </w:pPr>
    </w:p>
    <w:p>
      <w:pPr>
        <w:ind w:left="620" w:hanging="288"/>
        <w:spacing w:after="0"/>
        <w:tabs>
          <w:tab w:leader="none" w:pos="620" w:val="left"/>
        </w:tabs>
        <w:numPr>
          <w:ilvl w:val="0"/>
          <w:numId w:val="926"/>
        </w:numPr>
        <w:rPr>
          <w:rFonts w:ascii="Arial" w:cs="Arial" w:eastAsia="Arial" w:hAnsi="Arial"/>
          <w:sz w:val="18"/>
          <w:szCs w:val="18"/>
          <w:color w:val="auto"/>
        </w:rPr>
      </w:pPr>
      <w:r>
        <w:rPr>
          <w:rFonts w:ascii="Arial" w:cs="Arial" w:eastAsia="Arial" w:hAnsi="Arial"/>
          <w:sz w:val="16"/>
          <w:szCs w:val="16"/>
          <w:color w:val="auto"/>
        </w:rPr>
        <w:t>The Partnership’s charter coverage for the remainder of 2020 is 86%;</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6"/>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has led to greater volatility in spot rates;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26"/>
        </w:numPr>
        <w:rPr>
          <w:rFonts w:ascii="Arial" w:cs="Arial" w:eastAsia="Arial" w:hAnsi="Arial"/>
          <w:sz w:val="18"/>
          <w:szCs w:val="18"/>
          <w:color w:val="auto"/>
        </w:rPr>
      </w:pPr>
      <w:r>
        <w:rPr>
          <w:rFonts w:ascii="Arial" w:cs="Arial" w:eastAsia="Arial" w:hAnsi="Arial"/>
          <w:sz w:val="16"/>
          <w:szCs w:val="16"/>
          <w:color w:val="auto"/>
        </w:rPr>
        <w:t>The utilization and earnings of our vessels trading in the spot market may be materially lower than their earnings under their initial multi-year charters.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sustained impact on global capital and bank credit markets, affecting access, timing and cost of capital.</w:t>
      </w:r>
    </w:p>
    <w:p>
      <w:pPr>
        <w:spacing w:after="0" w:line="248" w:lineRule="exact"/>
        <w:rPr>
          <w:sz w:val="20"/>
          <w:szCs w:val="20"/>
          <w:color w:val="auto"/>
        </w:rPr>
      </w:pPr>
    </w:p>
    <w:p>
      <w:pPr>
        <w:ind w:left="660" w:right="20" w:hanging="328"/>
        <w:spacing w:after="0" w:line="250" w:lineRule="auto"/>
        <w:tabs>
          <w:tab w:leader="none" w:pos="705" w:val="left"/>
        </w:tabs>
        <w:numPr>
          <w:ilvl w:val="0"/>
          <w:numId w:val="927"/>
        </w:numPr>
        <w:rPr>
          <w:rFonts w:ascii="Arial" w:cs="Arial" w:eastAsia="Arial" w:hAnsi="Arial"/>
          <w:sz w:val="18"/>
          <w:szCs w:val="18"/>
          <w:color w:val="auto"/>
        </w:rPr>
      </w:pPr>
      <w:r>
        <w:rPr>
          <w:rFonts w:ascii="Arial" w:cs="Arial" w:eastAsia="Arial" w:hAnsi="Arial"/>
          <w:sz w:val="16"/>
          <w:szCs w:val="16"/>
          <w:color w:val="auto"/>
        </w:rPr>
        <w:t>Notwithstanding COVID-19, we have refinanced in full the Partnership’s debt maturities due in 2021 with two new credit facilities representing a total of $454.0 million, strengthening the balance sheet and delivering $14.9 million of incremental liquidity to the Partnership.</w:t>
      </w:r>
    </w:p>
    <w:p>
      <w:pPr>
        <w:spacing w:after="0" w:line="11" w:lineRule="exact"/>
        <w:rPr>
          <w:rFonts w:ascii="Arial" w:cs="Arial" w:eastAsia="Arial" w:hAnsi="Arial"/>
          <w:sz w:val="18"/>
          <w:szCs w:val="18"/>
          <w:color w:val="auto"/>
        </w:rPr>
      </w:pPr>
    </w:p>
    <w:p>
      <w:pPr>
        <w:ind w:left="660" w:hanging="328"/>
        <w:spacing w:after="0" w:line="263" w:lineRule="auto"/>
        <w:tabs>
          <w:tab w:leader="none" w:pos="678" w:val="left"/>
        </w:tabs>
        <w:numPr>
          <w:ilvl w:val="0"/>
          <w:numId w:val="927"/>
        </w:numPr>
        <w:rPr>
          <w:rFonts w:ascii="Arial" w:cs="Arial" w:eastAsia="Arial" w:hAnsi="Arial"/>
          <w:sz w:val="18"/>
          <w:szCs w:val="18"/>
          <w:color w:val="auto"/>
        </w:rPr>
      </w:pPr>
      <w:r>
        <w:rPr>
          <w:rFonts w:ascii="Arial" w:cs="Arial" w:eastAsia="Arial" w:hAnsi="Arial"/>
          <w:sz w:val="16"/>
          <w:szCs w:val="16"/>
          <w:color w:val="auto"/>
        </w:rPr>
        <w:t>As of June 30, 2020, we recognized a non-cash impairment loss of $18.8 million in aggregate on certain of our steam turbine propulsion (“Steam”) vessels due to uncertainty regarding the effects of COVID-19 in the short-term spot market, as discussed in the Commercial update above.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right="20" w:firstLine="383"/>
        <w:spacing w:after="0" w:line="278" w:lineRule="auto"/>
        <w:rPr>
          <w:sz w:val="20"/>
          <w:szCs w:val="20"/>
          <w:color w:val="auto"/>
        </w:rPr>
      </w:pPr>
      <w:r>
        <w:rPr>
          <w:rFonts w:ascii="Arial" w:cs="Arial" w:eastAsia="Arial" w:hAnsi="Arial"/>
          <w:sz w:val="16"/>
          <w:szCs w:val="16"/>
          <w:color w:val="auto"/>
        </w:rPr>
        <w:t>On August 4, 2020, the board of directors of GasLog Partners approved and declared a quarterly cash distribution of $0.125 per common unit for the quarter ended June 30, 2020. The cash distribution is payable on August 20, 2020 to all unitholders of record as of August 17, 2020. The aggregate amount of the declared distribution will be $6.0 million based on the number of units issued and outstanding as of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120" w:firstLine="427"/>
        <w:spacing w:after="0" w:line="278" w:lineRule="auto"/>
        <w:rPr>
          <w:sz w:val="20"/>
          <w:szCs w:val="20"/>
          <w:color w:val="auto"/>
        </w:rPr>
      </w:pPr>
      <w:r>
        <w:rPr>
          <w:rFonts w:ascii="Arial" w:cs="Arial" w:eastAsia="Arial" w:hAnsi="Arial"/>
          <w:sz w:val="16"/>
          <w:szCs w:val="16"/>
          <w:color w:val="auto"/>
        </w:rPr>
        <w:t>Since our initial public offering (“IPO”) in May 2014, we have been a growth-oriented limited partnership focused on acquiring, owning and operating LNG carriers engaged in LNG transportation under multi-year charters, growing our fleet from three vessels at the time of our IPO to 15 today, of which ten have tri-fuel diesel electric (“TFDE”) propulsion technology and five are Steam vessels.</w:t>
      </w:r>
    </w:p>
    <w:p>
      <w:pPr>
        <w:spacing w:after="0" w:line="184" w:lineRule="exact"/>
        <w:rPr>
          <w:sz w:val="20"/>
          <w:szCs w:val="20"/>
          <w:color w:val="auto"/>
        </w:rPr>
      </w:pPr>
    </w:p>
    <w:p>
      <w:pPr>
        <w:ind w:right="60" w:firstLine="427"/>
        <w:spacing w:after="0" w:line="318" w:lineRule="auto"/>
        <w:rPr>
          <w:sz w:val="20"/>
          <w:szCs w:val="20"/>
          <w:color w:val="auto"/>
        </w:rPr>
      </w:pPr>
      <w:r>
        <w:rPr>
          <w:rFonts w:ascii="Arial" w:cs="Arial" w:eastAsia="Arial" w:hAnsi="Arial"/>
          <w:sz w:val="14"/>
          <w:szCs w:val="14"/>
          <w:color w:val="auto"/>
        </w:rPr>
        <w:t>As of June 30, 2020, our fleet consisted of 15 LNG carriers, including ten vessels with TFDE propulsion and five Steam vessels. We also have options and other rights under which we may acquire additional LNG carriers from GasLog, as described below.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69" w:name="page370"/>
    <w:bookmarkEnd w:id="369"/>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Cargo</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Capacity</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(cubic meters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Charter</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3"/>
        </w:trPr>
        <w:tc>
          <w:tcPr>
            <w:tcW w:w="31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Year Built</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“cbm”)</w:t>
            </w: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Propulsion</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Expiration</w:t>
            </w:r>
          </w:p>
        </w:tc>
        <w:tc>
          <w:tcPr>
            <w:tcW w:w="1340" w:type="dxa"/>
            <w:vAlign w:val="bottom"/>
            <w:gridSpan w:val="2"/>
          </w:tcPr>
          <w:p>
            <w:pPr>
              <w:jc w:val="right"/>
              <w:ind w:right="66"/>
              <w:spacing w:after="0"/>
              <w:rPr>
                <w:sz w:val="20"/>
                <w:szCs w:val="20"/>
                <w:color w:val="auto"/>
              </w:rPr>
            </w:pPr>
            <w:r>
              <w:rPr>
                <w:rFonts w:ascii="Arial" w:cs="Arial" w:eastAsia="Arial" w:hAnsi="Arial"/>
                <w:sz w:val="16"/>
                <w:szCs w:val="16"/>
                <w:b w:val="1"/>
                <w:bCs w:val="1"/>
                <w:color w:val="auto"/>
              </w:rPr>
              <w:t>Optional Period</w:t>
            </w:r>
          </w:p>
        </w:tc>
      </w:tr>
      <w:tr>
        <w:trPr>
          <w:trHeight w:val="199"/>
        </w:trPr>
        <w:tc>
          <w:tcPr>
            <w:tcW w:w="300" w:type="dxa"/>
            <w:vAlign w:val="bottom"/>
            <w:tcBorders>
              <w:top w:val="single" w:sz="8" w:color="auto"/>
            </w:tcBorders>
            <w:shd w:val="clear" w:color="auto" w:fill="E5FFFF"/>
          </w:tcPr>
          <w:p>
            <w:pPr>
              <w:ind w:left="80"/>
              <w:spacing w:after="0"/>
              <w:rPr>
                <w:sz w:val="20"/>
                <w:szCs w:val="20"/>
                <w:color w:val="auto"/>
              </w:rPr>
            </w:pPr>
            <w:r>
              <w:rPr>
                <w:rFonts w:ascii="Arial" w:cs="Arial" w:eastAsia="Arial" w:hAnsi="Arial"/>
                <w:sz w:val="16"/>
                <w:szCs w:val="16"/>
                <w:b w:val="1"/>
                <w:bCs w:val="1"/>
                <w:color w:val="auto"/>
              </w:rPr>
              <w:t>1</w:t>
            </w:r>
          </w:p>
        </w:tc>
        <w:tc>
          <w:tcPr>
            <w:tcW w:w="2640" w:type="dxa"/>
            <w:vAlign w:val="bottom"/>
            <w:tcBorders>
              <w:top w:val="single" w:sz="8" w:color="auto"/>
            </w:tcBorders>
            <w:gridSpan w:val="2"/>
            <w:shd w:val="clear" w:color="auto" w:fill="E5FFFF"/>
          </w:tcPr>
          <w:p>
            <w:pPr>
              <w:ind w:left="80"/>
              <w:spacing w:after="0"/>
              <w:rPr>
                <w:sz w:val="20"/>
                <w:szCs w:val="20"/>
                <w:color w:val="auto"/>
              </w:rPr>
            </w:pPr>
            <w:r>
              <w:rPr>
                <w:rFonts w:ascii="Arial" w:cs="Arial" w:eastAsia="Arial" w:hAnsi="Arial"/>
                <w:sz w:val="16"/>
                <w:szCs w:val="16"/>
                <w:i w:val="1"/>
                <w:iCs w:val="1"/>
                <w:color w:val="auto"/>
              </w:rPr>
              <w:t>Methane Alison Victoria</w:t>
            </w:r>
          </w:p>
        </w:tc>
        <w:tc>
          <w:tcPr>
            <w:tcW w:w="18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Spot Market</w:t>
            </w:r>
          </w:p>
        </w:tc>
        <w:tc>
          <w:tcPr>
            <w:tcW w:w="18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Steam</w:t>
            </w:r>
          </w:p>
        </w:tc>
        <w:tc>
          <w:tcPr>
            <w:tcW w:w="16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tcBorders>
              <w:top w:val="single" w:sz="8" w:color="auto"/>
            </w:tcBorders>
            <w:shd w:val="clear" w:color="auto" w:fill="E5FFFF"/>
          </w:tcPr>
          <w:p>
            <w:pPr>
              <w:spacing w:after="0"/>
              <w:rPr>
                <w:sz w:val="17"/>
                <w:szCs w:val="17"/>
                <w:color w:val="auto"/>
              </w:rPr>
            </w:pP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2</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Methane Rita Andrea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Spot Market</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Steam</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tcPr>
          <w:p>
            <w:pPr>
              <w:spacing w:after="0"/>
              <w:rPr>
                <w:sz w:val="17"/>
                <w:szCs w:val="17"/>
                <w:color w:val="auto"/>
              </w:rPr>
            </w:pP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3</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Sydney</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Spot Market</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E5FFFF"/>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E5FFFF"/>
          </w:tcPr>
          <w:p>
            <w:pPr>
              <w:spacing w:after="0"/>
              <w:rPr>
                <w:sz w:val="17"/>
                <w:szCs w:val="17"/>
                <w:color w:val="auto"/>
              </w:rPr>
            </w:pP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4</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Methane Jane Elizabeth</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line="203" w:lineRule="exact"/>
              <w:rPr>
                <w:sz w:val="20"/>
                <w:szCs w:val="20"/>
                <w:color w:val="auto"/>
              </w:rPr>
            </w:pPr>
            <w:r>
              <w:rPr>
                <w:rFonts w:ascii="Arial" w:cs="Arial" w:eastAsia="Arial" w:hAnsi="Arial"/>
                <w:sz w:val="16"/>
                <w:szCs w:val="16"/>
                <w:color w:val="auto"/>
                <w:w w:val="91"/>
              </w:rPr>
              <w:t>Trafigura</w:t>
            </w:r>
            <w:r>
              <w:rPr>
                <w:rFonts w:ascii="Arial" w:cs="Arial" w:eastAsia="Arial" w:hAnsi="Arial"/>
                <w:sz w:val="21"/>
                <w:szCs w:val="21"/>
                <w:color w:val="auto"/>
                <w:w w:val="91"/>
                <w:vertAlign w:val="superscript"/>
              </w:rPr>
              <w:t>(1)</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Steam</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November 2020</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tcPr>
          <w:p>
            <w:pPr>
              <w:spacing w:after="0"/>
              <w:rPr>
                <w:sz w:val="17"/>
                <w:szCs w:val="17"/>
                <w:color w:val="auto"/>
              </w:rPr>
            </w:pP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5</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Methane Heather Sally</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Steam</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December 2020</w:t>
            </w:r>
          </w:p>
        </w:tc>
        <w:tc>
          <w:tcPr>
            <w:tcW w:w="780" w:type="dxa"/>
            <w:vAlign w:val="bottom"/>
            <w:shd w:val="clear" w:color="auto" w:fill="E5FFFF"/>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E5FFFF"/>
          </w:tcPr>
          <w:p>
            <w:pPr>
              <w:spacing w:after="0"/>
              <w:rPr>
                <w:sz w:val="17"/>
                <w:szCs w:val="17"/>
                <w:color w:val="auto"/>
              </w:rPr>
            </w:pP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6</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Seattle</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June 2021</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tcPr>
          <w:p>
            <w:pPr>
              <w:spacing w:after="0"/>
              <w:rPr>
                <w:sz w:val="17"/>
                <w:szCs w:val="17"/>
                <w:color w:val="auto"/>
              </w:rPr>
            </w:pP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7</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Solaris</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2014</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8"/>
              </w:rPr>
              <w:t>June 2021</w:t>
            </w:r>
          </w:p>
        </w:tc>
        <w:tc>
          <w:tcPr>
            <w:tcW w:w="780" w:type="dxa"/>
            <w:vAlign w:val="bottom"/>
            <w:shd w:val="clear" w:color="auto" w:fill="E5FFFF"/>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E5FFFF"/>
          </w:tcPr>
          <w:p>
            <w:pPr>
              <w:spacing w:after="0"/>
              <w:rPr>
                <w:sz w:val="17"/>
                <w:szCs w:val="17"/>
                <w:color w:val="auto"/>
              </w:rPr>
            </w:pP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8</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Santiago</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Trafigura</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December 2021</w:t>
            </w:r>
          </w:p>
        </w:tc>
        <w:tc>
          <w:tcPr>
            <w:tcW w:w="134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87"/>
              </w:rPr>
              <w:t xml:space="preserve">2022-2028 </w:t>
            </w:r>
            <w:r>
              <w:rPr>
                <w:rFonts w:ascii="Arial" w:cs="Arial" w:eastAsia="Arial" w:hAnsi="Arial"/>
                <w:sz w:val="21"/>
                <w:szCs w:val="21"/>
                <w:color w:val="auto"/>
                <w:w w:val="87"/>
                <w:vertAlign w:val="superscript"/>
              </w:rPr>
              <w:t>(2)</w:t>
            </w: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9</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Methane Shirley Elisabeth</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line="203" w:lineRule="exact"/>
              <w:rPr>
                <w:sz w:val="20"/>
                <w:szCs w:val="20"/>
                <w:color w:val="auto"/>
              </w:rPr>
            </w:pPr>
            <w:r>
              <w:rPr>
                <w:rFonts w:ascii="Arial" w:cs="Arial" w:eastAsia="Arial" w:hAnsi="Arial"/>
                <w:sz w:val="16"/>
                <w:szCs w:val="16"/>
                <w:color w:val="auto"/>
                <w:w w:val="88"/>
              </w:rPr>
              <w:t>JOVO</w:t>
            </w:r>
            <w:r>
              <w:rPr>
                <w:rFonts w:ascii="Arial" w:cs="Arial" w:eastAsia="Arial" w:hAnsi="Arial"/>
                <w:sz w:val="21"/>
                <w:szCs w:val="21"/>
                <w:color w:val="auto"/>
                <w:w w:val="88"/>
                <w:vertAlign w:val="superscript"/>
              </w:rPr>
              <w:t>(3)</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Steam</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August 2022</w:t>
            </w:r>
          </w:p>
        </w:tc>
        <w:tc>
          <w:tcPr>
            <w:tcW w:w="780" w:type="dxa"/>
            <w:vAlign w:val="bottom"/>
            <w:shd w:val="clear" w:color="auto" w:fill="E5FFFF"/>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E5FFFF"/>
          </w:tcPr>
          <w:p>
            <w:pPr>
              <w:spacing w:after="0"/>
              <w:rPr>
                <w:sz w:val="17"/>
                <w:szCs w:val="17"/>
                <w:color w:val="auto"/>
              </w:rPr>
            </w:pP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10</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Shanghai</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line="203" w:lineRule="exact"/>
              <w:rPr>
                <w:sz w:val="20"/>
                <w:szCs w:val="20"/>
                <w:color w:val="auto"/>
              </w:rPr>
            </w:pPr>
            <w:r>
              <w:rPr>
                <w:rFonts w:ascii="Arial" w:cs="Arial" w:eastAsia="Arial" w:hAnsi="Arial"/>
                <w:sz w:val="16"/>
                <w:szCs w:val="16"/>
                <w:color w:val="auto"/>
                <w:w w:val="89"/>
              </w:rPr>
              <w:t xml:space="preserve">Gunvor </w:t>
            </w:r>
            <w:r>
              <w:rPr>
                <w:rFonts w:ascii="Arial" w:cs="Arial" w:eastAsia="Arial" w:hAnsi="Arial"/>
                <w:sz w:val="21"/>
                <w:szCs w:val="21"/>
                <w:color w:val="auto"/>
                <w:w w:val="89"/>
                <w:vertAlign w:val="superscript"/>
              </w:rPr>
              <w:t>(4)</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November 2022</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60" w:type="dxa"/>
            <w:vAlign w:val="bottom"/>
          </w:tcPr>
          <w:p>
            <w:pPr>
              <w:spacing w:after="0"/>
              <w:rPr>
                <w:sz w:val="17"/>
                <w:szCs w:val="17"/>
                <w:color w:val="auto"/>
              </w:rPr>
            </w:pP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11</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Geneva</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September 2023</w:t>
            </w:r>
          </w:p>
        </w:tc>
        <w:tc>
          <w:tcPr>
            <w:tcW w:w="13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(5)</w:t>
            </w: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12</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Gibraltar</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October 2023</w:t>
            </w:r>
          </w:p>
        </w:tc>
        <w:tc>
          <w:tcPr>
            <w:tcW w:w="134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(5)</w:t>
            </w: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13</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Methane Becki Anne</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2"/>
              </w:rPr>
              <w:t>March 2024</w:t>
            </w:r>
          </w:p>
        </w:tc>
        <w:tc>
          <w:tcPr>
            <w:tcW w:w="13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2027-2029 </w:t>
            </w:r>
            <w:r>
              <w:rPr>
                <w:rFonts w:ascii="Arial" w:cs="Arial" w:eastAsia="Arial" w:hAnsi="Arial"/>
                <w:sz w:val="21"/>
                <w:szCs w:val="21"/>
                <w:color w:val="auto"/>
                <w:w w:val="87"/>
                <w:vertAlign w:val="superscript"/>
              </w:rPr>
              <w:t>(6)</w:t>
            </w:r>
          </w:p>
        </w:tc>
      </w:tr>
      <w:tr>
        <w:trPr>
          <w:trHeight w:val="203"/>
        </w:trPr>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14</w:t>
            </w:r>
          </w:p>
        </w:tc>
        <w:tc>
          <w:tcPr>
            <w:tcW w:w="282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Greece</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March 2026</w:t>
            </w:r>
          </w:p>
        </w:tc>
        <w:tc>
          <w:tcPr>
            <w:tcW w:w="780" w:type="dxa"/>
            <w:vAlign w:val="bottom"/>
          </w:tcPr>
          <w:p>
            <w:pPr>
              <w:jc w:val="right"/>
              <w:spacing w:after="0"/>
              <w:rPr>
                <w:sz w:val="20"/>
                <w:szCs w:val="20"/>
                <w:color w:val="auto"/>
              </w:rPr>
            </w:pPr>
            <w:r>
              <w:rPr>
                <w:rFonts w:ascii="Arial" w:cs="Arial" w:eastAsia="Arial" w:hAnsi="Arial"/>
                <w:sz w:val="16"/>
                <w:szCs w:val="16"/>
                <w:color w:val="auto"/>
              </w:rPr>
              <w:t>2031</w:t>
            </w:r>
          </w:p>
        </w:tc>
        <w:tc>
          <w:tcPr>
            <w:tcW w:w="560" w:type="dxa"/>
            <w:vAlign w:val="bottom"/>
          </w:tcPr>
          <w:p>
            <w:pPr>
              <w:jc w:val="right"/>
              <w:ind w:right="366"/>
              <w:spacing w:after="0"/>
              <w:rPr>
                <w:sz w:val="20"/>
                <w:szCs w:val="20"/>
                <w:color w:val="auto"/>
              </w:rPr>
            </w:pPr>
            <w:r>
              <w:rPr>
                <w:rFonts w:ascii="Arial" w:cs="Arial" w:eastAsia="Arial" w:hAnsi="Arial"/>
                <w:sz w:val="11"/>
                <w:szCs w:val="11"/>
                <w:color w:val="auto"/>
                <w:w w:val="88"/>
              </w:rPr>
              <w:t>(7)</w:t>
            </w:r>
          </w:p>
        </w:tc>
      </w:tr>
      <w:tr>
        <w:trPr>
          <w:trHeight w:val="203"/>
        </w:trPr>
        <w:tc>
          <w:tcPr>
            <w:tcW w:w="300" w:type="dxa"/>
            <w:vAlign w:val="bottom"/>
            <w:shd w:val="clear" w:color="auto" w:fill="E5FFFF"/>
          </w:tcPr>
          <w:p>
            <w:pPr>
              <w:ind w:left="80"/>
              <w:spacing w:after="0"/>
              <w:rPr>
                <w:sz w:val="20"/>
                <w:szCs w:val="20"/>
                <w:color w:val="auto"/>
              </w:rPr>
            </w:pPr>
            <w:r>
              <w:rPr>
                <w:rFonts w:ascii="Arial" w:cs="Arial" w:eastAsia="Arial" w:hAnsi="Arial"/>
                <w:sz w:val="16"/>
                <w:szCs w:val="16"/>
                <w:b w:val="1"/>
                <w:bCs w:val="1"/>
                <w:color w:val="auto"/>
              </w:rPr>
              <w:t>15</w:t>
            </w:r>
          </w:p>
        </w:tc>
        <w:tc>
          <w:tcPr>
            <w:tcW w:w="282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Glasgow</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5"/>
              </w:rPr>
              <w:t>Shell</w:t>
            </w:r>
          </w:p>
        </w:tc>
        <w:tc>
          <w:tcPr>
            <w:tcW w:w="11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8"/>
              </w:rPr>
              <w:t>June 2026</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2031</w:t>
            </w:r>
          </w:p>
        </w:tc>
        <w:tc>
          <w:tcPr>
            <w:tcW w:w="560" w:type="dxa"/>
            <w:vAlign w:val="bottom"/>
            <w:shd w:val="clear" w:color="auto" w:fill="E5FFFF"/>
          </w:tcPr>
          <w:p>
            <w:pPr>
              <w:jc w:val="right"/>
              <w:ind w:right="366"/>
              <w:spacing w:after="0"/>
              <w:rPr>
                <w:sz w:val="20"/>
                <w:szCs w:val="20"/>
                <w:color w:val="auto"/>
              </w:rPr>
            </w:pPr>
            <w:r>
              <w:rPr>
                <w:rFonts w:ascii="Arial" w:cs="Arial" w:eastAsia="Arial" w:hAnsi="Arial"/>
                <w:sz w:val="11"/>
                <w:szCs w:val="11"/>
                <w:color w:val="auto"/>
                <w:w w:val="88"/>
              </w:rPr>
              <w:t>(7)</w:t>
            </w:r>
          </w:p>
        </w:tc>
      </w:tr>
      <w:tr>
        <w:trPr>
          <w:trHeight w:val="108"/>
        </w:trPr>
        <w:tc>
          <w:tcPr>
            <w:tcW w:w="30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305" w:lineRule="exact"/>
        <w:rPr>
          <w:sz w:val="20"/>
          <w:szCs w:val="20"/>
          <w:color w:val="auto"/>
        </w:rPr>
      </w:pPr>
    </w:p>
    <w:p>
      <w:pPr>
        <w:ind w:left="340" w:right="260" w:hanging="332"/>
        <w:spacing w:after="0" w:line="201" w:lineRule="auto"/>
        <w:tabs>
          <w:tab w:leader="none" w:pos="337" w:val="left"/>
        </w:tabs>
        <w:numPr>
          <w:ilvl w:val="0"/>
          <w:numId w:val="928"/>
        </w:numPr>
        <w:rPr>
          <w:rFonts w:ascii="Arial" w:cs="Arial" w:eastAsia="Arial" w:hAnsi="Arial"/>
          <w:sz w:val="18"/>
          <w:szCs w:val="18"/>
          <w:color w:val="auto"/>
          <w:vertAlign w:val="superscript"/>
        </w:rPr>
      </w:pPr>
      <w:r>
        <w:rPr>
          <w:rFonts w:ascii="Arial" w:cs="Arial" w:eastAsia="Arial" w:hAnsi="Arial"/>
          <w:sz w:val="14"/>
          <w:szCs w:val="14"/>
          <w:color w:val="auto"/>
        </w:rPr>
        <w:t xml:space="preserve">In March 2018, GasLog Partners secured a one-year charter with Trafigura Maritime Logistics PTE Ltd. (“Trafigura”) for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(as nominated by the Partnership), which commenced in November 2019.</w:t>
      </w:r>
    </w:p>
    <w:p>
      <w:pPr>
        <w:ind w:left="340" w:right="40" w:hanging="332"/>
        <w:spacing w:after="0" w:line="193" w:lineRule="auto"/>
        <w:tabs>
          <w:tab w:leader="none" w:pos="337" w:val="left"/>
        </w:tabs>
        <w:numPr>
          <w:ilvl w:val="0"/>
          <w:numId w:val="928"/>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928"/>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Singapore Carbon Hydrogen Energy Pte. Ltd., a wholly owned subsidiary of JOVO Group (“JOVO”). The charter commenced on July 12, 2020.</w:t>
      </w:r>
    </w:p>
    <w:p>
      <w:pPr>
        <w:ind w:left="320" w:hanging="312"/>
        <w:spacing w:after="0" w:line="182" w:lineRule="auto"/>
        <w:tabs>
          <w:tab w:leader="none" w:pos="320" w:val="left"/>
        </w:tabs>
        <w:numPr>
          <w:ilvl w:val="0"/>
          <w:numId w:val="928"/>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Clearlake Shipping Pte. Ltd., a subsidiary of Gunvor Group Ltd. (“Gunvor”).</w:t>
      </w:r>
    </w:p>
    <w:p>
      <w:pPr>
        <w:ind w:left="340" w:right="300" w:hanging="332"/>
        <w:spacing w:after="0" w:line="193" w:lineRule="auto"/>
        <w:tabs>
          <w:tab w:leader="none" w:pos="337" w:val="left"/>
        </w:tabs>
        <w:numPr>
          <w:ilvl w:val="0"/>
          <w:numId w:val="928"/>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440" w:hanging="332"/>
        <w:spacing w:after="0" w:line="193" w:lineRule="auto"/>
        <w:tabs>
          <w:tab w:leader="none" w:pos="337" w:val="left"/>
        </w:tabs>
        <w:numPr>
          <w:ilvl w:val="0"/>
          <w:numId w:val="928"/>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97" w:lineRule="auto"/>
        <w:tabs>
          <w:tab w:leader="none" w:pos="320" w:val="left"/>
        </w:tabs>
        <w:numPr>
          <w:ilvl w:val="0"/>
          <w:numId w:val="928"/>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20" w:firstLine="427"/>
        <w:spacing w:after="0" w:line="29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are due to come off charter in November 2020 and December 2020, respectively, while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Seattle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Solaris </w:t>
      </w:r>
      <w:r>
        <w:rPr>
          <w:rFonts w:ascii="Arial" w:cs="Arial" w:eastAsia="Arial" w:hAnsi="Arial"/>
          <w:sz w:val="15"/>
          <w:szCs w:val="15"/>
          <w:color w:val="auto"/>
        </w:rPr>
        <w:t>are both due to come off charter in June 2021. GasLog Partners has secured a two-year charter for the</w:t>
      </w:r>
      <w:r>
        <w:rPr>
          <w:rFonts w:ascii="Arial" w:cs="Arial" w:eastAsia="Arial" w:hAnsi="Arial"/>
          <w:sz w:val="15"/>
          <w:szCs w:val="15"/>
          <w:i w:val="1"/>
          <w:iCs w:val="1"/>
          <w:color w:val="auto"/>
        </w:rPr>
        <w:t xml:space="preserve"> Methane Shirley Elisabeth </w:t>
      </w:r>
      <w:r>
        <w:rPr>
          <w:rFonts w:ascii="Arial" w:cs="Arial" w:eastAsia="Arial" w:hAnsi="Arial"/>
          <w:sz w:val="15"/>
          <w:szCs w:val="15"/>
          <w:color w:val="auto"/>
        </w:rPr>
        <w:t>and continues to</w:t>
      </w:r>
      <w:r>
        <w:rPr>
          <w:rFonts w:ascii="Arial" w:cs="Arial" w:eastAsia="Arial" w:hAnsi="Arial"/>
          <w:sz w:val="15"/>
          <w:szCs w:val="15"/>
          <w:i w:val="1"/>
          <w:iCs w:val="1"/>
          <w:color w:val="auto"/>
        </w:rPr>
        <w:t xml:space="preserve"> </w:t>
      </w:r>
      <w:r>
        <w:rPr>
          <w:rFonts w:ascii="Arial" w:cs="Arial" w:eastAsia="Arial" w:hAnsi="Arial"/>
          <w:sz w:val="15"/>
          <w:szCs w:val="15"/>
          <w:color w:val="auto"/>
        </w:rPr>
        <w:t>pursue opportunities for new term charters with third parties, while trading the vessels in the spot market and pursuing the most advantageous redeployment depending on evolving market conditions. Given the current lack of liquidity in the term charter market for Steam vessels in particular, the utilization and earnings of our vessels trading in the spot market may be materially lower than their earnings under their initial multi-year charters with Shell.</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83"/>
        <w:spacing w:after="0" w:line="289" w:lineRule="auto"/>
        <w:rPr>
          <w:sz w:val="20"/>
          <w:szCs w:val="20"/>
          <w:color w:val="auto"/>
        </w:rPr>
      </w:pPr>
      <w:r>
        <w:rPr>
          <w:rFonts w:ascii="Arial" w:cs="Arial" w:eastAsia="Arial" w:hAnsi="Arial"/>
          <w:sz w:val="15"/>
          <w:szCs w:val="15"/>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four newbuildings and five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Cargo</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Charter</w:t>
            </w:r>
          </w:p>
        </w:tc>
      </w:tr>
      <w:tr>
        <w:trPr>
          <w:trHeight w:val="213"/>
        </w:trPr>
        <w:tc>
          <w:tcPr>
            <w:tcW w:w="29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Year Built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Propulsion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199"/>
        </w:trPr>
        <w:tc>
          <w:tcPr>
            <w:tcW w:w="300" w:type="dxa"/>
            <w:vAlign w:val="bottom"/>
            <w:tcBorders>
              <w:top w:val="single" w:sz="8" w:color="auto"/>
              <w:right w:val="single" w:sz="8" w:color="E5FFFF"/>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1</w:t>
            </w:r>
          </w:p>
        </w:tc>
        <w:tc>
          <w:tcPr>
            <w:tcW w:w="2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i w:val="1"/>
                <w:iCs w:val="1"/>
                <w:color w:val="auto"/>
              </w:rPr>
              <w:t>GasLog Singapore</w:t>
            </w:r>
          </w:p>
        </w:tc>
        <w:tc>
          <w:tcPr>
            <w:tcW w:w="14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4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line="199" w:lineRule="exact"/>
              <w:rPr>
                <w:sz w:val="20"/>
                <w:szCs w:val="20"/>
                <w:color w:val="auto"/>
              </w:rPr>
            </w:pPr>
            <w:r>
              <w:rPr>
                <w:rFonts w:ascii="Arial" w:cs="Arial" w:eastAsia="Arial" w:hAnsi="Arial"/>
                <w:sz w:val="16"/>
                <w:szCs w:val="16"/>
                <w:color w:val="auto"/>
                <w:w w:val="92"/>
              </w:rPr>
              <w:t xml:space="preserve">Sinolam LNG </w:t>
            </w:r>
            <w:r>
              <w:rPr>
                <w:rFonts w:ascii="Arial" w:cs="Arial" w:eastAsia="Arial" w:hAnsi="Arial"/>
                <w:sz w:val="21"/>
                <w:szCs w:val="21"/>
                <w:color w:val="auto"/>
                <w:w w:val="92"/>
                <w:vertAlign w:val="superscript"/>
              </w:rPr>
              <w:t>(1)</w:t>
            </w:r>
          </w:p>
        </w:tc>
        <w:tc>
          <w:tcPr>
            <w:tcW w:w="12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r>
      <w:tr>
        <w:trPr>
          <w:trHeight w:val="203"/>
        </w:trPr>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2600" w:type="dxa"/>
            <w:vAlign w:val="bottom"/>
            <w:gridSpan w:val="2"/>
          </w:tcPr>
          <w:p>
            <w:pPr>
              <w:spacing w:after="0"/>
              <w:rPr>
                <w:sz w:val="20"/>
                <w:szCs w:val="20"/>
                <w:color w:val="auto"/>
              </w:rPr>
            </w:pPr>
            <w:r>
              <w:rPr>
                <w:rFonts w:ascii="Arial" w:cs="Arial" w:eastAsia="Arial" w:hAnsi="Arial"/>
                <w:sz w:val="16"/>
                <w:szCs w:val="16"/>
                <w:i w:val="1"/>
                <w:iCs w:val="1"/>
                <w:color w:val="auto"/>
              </w:rPr>
              <w:t>GasLog Warsaw</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40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1"/>
              </w:rPr>
              <w:t xml:space="preserve">Endesa </w:t>
            </w:r>
            <w:r>
              <w:rPr>
                <w:rFonts w:ascii="Arial" w:cs="Arial" w:eastAsia="Arial" w:hAnsi="Arial"/>
                <w:sz w:val="21"/>
                <w:szCs w:val="21"/>
                <w:color w:val="auto"/>
                <w:w w:val="81"/>
                <w:vertAlign w:val="superscript"/>
              </w:rPr>
              <w:t>(2)</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203"/>
        </w:trPr>
        <w:tc>
          <w:tcPr>
            <w:tcW w:w="300" w:type="dxa"/>
            <w:vAlign w:val="bottom"/>
            <w:tcBorders>
              <w:right w:val="single" w:sz="8" w:color="E2FFFF"/>
            </w:tcBorders>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3</w:t>
            </w:r>
          </w:p>
        </w:tc>
        <w:tc>
          <w:tcPr>
            <w:tcW w:w="260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Windsor</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2020</w:t>
            </w:r>
          </w:p>
        </w:tc>
        <w:tc>
          <w:tcPr>
            <w:tcW w:w="140" w:type="dxa"/>
            <w:vAlign w:val="bottom"/>
            <w:shd w:val="clear" w:color="auto" w:fill="E5FFFF"/>
          </w:tcPr>
          <w:p>
            <w:pPr>
              <w:spacing w:after="0"/>
              <w:rPr>
                <w:sz w:val="17"/>
                <w:szCs w:val="17"/>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2600" w:type="dxa"/>
            <w:vAlign w:val="bottom"/>
            <w:gridSpan w:val="2"/>
          </w:tcPr>
          <w:p>
            <w:pPr>
              <w:spacing w:after="0"/>
              <w:rPr>
                <w:sz w:val="20"/>
                <w:szCs w:val="20"/>
                <w:color w:val="auto"/>
              </w:rPr>
            </w:pPr>
            <w:r>
              <w:rPr>
                <w:rFonts w:ascii="Arial" w:cs="Arial" w:eastAsia="Arial" w:hAnsi="Arial"/>
                <w:sz w:val="16"/>
                <w:szCs w:val="16"/>
                <w:i w:val="1"/>
                <w:iCs w:val="1"/>
                <w:color w:val="auto"/>
              </w:rPr>
              <w:t>GasLog Wales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40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6"/>
              </w:rPr>
              <w:t xml:space="preserve">JERA </w:t>
            </w:r>
            <w:r>
              <w:rPr>
                <w:rFonts w:ascii="Arial" w:cs="Arial" w:eastAsia="Arial" w:hAnsi="Arial"/>
                <w:sz w:val="21"/>
                <w:szCs w:val="21"/>
                <w:color w:val="auto"/>
                <w:w w:val="86"/>
                <w:vertAlign w:val="superscript"/>
              </w:rPr>
              <w:t>(7)</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2032</w:t>
            </w:r>
          </w:p>
        </w:tc>
      </w:tr>
      <w:tr>
        <w:trPr>
          <w:trHeight w:val="203"/>
        </w:trPr>
        <w:tc>
          <w:tcPr>
            <w:tcW w:w="300" w:type="dxa"/>
            <w:vAlign w:val="bottom"/>
            <w:tcBorders>
              <w:right w:val="single" w:sz="8" w:color="E2FFFF"/>
            </w:tcBorders>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5</w:t>
            </w:r>
          </w:p>
        </w:tc>
        <w:tc>
          <w:tcPr>
            <w:tcW w:w="260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Westminster</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2020</w:t>
            </w:r>
          </w:p>
        </w:tc>
        <w:tc>
          <w:tcPr>
            <w:tcW w:w="140" w:type="dxa"/>
            <w:vAlign w:val="bottom"/>
            <w:shd w:val="clear" w:color="auto" w:fill="E5FFFF"/>
          </w:tcPr>
          <w:p>
            <w:pPr>
              <w:spacing w:after="0"/>
              <w:rPr>
                <w:sz w:val="17"/>
                <w:szCs w:val="17"/>
                <w:color w:val="auto"/>
              </w:rPr>
            </w:pPr>
          </w:p>
        </w:tc>
        <w:tc>
          <w:tcPr>
            <w:tcW w:w="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c>
          <w:tcPr>
            <w:tcW w:w="2600" w:type="dxa"/>
            <w:vAlign w:val="bottom"/>
            <w:gridSpan w:val="2"/>
          </w:tcPr>
          <w:p>
            <w:pPr>
              <w:spacing w:after="0"/>
              <w:rPr>
                <w:sz w:val="20"/>
                <w:szCs w:val="20"/>
                <w:color w:val="auto"/>
              </w:rPr>
            </w:pPr>
            <w:r>
              <w:rPr>
                <w:rFonts w:ascii="Arial" w:cs="Arial" w:eastAsia="Arial" w:hAnsi="Arial"/>
                <w:sz w:val="16"/>
                <w:szCs w:val="16"/>
                <w:color w:val="auto"/>
              </w:rPr>
              <w:t>Hull No. 2300</w:t>
            </w:r>
          </w:p>
        </w:tc>
        <w:tc>
          <w:tcPr>
            <w:tcW w:w="1260" w:type="dxa"/>
            <w:vAlign w:val="bottom"/>
            <w:gridSpan w:val="2"/>
          </w:tcPr>
          <w:p>
            <w:pPr>
              <w:jc w:val="center"/>
              <w:ind w:right="140"/>
              <w:spacing w:after="0" w:line="203" w:lineRule="exact"/>
              <w:rPr>
                <w:sz w:val="20"/>
                <w:szCs w:val="20"/>
                <w:color w:val="auto"/>
              </w:rPr>
            </w:pPr>
            <w:r>
              <w:rPr>
                <w:rFonts w:ascii="Arial" w:cs="Arial" w:eastAsia="Arial" w:hAnsi="Arial"/>
                <w:sz w:val="16"/>
                <w:szCs w:val="16"/>
                <w:color w:val="auto"/>
                <w:w w:val="86"/>
              </w:rPr>
              <w:t xml:space="preserve">Q4 2020 </w:t>
            </w:r>
            <w:r>
              <w:rPr>
                <w:rFonts w:ascii="Arial" w:cs="Arial" w:eastAsia="Arial" w:hAnsi="Arial"/>
                <w:sz w:val="21"/>
                <w:szCs w:val="21"/>
                <w:color w:val="auto"/>
                <w:w w:val="86"/>
                <w:vertAlign w:val="superscript"/>
              </w:rPr>
              <w:t>(5)</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tcPr>
          <w:p>
            <w:pPr>
              <w:jc w:val="center"/>
              <w:spacing w:after="0" w:line="203" w:lineRule="exact"/>
              <w:rPr>
                <w:sz w:val="20"/>
                <w:szCs w:val="20"/>
                <w:color w:val="auto"/>
              </w:rPr>
            </w:pPr>
            <w:r>
              <w:rPr>
                <w:rFonts w:ascii="Arial" w:cs="Arial" w:eastAsia="Arial" w:hAnsi="Arial"/>
                <w:sz w:val="16"/>
                <w:szCs w:val="16"/>
                <w:color w:val="auto"/>
                <w:w w:val="83"/>
              </w:rPr>
              <w:t xml:space="preserve">2027 </w:t>
            </w:r>
            <w:r>
              <w:rPr>
                <w:rFonts w:ascii="Arial" w:cs="Arial" w:eastAsia="Arial" w:hAnsi="Arial"/>
                <w:sz w:val="21"/>
                <w:szCs w:val="21"/>
                <w:color w:val="auto"/>
                <w:w w:val="83"/>
                <w:vertAlign w:val="superscript"/>
              </w:rPr>
              <w:t>(6)</w:t>
            </w:r>
          </w:p>
        </w:tc>
      </w:tr>
      <w:tr>
        <w:trPr>
          <w:trHeight w:val="203"/>
        </w:trPr>
        <w:tc>
          <w:tcPr>
            <w:tcW w:w="300" w:type="dxa"/>
            <w:vAlign w:val="bottom"/>
            <w:tcBorders>
              <w:right w:val="single" w:sz="8" w:color="E2FFFF"/>
            </w:tcBorders>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7</w:t>
            </w:r>
          </w:p>
        </w:tc>
        <w:tc>
          <w:tcPr>
            <w:tcW w:w="26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2301</w:t>
            </w:r>
          </w:p>
        </w:tc>
        <w:tc>
          <w:tcPr>
            <w:tcW w:w="1260" w:type="dxa"/>
            <w:vAlign w:val="bottom"/>
            <w:gridSpan w:val="2"/>
            <w:shd w:val="clear" w:color="auto" w:fill="E5FFFF"/>
          </w:tcPr>
          <w:p>
            <w:pPr>
              <w:jc w:val="center"/>
              <w:ind w:right="140"/>
              <w:spacing w:after="0" w:line="203" w:lineRule="exact"/>
              <w:rPr>
                <w:sz w:val="20"/>
                <w:szCs w:val="20"/>
                <w:color w:val="auto"/>
              </w:rPr>
            </w:pPr>
            <w:r>
              <w:rPr>
                <w:rFonts w:ascii="Arial" w:cs="Arial" w:eastAsia="Arial" w:hAnsi="Arial"/>
                <w:sz w:val="16"/>
                <w:szCs w:val="16"/>
                <w:color w:val="auto"/>
                <w:w w:val="86"/>
              </w:rPr>
              <w:t xml:space="preserve">Q1 2021 </w:t>
            </w:r>
            <w:r>
              <w:rPr>
                <w:rFonts w:ascii="Arial" w:cs="Arial" w:eastAsia="Arial" w:hAnsi="Arial"/>
                <w:sz w:val="21"/>
                <w:szCs w:val="21"/>
                <w:color w:val="auto"/>
                <w:w w:val="86"/>
                <w:vertAlign w:val="superscript"/>
              </w:rPr>
              <w:t>(5)</w:t>
            </w:r>
          </w:p>
        </w:tc>
        <w:tc>
          <w:tcPr>
            <w:tcW w:w="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83"/>
              </w:rPr>
              <w:t xml:space="preserve">2028 </w:t>
            </w:r>
            <w:r>
              <w:rPr>
                <w:rFonts w:ascii="Arial" w:cs="Arial" w:eastAsia="Arial" w:hAnsi="Arial"/>
                <w:sz w:val="21"/>
                <w:szCs w:val="21"/>
                <w:color w:val="auto"/>
                <w:w w:val="83"/>
                <w:vertAlign w:val="superscript"/>
              </w:rPr>
              <w:t>(6)</w:t>
            </w:r>
          </w:p>
        </w:tc>
      </w:tr>
      <w:tr>
        <w:trPr>
          <w:trHeight w:val="203"/>
        </w:trPr>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2600" w:type="dxa"/>
            <w:vAlign w:val="bottom"/>
            <w:gridSpan w:val="2"/>
          </w:tcPr>
          <w:p>
            <w:pPr>
              <w:spacing w:after="0"/>
              <w:rPr>
                <w:sz w:val="20"/>
                <w:szCs w:val="20"/>
                <w:color w:val="auto"/>
              </w:rPr>
            </w:pPr>
            <w:r>
              <w:rPr>
                <w:rFonts w:ascii="Arial" w:cs="Arial" w:eastAsia="Arial" w:hAnsi="Arial"/>
                <w:sz w:val="16"/>
                <w:szCs w:val="16"/>
                <w:color w:val="auto"/>
              </w:rPr>
              <w:t>Hull No. 2311</w:t>
            </w:r>
          </w:p>
        </w:tc>
        <w:tc>
          <w:tcPr>
            <w:tcW w:w="1260" w:type="dxa"/>
            <w:vAlign w:val="bottom"/>
            <w:gridSpan w:val="2"/>
          </w:tcPr>
          <w:p>
            <w:pPr>
              <w:jc w:val="center"/>
              <w:ind w:right="140"/>
              <w:spacing w:after="0" w:line="203" w:lineRule="exact"/>
              <w:rPr>
                <w:sz w:val="20"/>
                <w:szCs w:val="20"/>
                <w:color w:val="auto"/>
              </w:rPr>
            </w:pPr>
            <w:r>
              <w:rPr>
                <w:rFonts w:ascii="Arial" w:cs="Arial" w:eastAsia="Arial" w:hAnsi="Arial"/>
                <w:sz w:val="16"/>
                <w:szCs w:val="16"/>
                <w:color w:val="auto"/>
                <w:w w:val="86"/>
              </w:rPr>
              <w:t xml:space="preserve">Q2 2021 </w:t>
            </w:r>
            <w:r>
              <w:rPr>
                <w:rFonts w:ascii="Arial" w:cs="Arial" w:eastAsia="Arial" w:hAnsi="Arial"/>
                <w:sz w:val="21"/>
                <w:szCs w:val="21"/>
                <w:color w:val="auto"/>
                <w:w w:val="86"/>
                <w:vertAlign w:val="superscript"/>
              </w:rPr>
              <w:t>(5)</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tcPr>
          <w:p>
            <w:pPr>
              <w:jc w:val="center"/>
              <w:spacing w:after="0" w:line="203" w:lineRule="exact"/>
              <w:rPr>
                <w:sz w:val="20"/>
                <w:szCs w:val="20"/>
                <w:color w:val="auto"/>
              </w:rPr>
            </w:pPr>
            <w:r>
              <w:rPr>
                <w:rFonts w:ascii="Arial" w:cs="Arial" w:eastAsia="Arial" w:hAnsi="Arial"/>
                <w:sz w:val="16"/>
                <w:szCs w:val="16"/>
                <w:color w:val="auto"/>
                <w:w w:val="83"/>
              </w:rPr>
              <w:t xml:space="preserve">2028 </w:t>
            </w:r>
            <w:r>
              <w:rPr>
                <w:rFonts w:ascii="Arial" w:cs="Arial" w:eastAsia="Arial" w:hAnsi="Arial"/>
                <w:sz w:val="21"/>
                <w:szCs w:val="21"/>
                <w:color w:val="auto"/>
                <w:w w:val="83"/>
                <w:vertAlign w:val="superscript"/>
              </w:rPr>
              <w:t>(6)</w:t>
            </w:r>
          </w:p>
        </w:tc>
      </w:tr>
      <w:tr>
        <w:trPr>
          <w:trHeight w:val="203"/>
        </w:trPr>
        <w:tc>
          <w:tcPr>
            <w:tcW w:w="300" w:type="dxa"/>
            <w:vAlign w:val="bottom"/>
            <w:tcBorders>
              <w:right w:val="single" w:sz="8" w:color="E2FFFF"/>
            </w:tcBorders>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9</w:t>
            </w:r>
          </w:p>
        </w:tc>
        <w:tc>
          <w:tcPr>
            <w:tcW w:w="26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2312</w:t>
            </w:r>
          </w:p>
        </w:tc>
        <w:tc>
          <w:tcPr>
            <w:tcW w:w="1260" w:type="dxa"/>
            <w:vAlign w:val="bottom"/>
            <w:gridSpan w:val="2"/>
            <w:shd w:val="clear" w:color="auto" w:fill="E5FFFF"/>
          </w:tcPr>
          <w:p>
            <w:pPr>
              <w:jc w:val="center"/>
              <w:ind w:right="140"/>
              <w:spacing w:after="0" w:line="203" w:lineRule="exact"/>
              <w:rPr>
                <w:sz w:val="20"/>
                <w:szCs w:val="20"/>
                <w:color w:val="auto"/>
              </w:rPr>
            </w:pPr>
            <w:r>
              <w:rPr>
                <w:rFonts w:ascii="Arial" w:cs="Arial" w:eastAsia="Arial" w:hAnsi="Arial"/>
                <w:sz w:val="16"/>
                <w:szCs w:val="16"/>
                <w:color w:val="auto"/>
                <w:w w:val="86"/>
              </w:rPr>
              <w:t xml:space="preserve">Q3 2021 </w:t>
            </w:r>
            <w:r>
              <w:rPr>
                <w:rFonts w:ascii="Arial" w:cs="Arial" w:eastAsia="Arial" w:hAnsi="Arial"/>
                <w:sz w:val="21"/>
                <w:szCs w:val="21"/>
                <w:color w:val="auto"/>
                <w:w w:val="86"/>
                <w:vertAlign w:val="superscript"/>
              </w:rPr>
              <w:t>(5)</w:t>
            </w:r>
          </w:p>
        </w:tc>
        <w:tc>
          <w:tcPr>
            <w:tcW w:w="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48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83"/>
              </w:rPr>
              <w:t xml:space="preserve">2028 </w:t>
            </w:r>
            <w:r>
              <w:rPr>
                <w:rFonts w:ascii="Arial" w:cs="Arial" w:eastAsia="Arial" w:hAnsi="Arial"/>
                <w:sz w:val="21"/>
                <w:szCs w:val="21"/>
                <w:color w:val="auto"/>
                <w:w w:val="83"/>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right="220" w:hanging="252"/>
        <w:spacing w:after="0" w:line="201" w:lineRule="auto"/>
        <w:tabs>
          <w:tab w:leader="none" w:pos="257" w:val="left"/>
        </w:tabs>
        <w:numPr>
          <w:ilvl w:val="0"/>
          <w:numId w:val="929"/>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trading in the spot market and has been chartered to Sinolam LNG Terminal, S.A. (“Sinolam LNG”) for the provision of an LNG floating storage unit (“FSU”). The charter is expected to commence in April 2021, after the dry-docking and conversion of the vessel to an FSU.</w:t>
      </w:r>
    </w:p>
    <w:p>
      <w:pPr>
        <w:ind w:left="240" w:hanging="232"/>
        <w:spacing w:after="0" w:line="182" w:lineRule="auto"/>
        <w:tabs>
          <w:tab w:leader="none" w:pos="240" w:val="left"/>
        </w:tabs>
        <w:numPr>
          <w:ilvl w:val="0"/>
          <w:numId w:val="929"/>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a wholly owned subsidiary of Endesa, S.A. (“Endesa”). The charter is expected to commence in May 2021.</w:t>
      </w:r>
    </w:p>
    <w:p>
      <w:pPr>
        <w:ind w:left="240" w:hanging="232"/>
        <w:spacing w:after="0" w:line="182" w:lineRule="auto"/>
        <w:tabs>
          <w:tab w:leader="none" w:pos="240" w:val="left"/>
        </w:tabs>
        <w:numPr>
          <w:ilvl w:val="0"/>
          <w:numId w:val="929"/>
        </w:numPr>
        <w:rPr>
          <w:rFonts w:ascii="Arial" w:cs="Arial" w:eastAsia="Arial" w:hAnsi="Arial"/>
          <w:sz w:val="17"/>
          <w:szCs w:val="17"/>
          <w:color w:val="auto"/>
          <w:vertAlign w:val="superscript"/>
        </w:rPr>
      </w:pPr>
      <w:r>
        <w:rPr>
          <w:rFonts w:ascii="Arial" w:cs="Arial" w:eastAsia="Arial" w:hAnsi="Arial"/>
          <w:sz w:val="13"/>
          <w:szCs w:val="13"/>
          <w:color w:val="auto"/>
        </w:rPr>
        <w:t>Reference to “X-DF” refers to low pressure dual-fuel two-stroke engine propulsion manufactured by Winterthur Gas &amp; Diesel.</w:t>
      </w:r>
    </w:p>
    <w:p>
      <w:pPr>
        <w:ind w:left="240" w:hanging="232"/>
        <w:spacing w:after="0" w:line="182" w:lineRule="auto"/>
        <w:tabs>
          <w:tab w:leader="none" w:pos="240" w:val="left"/>
        </w:tabs>
        <w:numPr>
          <w:ilvl w:val="0"/>
          <w:numId w:val="929"/>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Pioneer Shipping Limited, a wholly owned subsidiary of Centrica plc (“Centrica”).</w:t>
      </w:r>
    </w:p>
    <w:p>
      <w:pPr>
        <w:ind w:left="240" w:hanging="232"/>
        <w:spacing w:after="0" w:line="182" w:lineRule="auto"/>
        <w:tabs>
          <w:tab w:leader="none" w:pos="240" w:val="left"/>
        </w:tabs>
        <w:numPr>
          <w:ilvl w:val="0"/>
          <w:numId w:val="929"/>
        </w:numPr>
        <w:rPr>
          <w:rFonts w:ascii="Arial" w:cs="Arial" w:eastAsia="Arial" w:hAnsi="Arial"/>
          <w:sz w:val="17"/>
          <w:szCs w:val="17"/>
          <w:color w:val="auto"/>
          <w:vertAlign w:val="superscript"/>
        </w:rPr>
      </w:pPr>
      <w:r>
        <w:rPr>
          <w:rFonts w:ascii="Arial" w:cs="Arial" w:eastAsia="Arial" w:hAnsi="Arial"/>
          <w:sz w:val="13"/>
          <w:szCs w:val="13"/>
          <w:color w:val="auto"/>
        </w:rPr>
        <w:t>Expected delivery quarters are presented.</w:t>
      </w:r>
    </w:p>
    <w:p>
      <w:pPr>
        <w:ind w:left="240" w:hanging="232"/>
        <w:spacing w:after="0" w:line="182" w:lineRule="auto"/>
        <w:tabs>
          <w:tab w:leader="none" w:pos="240" w:val="left"/>
        </w:tabs>
        <w:numPr>
          <w:ilvl w:val="0"/>
          <w:numId w:val="929"/>
        </w:numPr>
        <w:rPr>
          <w:rFonts w:ascii="Arial" w:cs="Arial" w:eastAsia="Arial" w:hAnsi="Arial"/>
          <w:sz w:val="17"/>
          <w:szCs w:val="17"/>
          <w:color w:val="auto"/>
          <w:vertAlign w:val="superscript"/>
        </w:rPr>
      </w:pPr>
      <w:r>
        <w:rPr>
          <w:rFonts w:ascii="Arial" w:cs="Arial" w:eastAsia="Arial" w:hAnsi="Arial"/>
          <w:sz w:val="13"/>
          <w:szCs w:val="13"/>
          <w:color w:val="auto"/>
        </w:rPr>
        <w:t>Charter expiration to be determined based upon actual date of delivery.</w:t>
      </w:r>
    </w:p>
    <w:p>
      <w:pPr>
        <w:ind w:left="240" w:hanging="232"/>
        <w:spacing w:after="0" w:line="197" w:lineRule="auto"/>
        <w:tabs>
          <w:tab w:leader="none" w:pos="240" w:val="left"/>
        </w:tabs>
        <w:numPr>
          <w:ilvl w:val="0"/>
          <w:numId w:val="929"/>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LNG Marine Transport Limited, the principal LNG shipping entity of Japan’s JERA Co., Inc (“JERA”).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right="120" w:firstLine="383"/>
        <w:spacing w:after="0" w:line="271" w:lineRule="auto"/>
        <w:rPr>
          <w:sz w:val="20"/>
          <w:szCs w:val="20"/>
          <w:color w:val="auto"/>
        </w:rPr>
      </w:pPr>
      <w:r>
        <w:rPr>
          <w:rFonts w:ascii="Arial" w:cs="Arial" w:eastAsia="Arial" w:hAnsi="Arial"/>
          <w:sz w:val="16"/>
          <w:szCs w:val="16"/>
          <w:color w:val="auto"/>
        </w:rPr>
        <w:t xml:space="preserve">Our results set forth below are derived from the unaudited condensed consolidated financial statements of the Partnership. The transfer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from GasLog to the Partnership on April 1, 2019 was accounted for as a reorganization of 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 The Partnership’s historical results were retroactively restated to reflect the historical results of the acquired entity during the period it was owned by GasLog.</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gridSpan w:val="5"/>
          </w:tcPr>
          <w:p>
            <w:pPr>
              <w:ind w:left="2200"/>
              <w:spacing w:after="0"/>
              <w:rPr>
                <w:sz w:val="20"/>
                <w:szCs w:val="20"/>
                <w:color w:val="auto"/>
              </w:rPr>
            </w:pPr>
            <w:r>
              <w:rPr>
                <w:rFonts w:ascii="Arial" w:cs="Arial" w:eastAsia="Arial" w:hAnsi="Arial"/>
                <w:sz w:val="16"/>
                <w:szCs w:val="16"/>
                <w:b w:val="1"/>
                <w:bCs w:val="1"/>
                <w:color w:val="auto"/>
              </w:rPr>
              <w:t>Three-month period ended June 30, 2019 compared to the three-month period ended June 30, 2020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4720" w:type="dxa"/>
            <w:vAlign w:val="bottom"/>
            <w:gridSpan w:val="6"/>
          </w:tcPr>
          <w:p>
            <w:pPr>
              <w:jc w:val="right"/>
              <w:ind w:right="940"/>
              <w:spacing w:after="0"/>
              <w:rPr>
                <w:sz w:val="20"/>
                <w:szCs w:val="20"/>
                <w:color w:val="auto"/>
              </w:rPr>
            </w:pPr>
            <w:r>
              <w:rPr>
                <w:rFonts w:ascii="Arial" w:cs="Arial" w:eastAsia="Arial" w:hAnsi="Arial"/>
                <w:sz w:val="16"/>
                <w:szCs w:val="16"/>
                <w:b w:val="1"/>
                <w:bCs w:val="1"/>
                <w:color w:val="auto"/>
              </w:rPr>
              <w:t>IFRS Reported Common Control Results</w:t>
            </w:r>
          </w:p>
        </w:tc>
      </w:tr>
      <w:tr>
        <w:trPr>
          <w:trHeight w:val="202"/>
        </w:trPr>
        <w:tc>
          <w:tcPr>
            <w:tcW w:w="6520" w:type="dxa"/>
            <w:vAlign w:val="bottom"/>
          </w:tcPr>
          <w:p>
            <w:pPr>
              <w:spacing w:after="0"/>
              <w:rPr>
                <w:sz w:val="17"/>
                <w:szCs w:val="17"/>
                <w:color w:val="auto"/>
              </w:rPr>
            </w:pPr>
          </w:p>
        </w:tc>
        <w:tc>
          <w:tcPr>
            <w:tcW w:w="16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3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r>
      <w:tr>
        <w:trPr>
          <w:trHeight w:val="196"/>
        </w:trPr>
        <w:tc>
          <w:tcPr>
            <w:tcW w:w="6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84,448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(7,357)</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1,024</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(1,024)</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(2,037)</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(2,782)</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(745)</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(18,548)</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(16,895)</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1,653</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(22,137)</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(20,675)</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1,462</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(4,741)</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(4,421)</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320</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(18,841)</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(18,841)</w:t>
            </w:r>
          </w:p>
        </w:tc>
      </w:tr>
      <w:tr>
        <w:trPr>
          <w:trHeight w:val="196"/>
        </w:trPr>
        <w:tc>
          <w:tcPr>
            <w:tcW w:w="6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45,366</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20,834</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(24,532)</w:t>
            </w:r>
          </w:p>
        </w:tc>
        <w:tc>
          <w:tcPr>
            <w:tcW w:w="100" w:type="dxa"/>
            <w:vAlign w:val="bottom"/>
            <w:tcBorders>
              <w:bottom w:val="single" w:sz="8" w:color="E5FFFF"/>
            </w:tcBorders>
          </w:tcPr>
          <w:p>
            <w:pPr>
              <w:spacing w:after="0"/>
              <w:rPr>
                <w:sz w:val="17"/>
                <w:szCs w:val="17"/>
                <w:color w:val="auto"/>
              </w:rPr>
            </w:pPr>
          </w:p>
        </w:tc>
      </w:tr>
      <w:tr>
        <w:trPr>
          <w:trHeight w:val="196"/>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(13,067)</w:t>
            </w: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5,417</w:t>
            </w:r>
          </w:p>
        </w:tc>
        <w:tc>
          <w:tcPr>
            <w:tcW w:w="100" w:type="dxa"/>
            <w:vAlign w:val="bottom"/>
            <w:shd w:val="clear" w:color="auto" w:fill="E5FF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Financial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527</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77</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(450)</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(8,266)</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369</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8,635</w:t>
            </w:r>
          </w:p>
        </w:tc>
      </w:tr>
      <w:tr>
        <w:trPr>
          <w:trHeight w:val="236"/>
        </w:trPr>
        <w:tc>
          <w:tcPr>
            <w:tcW w:w="6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28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8,213</w:t>
            </w:r>
          </w:p>
        </w:tc>
        <w:tc>
          <w:tcPr>
            <w:tcW w:w="280" w:type="dxa"/>
            <w:vAlign w:val="bottom"/>
            <w:tcBorders>
              <w:bottom w:val="single" w:sz="8" w:color="E5FFFF"/>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(10,930</w:t>
            </w:r>
          </w:p>
        </w:tc>
        <w:tc>
          <w:tcPr>
            <w:tcW w:w="100" w:type="dxa"/>
            <w:vAlign w:val="bottom"/>
            <w:tcBorders>
              <w:bottom w:val="single" w:sz="8" w:color="E5FF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83"/>
        </w:trPr>
        <w:tc>
          <w:tcPr>
            <w:tcW w:w="6520" w:type="dxa"/>
            <w:vAlign w:val="bottom"/>
            <w:tcBorders>
              <w:bottom w:val="single" w:sz="8" w:color="E5FFFF"/>
            </w:tcBorders>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Profit attributable to Partnership’s operations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280" w:type="dxa"/>
            <w:vAlign w:val="bottom"/>
            <w:tcBorders>
              <w:bottom w:val="single" w:sz="8" w:color="E5FFFF"/>
            </w:tcBorders>
            <w:shd w:val="clear" w:color="auto" w:fill="E5FFFF"/>
          </w:tcPr>
          <w:p>
            <w:pPr>
              <w:spacing w:after="0"/>
              <w:rPr>
                <w:sz w:val="15"/>
                <w:szCs w:val="15"/>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280" w:type="dxa"/>
            <w:vAlign w:val="bottom"/>
            <w:tcBorders>
              <w:bottom w:val="single" w:sz="8" w:color="E5FFFF"/>
            </w:tcBorders>
            <w:shd w:val="clear" w:color="auto" w:fill="E5FFFF"/>
          </w:tcPr>
          <w:p>
            <w:pPr>
              <w:spacing w:after="0"/>
              <w:rPr>
                <w:sz w:val="15"/>
                <w:szCs w:val="15"/>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(10,930</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6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firstLine="405"/>
        <w:spacing w:after="0" w:line="328" w:lineRule="auto"/>
        <w:rPr>
          <w:sz w:val="20"/>
          <w:szCs w:val="20"/>
          <w:color w:val="auto"/>
        </w:rPr>
      </w:pPr>
      <w:r>
        <w:rPr>
          <w:rFonts w:ascii="Arial" w:cs="Arial" w:eastAsia="Arial" w:hAnsi="Arial"/>
          <w:sz w:val="15"/>
          <w:szCs w:val="15"/>
          <w:color w:val="auto"/>
        </w:rPr>
        <w:t>For the three-month period ended June 30, 2019, we had an average of 15 vessels operating in our owned fleet having 1,340 revenue operating days, while during the three-month period ended June 30, 2020, we had an average of 15 vessels operating in our owned fleet having 1,318 revenue operating days.</w:t>
      </w:r>
    </w:p>
    <w:p>
      <w:pPr>
        <w:spacing w:after="0" w:line="150" w:lineRule="exact"/>
        <w:rPr>
          <w:sz w:val="20"/>
          <w:szCs w:val="20"/>
          <w:color w:val="auto"/>
        </w:rPr>
      </w:pPr>
    </w:p>
    <w:p>
      <w:pPr>
        <w:ind w:firstLine="427"/>
        <w:spacing w:after="0" w:line="313" w:lineRule="auto"/>
        <w:rPr>
          <w:sz w:val="20"/>
          <w:szCs w:val="20"/>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Revenues decreased by $7.4 million, or 8.1%, from $91.8 million for the three-month period ended June 30, 2019 to $84.4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2020. The decrease in revenues is mainly attributable to the expirations of the initial multi-year time charters of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in October 2019, January 2020 and April 2020, respectively. Following the expirations of their initial charters,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was re-chartered to Trafigura in November 2019, while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have been trading in the current weak spot market, as impacted by the COVID-19 pandemic during the three months ended June 30, 2020. This decrease in revenues was partially offset by the increased revenues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in the second quarter of 2020 as result of its re-chartering to Gunvor in June 2019 under a time charter with a variable, market-linked rate of hire (achieving 100% utilization). The average daily hire rate decreased from $68,511 for the three-month period ended June 30, 2019 to $64,073 for the three-month period ended June 30, 2020.</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$1.0 million in the three months ended June 30, 2019 and $0.0 million in the three months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1" w:name="page372"/>
    <w:bookmarkEnd w:id="371"/>
    <w:p>
      <w:pPr>
        <w:ind w:right="120"/>
        <w:spacing w:after="0" w:line="293" w:lineRule="auto"/>
        <w:rPr>
          <w:sz w:val="20"/>
          <w:szCs w:val="20"/>
          <w:color w:val="auto"/>
        </w:rPr>
      </w:pPr>
      <w:r>
        <w:rPr>
          <w:rFonts w:ascii="Arial" w:cs="Arial" w:eastAsia="Arial" w:hAnsi="Arial"/>
          <w:sz w:val="16"/>
          <w:szCs w:val="16"/>
          <w:color w:val="auto"/>
        </w:rPr>
        <w:t xml:space="preserve">ended June 30, 2020, following the removal in June 2019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from the Cool Pool, an LNG carrier pooling arrangement operated by GasLog and Golar LNG Ltd. (the “Cool Pool”) to market their vessels operating in the LNG shipping spot market.</w:t>
      </w:r>
    </w:p>
    <w:p>
      <w:pPr>
        <w:spacing w:after="0" w:line="172" w:lineRule="exact"/>
        <w:rPr>
          <w:sz w:val="20"/>
          <w:szCs w:val="20"/>
          <w:color w:val="auto"/>
        </w:rPr>
      </w:pPr>
    </w:p>
    <w:p>
      <w:pPr>
        <w:ind w:firstLine="427"/>
        <w:spacing w:after="0" w:line="305" w:lineRule="auto"/>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increased by $0.8 million or 40.0%, from $2.0 million in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2019 to $2.8 million in the three months ended June 30, 2020. The increase in voyage expenses and commissions is mainly attributable to an increase in bunker consumption costs due to the operation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in the spot market in the three months ended June 30, 2020.</w:t>
      </w:r>
    </w:p>
    <w:p>
      <w:pPr>
        <w:spacing w:after="0" w:line="166" w:lineRule="exact"/>
        <w:rPr>
          <w:sz w:val="20"/>
          <w:szCs w:val="20"/>
          <w:color w:val="auto"/>
        </w:rPr>
      </w:pPr>
    </w:p>
    <w:p>
      <w:pPr>
        <w:ind w:right="60" w:firstLine="427"/>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decreased by $1.6 million, or 8.6%, from $18.5 million for the three-month period ended June 30, 2019 to $16.9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for the same period in 2020. The decrease in vessel operating costs is mainly attributable to a decrease of $0.7 million in technical maintenance expenses (due to one-off maintenance costs incurred in the second quarter of 2019) and a decrease of $0.4 million in crew wages, mainly due to reduced crew travelling costs due to COVID-19 restrictions.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decreased from $14,559 per day for the three-month period ended June 30, 2019 to $13,261 per day for the three-month period ended June 30, 2020.</w:t>
      </w:r>
    </w:p>
    <w:p>
      <w:pPr>
        <w:spacing w:after="0" w:line="190" w:lineRule="exact"/>
        <w:rPr>
          <w:sz w:val="20"/>
          <w:szCs w:val="20"/>
          <w:color w:val="auto"/>
        </w:rPr>
      </w:pPr>
    </w:p>
    <w:p>
      <w:pPr>
        <w:ind w:right="80" w:firstLine="427"/>
        <w:spacing w:after="0" w:line="305"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decreased by $0.3 million, or 6.4%, from $4.7 million for the three-month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2019 to $4.4 million for the same period in 2020. The decrease in general and administrative expenses is mainly attributable to decreased administrative services fees of $0.3 million, mainly due to the decrease of the annual fee payable to GasLog in 2020 by almost $0.1 million per vessel per year.</w:t>
      </w:r>
    </w:p>
    <w:p>
      <w:pPr>
        <w:spacing w:after="0" w:line="166" w:lineRule="exact"/>
        <w:rPr>
          <w:sz w:val="20"/>
          <w:szCs w:val="20"/>
          <w:color w:val="auto"/>
        </w:rPr>
      </w:pPr>
    </w:p>
    <w:p>
      <w:pPr>
        <w:ind w:right="120" w:firstLine="427"/>
        <w:spacing w:after="0" w:line="273"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nil for the three-month period ended June 30, 2019 and $18.8 million for the same period in 2020.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impairment loss recorded as of June 30, 2020 was recognized with respect to three of the Partnership’s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as a result of anticipated increases in volatility in the spot charter market over the near term from COVID-19 pandemic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impacts to LNG and LNG shipping demand.</w:t>
      </w:r>
    </w:p>
    <w:p>
      <w:pPr>
        <w:spacing w:after="0" w:line="189" w:lineRule="exact"/>
        <w:rPr>
          <w:sz w:val="20"/>
          <w:szCs w:val="20"/>
          <w:color w:val="auto"/>
        </w:rPr>
      </w:pPr>
    </w:p>
    <w:p>
      <w:pPr>
        <w:ind w:right="260" w:firstLine="427"/>
        <w:spacing w:after="0" w:line="293"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decreased by $5.4 million, or 29.2%, from $18.5 million for the three-month period ended June 30, 2019 to $13.1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2020. The decrease in financial costs is mainly attributable to a decrease of $5.4 million in interest expense on loans, primarily due to the lower London Interbank Offered Rate (“LIBOR”) rates in the three months ended June 30, 2020 as compared to the same period in 2019. During the three-month period ended June 30, 2019, we had an average of $1,424.3 million of outstanding indebtedness with a weighted average interest rate of 4.7%, compared to an average of $1,346.2 million of outstanding indebtedness with a weighted average interest rate of 3.4% during the three-month period ended June 30, 2020.</w:t>
      </w:r>
    </w:p>
    <w:p>
      <w:pPr>
        <w:spacing w:after="0" w:line="176" w:lineRule="exact"/>
        <w:rPr>
          <w:sz w:val="20"/>
          <w:szCs w:val="20"/>
          <w:color w:val="auto"/>
        </w:rPr>
      </w:pPr>
    </w:p>
    <w:p>
      <w:pPr>
        <w:ind w:right="20" w:firstLine="427"/>
        <w:spacing w:after="0" w:line="293" w:lineRule="auto"/>
        <w:rPr>
          <w:sz w:val="20"/>
          <w:szCs w:val="20"/>
          <w:color w:val="auto"/>
        </w:rPr>
      </w:pPr>
      <w:r>
        <w:rPr>
          <w:rFonts w:ascii="Arial" w:cs="Arial" w:eastAsia="Arial" w:hAnsi="Arial"/>
          <w:sz w:val="15"/>
          <w:szCs w:val="15"/>
          <w:b w:val="1"/>
          <w:bCs w:val="1"/>
          <w:i w:val="1"/>
          <w:iCs w:val="1"/>
          <w:color w:val="auto"/>
        </w:rPr>
        <w:t xml:space="preserve">Loss/gain on Derivatives: </w:t>
      </w:r>
      <w:r>
        <w:rPr>
          <w:rFonts w:ascii="Arial" w:cs="Arial" w:eastAsia="Arial" w:hAnsi="Arial"/>
          <w:sz w:val="15"/>
          <w:szCs w:val="15"/>
          <w:color w:val="auto"/>
        </w:rPr>
        <w:t>Loss/gain on derivatives decreased by $8.7 million, from a loss of $8.3 million for the three-month period ended June 30, 2019 to a gain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$0.4 million for the same period in 2020. The decrease is attributable to a $10.1 million net decrease in unrealized loss from the mark-to-market valuation of derivatives held for trading which were carried at fair value through profit or loss (reflecting a net loss of $8.7 million in the three months ended June 30, 2019 as compared to a gain of $1.4 million in the three months ended June 30, 2020), partially offset by a net increase of $1.4 million in realized loss on derivatives held for trading (reflecting a net gain of $0.4 million in the three months ended June 30, 2019 as compared to a loss of $1.0 million in the three months ended June 30, 2020).</w:t>
      </w:r>
    </w:p>
    <w:p>
      <w:pPr>
        <w:spacing w:after="0" w:line="176" w:lineRule="exact"/>
        <w:rPr>
          <w:sz w:val="20"/>
          <w:szCs w:val="20"/>
          <w:color w:val="auto"/>
        </w:rPr>
      </w:pPr>
    </w:p>
    <w:p>
      <w:pPr>
        <w:ind w:right="160" w:firstLine="427"/>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$10.9 million, or 57.1%, from $19.1 million for the three-month period ended June 30, 2019 to $8.2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2020, as a result of the aforementioned factors.</w:t>
      </w:r>
    </w:p>
    <w:p>
      <w:pPr>
        <w:spacing w:after="0" w:line="172" w:lineRule="exact"/>
        <w:rPr>
          <w:sz w:val="20"/>
          <w:szCs w:val="20"/>
          <w:color w:val="auto"/>
        </w:rPr>
      </w:pPr>
    </w:p>
    <w:p>
      <w:pPr>
        <w:ind w:right="100" w:firstLine="427"/>
        <w:spacing w:after="0" w:line="273"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decreased by $10.9 million, or 57.1%, from $19.1 million for the three-month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2019 to $8.2 million for the three-month period ended June 30, 2020. The decrease is mainly attributable to the impairment loss recognized in the three months ended June 30, 2020 of $18.8 million, partially offset by a $10.1 million net decrease in loss from the mark-to-market valuation of the derivatives attributable to the Partnership, which were carried at fair value through profit or loss.</w:t>
      </w:r>
    </w:p>
    <w:p>
      <w:pPr>
        <w:spacing w:after="0" w:line="175" w:lineRule="exact"/>
        <w:rPr>
          <w:sz w:val="20"/>
          <w:szCs w:val="20"/>
          <w:color w:val="auto"/>
        </w:rPr>
      </w:pPr>
    </w:p>
    <w:p>
      <w:pPr>
        <w:ind w:right="40" w:firstLine="427"/>
        <w:spacing w:after="0" w:line="324" w:lineRule="auto"/>
        <w:rPr>
          <w:sz w:val="20"/>
          <w:szCs w:val="20"/>
          <w:color w:val="auto"/>
        </w:rPr>
      </w:pPr>
      <w:r>
        <w:rPr>
          <w:rFonts w:ascii="Arial" w:cs="Arial" w:eastAsia="Arial" w:hAnsi="Arial"/>
          <w:sz w:val="14"/>
          <w:szCs w:val="14"/>
          <w:color w:val="auto"/>
        </w:rPr>
        <w:t xml:space="preserve">Specifically, the profit attributable to the Partnership was mainly affected by (a) a decrease in revenues of $7.4 million mainly due to the expirations of the initial time charters of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in October 2019, January 2020 and April 2020, respectively), (b) an increase in voyage expenses and commissions attributable to the Partnership of $0.8 million, mainly due to the operation of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Rita Andrea </w:t>
      </w:r>
      <w:r>
        <w:rPr>
          <w:rFonts w:ascii="Arial" w:cs="Arial" w:eastAsia="Arial" w:hAnsi="Arial"/>
          <w:sz w:val="14"/>
          <w:szCs w:val="14"/>
          <w:color w:val="auto"/>
        </w:rPr>
        <w:t>in the spot market in the three months ended June 30, 2020, and (c) a decrease in operating expenses attributable to the Partnership of $1.6 million.</w:t>
      </w:r>
    </w:p>
    <w:p>
      <w:pPr>
        <w:spacing w:after="0" w:line="143" w:lineRule="exact"/>
        <w:rPr>
          <w:sz w:val="20"/>
          <w:szCs w:val="20"/>
          <w:color w:val="auto"/>
        </w:rPr>
      </w:pPr>
    </w:p>
    <w:p>
      <w:pPr>
        <w:ind w:right="260" w:firstLine="427"/>
        <w:spacing w:after="0" w:line="293" w:lineRule="auto"/>
        <w:rPr>
          <w:sz w:val="20"/>
          <w:szCs w:val="20"/>
          <w:color w:val="auto"/>
        </w:rPr>
      </w:pPr>
      <w:r>
        <w:rPr>
          <w:rFonts w:ascii="Arial" w:cs="Arial" w:eastAsia="Arial" w:hAnsi="Arial"/>
          <w:sz w:val="16"/>
          <w:szCs w:val="16"/>
          <w:color w:val="auto"/>
        </w:rPr>
        <w:t>In addition, the profit attributable to the Partnership was further affected by (a) a decrease in financial costs attributable to the Partnership of $5.4 million and (b) a decrease of $8.7 million in loss on derivatives attributable to the Partnership.</w:t>
      </w:r>
    </w:p>
    <w:p>
      <w:pPr>
        <w:spacing w:after="0" w:line="158" w:lineRule="exact"/>
        <w:rPr>
          <w:sz w:val="20"/>
          <w:szCs w:val="20"/>
          <w:color w:val="auto"/>
        </w:rPr>
      </w:pPr>
    </w:p>
    <w:p>
      <w:pPr>
        <w:ind w:right="120" w:firstLine="427"/>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loss on derivatives in relation to the Profit attributable to the Partnership for the three-month period ended June 30, 2019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10"/>
        </w:trPr>
        <w:tc>
          <w:tcPr>
            <w:tcW w:w="9800" w:type="dxa"/>
            <w:vAlign w:val="bottom"/>
            <w:gridSpan w:val="5"/>
          </w:tcPr>
          <w:p>
            <w:pPr>
              <w:ind w:left="2400"/>
              <w:spacing w:after="0"/>
              <w:rPr>
                <w:sz w:val="20"/>
                <w:szCs w:val="20"/>
                <w:color w:val="auto"/>
              </w:rPr>
            </w:pPr>
            <w:r>
              <w:rPr>
                <w:rFonts w:ascii="Arial" w:cs="Arial" w:eastAsia="Arial" w:hAnsi="Arial"/>
                <w:sz w:val="16"/>
                <w:szCs w:val="16"/>
                <w:b w:val="1"/>
                <w:bCs w:val="1"/>
                <w:color w:val="auto"/>
              </w:rPr>
              <w:t>Six-month period ended June 30, 2019 compared to the six-month period ended June 30, 2020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4720" w:type="dxa"/>
            <w:vAlign w:val="bottom"/>
            <w:gridSpan w:val="6"/>
          </w:tcPr>
          <w:p>
            <w:pPr>
              <w:jc w:val="right"/>
              <w:ind w:right="940"/>
              <w:spacing w:after="0"/>
              <w:rPr>
                <w:sz w:val="20"/>
                <w:szCs w:val="20"/>
                <w:color w:val="auto"/>
              </w:rPr>
            </w:pPr>
            <w:r>
              <w:rPr>
                <w:rFonts w:ascii="Arial" w:cs="Arial" w:eastAsia="Arial" w:hAnsi="Arial"/>
                <w:sz w:val="16"/>
                <w:szCs w:val="16"/>
                <w:b w:val="1"/>
                <w:bCs w:val="1"/>
                <w:color w:val="auto"/>
              </w:rPr>
              <w:t>IFRS Reported Common Control Results</w:t>
            </w:r>
          </w:p>
        </w:tc>
      </w:tr>
      <w:tr>
        <w:trPr>
          <w:trHeight w:val="202"/>
        </w:trPr>
        <w:tc>
          <w:tcPr>
            <w:tcW w:w="6520" w:type="dxa"/>
            <w:vAlign w:val="bottom"/>
          </w:tcPr>
          <w:p>
            <w:pPr>
              <w:spacing w:after="0"/>
              <w:rPr>
                <w:sz w:val="17"/>
                <w:szCs w:val="17"/>
                <w:color w:val="auto"/>
              </w:rPr>
            </w:pPr>
          </w:p>
        </w:tc>
        <w:tc>
          <w:tcPr>
            <w:tcW w:w="16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3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r>
      <w:tr>
        <w:trPr>
          <w:trHeight w:val="196"/>
        </w:trPr>
        <w:tc>
          <w:tcPr>
            <w:tcW w:w="6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185,690</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175,801</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(9,889)</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1,058</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(1,058)</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(3,874)</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(6,670)</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(2,796)</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(37,179)</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(35,988)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1,191</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(44,007)</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(41,273)</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2,734</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(9,435)</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(8,592)</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843</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(18,841)</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(18,841)</w:t>
            </w:r>
          </w:p>
        </w:tc>
      </w:tr>
      <w:tr>
        <w:trPr>
          <w:trHeight w:val="196"/>
        </w:trPr>
        <w:tc>
          <w:tcPr>
            <w:tcW w:w="6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92,253</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64,437</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(27,816)</w:t>
            </w:r>
          </w:p>
        </w:tc>
        <w:tc>
          <w:tcPr>
            <w:tcW w:w="100" w:type="dxa"/>
            <w:vAlign w:val="bottom"/>
            <w:tcBorders>
              <w:bottom w:val="single" w:sz="8" w:color="E5FFFF"/>
            </w:tcBorders>
          </w:tcPr>
          <w:p>
            <w:pPr>
              <w:spacing w:after="0"/>
              <w:rPr>
                <w:sz w:val="17"/>
                <w:szCs w:val="17"/>
                <w:color w:val="auto"/>
              </w:rPr>
            </w:pPr>
          </w:p>
        </w:tc>
      </w:tr>
      <w:tr>
        <w:trPr>
          <w:trHeight w:val="196"/>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(38,116)</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(28,580)</w:t>
            </w: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9,536</w:t>
            </w:r>
          </w:p>
        </w:tc>
        <w:tc>
          <w:tcPr>
            <w:tcW w:w="100" w:type="dxa"/>
            <w:vAlign w:val="bottom"/>
            <w:shd w:val="clear" w:color="auto" w:fill="E5FF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Financial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1,165</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276</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(889)</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(13,143)</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(13,751)</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(608)</w:t>
            </w:r>
          </w:p>
        </w:tc>
      </w:tr>
      <w:tr>
        <w:trPr>
          <w:trHeight w:val="236"/>
        </w:trPr>
        <w:tc>
          <w:tcPr>
            <w:tcW w:w="6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42,159</w:t>
            </w:r>
          </w:p>
        </w:tc>
        <w:tc>
          <w:tcPr>
            <w:tcW w:w="28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22,382</w:t>
            </w:r>
          </w:p>
        </w:tc>
        <w:tc>
          <w:tcPr>
            <w:tcW w:w="280" w:type="dxa"/>
            <w:vAlign w:val="bottom"/>
            <w:tcBorders>
              <w:bottom w:val="single" w:sz="8" w:color="E5FFFF"/>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(19,777)</w:t>
            </w:r>
          </w:p>
        </w:tc>
        <w:tc>
          <w:tcPr>
            <w:tcW w:w="100" w:type="dxa"/>
            <w:vAlign w:val="bottom"/>
            <w:tcBorders>
              <w:bottom w:val="single" w:sz="8" w:color="E5FFFF"/>
            </w:tcBorders>
          </w:tcPr>
          <w:p>
            <w:pPr>
              <w:spacing w:after="0"/>
              <w:rPr>
                <w:sz w:val="20"/>
                <w:szCs w:val="20"/>
                <w:color w:val="auto"/>
              </w:rPr>
            </w:pPr>
          </w:p>
        </w:tc>
      </w:tr>
      <w:tr>
        <w:trPr>
          <w:trHeight w:val="183"/>
        </w:trPr>
        <w:tc>
          <w:tcPr>
            <w:tcW w:w="6520" w:type="dxa"/>
            <w:vAlign w:val="bottom"/>
            <w:tcBorders>
              <w:bottom w:val="single" w:sz="8" w:color="E5FFFF"/>
            </w:tcBorders>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Profit attributable to Partnership’s operations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39,509</w:t>
            </w:r>
          </w:p>
        </w:tc>
        <w:tc>
          <w:tcPr>
            <w:tcW w:w="280" w:type="dxa"/>
            <w:vAlign w:val="bottom"/>
            <w:tcBorders>
              <w:bottom w:val="single" w:sz="8" w:color="E5FFFF"/>
            </w:tcBorders>
            <w:shd w:val="clear" w:color="auto" w:fill="E5FFFF"/>
          </w:tcPr>
          <w:p>
            <w:pPr>
              <w:spacing w:after="0"/>
              <w:rPr>
                <w:sz w:val="15"/>
                <w:szCs w:val="15"/>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22,382</w:t>
            </w:r>
          </w:p>
        </w:tc>
        <w:tc>
          <w:tcPr>
            <w:tcW w:w="280" w:type="dxa"/>
            <w:vAlign w:val="bottom"/>
            <w:tcBorders>
              <w:bottom w:val="single" w:sz="8" w:color="E5FFFF"/>
            </w:tcBorders>
            <w:shd w:val="clear" w:color="auto" w:fill="E5FFFF"/>
          </w:tcPr>
          <w:p>
            <w:pPr>
              <w:spacing w:after="0"/>
              <w:rPr>
                <w:sz w:val="15"/>
                <w:szCs w:val="15"/>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(17,127</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6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40" w:firstLine="405"/>
        <w:spacing w:after="0" w:line="328" w:lineRule="auto"/>
        <w:rPr>
          <w:sz w:val="20"/>
          <w:szCs w:val="20"/>
          <w:color w:val="auto"/>
        </w:rPr>
      </w:pPr>
      <w:r>
        <w:rPr>
          <w:rFonts w:ascii="Arial" w:cs="Arial" w:eastAsia="Arial" w:hAnsi="Arial"/>
          <w:sz w:val="15"/>
          <w:szCs w:val="15"/>
          <w:color w:val="auto"/>
        </w:rPr>
        <w:t>For the six-month period ended June 30, 2019, we had an average of 15 vessels operating in our owned fleet having 2,684 revenue operating days, while during the six-month period ended June 30, 2020, we had an average of 15 vessels operating in our owned fleet having 2,591 revenue operating days.</w:t>
      </w:r>
    </w:p>
    <w:p>
      <w:pPr>
        <w:spacing w:after="0" w:line="150" w:lineRule="exact"/>
        <w:rPr>
          <w:sz w:val="20"/>
          <w:szCs w:val="20"/>
          <w:color w:val="auto"/>
        </w:rPr>
      </w:pPr>
    </w:p>
    <w:p>
      <w:pPr>
        <w:ind w:firstLine="427"/>
        <w:spacing w:after="0" w:line="269"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$9.9 million, or 5.3%, from $185.7 million for the six-month period ended June 30, 2019 to $175.8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2020. The decrease in revenues is mainly attributable to the expirations of the initial multi-year time charters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in October 2019, January 2020 and April 2020, respectively. Following the expirations of their initial charters,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was re-chartered to Trafigura in November 2019, while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have been trading in the spot market. This decrease in revenues was partially offset by the increased revenues from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as result of its re-chartering to Gunvor in June 2019 under a time charter with a variable, market-linked rate of hire (achieving 100% utilization). The average daily hire rate decreased from $69,184 for the three-month period ended June 30, 2019 to $67,851 for the six-month period ended June 30, 2020.</w:t>
      </w:r>
    </w:p>
    <w:p>
      <w:pPr>
        <w:spacing w:after="0" w:line="190" w:lineRule="exact"/>
        <w:rPr>
          <w:sz w:val="20"/>
          <w:szCs w:val="20"/>
          <w:color w:val="auto"/>
        </w:rPr>
      </w:pPr>
    </w:p>
    <w:p>
      <w:pPr>
        <w:ind w:right="160" w:firstLine="427"/>
        <w:spacing w:after="0" w:line="293"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$1.1 million in the six months ended June 30, 2019 and $0.0 million in the six months ended June 30, 2020 following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removal in June 2019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from the Cool Pool.</w:t>
      </w:r>
    </w:p>
    <w:p>
      <w:pPr>
        <w:spacing w:after="0" w:line="172" w:lineRule="exact"/>
        <w:rPr>
          <w:sz w:val="20"/>
          <w:szCs w:val="20"/>
          <w:color w:val="auto"/>
        </w:rPr>
      </w:pPr>
    </w:p>
    <w:p>
      <w:pPr>
        <w:ind w:right="140" w:firstLine="427"/>
        <w:spacing w:after="0" w:line="305" w:lineRule="auto"/>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increased by $2.8 million, or 71.8%, from $3.9 million in the six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2019 to $6.7 million in the six months ended June 30, 2020. The increase in voyage expenses and commissions is mainly attributable to an increase in bunker consumption costs due to the operation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in the spot market in the first six months of 2020.</w:t>
      </w:r>
    </w:p>
    <w:p>
      <w:pPr>
        <w:spacing w:after="0" w:line="166" w:lineRule="exact"/>
        <w:rPr>
          <w:sz w:val="20"/>
          <w:szCs w:val="20"/>
          <w:color w:val="auto"/>
        </w:rPr>
      </w:pPr>
    </w:p>
    <w:p>
      <w:pPr>
        <w:ind w:right="40" w:firstLine="427"/>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decreased by $1.2 million, or 3.2%, from $37.2 million for the six-month period ended June 30, 2019 to $36.0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the same period in 2020. The decrease in vessel operating costs is mainly attributable to a decrease of $0.7 million in crew wages, mainly due to the favorable movement of the EUR/USD exchange rate as compared to the same period in 2019, combined with decreased crew travelling costs due to COVID-19 restrictions.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decreased from $14,672 per day for the six-month period ended June 30, 2019 to $14,124 per day for the six-month period ended June 30, 2020.</w:t>
      </w:r>
    </w:p>
    <w:p>
      <w:pPr>
        <w:spacing w:after="0" w:line="190" w:lineRule="exact"/>
        <w:rPr>
          <w:sz w:val="20"/>
          <w:szCs w:val="20"/>
          <w:color w:val="auto"/>
        </w:rPr>
      </w:pPr>
    </w:p>
    <w:p>
      <w:pPr>
        <w:jc w:val="both"/>
        <w:ind w:right="220" w:firstLine="427"/>
        <w:spacing w:after="0" w:line="305"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decreased by $0.8 million, or 8.5%, from $9.4 million for the six-month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2019 to $8.6 million for the same period in 2020. The decrease in general and administrative expenses is mainly attributable to decreased administrative services fees of $0.5 million, mainly due to the decrease of the annual fee payable to GasLog in 2020 by almost $0.1 million per vessel per year.</w:t>
      </w:r>
    </w:p>
    <w:p>
      <w:pPr>
        <w:spacing w:after="0" w:line="166" w:lineRule="exact"/>
        <w:rPr>
          <w:sz w:val="20"/>
          <w:szCs w:val="20"/>
          <w:color w:val="auto"/>
        </w:rPr>
      </w:pPr>
    </w:p>
    <w:p>
      <w:pPr>
        <w:ind w:right="240" w:firstLine="427"/>
        <w:spacing w:after="0" w:line="273"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nil for the six-month period ended June 30, 2019 and $18.8 million for the same period in 2020.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impairment loss recorded as of June 30, 2020 was recognized with respect to three of the Partnership’s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as a result of anticipated increases in volatility in the spot charter market over the near term from COVID-19 pandemic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impacts to LNG and LNG shipping demand.</w:t>
      </w:r>
    </w:p>
    <w:p>
      <w:pPr>
        <w:spacing w:after="0" w:line="189" w:lineRule="exact"/>
        <w:rPr>
          <w:sz w:val="20"/>
          <w:szCs w:val="20"/>
          <w:color w:val="auto"/>
        </w:rPr>
      </w:pPr>
    </w:p>
    <w:p>
      <w:pPr>
        <w:ind w:right="80" w:firstLine="427"/>
        <w:spacing w:after="0" w:line="293"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decreased by $9.5 million, or 24.9%, from $38.1 million for the six-month period ended June 30, 2019 to $28.6 million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in 2020. The decrease in financial costs is attributable to a decrease of $8.5 million in interest expense on loans, primarily due to the lower LIBOR rates in the first six months of 2020 as compared to the same period in 2019, and a decrease of $1.0 million in amortization of deferred loan issuance costs. During the six-month period ended June 30, 2019, we had an average of $1,399.5 million of outstanding indebtedness with a weighted average interest rate of 4.8%, compared to an average of $1,349.2 million of outstanding indebtedness with a weighted average interest rate of 3.7% during the six-month period ended June 30, 2020.</w:t>
      </w:r>
    </w:p>
    <w:p>
      <w:pPr>
        <w:spacing w:after="0" w:line="176" w:lineRule="exact"/>
        <w:rPr>
          <w:sz w:val="20"/>
          <w:szCs w:val="20"/>
          <w:color w:val="auto"/>
        </w:rPr>
      </w:pPr>
    </w:p>
    <w:p>
      <w:pPr>
        <w:ind w:right="20" w:firstLine="427"/>
        <w:spacing w:after="0" w:line="297" w:lineRule="auto"/>
        <w:rPr>
          <w:sz w:val="20"/>
          <w:szCs w:val="20"/>
          <w:color w:val="auto"/>
        </w:rPr>
      </w:pPr>
      <w:r>
        <w:rPr>
          <w:rFonts w:ascii="Arial" w:cs="Arial" w:eastAsia="Arial" w:hAnsi="Arial"/>
          <w:sz w:val="15"/>
          <w:szCs w:val="15"/>
          <w:b w:val="1"/>
          <w:bCs w:val="1"/>
          <w:i w:val="1"/>
          <w:iCs w:val="1"/>
          <w:color w:val="auto"/>
        </w:rPr>
        <w:t xml:space="preserve">Loss on Derivatives: </w:t>
      </w:r>
      <w:r>
        <w:rPr>
          <w:rFonts w:ascii="Arial" w:cs="Arial" w:eastAsia="Arial" w:hAnsi="Arial"/>
          <w:sz w:val="15"/>
          <w:szCs w:val="15"/>
          <w:color w:val="auto"/>
        </w:rPr>
        <w:t>Loss on derivatives increased by $0.7 million, or 5.3%, from $13.1 million for the six-month period ended June 30, 2019 to $13.8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2020. The increase is attributable to a decrease of $2.6 million in realized gain on derivatives held for trading, which reflected a gain of $1.1 million in the six months ended June 30, 2019 as compared to a loss of $1.5 million in the six months ended June 30, 2020, partially offset by a net decrease of $2.1 million in unrealized loss from the mark-to-market valuation of derivatives held for trading which were carried at fair value through profit or loss.</w:t>
      </w:r>
    </w:p>
    <w:p>
      <w:pPr>
        <w:spacing w:after="0" w:line="172" w:lineRule="exact"/>
        <w:rPr>
          <w:sz w:val="20"/>
          <w:szCs w:val="20"/>
          <w:color w:val="auto"/>
        </w:rPr>
      </w:pPr>
    </w:p>
    <w:p>
      <w:pPr>
        <w:ind w:right="220" w:firstLine="427"/>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$19.8 million, or 46.9%, from $42.2 million for the six-month period ended June 30, 2019 to $22.4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2020, as a result of the aforementioned factors.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3" w:name="page374"/>
    <w:bookmarkEnd w:id="373"/>
    <w:p>
      <w:pPr>
        <w:ind w:left="440"/>
        <w:spacing w:after="0"/>
        <w:rPr>
          <w:sz w:val="20"/>
          <w:szCs w:val="20"/>
          <w:color w:val="auto"/>
        </w:rPr>
      </w:pPr>
      <w:r>
        <w:rPr>
          <w:rFonts w:ascii="Arial" w:cs="Arial" w:eastAsia="Arial" w:hAnsi="Arial"/>
          <w:sz w:val="14"/>
          <w:szCs w:val="14"/>
          <w:b w:val="1"/>
          <w:bCs w:val="1"/>
          <w:i w:val="1"/>
          <w:iCs w:val="1"/>
          <w:color w:val="auto"/>
        </w:rPr>
        <w:t xml:space="preserve">Profit Attributable to the Partnership: </w:t>
      </w:r>
      <w:r>
        <w:rPr>
          <w:rFonts w:ascii="Arial" w:cs="Arial" w:eastAsia="Arial" w:hAnsi="Arial"/>
          <w:sz w:val="14"/>
          <w:szCs w:val="14"/>
          <w:color w:val="auto"/>
        </w:rPr>
        <w:t>Profit attributable to the Partnership decreased by $17.1 million, or 43.3%, from $39.5 million for the six-month period ended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June 30, 2019 to $22.4 million for the six-month period ended June 30, 2020. The decrease is mainly attributable to the impairment loss recognized in the six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June 30, 2020, partially offset by the incremental profits from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April 1, 2019.</w:t>
      </w:r>
    </w:p>
    <w:p>
      <w:pPr>
        <w:spacing w:after="0" w:line="231" w:lineRule="exact"/>
        <w:rPr>
          <w:sz w:val="20"/>
          <w:szCs w:val="20"/>
          <w:color w:val="auto"/>
        </w:rPr>
      </w:pPr>
    </w:p>
    <w:p>
      <w:pPr>
        <w:ind w:firstLine="427"/>
        <w:spacing w:after="0" w:line="271"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 decrease in revenues of $2.3 million (a decrease in revenues of $10.0 million mainly due to the expirations of the initial time charters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in October 2019, January 2020 and April 2020, respectively, partially offset by $7.7 million contributed by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after its drop-down to the Partnership), and (b) an increase in voyage expenses and commissions attributable to the Partnership of $2.9 million, mainly due to the operation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in the spot market in the first six months of 2020.</w:t>
      </w:r>
    </w:p>
    <w:p>
      <w:pPr>
        <w:spacing w:after="0" w:line="190" w:lineRule="exact"/>
        <w:rPr>
          <w:sz w:val="20"/>
          <w:szCs w:val="20"/>
          <w:color w:val="auto"/>
        </w:rPr>
      </w:pPr>
    </w:p>
    <w:p>
      <w:pPr>
        <w:ind w:right="180" w:firstLine="427"/>
        <w:spacing w:after="0" w:line="293" w:lineRule="auto"/>
        <w:rPr>
          <w:sz w:val="20"/>
          <w:szCs w:val="20"/>
          <w:color w:val="auto"/>
        </w:rPr>
      </w:pPr>
      <w:r>
        <w:rPr>
          <w:rFonts w:ascii="Arial" w:cs="Arial" w:eastAsia="Arial" w:hAnsi="Arial"/>
          <w:sz w:val="16"/>
          <w:szCs w:val="16"/>
          <w:color w:val="auto"/>
        </w:rPr>
        <w:t>In addition, the profit attributable to the Partnership was further affected by (a) a decrease in financial costs attributable to the Partnership of $7.8 million and (b) an increase of $0.6 million in loss on derivatives attributable to the Partnership.</w:t>
      </w:r>
    </w:p>
    <w:p>
      <w:pPr>
        <w:spacing w:after="0" w:line="172" w:lineRule="exact"/>
        <w:rPr>
          <w:sz w:val="20"/>
          <w:szCs w:val="20"/>
          <w:color w:val="auto"/>
        </w:rPr>
      </w:pPr>
    </w:p>
    <w:p>
      <w:pPr>
        <w:ind w:right="120" w:firstLine="427"/>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unrealized gain on derivatives in relation to the Profit attributable to the Partnership for the six-month period ended June 30, 2019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20" w:firstLine="510"/>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76" w:lineRule="exact"/>
        <w:rPr>
          <w:sz w:val="20"/>
          <w:szCs w:val="20"/>
          <w:color w:val="auto"/>
        </w:rPr>
      </w:pPr>
    </w:p>
    <w:p>
      <w:pPr>
        <w:ind w:right="340" w:firstLine="510"/>
        <w:spacing w:after="0" w:line="273" w:lineRule="auto"/>
        <w:rPr>
          <w:sz w:val="20"/>
          <w:szCs w:val="20"/>
          <w:color w:val="auto"/>
        </w:rPr>
      </w:pPr>
      <w:r>
        <w:rPr>
          <w:rFonts w:ascii="Arial" w:cs="Arial" w:eastAsia="Arial" w:hAnsi="Arial"/>
          <w:sz w:val="16"/>
          <w:szCs w:val="16"/>
          <w:color w:val="auto"/>
        </w:rPr>
        <w:t>As of June 30, 2020, we had $72.2 million of cash and cash equivalents, of which $53.3 million was held in current accounts and $18.9 million was held in time deposits with an original duration of less than three months. As of June 30, 2020, an amount of $15.0 million was held as cash collateral with respect to our derivative instruments with GasLog, pursuant to a Credit Support Annex entered into between GasLog Partners and GasLog in March 2020, which has a maximum cash collateral requirement of $15.0 million and a termination date of December 31, 2020.</w:t>
      </w:r>
    </w:p>
    <w:p>
      <w:pPr>
        <w:spacing w:after="0" w:line="189"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As of June 30, 2020, we had an aggregate of $1,319.1 million of borrowings outstanding under our credit facilities, of which $313.0 million was repayable within one year. On July 21, 2020, we drew down $454.0 million under the new facilities entered into on July 16, 2020 and prepaid in full an amount of $433.4 million of aggregate outstanding debt, which would have been due in April and July 2021. In addition, as of June 30, 2020, we had unused availability under our revolving credit facilities of $30.0 million.</w:t>
      </w:r>
    </w:p>
    <w:p>
      <w:pPr>
        <w:spacing w:after="0" w:line="189"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46.8% of its floating interest rate exposure on its outstanding debt as of June 30, 2020, at a weighted average interest rate of approximately 1.9% (excluding margin).</w:t>
      </w:r>
    </w:p>
    <w:p>
      <w:pPr>
        <w:spacing w:after="0" w:line="184" w:lineRule="exact"/>
        <w:rPr>
          <w:sz w:val="20"/>
          <w:szCs w:val="20"/>
          <w:color w:val="auto"/>
        </w:rPr>
      </w:pPr>
    </w:p>
    <w:p>
      <w:pPr>
        <w:ind w:right="160" w:firstLine="510"/>
        <w:spacing w:after="0" w:line="297" w:lineRule="auto"/>
        <w:rPr>
          <w:sz w:val="20"/>
          <w:szCs w:val="20"/>
          <w:color w:val="auto"/>
        </w:rPr>
      </w:pPr>
      <w:r>
        <w:rPr>
          <w:rFonts w:ascii="Arial" w:cs="Arial" w:eastAsia="Arial" w:hAnsi="Arial"/>
          <w:sz w:val="15"/>
          <w:szCs w:val="15"/>
          <w:color w:val="auto"/>
        </w:rPr>
        <w:t xml:space="preserve">As part of the closing of the Partnership’s refinancing in July 2020, the Partnership entered into four new interest rate swap agreements with an aggregate notional amount of $133.3 million due in 2024 and 2025 with the facility lenders DNB Bank ASA, London Branch and ING Bank N.V., London Branch, all secured under the GasLog Partners $193.7 million facility agreement signed on July 16, 2020 in relation to the GAS-nineteen Ltd., the GAS-twenty Ltd. and the GAS-twenty seven Ltd., the vessel owning entities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Becki Anne</w:t>
      </w:r>
      <w:r>
        <w:rPr>
          <w:rFonts w:ascii="Arial" w:cs="Arial" w:eastAsia="Arial" w:hAnsi="Arial"/>
          <w:sz w:val="15"/>
          <w:szCs w:val="15"/>
          <w:color w:val="auto"/>
        </w:rPr>
        <w:t>.</w:t>
      </w:r>
    </w:p>
    <w:p>
      <w:pPr>
        <w:spacing w:after="0" w:line="172"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color w:val="auto"/>
        </w:rPr>
        <w:t>Furthermore, the Partnership has in place six forward foreign exchange contracts with GasLog with a notional value of €9.6 million and 3 forward foreign exchange contracts with GasLog with a notional value of Singapore $0.8 million, with staggered maturities within 2020, to mitigate its foreign exchange transaction exposure in its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160" w:firstLine="396"/>
        <w:spacing w:after="0" w:line="293" w:lineRule="auto"/>
        <w:rPr>
          <w:sz w:val="20"/>
          <w:szCs w:val="20"/>
          <w:color w:val="auto"/>
        </w:rPr>
      </w:pPr>
      <w:r>
        <w:rPr>
          <w:rFonts w:ascii="Arial" w:cs="Arial" w:eastAsia="Arial" w:hAnsi="Arial"/>
          <w:sz w:val="16"/>
          <w:szCs w:val="16"/>
          <w:color w:val="auto"/>
        </w:rPr>
        <w:t>As of June 30, 2020, our current assets totaled $105.9 million and current liabilities totaled $387.2 million, resulting in a negative working capital position of $281.3 million. Current liabilities include $318.3 million of loans due within one year, $243.0 million of which was refinanced on July 16, 2020.</w:t>
      </w:r>
    </w:p>
    <w:p>
      <w:pPr>
        <w:spacing w:after="0" w:line="17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commercial and financial market conditions, we anticipate that our primary sources of funds over the next 12 months will be available cash, cash from operations and existing debt, including the credit agreements entered into on July 16, 2020, which refinanced in full the debt maturities due in 2021. We believe that these anticipated sources of funds will be sufficient to meet our liquidity needs and to comply with our banking covenants for at least 12 months from the end of the reporting period. Additionally, we may enter into new</w:t>
      </w:r>
    </w:p>
    <w:p>
      <w:pPr>
        <w:spacing w:after="0" w:line="5" w:lineRule="exact"/>
        <w:rPr>
          <w:sz w:val="20"/>
          <w:szCs w:val="20"/>
          <w:color w:val="auto"/>
        </w:rPr>
      </w:pPr>
    </w:p>
    <w:p>
      <w:pPr>
        <w:jc w:val="both"/>
        <w:ind w:right="80"/>
        <w:spacing w:after="0" w:line="276" w:lineRule="auto"/>
        <w:rPr>
          <w:sz w:val="20"/>
          <w:szCs w:val="20"/>
          <w:color w:val="auto"/>
        </w:rPr>
      </w:pPr>
      <w:r>
        <w:rPr>
          <w:rFonts w:ascii="Arial" w:cs="Arial" w:eastAsia="Arial" w:hAnsi="Arial"/>
          <w:sz w:val="16"/>
          <w:szCs w:val="16"/>
          <w:color w:val="auto"/>
        </w:rPr>
        <w:t>debt facilities in the future, as well as public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that are beyond our control.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4" w:name="page375"/>
    <w:bookmarkEnd w:id="374"/>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Six-month period ended June 30, 2019 compared to the six-month period ended June 30, 2020</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280" w:type="dxa"/>
            <w:vAlign w:val="bottom"/>
            <w:gridSpan w:val="4"/>
          </w:tcPr>
          <w:p>
            <w:pPr>
              <w:jc w:val="right"/>
              <w:ind w:right="1160"/>
              <w:spacing w:after="0"/>
              <w:rPr>
                <w:sz w:val="20"/>
                <w:szCs w:val="20"/>
                <w:color w:val="auto"/>
              </w:rPr>
            </w:pPr>
            <w:r>
              <w:rPr>
                <w:rFonts w:ascii="Arial" w:cs="Arial" w:eastAsia="Arial" w:hAnsi="Arial"/>
                <w:sz w:val="16"/>
                <w:szCs w:val="16"/>
                <w:b w:val="1"/>
                <w:bCs w:val="1"/>
                <w:color w:val="auto"/>
              </w:rPr>
              <w:t>Six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5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4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199"/>
        </w:trPr>
        <w:tc>
          <w:tcPr>
            <w:tcW w:w="6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91,689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66,224</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(25,465)</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(10,586)</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(11,720)</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(1,134)</w:t>
            </w:r>
          </w:p>
        </w:tc>
      </w:tr>
      <w:tr>
        <w:trPr>
          <w:trHeight w:val="203"/>
        </w:trPr>
        <w:tc>
          <w:tcPr>
            <w:tcW w:w="652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(145,464)</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(79,178)</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66,286</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35" w:lineRule="exact"/>
        <w:rPr>
          <w:sz w:val="20"/>
          <w:szCs w:val="20"/>
          <w:color w:val="auto"/>
        </w:rPr>
      </w:pPr>
    </w:p>
    <w:p>
      <w:pPr>
        <w:ind w:right="20" w:firstLine="427"/>
        <w:spacing w:after="0" w:line="271" w:lineRule="auto"/>
        <w:rPr>
          <w:sz w:val="20"/>
          <w:szCs w:val="20"/>
          <w:color w:val="auto"/>
        </w:rPr>
      </w:pPr>
      <w:r>
        <w:rPr>
          <w:rFonts w:ascii="Arial" w:cs="Arial" w:eastAsia="Arial" w:hAnsi="Arial"/>
          <w:sz w:val="16"/>
          <w:szCs w:val="16"/>
          <w:color w:val="auto"/>
        </w:rPr>
        <w:t>Net cash provided by operating activities decreased by $25.5 million, from $91.7 million in the six-month period ended June 30, 2019 to $66.2 million in the six-month period ended June 30, 2020. The decrease of $25.5 million is mainly attributable to a $17.2 million movement in working capital accounts (mainly driven by the $15.0 million of cash collateral deposited with GasLog), a decrease of $10.9 million in revenues, a decrease of $2.6 million in realized gain on derivatives held for trading and a net increase of $0.6 million in vessel operating costs, voyage expenses and commissions and general and administrative expenses, partially offset by a decrease of $5.9 million in cash paid for interest.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35" w:lineRule="exact"/>
        <w:rPr>
          <w:sz w:val="20"/>
          <w:szCs w:val="20"/>
          <w:color w:val="auto"/>
        </w:rPr>
      </w:pPr>
    </w:p>
    <w:p>
      <w:pPr>
        <w:ind w:right="380" w:firstLine="427"/>
        <w:spacing w:after="0" w:line="335" w:lineRule="auto"/>
        <w:rPr>
          <w:sz w:val="20"/>
          <w:szCs w:val="20"/>
          <w:color w:val="auto"/>
        </w:rPr>
      </w:pPr>
      <w:r>
        <w:rPr>
          <w:rFonts w:ascii="Arial" w:cs="Arial" w:eastAsia="Arial" w:hAnsi="Arial"/>
          <w:sz w:val="14"/>
          <w:szCs w:val="14"/>
          <w:color w:val="auto"/>
        </w:rPr>
        <w:t>Net cash used in investing activities increased by $1.1 million, from $10.6 million in the six-month period ended June 30, 2019 to $11.7 million in the six-month period ended June 30, 2020. The increase of $1.1 million is attributable to an increase of net cash used in payments for vessels of $9.3 million (mainly related to dry-dockings and BWTS), a decrease of $0.8 million in financial income received, partially offset by an increase in net cash from short-term investments of $9.0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5" w:lineRule="exact"/>
        <w:rPr>
          <w:sz w:val="20"/>
          <w:szCs w:val="20"/>
          <w:color w:val="auto"/>
        </w:rPr>
      </w:pPr>
    </w:p>
    <w:p>
      <w:pPr>
        <w:ind w:right="140" w:firstLine="427"/>
        <w:spacing w:after="0" w:line="293" w:lineRule="auto"/>
        <w:rPr>
          <w:sz w:val="20"/>
          <w:szCs w:val="20"/>
          <w:color w:val="auto"/>
        </w:rPr>
      </w:pPr>
      <w:r>
        <w:rPr>
          <w:rFonts w:ascii="Arial" w:cs="Arial" w:eastAsia="Arial" w:hAnsi="Arial"/>
          <w:sz w:val="15"/>
          <w:szCs w:val="15"/>
          <w:color w:val="auto"/>
        </w:rPr>
        <w:t>Net cash used in financing activities decreased by $66.3 million, from $145.5 million in the six-month period ended June 30, 2019 to $79.2 million in the six-month period ended June 30, 2020. The decrease of $66.3 million is attributable to a decrease of $347.3 million in bank loan repayments, a decrease of $93.7 million in cash remittance to GasLog in exchange for contribution of net assets, a decrease of $21.8 million in distributions paid, a decrease of $8.9 million in cash used for repurchases of common units, a decrease of $4.8 million in payments of loan issuance costs, and a decrease in payments of equity offering costs of $0.9 million, partially offset by a decrease in bank loan drawdowns of $409.1 million and a decrease of $2.0 million in proceeds from issuances of general partner units.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Contracted Charter Revenue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June 30, 2020:</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After</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June 30,</w:t>
            </w:r>
          </w:p>
        </w:tc>
        <w:tc>
          <w:tcPr>
            <w:tcW w:w="10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For the years ending December 31,</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780" w:type="dxa"/>
            <w:vAlign w:val="bottom"/>
          </w:tcPr>
          <w:p>
            <w:pPr>
              <w:spacing w:after="0"/>
              <w:rPr>
                <w:sz w:val="17"/>
                <w:szCs w:val="17"/>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2024-2026</w:t>
            </w: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gridSpan w:val="4"/>
          </w:tcPr>
          <w:p>
            <w:pPr>
              <w:jc w:val="right"/>
              <w:ind w:right="379"/>
              <w:spacing w:after="0"/>
              <w:rPr>
                <w:sz w:val="20"/>
                <w:szCs w:val="20"/>
                <w:color w:val="auto"/>
              </w:rPr>
            </w:pPr>
            <w:r>
              <w:rPr>
                <w:rFonts w:ascii="Arial" w:cs="Arial" w:eastAsia="Arial" w:hAnsi="Arial"/>
                <w:sz w:val="16"/>
                <w:szCs w:val="16"/>
                <w:b w:val="1"/>
                <w:bCs w:val="1"/>
                <w:i w:val="1"/>
                <w:iCs w:val="1"/>
                <w:color w:val="auto"/>
                <w:w w:val="90"/>
              </w:rPr>
              <w:t>(in millions of U.S. dollars, except days and percentages)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7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(1)(2)(3)(4)(5)</w:t>
            </w:r>
          </w:p>
        </w:tc>
        <w:tc>
          <w:tcPr>
            <w:tcW w:w="11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$139.2</w:t>
            </w:r>
          </w:p>
        </w:tc>
        <w:tc>
          <w:tcPr>
            <w:tcW w:w="10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$204.7</w:t>
            </w:r>
          </w:p>
        </w:tc>
        <w:tc>
          <w:tcPr>
            <w:tcW w:w="10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$166.6</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$139.6</w:t>
            </w:r>
          </w:p>
        </w:tc>
        <w:tc>
          <w:tcPr>
            <w:tcW w:w="13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$151.2</w:t>
            </w:r>
          </w:p>
        </w:tc>
        <w:tc>
          <w:tcPr>
            <w:tcW w:w="126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$801.3</w:t>
            </w:r>
          </w:p>
        </w:tc>
        <w:tc>
          <w:tcPr>
            <w:tcW w:w="120" w:type="dxa"/>
            <w:vAlign w:val="bottom"/>
            <w:shd w:val="clear" w:color="auto" w:fill="E5FFFF"/>
          </w:tcPr>
          <w:p>
            <w:pPr>
              <w:spacing w:after="0"/>
              <w:rPr>
                <w:sz w:val="17"/>
                <w:szCs w:val="17"/>
                <w:color w:val="auto"/>
              </w:rPr>
            </w:pPr>
          </w:p>
        </w:tc>
      </w:tr>
      <w:tr>
        <w:trPr>
          <w:trHeight w:val="203"/>
        </w:trPr>
        <w:tc>
          <w:tcPr>
            <w:tcW w:w="378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2,290</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3,137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2,382</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1,672</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1,763</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11,244</w:t>
            </w:r>
          </w:p>
        </w:tc>
        <w:tc>
          <w:tcPr>
            <w:tcW w:w="120" w:type="dxa"/>
            <w:vAlign w:val="bottom"/>
          </w:tcPr>
          <w:p>
            <w:pPr>
              <w:spacing w:after="0"/>
              <w:rPr>
                <w:sz w:val="17"/>
                <w:szCs w:val="17"/>
                <w:color w:val="auto"/>
              </w:rPr>
            </w:pPr>
          </w:p>
        </w:tc>
      </w:tr>
      <w:tr>
        <w:trPr>
          <w:trHeight w:val="203"/>
        </w:trPr>
        <w:tc>
          <w:tcPr>
            <w:tcW w:w="37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(6)</w:t>
            </w:r>
          </w:p>
        </w:tc>
        <w:tc>
          <w:tcPr>
            <w:tcW w:w="11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2,670</w:t>
            </w:r>
          </w:p>
        </w:tc>
        <w:tc>
          <w:tcPr>
            <w:tcW w:w="10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5,325</w:t>
            </w:r>
          </w:p>
        </w:tc>
        <w:tc>
          <w:tcPr>
            <w:tcW w:w="10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5,475</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5,355</w:t>
            </w:r>
          </w:p>
        </w:tc>
        <w:tc>
          <w:tcPr>
            <w:tcW w:w="13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16,110</w:t>
            </w:r>
          </w:p>
        </w:tc>
        <w:tc>
          <w:tcPr>
            <w:tcW w:w="126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34,935</w:t>
            </w:r>
          </w:p>
        </w:tc>
        <w:tc>
          <w:tcPr>
            <w:tcW w:w="120" w:type="dxa"/>
            <w:vAlign w:val="bottom"/>
            <w:shd w:val="clear" w:color="auto" w:fill="E5FFFF"/>
          </w:tcPr>
          <w:p>
            <w:pPr>
              <w:spacing w:after="0"/>
              <w:rPr>
                <w:sz w:val="17"/>
                <w:szCs w:val="17"/>
                <w:color w:val="auto"/>
              </w:rPr>
            </w:pPr>
          </w:p>
        </w:tc>
      </w:tr>
      <w:tr>
        <w:trPr>
          <w:trHeight w:val="203"/>
        </w:trPr>
        <w:tc>
          <w:tcPr>
            <w:tcW w:w="378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(7)</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380</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2,188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3,093</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3,683</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14,347</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23,691</w:t>
            </w:r>
          </w:p>
        </w:tc>
        <w:tc>
          <w:tcPr>
            <w:tcW w:w="120" w:type="dxa"/>
            <w:vAlign w:val="bottom"/>
          </w:tcPr>
          <w:p>
            <w:pPr>
              <w:spacing w:after="0"/>
              <w:rPr>
                <w:sz w:val="17"/>
                <w:szCs w:val="17"/>
                <w:color w:val="auto"/>
              </w:rPr>
            </w:pPr>
          </w:p>
        </w:tc>
      </w:tr>
      <w:tr>
        <w:trPr>
          <w:trHeight w:val="203"/>
        </w:trPr>
        <w:tc>
          <w:tcPr>
            <w:tcW w:w="3780" w:type="dxa"/>
            <w:vAlign w:val="bottom"/>
            <w:shd w:val="clear" w:color="auto" w:fill="E5FFFF"/>
          </w:tcPr>
          <w:p>
            <w:pPr>
              <w:spacing w:after="0"/>
              <w:rPr>
                <w:sz w:val="20"/>
                <w:szCs w:val="20"/>
                <w:color w:val="auto"/>
              </w:rPr>
            </w:pPr>
            <w:r>
              <w:rPr>
                <w:rFonts w:ascii="Arial" w:cs="Arial" w:eastAsia="Arial" w:hAnsi="Arial"/>
                <w:sz w:val="16"/>
                <w:szCs w:val="16"/>
                <w:color w:val="auto"/>
                <w:w w:val="95"/>
              </w:rPr>
              <w:t>Percentage of total contracted days/total available days</w:t>
            </w:r>
          </w:p>
        </w:tc>
        <w:tc>
          <w:tcPr>
            <w:tcW w:w="11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85.8%</w:t>
            </w:r>
          </w:p>
        </w:tc>
        <w:tc>
          <w:tcPr>
            <w:tcW w:w="10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58.9%</w:t>
            </w:r>
          </w:p>
        </w:tc>
        <w:tc>
          <w:tcPr>
            <w:tcW w:w="10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43.5%</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31.2%</w:t>
            </w:r>
          </w:p>
        </w:tc>
        <w:tc>
          <w:tcPr>
            <w:tcW w:w="13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10.9%</w:t>
            </w:r>
          </w:p>
        </w:tc>
        <w:tc>
          <w:tcPr>
            <w:tcW w:w="126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E5FF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12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87" w:lineRule="exact"/>
        <w:rPr>
          <w:sz w:val="20"/>
          <w:szCs w:val="20"/>
          <w:color w:val="auto"/>
        </w:rPr>
      </w:pPr>
    </w:p>
    <w:p>
      <w:pPr>
        <w:ind w:left="200" w:hanging="192"/>
        <w:spacing w:after="0"/>
        <w:tabs>
          <w:tab w:leader="none" w:pos="200" w:val="left"/>
        </w:tabs>
        <w:numPr>
          <w:ilvl w:val="0"/>
          <w:numId w:val="930"/>
        </w:numPr>
        <w:rPr>
          <w:rFonts w:ascii="Arial" w:cs="Arial" w:eastAsia="Arial" w:hAnsi="Arial"/>
          <w:sz w:val="18"/>
          <w:szCs w:val="18"/>
          <w:color w:val="auto"/>
          <w:vertAlign w:val="superscript"/>
        </w:rPr>
      </w:pPr>
      <w:r>
        <w:rPr>
          <w:rFonts w:ascii="Arial" w:cs="Arial" w:eastAsia="Arial" w:hAnsi="Arial"/>
          <w:sz w:val="14"/>
          <w:szCs w:val="14"/>
          <w:color w:val="auto"/>
        </w:rPr>
        <w:t>Reflects time charter revenues and contracted days for the 15 LNG carriers in our fleet as of June 30, 2020.</w:t>
      </w:r>
    </w:p>
    <w:p>
      <w:pPr>
        <w:ind w:left="200" w:right="240" w:hanging="192"/>
        <w:spacing w:after="0" w:line="193" w:lineRule="auto"/>
        <w:tabs>
          <w:tab w:leader="none" w:pos="191" w:val="left"/>
        </w:tabs>
        <w:numPr>
          <w:ilvl w:val="0"/>
          <w:numId w:val="930"/>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 w:lineRule="exact"/>
        <w:rPr>
          <w:rFonts w:ascii="Arial" w:cs="Arial" w:eastAsia="Arial" w:hAnsi="Arial"/>
          <w:sz w:val="18"/>
          <w:szCs w:val="18"/>
          <w:color w:val="auto"/>
          <w:vertAlign w:val="superscript"/>
        </w:rPr>
      </w:pPr>
    </w:p>
    <w:p>
      <w:pPr>
        <w:ind w:left="200" w:right="120" w:hanging="192"/>
        <w:spacing w:after="0" w:line="193" w:lineRule="auto"/>
        <w:tabs>
          <w:tab w:leader="none" w:pos="191" w:val="left"/>
        </w:tabs>
        <w:numPr>
          <w:ilvl w:val="0"/>
          <w:numId w:val="930"/>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1" w:lineRule="exact"/>
        <w:rPr>
          <w:rFonts w:ascii="Arial" w:cs="Arial" w:eastAsia="Arial" w:hAnsi="Arial"/>
          <w:sz w:val="18"/>
          <w:szCs w:val="18"/>
          <w:color w:val="auto"/>
          <w:vertAlign w:val="superscript"/>
        </w:rPr>
      </w:pPr>
    </w:p>
    <w:p>
      <w:pPr>
        <w:ind w:left="200" w:right="340" w:hanging="192"/>
        <w:spacing w:after="0" w:line="193" w:lineRule="auto"/>
        <w:tabs>
          <w:tab w:leader="none" w:pos="191" w:val="left"/>
        </w:tabs>
        <w:numPr>
          <w:ilvl w:val="0"/>
          <w:numId w:val="930"/>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spacing w:after="0" w:line="1" w:lineRule="exact"/>
        <w:rPr>
          <w:rFonts w:ascii="Arial" w:cs="Arial" w:eastAsia="Arial" w:hAnsi="Arial"/>
          <w:sz w:val="18"/>
          <w:szCs w:val="18"/>
          <w:color w:val="auto"/>
          <w:vertAlign w:val="superscript"/>
        </w:rPr>
      </w:pPr>
    </w:p>
    <w:p>
      <w:pPr>
        <w:ind w:left="200" w:hanging="192"/>
        <w:spacing w:after="0" w:line="182" w:lineRule="auto"/>
        <w:tabs>
          <w:tab w:leader="none" w:pos="200" w:val="left"/>
        </w:tabs>
        <w:numPr>
          <w:ilvl w:val="0"/>
          <w:numId w:val="930"/>
        </w:numPr>
        <w:rPr>
          <w:rFonts w:ascii="Arial" w:cs="Arial" w:eastAsia="Arial" w:hAnsi="Arial"/>
          <w:sz w:val="17"/>
          <w:szCs w:val="17"/>
          <w:color w:val="auto"/>
          <w:vertAlign w:val="superscript"/>
        </w:rPr>
      </w:pPr>
      <w:r>
        <w:rPr>
          <w:rFonts w:ascii="Arial" w:cs="Arial" w:eastAsia="Arial" w:hAnsi="Arial"/>
          <w:sz w:val="13"/>
          <w:szCs w:val="13"/>
          <w:color w:val="auto"/>
        </w:rPr>
        <w:t>Revenue calculations assume no exercise of any option to extend the terms of the charters.</w:t>
      </w:r>
    </w:p>
    <w:p>
      <w:pPr>
        <w:ind w:left="200" w:hanging="192"/>
        <w:spacing w:after="0" w:line="182" w:lineRule="auto"/>
        <w:tabs>
          <w:tab w:leader="none" w:pos="200" w:val="left"/>
        </w:tabs>
        <w:numPr>
          <w:ilvl w:val="0"/>
          <w:numId w:val="930"/>
        </w:numPr>
        <w:rPr>
          <w:rFonts w:ascii="Arial" w:cs="Arial" w:eastAsia="Arial" w:hAnsi="Arial"/>
          <w:sz w:val="17"/>
          <w:szCs w:val="17"/>
          <w:color w:val="auto"/>
          <w:vertAlign w:val="superscript"/>
        </w:rPr>
      </w:pPr>
      <w:r>
        <w:rPr>
          <w:rFonts w:ascii="Arial" w:cs="Arial" w:eastAsia="Arial" w:hAnsi="Arial"/>
          <w:sz w:val="13"/>
          <w:szCs w:val="13"/>
          <w:color w:val="auto"/>
        </w:rPr>
        <w:t>Available days represent total calendar days after deducting 30 off-hire days when the ship undergoes scheduled dry-docking.</w:t>
      </w:r>
    </w:p>
    <w:p>
      <w:pPr>
        <w:ind w:left="200" w:hanging="192"/>
        <w:spacing w:after="0" w:line="197" w:lineRule="auto"/>
        <w:tabs>
          <w:tab w:leader="none" w:pos="200" w:val="left"/>
        </w:tabs>
        <w:numPr>
          <w:ilvl w:val="0"/>
          <w:numId w:val="930"/>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5" w:name="page376"/>
    <w:bookmarkEnd w:id="375"/>
    <w:p>
      <w:pPr>
        <w:ind w:firstLine="243"/>
        <w:spacing w:after="0" w:line="284" w:lineRule="auto"/>
        <w:rPr>
          <w:sz w:val="20"/>
          <w:szCs w:val="20"/>
          <w:color w:val="auto"/>
        </w:rPr>
      </w:pPr>
      <w:r>
        <w:rPr>
          <w:rFonts w:ascii="Arial" w:cs="Arial" w:eastAsia="Arial" w:hAnsi="Arial"/>
          <w:sz w:val="15"/>
          <w:szCs w:val="15"/>
          <w:color w:val="auto"/>
        </w:rPr>
        <w:t>The table above provides information about our contracted charter revenues and ship utilization based on contracts in effect for the 15 LNG carriers in our fleet as of June 30, 2020.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3, 2020.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6000" w:type="dxa"/>
            <w:vAlign w:val="bottom"/>
            <w:gridSpan w:val="5"/>
          </w:tcPr>
          <w:p>
            <w:pPr>
              <w:jc w:val="center"/>
              <w:ind w:right="3520"/>
              <w:spacing w:after="0"/>
              <w:rPr>
                <w:sz w:val="20"/>
                <w:szCs w:val="20"/>
                <w:color w:val="auto"/>
              </w:rPr>
            </w:pPr>
            <w:r>
              <w:rPr>
                <w:rFonts w:ascii="Arial" w:cs="Arial" w:eastAsia="Arial" w:hAnsi="Arial"/>
                <w:sz w:val="16"/>
                <w:szCs w:val="16"/>
                <w:b w:val="1"/>
                <w:bCs w:val="1"/>
                <w:color w:val="auto"/>
                <w:w w:val="98"/>
              </w:rPr>
              <w:t>GASLOG PARTNERS LP</w:t>
            </w:r>
          </w:p>
        </w:tc>
        <w:tc>
          <w:tcPr>
            <w:tcW w:w="860" w:type="dxa"/>
            <w:vAlign w:val="bottom"/>
          </w:tcPr>
          <w:p>
            <w:pPr>
              <w:spacing w:after="0"/>
              <w:rPr>
                <w:sz w:val="18"/>
                <w:szCs w:val="18"/>
                <w:color w:val="auto"/>
              </w:rPr>
            </w:pPr>
          </w:p>
        </w:tc>
      </w:tr>
      <w:tr>
        <w:trPr>
          <w:trHeight w:val="418"/>
        </w:trPr>
        <w:tc>
          <w:tcPr>
            <w:tcW w:w="10380" w:type="dxa"/>
            <w:vAlign w:val="bottom"/>
            <w:gridSpan w:val="6"/>
          </w:tcPr>
          <w:p>
            <w:pPr>
              <w:jc w:val="center"/>
              <w:ind w:left="799"/>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860" w:type="dxa"/>
            <w:vAlign w:val="bottom"/>
          </w:tcPr>
          <w:p>
            <w:pPr>
              <w:spacing w:after="0"/>
              <w:rPr>
                <w:sz w:val="24"/>
                <w:szCs w:val="24"/>
                <w:color w:val="auto"/>
              </w:rPr>
            </w:pPr>
          </w:p>
        </w:tc>
      </w:tr>
      <w:tr>
        <w:trPr>
          <w:trHeight w:val="432"/>
        </w:trPr>
        <w:tc>
          <w:tcPr>
            <w:tcW w:w="4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6"/>
                <w:szCs w:val="16"/>
                <w:b w:val="1"/>
                <w:bCs w:val="1"/>
                <w:color w:val="auto"/>
              </w:rPr>
              <w:t>Page</w:t>
            </w:r>
          </w:p>
        </w:tc>
      </w:tr>
      <w:tr>
        <w:trPr>
          <w:trHeight w:val="195"/>
        </w:trPr>
        <w:tc>
          <w:tcPr>
            <w:tcW w:w="72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0"/>
              </w:rPr>
              <w:t>Unaudited condensed consolidated statements of financial position as of December 31, 2019 and June 30, 2020</w:t>
            </w:r>
          </w:p>
        </w:tc>
        <w:tc>
          <w:tcPr>
            <w:tcW w:w="3160" w:type="dxa"/>
            <w:vAlign w:val="bottom"/>
            <w:gridSpan w:val="3"/>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w w:val="83"/>
              </w:rPr>
              <w:t>F-2</w:t>
            </w:r>
          </w:p>
        </w:tc>
      </w:tr>
      <w:tr>
        <w:trPr>
          <w:trHeight w:val="210"/>
        </w:trPr>
        <w:tc>
          <w:tcPr>
            <w:tcW w:w="10380" w:type="dxa"/>
            <w:vAlign w:val="bottom"/>
            <w:gridSpan w:val="6"/>
          </w:tcPr>
          <w:p>
            <w:pPr>
              <w:spacing w:after="0"/>
              <w:rPr>
                <w:sz w:val="20"/>
                <w:szCs w:val="20"/>
                <w:color w:val="auto"/>
              </w:rPr>
            </w:pPr>
            <w:r>
              <w:rPr>
                <w:rFonts w:ascii="Arial" w:cs="Arial" w:eastAsia="Arial" w:hAnsi="Arial"/>
                <w:sz w:val="16"/>
                <w:szCs w:val="16"/>
                <w:color w:val="0000FF"/>
                <w:w w:val="93"/>
              </w:rPr>
              <w:t>Unaudited condensed consolidated statements of profit or loss and total comprehensive income for the three and six months ended June 30, 2019 and 2020</w:t>
            </w:r>
          </w:p>
        </w:tc>
        <w:tc>
          <w:tcPr>
            <w:tcW w:w="860" w:type="dxa"/>
            <w:vAlign w:val="bottom"/>
          </w:tcPr>
          <w:p>
            <w:pPr>
              <w:ind w:left="640"/>
              <w:spacing w:after="0"/>
              <w:rPr>
                <w:sz w:val="20"/>
                <w:szCs w:val="20"/>
                <w:color w:val="auto"/>
              </w:rPr>
            </w:pPr>
            <w:r>
              <w:rPr>
                <w:rFonts w:ascii="Arial" w:cs="Arial" w:eastAsia="Arial" w:hAnsi="Arial"/>
                <w:sz w:val="16"/>
                <w:szCs w:val="16"/>
                <w:color w:val="auto"/>
                <w:w w:val="83"/>
              </w:rPr>
              <w:t>F-3</w:t>
            </w:r>
          </w:p>
        </w:tc>
      </w:tr>
      <w:tr>
        <w:trPr>
          <w:trHeight w:val="210"/>
        </w:trPr>
        <w:tc>
          <w:tcPr>
            <w:tcW w:w="1004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Unaudited condensed consolidated statements of changes in owners’/partners’ equity for the six months ended June 30, 2019 and 2020</w:t>
            </w:r>
          </w:p>
        </w:tc>
        <w:tc>
          <w:tcPr>
            <w:tcW w:w="34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w w:val="83"/>
              </w:rPr>
              <w:t>F-4</w:t>
            </w:r>
          </w:p>
        </w:tc>
      </w:tr>
      <w:tr>
        <w:trPr>
          <w:trHeight w:val="209"/>
        </w:trPr>
        <w:tc>
          <w:tcPr>
            <w:tcW w:w="874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Unaudited condensed consolidated statements of cash flows for the six months ended June 30, 2019 and 2020</w:t>
            </w:r>
          </w:p>
        </w:tc>
        <w:tc>
          <w:tcPr>
            <w:tcW w:w="1640" w:type="dxa"/>
            <w:vAlign w:val="bottom"/>
            <w:gridSpan w:val="2"/>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w w:val="83"/>
              </w:rPr>
              <w:t>F-5</w:t>
            </w:r>
          </w:p>
        </w:tc>
      </w:tr>
      <w:tr>
        <w:trPr>
          <w:trHeight w:val="210"/>
        </w:trPr>
        <w:tc>
          <w:tcPr>
            <w:tcW w:w="712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Notes to the unaudited condensed consolidated financial statements</w:t>
            </w:r>
          </w:p>
        </w:tc>
        <w:tc>
          <w:tcPr>
            <w:tcW w:w="3260" w:type="dxa"/>
            <w:vAlign w:val="bottom"/>
            <w:gridSpan w:val="4"/>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w w:val="83"/>
              </w:rPr>
              <w:t>F-6</w:t>
            </w:r>
          </w:p>
        </w:tc>
      </w:tr>
      <w:tr>
        <w:trPr>
          <w:trHeight w:val="20"/>
        </w:trPr>
        <w:tc>
          <w:tcPr>
            <w:tcW w:w="43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3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As of December 31, 2019 and June 30, 2020</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73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Note</w:t>
            </w:r>
          </w:p>
        </w:tc>
        <w:tc>
          <w:tcPr>
            <w:tcW w:w="1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December 31, 2019</w:t>
            </w:r>
          </w:p>
        </w:tc>
        <w:tc>
          <w:tcPr>
            <w:tcW w:w="1340" w:type="dxa"/>
            <w:vAlign w:val="bottom"/>
          </w:tcPr>
          <w:p>
            <w:pPr>
              <w:jc w:val="right"/>
              <w:ind w:right="44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18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Tangible fixed assets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2,286,430</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2,238,857</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759</w:t>
            </w:r>
          </w:p>
        </w:tc>
      </w:tr>
      <w:tr>
        <w:trPr>
          <w:trHeight w:val="19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5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2,287,591</w:t>
            </w: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2,239,901</w:t>
            </w:r>
          </w:p>
        </w:tc>
        <w:tc>
          <w:tcPr>
            <w:tcW w:w="100" w:type="dxa"/>
            <w:vAlign w:val="bottom"/>
            <w:tcBorders>
              <w:bottom w:val="single" w:sz="8" w:color="CCEEFF"/>
            </w:tcBorders>
          </w:tcPr>
          <w:p>
            <w:pPr>
              <w:spacing w:after="0"/>
              <w:rPr>
                <w:sz w:val="17"/>
                <w:szCs w:val="17"/>
                <w:color w:val="auto"/>
              </w:rPr>
            </w:pPr>
          </w:p>
        </w:tc>
      </w:tr>
      <w:tr>
        <w:trPr>
          <w:trHeight w:val="183"/>
        </w:trPr>
        <w:tc>
          <w:tcPr>
            <w:tcW w:w="73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7,147</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12,943</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4,222</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1,597</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16,526</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96,884</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72,210</w:t>
            </w:r>
          </w:p>
        </w:tc>
      </w:tr>
      <w:tr>
        <w:trPr>
          <w:trHeight w:val="19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109,353</w:t>
            </w: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105,901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2,396,944</w:t>
            </w: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2,345,802</w:t>
            </w:r>
          </w:p>
        </w:tc>
        <w:tc>
          <w:tcPr>
            <w:tcW w:w="100" w:type="dxa"/>
            <w:vAlign w:val="bottom"/>
            <w:tcBorders>
              <w:bottom w:val="single" w:sz="8" w:color="CCEEFF"/>
            </w:tcBorders>
          </w:tcPr>
          <w:p>
            <w:pPr>
              <w:spacing w:after="0"/>
              <w:rPr>
                <w:sz w:val="20"/>
                <w:szCs w:val="20"/>
                <w:color w:val="auto"/>
              </w:rPr>
            </w:pPr>
          </w:p>
        </w:tc>
      </w:tr>
      <w:tr>
        <w:trPr>
          <w:trHeight w:val="156"/>
        </w:trPr>
        <w:tc>
          <w:tcPr>
            <w:tcW w:w="732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Partners’ equity and liabilities</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w w:val="98"/>
              </w:rPr>
              <w:t>Common unitholders (46,860,182 units issued and outstanding as of December 31, 2019 and 46,737,124</w:t>
            </w: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 issued and outstanding as of June 30, 2020)</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606,811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581,227</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General partner (1,021,336 units issued and outstanding as of December 31, 2019 and June 30, 2020)</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11,271</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10,735</w:t>
            </w:r>
          </w:p>
        </w:tc>
      </w:tr>
      <w:tr>
        <w:trPr>
          <w:trHeight w:val="19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w w:val="99"/>
              </w:rPr>
              <w:t>Preference unitholders (5,750,000 Series A Preference Units, 4,600,000 Series B Preference Units and</w:t>
            </w: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4,000,000 Series C Preference Units issued and outstanding as of December 31, 2019 and June 30, 2020)</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347,889</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347,889</w:t>
            </w:r>
          </w:p>
        </w:tc>
      </w:tr>
      <w:tr>
        <w:trPr>
          <w:trHeight w:val="19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5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965,971</w:t>
            </w: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939,851</w:t>
            </w:r>
          </w:p>
        </w:tc>
        <w:tc>
          <w:tcPr>
            <w:tcW w:w="100" w:type="dxa"/>
            <w:vAlign w:val="bottom"/>
            <w:tcBorders>
              <w:bottom w:val="single" w:sz="8" w:color="CCEEFF"/>
            </w:tcBorders>
          </w:tcPr>
          <w:p>
            <w:pPr>
              <w:spacing w:after="0"/>
              <w:rPr>
                <w:sz w:val="17"/>
                <w:szCs w:val="17"/>
                <w:color w:val="auto"/>
              </w:rPr>
            </w:pPr>
          </w:p>
        </w:tc>
      </w:tr>
      <w:tr>
        <w:trPr>
          <w:trHeight w:val="182"/>
        </w:trPr>
        <w:tc>
          <w:tcPr>
            <w:tcW w:w="73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16,630</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18,553</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6,540</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2,607</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8,864</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accruals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51,570</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39,777</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109,822</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313,009</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liabilities—current portion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427</w:t>
            </w:r>
          </w:p>
        </w:tc>
      </w:tr>
      <w:tr>
        <w:trPr>
          <w:trHeight w:val="19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5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186,743</w:t>
            </w: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387,170</w:t>
            </w:r>
          </w:p>
        </w:tc>
        <w:tc>
          <w:tcPr>
            <w:tcW w:w="100" w:type="dxa"/>
            <w:vAlign w:val="bottom"/>
            <w:tcBorders>
              <w:bottom w:val="single" w:sz="8" w:color="CCEEFF"/>
            </w:tcBorders>
          </w:tcPr>
          <w:p>
            <w:pPr>
              <w:spacing w:after="0"/>
              <w:rPr>
                <w:sz w:val="17"/>
                <w:szCs w:val="17"/>
                <w:color w:val="auto"/>
              </w:rPr>
            </w:pPr>
          </w:p>
        </w:tc>
      </w:tr>
      <w:tr>
        <w:trPr>
          <w:trHeight w:val="183"/>
        </w:trPr>
        <w:tc>
          <w:tcPr>
            <w:tcW w:w="73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6,688</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12,276</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Borrowings—non-current portion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1,236,202</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1,006,102</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414</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224</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w:t>
            </w:r>
          </w:p>
        </w:tc>
      </w:tr>
      <w:tr>
        <w:trPr>
          <w:trHeight w:val="19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5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1,244,230</w:t>
            </w:r>
          </w:p>
        </w:tc>
        <w:tc>
          <w:tcPr>
            <w:tcW w:w="2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1,018,781</w:t>
            </w:r>
          </w:p>
        </w:tc>
        <w:tc>
          <w:tcPr>
            <w:tcW w:w="100" w:type="dxa"/>
            <w:vAlign w:val="bottom"/>
            <w:tcBorders>
              <w:bottom w:val="single" w:sz="8" w:color="CCEEFF"/>
            </w:tcBorders>
          </w:tcPr>
          <w:p>
            <w:pPr>
              <w:spacing w:after="0"/>
              <w:rPr>
                <w:sz w:val="17"/>
                <w:szCs w:val="17"/>
                <w:color w:val="auto"/>
              </w:rPr>
            </w:pPr>
          </w:p>
        </w:tc>
      </w:tr>
      <w:tr>
        <w:trPr>
          <w:trHeight w:val="19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2,396,944</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2,345,802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4700"/>
        <w:spacing w:after="0" w:line="269" w:lineRule="auto"/>
        <w:rPr>
          <w:sz w:val="20"/>
          <w:szCs w:val="20"/>
          <w:color w:val="auto"/>
        </w:rPr>
      </w:pPr>
      <w:r>
        <w:rPr>
          <w:rFonts w:ascii="Arial" w:cs="Arial" w:eastAsia="Arial" w:hAnsi="Arial"/>
          <w:sz w:val="16"/>
          <w:szCs w:val="16"/>
          <w:b w:val="1"/>
          <w:bCs w:val="1"/>
          <w:color w:val="auto"/>
        </w:rPr>
        <w:t>Unaudited condensed consolidated statements of profit or loss and total comprehensive income For the three and six months ended June 30, 2019 and 2020</w:t>
      </w: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For the three months ended</w:t>
            </w:r>
          </w:p>
        </w:tc>
        <w:tc>
          <w:tcPr>
            <w:tcW w:w="252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54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Note</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June 30, 2019</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7"/>
              </w:rPr>
              <w:t>June 30, 2020</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June 30, 2019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6"/>
              </w:rPr>
              <w:t>June 30, 2020</w:t>
            </w:r>
          </w:p>
        </w:tc>
      </w:tr>
      <w:tr>
        <w:trPr>
          <w:trHeight w:val="212"/>
        </w:trPr>
        <w:tc>
          <w:tcPr>
            <w:tcW w:w="54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91,805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84,448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185,690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175,801</w:t>
            </w: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Net pool allocation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1,024</w:t>
            </w:r>
          </w:p>
        </w:tc>
        <w:tc>
          <w:tcPr>
            <w:tcW w:w="160" w:type="dxa"/>
            <w:vAlign w:val="bottom"/>
          </w:tcPr>
          <w:p>
            <w:pPr>
              <w:spacing w:after="0"/>
              <w:rPr>
                <w:sz w:val="17"/>
                <w:szCs w:val="17"/>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1,058</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(2,037)</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(2,782)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(3,874)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(6,670)</w:t>
            </w: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(18,548)</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(16,895)</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(37,179)</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(35,988)</w:t>
            </w: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(22,137)</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(20,675)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(44,007)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(41,273)</w:t>
            </w: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8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(4,741)</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(4,421)</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(9,435)</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(8,592)</w:t>
            </w: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(18,841)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(18,841)</w:t>
            </w:r>
          </w:p>
        </w:tc>
      </w:tr>
      <w:tr>
        <w:trPr>
          <w:trHeight w:val="196"/>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5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45,366</w:t>
            </w:r>
          </w:p>
        </w:tc>
        <w:tc>
          <w:tcPr>
            <w:tcW w:w="1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20,834</w:t>
            </w:r>
          </w:p>
        </w:tc>
        <w:tc>
          <w:tcPr>
            <w:tcW w:w="1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92,253</w:t>
            </w: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64,437</w:t>
            </w:r>
          </w:p>
        </w:tc>
        <w:tc>
          <w:tcPr>
            <w:tcW w:w="100" w:type="dxa"/>
            <w:vAlign w:val="bottom"/>
            <w:tcBorders>
              <w:bottom w:val="single" w:sz="8" w:color="CCEEFF"/>
            </w:tcBorders>
          </w:tcPr>
          <w:p>
            <w:pPr>
              <w:spacing w:after="0"/>
              <w:rPr>
                <w:sz w:val="17"/>
                <w:szCs w:val="17"/>
                <w:color w:val="auto"/>
              </w:rPr>
            </w:pP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(18,484)</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(38,116)</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(28,580)</w:t>
            </w:r>
          </w:p>
        </w:tc>
        <w:tc>
          <w:tcPr>
            <w:tcW w:w="100" w:type="dxa"/>
            <w:vAlign w:val="bottom"/>
            <w:shd w:val="clear" w:color="auto" w:fill="CCEEFF"/>
          </w:tcPr>
          <w:p>
            <w:pPr>
              <w:spacing w:after="0"/>
              <w:rPr>
                <w:sz w:val="17"/>
                <w:szCs w:val="17"/>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Financial income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527</w:t>
            </w:r>
          </w:p>
        </w:tc>
        <w:tc>
          <w:tcPr>
            <w:tcW w:w="160" w:type="dxa"/>
            <w:vAlign w:val="bottom"/>
          </w:tcPr>
          <w:p>
            <w:pPr>
              <w:spacing w:after="0"/>
              <w:rPr>
                <w:sz w:val="17"/>
                <w:szCs w:val="17"/>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77</w:t>
            </w:r>
          </w:p>
        </w:tc>
        <w:tc>
          <w:tcPr>
            <w:tcW w:w="1120" w:type="dxa"/>
            <w:vAlign w:val="bottom"/>
          </w:tcPr>
          <w:p>
            <w:pPr>
              <w:jc w:val="right"/>
              <w:spacing w:after="0"/>
              <w:rPr>
                <w:sz w:val="20"/>
                <w:szCs w:val="20"/>
                <w:color w:val="auto"/>
              </w:rPr>
            </w:pPr>
            <w:r>
              <w:rPr>
                <w:rFonts w:ascii="Arial" w:cs="Arial" w:eastAsia="Arial" w:hAnsi="Arial"/>
                <w:sz w:val="16"/>
                <w:szCs w:val="16"/>
                <w:color w:val="auto"/>
              </w:rPr>
              <w:t>1,165</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276</w:t>
            </w: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(8,266)</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369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(13,143)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(13,751)</w:t>
            </w:r>
          </w:p>
        </w:tc>
      </w:tr>
      <w:tr>
        <w:trPr>
          <w:trHeight w:val="196"/>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5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(26,223)</w:t>
            </w:r>
          </w:p>
        </w:tc>
        <w:tc>
          <w:tcPr>
            <w:tcW w:w="1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(12,621</w:t>
            </w:r>
          </w:p>
        </w:tc>
        <w:tc>
          <w:tcPr>
            <w:tcW w:w="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(50,094)</w:t>
            </w: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(42,055</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9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19,143</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8,213</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42,159</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unit attributable to the Partnership, basic and diluted:</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color w:val="auto"/>
              </w:rPr>
              <w:t>Common unit, basic</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0.25</w:t>
            </w:r>
          </w:p>
        </w:tc>
        <w:tc>
          <w:tcPr>
            <w:tcW w:w="160" w:type="dxa"/>
            <w:vAlign w:val="bottom"/>
          </w:tcPr>
          <w:p>
            <w:pPr>
              <w:spacing w:after="0"/>
              <w:rPr>
                <w:sz w:val="17"/>
                <w:szCs w:val="17"/>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0.01</w:t>
            </w:r>
          </w:p>
        </w:tc>
        <w:tc>
          <w:tcPr>
            <w:tcW w:w="1120" w:type="dxa"/>
            <w:vAlign w:val="bottom"/>
          </w:tcPr>
          <w:p>
            <w:pPr>
              <w:jc w:val="right"/>
              <w:spacing w:after="0"/>
              <w:rPr>
                <w:sz w:val="20"/>
                <w:szCs w:val="20"/>
                <w:color w:val="auto"/>
              </w:rPr>
            </w:pPr>
            <w:r>
              <w:rPr>
                <w:rFonts w:ascii="Arial" w:cs="Arial" w:eastAsia="Arial" w:hAnsi="Arial"/>
                <w:sz w:val="16"/>
                <w:szCs w:val="16"/>
                <w:color w:val="auto"/>
              </w:rPr>
              <w:t>0.53</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0.15</w:t>
            </w: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Common unit, diluted</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0.14</w:t>
            </w:r>
          </w:p>
        </w:tc>
      </w:tr>
      <w:tr>
        <w:trPr>
          <w:trHeight w:val="206"/>
        </w:trPr>
        <w:tc>
          <w:tcPr>
            <w:tcW w:w="5400" w:type="dxa"/>
            <w:vAlign w:val="bottom"/>
          </w:tcPr>
          <w:p>
            <w:pPr>
              <w:spacing w:after="0"/>
              <w:rPr>
                <w:sz w:val="20"/>
                <w:szCs w:val="20"/>
                <w:color w:val="auto"/>
              </w:rPr>
            </w:pPr>
            <w:r>
              <w:rPr>
                <w:rFonts w:ascii="Arial" w:cs="Arial" w:eastAsia="Arial" w:hAnsi="Arial"/>
                <w:sz w:val="16"/>
                <w:szCs w:val="16"/>
                <w:color w:val="auto"/>
              </w:rPr>
              <w:t>General partner unit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0.25</w:t>
            </w:r>
          </w:p>
        </w:tc>
        <w:tc>
          <w:tcPr>
            <w:tcW w:w="160" w:type="dxa"/>
            <w:vAlign w:val="bottom"/>
          </w:tcPr>
          <w:p>
            <w:pPr>
              <w:spacing w:after="0"/>
              <w:rPr>
                <w:sz w:val="17"/>
                <w:szCs w:val="17"/>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0.01</w:t>
            </w:r>
          </w:p>
        </w:tc>
        <w:tc>
          <w:tcPr>
            <w:tcW w:w="1120" w:type="dxa"/>
            <w:vAlign w:val="bottom"/>
          </w:tcPr>
          <w:p>
            <w:pPr>
              <w:jc w:val="right"/>
              <w:spacing w:after="0"/>
              <w:rPr>
                <w:sz w:val="20"/>
                <w:szCs w:val="20"/>
                <w:color w:val="auto"/>
              </w:rPr>
            </w:pPr>
            <w:r>
              <w:rPr>
                <w:rFonts w:ascii="Arial" w:cs="Arial" w:eastAsia="Arial" w:hAnsi="Arial"/>
                <w:sz w:val="16"/>
                <w:szCs w:val="16"/>
                <w:color w:val="auto"/>
              </w:rPr>
              <w:t>0.52</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9" w:name="page380"/>
    <w:bookmarkEnd w:id="379"/>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ind w:right="5360"/>
        <w:spacing w:after="0" w:line="269" w:lineRule="auto"/>
        <w:rPr>
          <w:sz w:val="20"/>
          <w:szCs w:val="20"/>
          <w:color w:val="auto"/>
        </w:rPr>
      </w:pPr>
      <w:r>
        <w:rPr>
          <w:rFonts w:ascii="Arial" w:cs="Arial" w:eastAsia="Arial" w:hAnsi="Arial"/>
          <w:sz w:val="16"/>
          <w:szCs w:val="16"/>
          <w:b w:val="1"/>
          <w:bCs w:val="1"/>
          <w:color w:val="auto"/>
        </w:rPr>
        <w:t>Unaudited condensed consolidated statements of changes in owners’/partners’ equity For the six months ended June 30, 2019 and 2020</w:t>
      </w: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Incentive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distribution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Owners’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General partner</w:t>
            </w:r>
          </w:p>
        </w:tc>
        <w:tc>
          <w:tcPr>
            <w:tcW w:w="184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Common unitholders</w:t>
            </w: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rights</w:t>
            </w:r>
          </w:p>
        </w:tc>
        <w:tc>
          <w:tcPr>
            <w:tcW w:w="18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9"/>
              </w:rPr>
              <w:t>Preference unitholders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Partners’</w:t>
            </w:r>
          </w:p>
        </w:tc>
        <w:tc>
          <w:tcPr>
            <w:tcW w:w="780" w:type="dxa"/>
            <w:vAlign w:val="bottom"/>
            <w:gridSpan w:val="2"/>
            <w:vMerge w:val="continue"/>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unitholders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(“IDRs”)</w:t>
            </w:r>
          </w:p>
        </w:tc>
        <w:tc>
          <w:tcPr>
            <w:tcW w:w="1800" w:type="dxa"/>
            <w:vAlign w:val="bottom"/>
            <w:gridSpan w:val="4"/>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Units</w:t>
            </w: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Units</w:t>
            </w: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Units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5"/>
              </w:rPr>
              <w:t>Balance as of December 31,</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2018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927,532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13,289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45,448,993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812,863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5,176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348,331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1,179,659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73,134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1,252,793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IFRS 16 adjustment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173</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177</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09"/>
        </w:trPr>
        <w:tc>
          <w:tcPr>
            <w:tcW w:w="1660" w:type="dxa"/>
            <w:vAlign w:val="bottom"/>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Balance as of January 1,</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660" w:type="dxa"/>
            <w:vAlign w:val="bottom"/>
            <w:shd w:val="clear" w:color="auto" w:fill="CCEEFF"/>
          </w:tcPr>
          <w:p>
            <w:pPr>
              <w:ind w:left="180"/>
              <w:spacing w:after="0" w:line="161" w:lineRule="exact"/>
              <w:rPr>
                <w:sz w:val="20"/>
                <w:szCs w:val="20"/>
                <w:color w:val="auto"/>
              </w:rPr>
            </w:pPr>
            <w:r>
              <w:rPr>
                <w:rFonts w:ascii="Arial" w:cs="Arial" w:eastAsia="Arial" w:hAnsi="Arial"/>
                <w:sz w:val="13"/>
                <w:szCs w:val="13"/>
                <w:b w:val="1"/>
                <w:bCs w:val="1"/>
                <w:color w:val="auto"/>
              </w:rPr>
              <w:t>2019 (as restated</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927,532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13,293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45,448,993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813,036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5,176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348,331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1,179,836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73,149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1,252,985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Profit and total</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Arial" w:cs="Arial" w:eastAsia="Arial" w:hAnsi="Arial"/>
                <w:sz w:val="13"/>
                <w:szCs w:val="13"/>
                <w:color w:val="auto"/>
              </w:rPr>
              <w:t>comprehensive income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Arial" w:cs="Arial" w:eastAsia="Arial" w:hAnsi="Arial"/>
                <w:sz w:val="13"/>
                <w:szCs w:val="13"/>
                <w:color w:val="auto"/>
              </w:rPr>
              <w:t>attributable to GasLog’s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rPr>
              <w:t>operations (Note 17)</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2,650</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2,650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offering costs</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(174)</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266</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w w:val="99"/>
              </w:rPr>
              <w:t>Settlement of awards vested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rPr>
              <w:t>during the period</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49,850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Repurchases of common units</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(476,351)</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(9,921)</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(9,921)</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(9,921)</w:t>
            </w: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Elimination of IDRs and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Arial" w:cs="Arial" w:eastAsia="Arial" w:hAnsi="Arial"/>
                <w:sz w:val="13"/>
                <w:szCs w:val="13"/>
                <w:color w:val="auto"/>
              </w:rPr>
              <w:t>issuance of common and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rPr>
              <w:t>Class B units</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2,532,911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1,810</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2,490,000</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(2,391)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(581)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general partner</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93,804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1,996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Cash distribution to GasLog</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Arial" w:cs="Arial" w:eastAsia="Arial" w:hAnsi="Arial"/>
                <w:sz w:val="13"/>
                <w:szCs w:val="13"/>
                <w:color w:val="auto"/>
                <w:w w:val="96"/>
              </w:rPr>
              <w:t>in exchange for net assets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Arial" w:cs="Arial" w:eastAsia="Arial" w:hAnsi="Arial"/>
                <w:sz w:val="13"/>
                <w:szCs w:val="13"/>
                <w:color w:val="auto"/>
              </w:rPr>
              <w:t>contribution to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rPr>
              <w:t>Partnership</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(93,646)</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(93,646)</w:t>
            </w: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Difference between net book</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values of acquired</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subsidiary and</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consideration paid</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(17,490)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(17,847)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17,847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Distributions declared</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(1,077)</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(49,978)</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(2,785)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(15,872)</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(69,712)</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(69,712)</w:t>
            </w: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 compensation,</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net of accrued distribution</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Arial" w:cs="Arial" w:eastAsia="Arial" w:hAnsi="Arial"/>
                <w:sz w:val="13"/>
                <w:szCs w:val="13"/>
                <w:color w:val="auto"/>
              </w:rPr>
              <w:t>comprehensive income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rPr>
              <w:t>(Note 17)</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487</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23,858</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15,164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39,509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39,509</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Balance as of June 30, 2019</w:t>
            </w: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1,021,336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14,349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47,555,403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761,491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2,490,000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14,350,000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347,889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1,123,729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1,123,729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9"/>
              </w:rPr>
              <w:t>Balance at January 1, 2020</w:t>
            </w:r>
          </w:p>
        </w:tc>
        <w:tc>
          <w:tcPr>
            <w:tcW w:w="8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1,021,336</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11,271</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46,860,182</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606,811</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2,490,000</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14,350,000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347,889</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965,971</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965,971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Equity offering costs</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(114)</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(114)</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Settlement of awards vested</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during the period</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68,432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w w:val="93"/>
              </w:rPr>
              <w:t>Repurchases of common units</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rPr>
              <w:t>(Note 7)</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(191,490)</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(996)</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(996)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Distributions declared (Note</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(32,019)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(15,164)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(47,885)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(47,885)</w:t>
            </w: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Share-based compensation,</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80"/>
              <w:spacing w:after="0"/>
              <w:rPr>
                <w:sz w:val="20"/>
                <w:szCs w:val="20"/>
                <w:color w:val="auto"/>
              </w:rPr>
            </w:pPr>
            <w:r>
              <w:rPr>
                <w:rFonts w:ascii="Arial" w:cs="Arial" w:eastAsia="Arial" w:hAnsi="Arial"/>
                <w:sz w:val="13"/>
                <w:szCs w:val="13"/>
                <w:color w:val="auto"/>
                <w:w w:val="98"/>
              </w:rPr>
              <w:t>net of accrued distribution</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482</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493</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comprehensive income</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(Note 17)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7,063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15,164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22,382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22,382</w:t>
            </w:r>
          </w:p>
        </w:tc>
        <w:tc>
          <w:tcPr>
            <w:tcW w:w="0" w:type="dxa"/>
            <w:vAlign w:val="bottom"/>
          </w:tcPr>
          <w:p>
            <w:pPr>
              <w:spacing w:after="0"/>
              <w:rPr>
                <w:sz w:val="1"/>
                <w:szCs w:val="1"/>
                <w:color w:val="auto"/>
              </w:rPr>
            </w:pPr>
          </w:p>
        </w:tc>
      </w:tr>
      <w:tr>
        <w:trPr>
          <w:trHeight w:val="128"/>
        </w:trPr>
        <w:tc>
          <w:tcPr>
            <w:tcW w:w="1660" w:type="dxa"/>
            <w:vAlign w:val="bottom"/>
          </w:tcPr>
          <w:p>
            <w:pPr>
              <w:spacing w:after="0" w:line="129" w:lineRule="exact"/>
              <w:rPr>
                <w:sz w:val="20"/>
                <w:szCs w:val="20"/>
                <w:color w:val="auto"/>
              </w:rPr>
            </w:pPr>
            <w:r>
              <w:rPr>
                <w:rFonts w:ascii="Arial" w:cs="Arial" w:eastAsia="Arial" w:hAnsi="Arial"/>
                <w:sz w:val="13"/>
                <w:szCs w:val="13"/>
                <w:b w:val="1"/>
                <w:bCs w:val="1"/>
                <w:color w:val="auto"/>
                <w:w w:val="95"/>
              </w:rPr>
              <w:t>Balance as of June 30, 2020</w:t>
            </w:r>
          </w:p>
        </w:tc>
        <w:tc>
          <w:tcPr>
            <w:tcW w:w="7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1,021,336</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10,735</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46,737,124</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581,227</w:t>
            </w:r>
          </w:p>
        </w:tc>
        <w:tc>
          <w:tcPr>
            <w:tcW w:w="14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2,490,000</w:t>
            </w:r>
          </w:p>
        </w:tc>
        <w:tc>
          <w:tcPr>
            <w:tcW w:w="12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14,350,000</w:t>
            </w:r>
          </w:p>
        </w:tc>
        <w:tc>
          <w:tcPr>
            <w:tcW w:w="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347,889</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939,851</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939,851</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0" w:hanging="192"/>
        <w:spacing w:after="0"/>
        <w:tabs>
          <w:tab w:leader="none" w:pos="200" w:val="left"/>
        </w:tabs>
        <w:numPr>
          <w:ilvl w:val="0"/>
          <w:numId w:val="931"/>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International Financial Reporting Standard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0" w:name="page381"/>
    <w:bookmarkEnd w:id="380"/>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686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Note</w:t>
            </w: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400" w:type="dxa"/>
            <w:vAlign w:val="bottom"/>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86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c>
          <w:tcPr>
            <w:tcW w:w="46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42,159</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Adjustments for:</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4, 5</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44,007</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41,273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420" w:type="dxa"/>
            <w:vAlign w:val="bottom"/>
          </w:tcPr>
          <w:p>
            <w:pPr>
              <w:spacing w:after="0"/>
              <w:rPr>
                <w:sz w:val="17"/>
                <w:szCs w:val="17"/>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18,841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38,116</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Financial income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color w:val="auto"/>
              </w:rPr>
              <w:t>(1,165)</w:t>
            </w:r>
          </w:p>
        </w:tc>
        <w:tc>
          <w:tcPr>
            <w:tcW w:w="1400" w:type="dxa"/>
            <w:vAlign w:val="bottom"/>
          </w:tcPr>
          <w:p>
            <w:pPr>
              <w:jc w:val="right"/>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 on derivatives held for trading</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14,253</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420" w:type="dxa"/>
            <w:vAlign w:val="bottom"/>
          </w:tcPr>
          <w:p>
            <w:pPr>
              <w:spacing w:after="0"/>
              <w:rPr>
                <w:sz w:val="17"/>
                <w:szCs w:val="17"/>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6"/>
                <w:szCs w:val="16"/>
                <w:color w:val="auto"/>
              </w:rPr>
              <w:t>509</w:t>
            </w:r>
          </w:p>
        </w:tc>
        <w:tc>
          <w:tcPr>
            <w:tcW w:w="1400" w:type="dxa"/>
            <w:vAlign w:val="bottom"/>
          </w:tcPr>
          <w:p>
            <w:pPr>
              <w:jc w:val="right"/>
              <w:spacing w:after="0"/>
              <w:rPr>
                <w:sz w:val="20"/>
                <w:szCs w:val="20"/>
                <w:color w:val="auto"/>
              </w:rPr>
            </w:pPr>
            <w:r>
              <w:rPr>
                <w:rFonts w:ascii="Arial" w:cs="Arial" w:eastAsia="Arial" w:hAnsi="Arial"/>
                <w:sz w:val="16"/>
                <w:szCs w:val="16"/>
                <w:color w:val="auto"/>
              </w:rPr>
              <w:t>659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137,879</w:t>
            </w:r>
          </w:p>
        </w:tc>
        <w:tc>
          <w:tcPr>
            <w:tcW w:w="46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123,676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color w:val="auto"/>
              </w:rPr>
              <w:t>(11,882)</w:t>
            </w:r>
          </w:p>
        </w:tc>
        <w:tc>
          <w:tcPr>
            <w:tcW w:w="1400" w:type="dxa"/>
            <w:vAlign w:val="bottom"/>
          </w:tcPr>
          <w:p>
            <w:pPr>
              <w:jc w:val="right"/>
              <w:spacing w:after="0"/>
              <w:rPr>
                <w:sz w:val="20"/>
                <w:szCs w:val="20"/>
                <w:color w:val="auto"/>
              </w:rPr>
            </w:pPr>
            <w:r>
              <w:rPr>
                <w:rFonts w:ascii="Arial" w:cs="Arial" w:eastAsia="Arial" w:hAnsi="Arial"/>
                <w:sz w:val="16"/>
                <w:szCs w:val="16"/>
                <w:color w:val="auto"/>
              </w:rPr>
              <w:t>(29,083)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58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125,997</w:t>
            </w:r>
          </w:p>
        </w:tc>
        <w:tc>
          <w:tcPr>
            <w:tcW w:w="46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94,593</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58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(34,308</w:t>
            </w:r>
          </w:p>
        </w:tc>
        <w:tc>
          <w:tcPr>
            <w:tcW w:w="460" w:type="dxa"/>
            <w:vAlign w:val="bottom"/>
            <w:tcBorders>
              <w:bottom w:val="single" w:sz="8" w:color="E5FFFF"/>
            </w:tcBorders>
          </w:tcPr>
          <w:p>
            <w:pPr>
              <w:jc w:val="right"/>
              <w:ind w:right="319"/>
              <w:spacing w:after="0"/>
              <w:rPr>
                <w:sz w:val="20"/>
                <w:szCs w:val="20"/>
                <w:color w:val="auto"/>
              </w:rPr>
            </w:pPr>
            <w:r>
              <w:rPr>
                <w:rFonts w:ascii="Arial" w:cs="Arial" w:eastAsia="Arial" w:hAnsi="Arial"/>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91,689</w:t>
            </w:r>
          </w:p>
        </w:tc>
        <w:tc>
          <w:tcPr>
            <w:tcW w:w="460" w:type="dxa"/>
            <w:vAlign w:val="bottom"/>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(6,737)</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(12,027)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tcPr>
          <w:p>
            <w:pPr>
              <w:spacing w:after="0"/>
              <w:rPr>
                <w:sz w:val="17"/>
                <w:szCs w:val="17"/>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6"/>
                <w:szCs w:val="16"/>
                <w:color w:val="auto"/>
              </w:rPr>
              <w:t>4,021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1,130</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6"/>
                <w:szCs w:val="16"/>
                <w:color w:val="auto"/>
              </w:rPr>
              <w:t>15,000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(24,000)</w:t>
            </w:r>
          </w:p>
        </w:tc>
        <w:tc>
          <w:tcPr>
            <w:tcW w:w="14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58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(10,586</w:t>
            </w:r>
          </w:p>
        </w:tc>
        <w:tc>
          <w:tcPr>
            <w:tcW w:w="460" w:type="dxa"/>
            <w:vAlign w:val="bottom"/>
            <w:tcBorders>
              <w:bottom w:val="single" w:sz="8" w:color="E5FFFF"/>
            </w:tcBorders>
          </w:tcPr>
          <w:p>
            <w:pPr>
              <w:jc w:val="right"/>
              <w:ind w:right="319"/>
              <w:spacing w:after="0"/>
              <w:rPr>
                <w:sz w:val="20"/>
                <w:szCs w:val="20"/>
                <w:color w:val="auto"/>
              </w:rPr>
            </w:pPr>
            <w:r>
              <w:rPr>
                <w:rFonts w:ascii="Arial" w:cs="Arial" w:eastAsia="Arial" w:hAnsi="Arial"/>
                <w:sz w:val="16"/>
                <w:szCs w:val="16"/>
                <w:b w:val="1"/>
                <w:bCs w:val="1"/>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(11,720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58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460" w:type="dxa"/>
            <w:vAlign w:val="bottom"/>
            <w:shd w:val="clear" w:color="auto" w:fill="E5FFFF"/>
          </w:tcPr>
          <w:p>
            <w:pPr>
              <w:spacing w:after="0"/>
              <w:rPr>
                <w:sz w:val="15"/>
                <w:szCs w:val="15"/>
                <w:color w:val="auto"/>
              </w:rPr>
            </w:pPr>
          </w:p>
        </w:tc>
        <w:tc>
          <w:tcPr>
            <w:tcW w:w="140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Borrowings drawdowns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tcPr>
          <w:p>
            <w:pPr>
              <w:spacing w:after="0"/>
              <w:rPr>
                <w:sz w:val="17"/>
                <w:szCs w:val="17"/>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6"/>
                <w:szCs w:val="16"/>
                <w:color w:val="auto"/>
              </w:rPr>
              <w:t>435,000</w:t>
            </w:r>
          </w:p>
        </w:tc>
        <w:tc>
          <w:tcPr>
            <w:tcW w:w="1400" w:type="dxa"/>
            <w:vAlign w:val="bottom"/>
          </w:tcPr>
          <w:p>
            <w:pPr>
              <w:jc w:val="right"/>
              <w:spacing w:after="0"/>
              <w:rPr>
                <w:sz w:val="20"/>
                <w:szCs w:val="20"/>
                <w:color w:val="auto"/>
              </w:rPr>
            </w:pPr>
            <w:r>
              <w:rPr>
                <w:rFonts w:ascii="Arial" w:cs="Arial" w:eastAsia="Arial" w:hAnsi="Arial"/>
                <w:sz w:val="16"/>
                <w:szCs w:val="16"/>
                <w:color w:val="auto"/>
              </w:rPr>
              <w:t>25,940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(403,072)</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(55,805)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tcPr>
          <w:p>
            <w:pPr>
              <w:spacing w:after="0"/>
              <w:rPr>
                <w:sz w:val="17"/>
                <w:szCs w:val="17"/>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color w:val="auto"/>
              </w:rPr>
              <w:t>(4,972)</w:t>
            </w:r>
          </w:p>
        </w:tc>
        <w:tc>
          <w:tcPr>
            <w:tcW w:w="1400" w:type="dxa"/>
            <w:vAlign w:val="bottom"/>
          </w:tcPr>
          <w:p>
            <w:pPr>
              <w:jc w:val="right"/>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issuances of general partner units</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1,996</w:t>
            </w:r>
          </w:p>
        </w:tc>
        <w:tc>
          <w:tcPr>
            <w:tcW w:w="14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420" w:type="dxa"/>
            <w:vAlign w:val="bottom"/>
          </w:tcPr>
          <w:p>
            <w:pPr>
              <w:spacing w:after="0"/>
              <w:rPr>
                <w:sz w:val="17"/>
                <w:szCs w:val="17"/>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color w:val="auto"/>
              </w:rPr>
              <w:t>(9,921)</w:t>
            </w:r>
          </w:p>
        </w:tc>
        <w:tc>
          <w:tcPr>
            <w:tcW w:w="1400" w:type="dxa"/>
            <w:vAlign w:val="bottom"/>
          </w:tcPr>
          <w:p>
            <w:pPr>
              <w:jc w:val="right"/>
              <w:spacing w:after="0"/>
              <w:rPr>
                <w:sz w:val="20"/>
                <w:szCs w:val="20"/>
                <w:color w:val="auto"/>
              </w:rPr>
            </w:pPr>
            <w:r>
              <w:rPr>
                <w:rFonts w:ascii="Arial" w:cs="Arial" w:eastAsia="Arial" w:hAnsi="Arial"/>
                <w:sz w:val="16"/>
                <w:szCs w:val="16"/>
                <w:color w:val="auto"/>
              </w:rPr>
              <w:t>(996)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(890)</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Cash distribution to GasLog in exchange for contribution of net assets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color w:val="auto"/>
              </w:rPr>
              <w:t>(93,646)</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Distributions paid</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16</w:t>
            </w: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19"/>
              <w:spacing w:after="0"/>
              <w:rPr>
                <w:sz w:val="20"/>
                <w:szCs w:val="20"/>
                <w:color w:val="auto"/>
              </w:rPr>
            </w:pPr>
            <w:r>
              <w:rPr>
                <w:rFonts w:ascii="Arial" w:cs="Arial" w:eastAsia="Arial" w:hAnsi="Arial"/>
                <w:sz w:val="16"/>
                <w:szCs w:val="16"/>
                <w:color w:val="auto"/>
              </w:rPr>
              <w:t>(69,712)</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(47,885)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tcPr>
          <w:p>
            <w:pPr>
              <w:spacing w:after="0"/>
              <w:rPr>
                <w:sz w:val="17"/>
                <w:szCs w:val="17"/>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color w:val="auto"/>
              </w:rPr>
              <w:t>(247)</w:t>
            </w:r>
          </w:p>
        </w:tc>
        <w:tc>
          <w:tcPr>
            <w:tcW w:w="1400" w:type="dxa"/>
            <w:vAlign w:val="bottom"/>
          </w:tcPr>
          <w:p>
            <w:pPr>
              <w:jc w:val="right"/>
              <w:spacing w:after="0"/>
              <w:rPr>
                <w:sz w:val="20"/>
                <w:szCs w:val="20"/>
                <w:color w:val="auto"/>
              </w:rPr>
            </w:pPr>
            <w:r>
              <w:rPr>
                <w:rFonts w:ascii="Arial" w:cs="Arial" w:eastAsia="Arial" w:hAnsi="Arial"/>
                <w:sz w:val="16"/>
                <w:szCs w:val="16"/>
                <w:color w:val="auto"/>
              </w:rPr>
              <w:t>(228)</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58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(145,464)</w:t>
            </w:r>
          </w:p>
        </w:tc>
        <w:tc>
          <w:tcPr>
            <w:tcW w:w="46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(79,178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58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(64,361)</w:t>
            </w:r>
          </w:p>
        </w:tc>
        <w:tc>
          <w:tcPr>
            <w:tcW w:w="460" w:type="dxa"/>
            <w:vAlign w:val="bottom"/>
            <w:tcBorders>
              <w:bottom w:val="single" w:sz="8" w:color="E5FF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(24,674</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460" w:type="dxa"/>
            <w:vAlign w:val="bottom"/>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69,009</w:t>
            </w:r>
          </w:p>
        </w:tc>
        <w:tc>
          <w:tcPr>
            <w:tcW w:w="46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6"/>
                <w:szCs w:val="16"/>
                <w:color w:val="auto"/>
              </w:rPr>
              <w:t>7,275</w:t>
            </w:r>
          </w:p>
        </w:tc>
        <w:tc>
          <w:tcPr>
            <w:tcW w:w="1400" w:type="dxa"/>
            <w:vAlign w:val="bottom"/>
          </w:tcPr>
          <w:p>
            <w:pPr>
              <w:jc w:val="right"/>
              <w:spacing w:after="0"/>
              <w:rPr>
                <w:sz w:val="20"/>
                <w:szCs w:val="20"/>
                <w:color w:val="auto"/>
              </w:rPr>
            </w:pPr>
            <w:r>
              <w:rPr>
                <w:rFonts w:ascii="Arial" w:cs="Arial" w:eastAsia="Arial" w:hAnsi="Arial"/>
                <w:sz w:val="16"/>
                <w:szCs w:val="16"/>
                <w:color w:val="auto"/>
              </w:rPr>
              <w:t>10,501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5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156</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379"/>
              <w:spacing w:after="0"/>
              <w:rPr>
                <w:sz w:val="20"/>
                <w:szCs w:val="20"/>
                <w:color w:val="auto"/>
              </w:rPr>
            </w:pPr>
            <w:r>
              <w:rPr>
                <w:rFonts w:ascii="Arial" w:cs="Arial" w:eastAsia="Arial" w:hAnsi="Arial"/>
                <w:sz w:val="16"/>
                <w:szCs w:val="16"/>
                <w:color w:val="auto"/>
              </w:rPr>
              <w:t>666</w:t>
            </w:r>
          </w:p>
        </w:tc>
        <w:tc>
          <w:tcPr>
            <w:tcW w:w="1400" w:type="dxa"/>
            <w:vAlign w:val="bottom"/>
          </w:tcPr>
          <w:p>
            <w:pPr>
              <w:jc w:val="right"/>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5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379"/>
              <w:spacing w:after="0"/>
              <w:rPr>
                <w:sz w:val="20"/>
                <w:szCs w:val="20"/>
                <w:color w:val="auto"/>
              </w:rPr>
            </w:pPr>
            <w:r>
              <w:rPr>
                <w:rFonts w:ascii="Arial" w:cs="Arial" w:eastAsia="Arial" w:hAnsi="Arial"/>
                <w:sz w:val="16"/>
                <w:szCs w:val="16"/>
                <w:color w:val="auto"/>
              </w:rPr>
              <w:t>73</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381" w:name="page382"/>
    <w:bookmarkEnd w:id="381"/>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260" w:firstLine="396"/>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84" w:lineRule="exact"/>
        <w:rPr>
          <w:sz w:val="20"/>
          <w:szCs w:val="20"/>
          <w:color w:val="auto"/>
        </w:rPr>
      </w:pPr>
    </w:p>
    <w:p>
      <w:pPr>
        <w:ind w:right="180" w:firstLine="396"/>
        <w:spacing w:after="0" w:line="293" w:lineRule="auto"/>
        <w:rPr>
          <w:sz w:val="20"/>
          <w:szCs w:val="20"/>
          <w:color w:val="auto"/>
        </w:rPr>
      </w:pPr>
      <w:r>
        <w:rPr>
          <w:rFonts w:ascii="Arial" w:cs="Arial" w:eastAsia="Arial" w:hAnsi="Arial"/>
          <w:sz w:val="16"/>
          <w:szCs w:val="16"/>
          <w:color w:val="auto"/>
        </w:rPr>
        <w:t xml:space="preserve">On April 1, 2019, GasLog Partners acquired 100% of the ownership interests in GAS-twelve Ltd., the entity that owns a 174,000 cubic meters (“cbm”) LNG carrier, the </w:t>
      </w:r>
      <w:r>
        <w:rPr>
          <w:rFonts w:ascii="Arial" w:cs="Arial" w:eastAsia="Arial" w:hAnsi="Arial"/>
          <w:sz w:val="16"/>
          <w:szCs w:val="16"/>
          <w:i w:val="1"/>
          <w:iCs w:val="1"/>
          <w:color w:val="auto"/>
        </w:rPr>
        <w:t>GasLog Glasgow</w:t>
      </w:r>
      <w:r>
        <w:rPr>
          <w:rFonts w:ascii="Arial" w:cs="Arial" w:eastAsia="Arial" w:hAnsi="Arial"/>
          <w:sz w:val="16"/>
          <w:szCs w:val="16"/>
          <w:color w:val="auto"/>
        </w:rPr>
        <w:t>, for an aggregate purchase price of $214,000.</w:t>
      </w:r>
    </w:p>
    <w:p>
      <w:pPr>
        <w:spacing w:after="0" w:line="172" w:lineRule="exact"/>
        <w:rPr>
          <w:sz w:val="20"/>
          <w:szCs w:val="20"/>
          <w:color w:val="auto"/>
        </w:rPr>
      </w:pPr>
    </w:p>
    <w:p>
      <w:pPr>
        <w:ind w:right="40" w:firstLine="383"/>
        <w:spacing w:after="0" w:line="278" w:lineRule="auto"/>
        <w:rPr>
          <w:sz w:val="20"/>
          <w:szCs w:val="20"/>
          <w:color w:val="auto"/>
        </w:rPr>
      </w:pPr>
      <w:r>
        <w:rPr>
          <w:rFonts w:ascii="Arial" w:cs="Arial" w:eastAsia="Arial" w:hAnsi="Arial"/>
          <w:sz w:val="16"/>
          <w:szCs w:val="16"/>
          <w:color w:val="auto"/>
        </w:rPr>
        <w:t>The above acquisition was accounted for as a reorganization of companies under common control. The Partnership’s historical results and net assets were retroactively restated to reflect the historical results of the acquired entity from its date of incorporation by GasLog. The carrying amounts of assets and liabilities included are based on the historical carrying amounts of such assets and liabilities recognized by the subsidiary.</w:t>
      </w:r>
    </w:p>
    <w:p>
      <w:pPr>
        <w:spacing w:after="0" w:line="184" w:lineRule="exact"/>
        <w:rPr>
          <w:sz w:val="20"/>
          <w:szCs w:val="20"/>
          <w:color w:val="auto"/>
        </w:rPr>
      </w:pPr>
    </w:p>
    <w:p>
      <w:pPr>
        <w:jc w:val="both"/>
        <w:ind w:right="540" w:firstLine="383"/>
        <w:spacing w:after="0" w:line="278" w:lineRule="auto"/>
        <w:rPr>
          <w:sz w:val="20"/>
          <w:szCs w:val="20"/>
          <w:color w:val="auto"/>
        </w:rPr>
      </w:pPr>
      <w:r>
        <w:rPr>
          <w:rFonts w:ascii="Arial" w:cs="Arial" w:eastAsia="Arial" w:hAnsi="Arial"/>
          <w:sz w:val="16"/>
          <w:szCs w:val="16"/>
          <w:color w:val="auto"/>
        </w:rPr>
        <w:t>As of June 30, 2020, GasLog holds a 35.6%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4" w:lineRule="exact"/>
        <w:rPr>
          <w:sz w:val="20"/>
          <w:szCs w:val="20"/>
          <w:color w:val="auto"/>
        </w:rPr>
      </w:pPr>
    </w:p>
    <w:p>
      <w:pPr>
        <w:ind w:right="320" w:firstLine="405"/>
        <w:spacing w:after="0" w:line="278"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LNG transportation services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June 30, 2020, the companies listed below were 100% held by the Partnership:</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Place of</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 of</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Principal activities</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Vessel</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Cargo Capacity</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190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incorporation</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incorporation</w:t>
            </w: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(cbm)</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GAS-three Ltd.</w:t>
            </w:r>
          </w:p>
        </w:tc>
        <w:tc>
          <w:tcPr>
            <w:tcW w:w="120" w:type="dxa"/>
            <w:vAlign w:val="bottom"/>
            <w:tcBorders>
              <w:top w:val="single" w:sz="8" w:color="E5FFFF"/>
            </w:tcBorders>
            <w:shd w:val="clear" w:color="auto" w:fill="E5FFFF"/>
          </w:tcPr>
          <w:p>
            <w:pPr>
              <w:spacing w:after="0"/>
              <w:rPr>
                <w:sz w:val="12"/>
                <w:szCs w:val="12"/>
                <w:color w:val="auto"/>
              </w:rPr>
            </w:pPr>
          </w:p>
        </w:tc>
        <w:tc>
          <w:tcPr>
            <w:tcW w:w="138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4"/>
              </w:rPr>
              <w:t>Bermuda</w:t>
            </w:r>
          </w:p>
        </w:tc>
        <w:tc>
          <w:tcPr>
            <w:tcW w:w="100" w:type="dxa"/>
            <w:vAlign w:val="bottom"/>
            <w:tcBorders>
              <w:top w:val="single" w:sz="8" w:color="E5FFFF"/>
            </w:tcBorders>
            <w:shd w:val="clear" w:color="auto" w:fill="E5FFFF"/>
          </w:tcPr>
          <w:p>
            <w:pPr>
              <w:spacing w:after="0"/>
              <w:rPr>
                <w:sz w:val="12"/>
                <w:szCs w:val="12"/>
                <w:color w:val="auto"/>
              </w:rPr>
            </w:pPr>
          </w:p>
        </w:tc>
        <w:tc>
          <w:tcPr>
            <w:tcW w:w="140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rPr>
              <w:t>April 2010</w:t>
            </w:r>
          </w:p>
        </w:tc>
        <w:tc>
          <w:tcPr>
            <w:tcW w:w="100" w:type="dxa"/>
            <w:vAlign w:val="bottom"/>
            <w:tcBorders>
              <w:top w:val="single" w:sz="8" w:color="E5FFFF"/>
            </w:tcBorders>
            <w:shd w:val="clear" w:color="auto" w:fill="E5FFFF"/>
          </w:tcPr>
          <w:p>
            <w:pPr>
              <w:spacing w:after="0"/>
              <w:rPr>
                <w:sz w:val="12"/>
                <w:szCs w:val="12"/>
                <w:color w:val="auto"/>
              </w:rPr>
            </w:pPr>
          </w:p>
        </w:tc>
        <w:tc>
          <w:tcPr>
            <w:tcW w:w="18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3"/>
              </w:rPr>
              <w:t>Vessel-owning company</w:t>
            </w:r>
          </w:p>
        </w:tc>
        <w:tc>
          <w:tcPr>
            <w:tcW w:w="100" w:type="dxa"/>
            <w:vAlign w:val="bottom"/>
            <w:tcBorders>
              <w:top w:val="single" w:sz="8" w:color="E5FFFF"/>
            </w:tcBorders>
            <w:shd w:val="clear" w:color="auto" w:fill="E5FFFF"/>
          </w:tcPr>
          <w:p>
            <w:pPr>
              <w:spacing w:after="0"/>
              <w:rPr>
                <w:sz w:val="12"/>
                <w:szCs w:val="12"/>
                <w:color w:val="auto"/>
              </w:rPr>
            </w:pPr>
          </w:p>
        </w:tc>
        <w:tc>
          <w:tcPr>
            <w:tcW w:w="18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1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4"/>
              </w:rPr>
              <w:t>155,000</w:t>
            </w:r>
          </w:p>
        </w:tc>
        <w:tc>
          <w:tcPr>
            <w:tcW w:w="100" w:type="dxa"/>
            <w:vAlign w:val="bottom"/>
            <w:tcBorders>
              <w:top w:val="single" w:sz="8" w:color="E5FFFF"/>
            </w:tcBorders>
            <w:shd w:val="clear" w:color="auto" w:fill="E5FFFF"/>
          </w:tcPr>
          <w:p>
            <w:pPr>
              <w:spacing w:after="0"/>
              <w:rPr>
                <w:sz w:val="12"/>
                <w:szCs w:val="12"/>
                <w:color w:val="auto"/>
              </w:rPr>
            </w:pPr>
          </w:p>
        </w:tc>
        <w:tc>
          <w:tcPr>
            <w:tcW w:w="118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1"/>
              </w:rPr>
              <w:t>January 2013</w:t>
            </w:r>
          </w:p>
        </w:tc>
        <w:tc>
          <w:tcPr>
            <w:tcW w:w="0" w:type="dxa"/>
            <w:vAlign w:val="bottom"/>
          </w:tcPr>
          <w:p>
            <w:pPr>
              <w:spacing w:after="0"/>
              <w:rPr>
                <w:sz w:val="1"/>
                <w:szCs w:val="1"/>
                <w:color w:val="auto"/>
              </w:rPr>
            </w:pP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April 2010</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February 2011</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May 2013</w:t>
            </w: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March 2011</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1"/>
              </w:rPr>
              <w:t>March 2011</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Solaris</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2012</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GAS-twelve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December 2012</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2016</w:t>
            </w:r>
          </w:p>
        </w:tc>
        <w:tc>
          <w:tcPr>
            <w:tcW w:w="0" w:type="dxa"/>
            <w:vAlign w:val="bottom"/>
          </w:tcPr>
          <w:p>
            <w:pPr>
              <w:spacing w:after="0"/>
              <w:rPr>
                <w:sz w:val="1"/>
                <w:szCs w:val="1"/>
                <w:color w:val="auto"/>
              </w:rPr>
            </w:pP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GAS-thirteen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July 2013</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0"/>
              </w:rPr>
              <w:t>GasLog Geneva</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2016</w:t>
            </w: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July 2013</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October 2016</w:t>
            </w:r>
          </w:p>
        </w:tc>
        <w:tc>
          <w:tcPr>
            <w:tcW w:w="0" w:type="dxa"/>
            <w:vAlign w:val="bottom"/>
          </w:tcPr>
          <w:p>
            <w:pPr>
              <w:spacing w:after="0"/>
              <w:rPr>
                <w:sz w:val="1"/>
                <w:szCs w:val="1"/>
                <w:color w:val="auto"/>
              </w:rPr>
            </w:pP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January 2014</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9"/>
              </w:rPr>
              <w:t>January 2014</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Jane Elizabeth</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April 2014</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April 2014</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Shirley Elisabeth</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April 2014</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0" w:type="dxa"/>
            <w:vAlign w:val="bottom"/>
          </w:tcPr>
          <w:p>
            <w:pPr>
              <w:spacing w:after="0"/>
              <w:rPr>
                <w:sz w:val="1"/>
                <w:szCs w:val="1"/>
                <w:color w:val="auto"/>
              </w:rPr>
            </w:pPr>
          </w:p>
        </w:tc>
      </w:tr>
      <w:tr>
        <w:trPr>
          <w:trHeight w:val="148"/>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4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Bermuda</w:t>
            </w:r>
          </w:p>
        </w:tc>
        <w:tc>
          <w:tcPr>
            <w:tcW w:w="15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9"/>
              </w:rPr>
              <w:t>January 2015</w:t>
            </w:r>
          </w:p>
        </w:tc>
        <w:tc>
          <w:tcPr>
            <w:tcW w:w="19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Vessel-owning company</w:t>
            </w:r>
          </w:p>
        </w:tc>
        <w:tc>
          <w:tcPr>
            <w:tcW w:w="19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Becki Anne</w:t>
            </w:r>
          </w:p>
        </w:tc>
        <w:tc>
          <w:tcPr>
            <w:tcW w:w="11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170,000</w:t>
            </w:r>
          </w:p>
        </w:tc>
        <w:tc>
          <w:tcPr>
            <w:tcW w:w="100" w:type="dxa"/>
            <w:vAlign w:val="bottom"/>
            <w:shd w:val="clear" w:color="auto" w:fill="E5FFFF"/>
          </w:tcPr>
          <w:p>
            <w:pPr>
              <w:spacing w:after="0"/>
              <w:rPr>
                <w:sz w:val="12"/>
                <w:szCs w:val="12"/>
                <w:color w:val="auto"/>
              </w:rPr>
            </w:pPr>
          </w:p>
        </w:tc>
        <w:tc>
          <w:tcPr>
            <w:tcW w:w="11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30"/>
        </w:trPr>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GasLog Partners Holdings</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90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Marshall Islands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April 2014</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Holding company</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60" w:firstLine="396"/>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2019, filed on an Annual Report on Form 20-F with the Securities Exchange Commission on March 3, 2020.</w:t>
      </w:r>
    </w:p>
    <w:p>
      <w:pPr>
        <w:spacing w:after="0" w:line="190" w:lineRule="exact"/>
        <w:rPr>
          <w:sz w:val="20"/>
          <w:szCs w:val="20"/>
          <w:color w:val="auto"/>
        </w:rPr>
      </w:pPr>
    </w:p>
    <w:p>
      <w:pPr>
        <w:ind w:right="680" w:firstLine="39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172" w:lineRule="exact"/>
        <w:rPr>
          <w:sz w:val="20"/>
          <w:szCs w:val="20"/>
          <w:color w:val="auto"/>
        </w:rPr>
      </w:pPr>
    </w:p>
    <w:p>
      <w:pPr>
        <w:ind w:right="40" w:firstLine="396"/>
        <w:spacing w:after="0" w:line="273" w:lineRule="auto"/>
        <w:rPr>
          <w:sz w:val="20"/>
          <w:szCs w:val="20"/>
          <w:color w:val="auto"/>
        </w:rPr>
      </w:pPr>
      <w:r>
        <w:rPr>
          <w:rFonts w:ascii="Arial" w:cs="Arial" w:eastAsia="Arial" w:hAnsi="Arial"/>
          <w:sz w:val="16"/>
          <w:szCs w:val="16"/>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2019. On August 5, 2020, the Partnership’s board of directors authorized the unaudited condensed consolidated financial statements for issuance.</w:t>
      </w:r>
    </w:p>
    <w:p>
      <w:pPr>
        <w:spacing w:after="0" w:line="189" w:lineRule="exact"/>
        <w:rPr>
          <w:sz w:val="20"/>
          <w:szCs w:val="20"/>
          <w:color w:val="auto"/>
        </w:rPr>
      </w:pPr>
    </w:p>
    <w:p>
      <w:pPr>
        <w:ind w:right="160" w:firstLine="39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2019 and remain unchanged.</w:t>
      </w:r>
    </w:p>
    <w:p>
      <w:pPr>
        <w:spacing w:after="0" w:line="172" w:lineRule="exact"/>
        <w:rPr>
          <w:sz w:val="20"/>
          <w:szCs w:val="20"/>
          <w:color w:val="auto"/>
        </w:rPr>
      </w:pPr>
    </w:p>
    <w:p>
      <w:pPr>
        <w:ind w:right="220" w:firstLine="396"/>
        <w:spacing w:after="0" w:line="293"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82" w:name="page383"/>
    <w:bookmarkEnd w:id="382"/>
    <w:p>
      <w:pPr>
        <w:spacing w:after="0"/>
        <w:rPr>
          <w:sz w:val="20"/>
          <w:szCs w:val="20"/>
          <w:color w:val="auto"/>
        </w:rPr>
      </w:pPr>
      <w:r>
        <w:rPr>
          <w:rFonts w:ascii="Arial" w:cs="Arial" w:eastAsia="Arial" w:hAnsi="Arial"/>
          <w:sz w:val="16"/>
          <w:szCs w:val="16"/>
          <w:color w:val="auto"/>
        </w:rPr>
        <w:t>expenses are primarily settled in USD and the Partnership’s most significant assets and liabilities are paid for and settled in USD.</w:t>
      </w:r>
    </w:p>
    <w:p>
      <w:pPr>
        <w:spacing w:after="0" w:line="235" w:lineRule="exact"/>
        <w:rPr>
          <w:sz w:val="20"/>
          <w:szCs w:val="20"/>
          <w:color w:val="auto"/>
        </w:rPr>
      </w:pPr>
    </w:p>
    <w:p>
      <w:pPr>
        <w:ind w:right="220" w:firstLine="396"/>
        <w:spacing w:after="0" w:line="273" w:lineRule="auto"/>
        <w:rPr>
          <w:sz w:val="20"/>
          <w:szCs w:val="20"/>
          <w:color w:val="auto"/>
        </w:rPr>
      </w:pPr>
      <w:r>
        <w:rPr>
          <w:rFonts w:ascii="Arial" w:cs="Arial" w:eastAsia="Arial" w:hAnsi="Arial"/>
          <w:sz w:val="16"/>
          <w:szCs w:val="16"/>
          <w:color w:val="auto"/>
        </w:rPr>
        <w:t>As of June 30, 2020, the Partnership’s current assets totaled $105,901 while current liabilities totaled $387,170, resulting in a negative working capital position of $281,269. Current liabilities include $318,256 of loans due within one year, $242,974 of which was refinanced on July 16, 2020 (Note 20). In considering going concern, management has reviewed the Partnership’s future cash requirements, covenant compliance and earnings projections, incorporating the negative impact of the COVID-19 pandemic on near-term market rates.</w:t>
      </w:r>
    </w:p>
    <w:p>
      <w:pPr>
        <w:spacing w:after="0" w:line="189" w:lineRule="exact"/>
        <w:rPr>
          <w:sz w:val="20"/>
          <w:szCs w:val="20"/>
          <w:color w:val="auto"/>
        </w:rPr>
      </w:pPr>
    </w:p>
    <w:p>
      <w:pPr>
        <w:ind w:right="260" w:firstLine="396"/>
        <w:spacing w:after="0" w:line="287" w:lineRule="auto"/>
        <w:rPr>
          <w:sz w:val="20"/>
          <w:szCs w:val="20"/>
          <w:color w:val="auto"/>
        </w:rPr>
      </w:pPr>
      <w:r>
        <w:rPr>
          <w:rFonts w:ascii="Arial" w:cs="Arial" w:eastAsia="Arial" w:hAnsi="Arial"/>
          <w:sz w:val="15"/>
          <w:szCs w:val="15"/>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commercial and financial market conditions, management anticipates that the Partnership’s primary sources of funds over the next 12 months will be available cash, cash from operations and existing debt, including the credit agreements entered into on July 16, 2020, which refinanced in full the debt maturities due in 2021. Management believes that these anticipated sources of funds will be sufficient for the Partnership to meet its liquidity needs and to comply with its banking covenants for at least 12 months from the end of the reporting period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that are beyond our control.</w:t>
      </w:r>
    </w:p>
    <w:p>
      <w:pPr>
        <w:spacing w:after="0" w:line="182" w:lineRule="exact"/>
        <w:rPr>
          <w:sz w:val="20"/>
          <w:szCs w:val="20"/>
          <w:color w:val="auto"/>
        </w:rPr>
      </w:pPr>
    </w:p>
    <w:p>
      <w:pPr>
        <w:ind w:right="140" w:firstLine="396"/>
        <w:spacing w:after="0" w:line="278" w:lineRule="auto"/>
        <w:rPr>
          <w:sz w:val="20"/>
          <w:szCs w:val="20"/>
          <w:color w:val="auto"/>
        </w:rPr>
      </w:pPr>
      <w:r>
        <w:rPr>
          <w:rFonts w:ascii="Arial" w:cs="Arial" w:eastAsia="Arial" w:hAnsi="Arial"/>
          <w:sz w:val="16"/>
          <w:szCs w:val="16"/>
          <w:color w:val="auto"/>
        </w:rPr>
        <w:t>The Partnership keeps under constant review the possible implications of the COVID-19 outbreak and the associated effects on the LNG shipping market to allow current assessments of the impact of the virus to be incorporated into the latest full-year estimates in order to identify risks to future liquidity and covenant compliance and to enable management to take corrective actions, if required.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Partnership were effective in the current period:</w:t>
      </w:r>
    </w:p>
    <w:p>
      <w:pPr>
        <w:spacing w:after="0" w:line="235" w:lineRule="exact"/>
        <w:rPr>
          <w:sz w:val="20"/>
          <w:szCs w:val="20"/>
          <w:color w:val="auto"/>
        </w:rPr>
      </w:pPr>
    </w:p>
    <w:p>
      <w:pPr>
        <w:ind w:right="60" w:firstLine="356"/>
        <w:spacing w:after="0" w:line="269" w:lineRule="auto"/>
        <w:rPr>
          <w:sz w:val="20"/>
          <w:szCs w:val="20"/>
          <w:color w:val="auto"/>
        </w:rPr>
      </w:pPr>
      <w:r>
        <w:rPr>
          <w:rFonts w:ascii="Arial" w:cs="Arial" w:eastAsia="Arial" w:hAnsi="Arial"/>
          <w:sz w:val="16"/>
          <w:szCs w:val="16"/>
          <w:color w:val="auto"/>
        </w:rPr>
        <w:t xml:space="preserve">In October 2018, the IASB issued amendments to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with respect to the definition of a business. The amendments are intended to assist entities to determine whether a transaction should be accounted for as a business combination or as an asset acquisition. The amendments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The adoption of this standard on January 1, 2020 did not have a material impact on the Partnership’s financial statements, since the acquisitions of vessel-owning entities from GasLog continue to be assessed as business acquisitions under the revised definition as well.</w:t>
      </w:r>
    </w:p>
    <w:p>
      <w:pPr>
        <w:spacing w:after="0" w:line="194" w:lineRule="exact"/>
        <w:rPr>
          <w:sz w:val="20"/>
          <w:szCs w:val="20"/>
          <w:color w:val="auto"/>
        </w:rPr>
      </w:pPr>
    </w:p>
    <w:p>
      <w:pPr>
        <w:ind w:right="640" w:firstLine="356"/>
        <w:spacing w:after="0" w:line="293" w:lineRule="auto"/>
        <w:rPr>
          <w:sz w:val="20"/>
          <w:szCs w:val="20"/>
          <w:color w:val="auto"/>
        </w:rPr>
      </w:pPr>
      <w:r>
        <w:rPr>
          <w:rFonts w:ascii="Arial" w:cs="Arial" w:eastAsia="Arial" w:hAnsi="Arial"/>
          <w:sz w:val="16"/>
          <w:szCs w:val="16"/>
          <w:color w:val="auto"/>
        </w:rPr>
        <w:t>All other IFRS standards and amendments that became effective in the current period are not relevant to the Partnership or are not material with respect to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80" w:firstLine="356"/>
        <w:spacing w:after="0" w:line="291"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Partnership’s financial statements.</w:t>
      </w:r>
    </w:p>
    <w:p>
      <w:pPr>
        <w:spacing w:after="0" w:line="176" w:lineRule="exact"/>
        <w:rPr>
          <w:sz w:val="20"/>
          <w:szCs w:val="20"/>
          <w:color w:val="auto"/>
        </w:rPr>
      </w:pPr>
    </w:p>
    <w:p>
      <w:pPr>
        <w:ind w:right="8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Partnership has the following balances with related parties, which have been included in the unaudited condensed consolidated statements of financial position: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8"/>
        </w:trPr>
        <w:tc>
          <w:tcPr>
            <w:tcW w:w="7620" w:type="dxa"/>
            <w:vAlign w:val="bottom"/>
          </w:tcPr>
          <w:p>
            <w:pPr>
              <w:spacing w:after="0"/>
              <w:rPr>
                <w:sz w:val="24"/>
                <w:szCs w:val="24"/>
                <w:color w:val="auto"/>
              </w:rPr>
            </w:pPr>
          </w:p>
        </w:tc>
        <w:tc>
          <w:tcPr>
            <w:tcW w:w="19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2019</w:t>
            </w:r>
          </w:p>
        </w:tc>
        <w:tc>
          <w:tcPr>
            <w:tcW w:w="164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7620" w:type="dxa"/>
            <w:vAlign w:val="bottom"/>
            <w:tcBorders>
              <w:top w:val="single" w:sz="8" w:color="E5FFFF"/>
            </w:tcBorders>
            <w:shd w:val="clear" w:color="auto" w:fill="E5FFFF"/>
          </w:tcPr>
          <w:p>
            <w:pPr>
              <w:spacing w:after="0" w:line="199"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1"/>
                <w:szCs w:val="21"/>
                <w:color w:val="auto"/>
                <w:vertAlign w:val="superscript"/>
              </w:rPr>
              <w:t>(a)</w:t>
            </w: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4,908</w:t>
            </w:r>
          </w:p>
        </w:tc>
        <w:tc>
          <w:tcPr>
            <w:tcW w:w="24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5,659</w:t>
            </w:r>
          </w:p>
        </w:tc>
      </w:tr>
      <w:tr>
        <w:trPr>
          <w:trHeight w:val="216"/>
        </w:trPr>
        <w:tc>
          <w:tcPr>
            <w:tcW w:w="7620" w:type="dxa"/>
            <w:vAlign w:val="bottom"/>
            <w:tcBorders>
              <w:bottom w:val="single" w:sz="8" w:color="E5FFFF"/>
            </w:tcBorders>
          </w:tcPr>
          <w:p>
            <w:pPr>
              <w:spacing w:after="0" w:line="216"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1"/>
                <w:szCs w:val="21"/>
                <w:color w:val="auto"/>
                <w:vertAlign w:val="superscript"/>
              </w:rPr>
              <w:t>(b)</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240" w:type="dxa"/>
            <w:vAlign w:val="bottom"/>
            <w:tcBorders>
              <w:bottom w:val="single" w:sz="8" w:color="E5FF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r>
      <w:tr>
        <w:trPr>
          <w:trHeight w:val="203"/>
        </w:trPr>
        <w:tc>
          <w:tcPr>
            <w:tcW w:w="76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5,642</w:t>
            </w:r>
          </w:p>
        </w:tc>
        <w:tc>
          <w:tcPr>
            <w:tcW w:w="240" w:type="dxa"/>
            <w:vAlign w:val="bottom"/>
            <w:tcBorders>
              <w:bottom w:val="single" w:sz="8" w:color="E5FFFF"/>
            </w:tcBorders>
            <w:shd w:val="clear" w:color="auto" w:fill="E5FFFF"/>
          </w:tcPr>
          <w:p>
            <w:pPr>
              <w:spacing w:after="0"/>
              <w:rPr>
                <w:sz w:val="17"/>
                <w:szCs w:val="17"/>
                <w:color w:val="auto"/>
              </w:rPr>
            </w:pPr>
          </w:p>
        </w:tc>
        <w:tc>
          <w:tcPr>
            <w:tcW w:w="1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6,540</w:t>
            </w:r>
          </w:p>
        </w:tc>
      </w:tr>
    </w:tbl>
    <w:p>
      <w:pPr>
        <w:ind w:left="660" w:hanging="328"/>
        <w:spacing w:after="0" w:line="214" w:lineRule="auto"/>
        <w:tabs>
          <w:tab w:leader="none" w:pos="660" w:val="left"/>
        </w:tabs>
        <w:numPr>
          <w:ilvl w:val="0"/>
          <w:numId w:val="932"/>
        </w:numPr>
        <w:rPr>
          <w:rFonts w:ascii="Arial" w:cs="Arial" w:eastAsia="Arial" w:hAnsi="Arial"/>
          <w:sz w:val="23"/>
          <w:szCs w:val="23"/>
          <w:color w:val="auto"/>
          <w:vertAlign w:val="superscript"/>
        </w:rPr>
      </w:pPr>
      <w:r>
        <w:rPr>
          <w:rFonts w:ascii="Arial" w:cs="Arial" w:eastAsia="Arial" w:hAnsi="Arial"/>
          <w:sz w:val="14"/>
          <w:szCs w:val="14"/>
          <w:color w:val="auto"/>
        </w:rPr>
        <w:t>The balances represent mainly payments made by GasLog LNG Services on behalf of the Partnership.</w:t>
      </w:r>
    </w:p>
    <w:p>
      <w:pPr>
        <w:ind w:left="640" w:hanging="308"/>
        <w:spacing w:after="0" w:line="186" w:lineRule="auto"/>
        <w:tabs>
          <w:tab w:leader="none" w:pos="640" w:val="left"/>
        </w:tabs>
        <w:numPr>
          <w:ilvl w:val="0"/>
          <w:numId w:val="932"/>
        </w:numPr>
        <w:rPr>
          <w:rFonts w:ascii="Arial" w:cs="Arial" w:eastAsia="Arial" w:hAnsi="Arial"/>
          <w:sz w:val="19"/>
          <w:szCs w:val="19"/>
          <w:color w:val="auto"/>
          <w:vertAlign w:val="superscript"/>
        </w:rPr>
      </w:pPr>
      <w:r>
        <w:rPr>
          <w:rFonts w:ascii="Arial" w:cs="Arial" w:eastAsia="Arial" w:hAnsi="Arial"/>
          <w:sz w:val="12"/>
          <w:szCs w:val="12"/>
          <w:color w:val="auto"/>
        </w:rPr>
        <w:t>The balances represent mainly payments made by GasLog on behalf of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83" w:name="page384"/>
    <w:bookmarkEnd w:id="383"/>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480" w:firstLine="405"/>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2019. Refer to Note 7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and June 30, 2020, the amount outstanding under the Sponsor Credit Facility was nil.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collateral held with related parties</w:t>
      </w:r>
    </w:p>
    <w:p>
      <w:pPr>
        <w:spacing w:after="0" w:line="235"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As of June 30, 2020, the Partnership had deposited an amount of $15,000 with GasLog (Note 6) as collateral for the interest rate swaps and forward foreign exchange contracts in effect held with GasLog, pursuant to a Credit Support Annex entered into between GasLog Partners and GasLog on March 16, 2020. The agreement is appended to the International Swaps and Derivatives Association, Inc. (“ISDA”) Master Agreement between GasLog Partners and GasLog signed in November 2016. The amount required to be deposited will be recalculated on a weekly basis until December 31, 2020. It is based on the aggregate valuation of such derivative instruments on each date and cannot exceed $15,000.</w:t>
      </w:r>
    </w:p>
    <w:p>
      <w:pPr>
        <w:spacing w:after="0" w:line="19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Partnership had the following transactions with related parties, which have been included in the unaudited condensed consolidated statements of profit or loss for the three and six months ended June 30, 2019 and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Details</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three months ended</w:t>
            </w:r>
          </w:p>
        </w:tc>
        <w:tc>
          <w:tcPr>
            <w:tcW w:w="21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4"/>
        </w:trPr>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E5FFFF"/>
            </w:tcBorders>
          </w:tcPr>
          <w:p>
            <w:pPr>
              <w:spacing w:after="0"/>
              <w:rPr>
                <w:sz w:val="15"/>
                <w:szCs w:val="15"/>
                <w:color w:val="auto"/>
              </w:rPr>
            </w:pPr>
          </w:p>
        </w:tc>
        <w:tc>
          <w:tcPr>
            <w:tcW w:w="2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24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Account</w:t>
            </w:r>
          </w:p>
        </w:tc>
        <w:tc>
          <w:tcPr>
            <w:tcW w:w="100" w:type="dxa"/>
            <w:vAlign w:val="bottom"/>
            <w:tcBorders>
              <w:bottom w:val="single" w:sz="8" w:color="E5FFFF"/>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Borders>
              <w:bottom w:val="single" w:sz="8" w:color="E5FFFF"/>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June 30, 2020</w:t>
            </w:r>
          </w:p>
        </w:tc>
        <w:tc>
          <w:tcPr>
            <w:tcW w:w="80" w:type="dxa"/>
            <w:vAlign w:val="bottom"/>
            <w:tcBorders>
              <w:bottom w:val="single" w:sz="8" w:color="E5FFFF"/>
            </w:tcBorders>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June 30, 2019</w:t>
            </w:r>
          </w:p>
        </w:tc>
        <w:tc>
          <w:tcPr>
            <w:tcW w:w="80" w:type="dxa"/>
            <w:vAlign w:val="bottom"/>
            <w:tcBorders>
              <w:bottom w:val="single" w:sz="8" w:color="E5FF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69"/>
        </w:trPr>
        <w:tc>
          <w:tcPr>
            <w:tcW w:w="1540" w:type="dxa"/>
            <w:vAlign w:val="bottom"/>
            <w:shd w:val="clear" w:color="auto" w:fill="E5FFFF"/>
          </w:tcPr>
          <w:p>
            <w:pPr>
              <w:spacing w:after="0"/>
              <w:rPr>
                <w:sz w:val="20"/>
                <w:szCs w:val="20"/>
                <w:color w:val="auto"/>
              </w:rPr>
            </w:pPr>
            <w:r>
              <w:rPr>
                <w:rFonts w:ascii="Arial" w:cs="Arial" w:eastAsia="Arial" w:hAnsi="Arial"/>
                <w:sz w:val="14"/>
                <w:szCs w:val="14"/>
                <w:color w:val="auto"/>
              </w:rPr>
              <w:t>GasLog</w:t>
            </w:r>
          </w:p>
        </w:tc>
        <w:tc>
          <w:tcPr>
            <w:tcW w:w="120" w:type="dxa"/>
            <w:vAlign w:val="bottom"/>
            <w:shd w:val="clear" w:color="auto" w:fill="E5FFFF"/>
          </w:tcPr>
          <w:p>
            <w:pPr>
              <w:spacing w:after="0"/>
              <w:rPr>
                <w:sz w:val="14"/>
                <w:szCs w:val="14"/>
                <w:color w:val="auto"/>
              </w:rPr>
            </w:pPr>
          </w:p>
        </w:tc>
        <w:tc>
          <w:tcPr>
            <w:tcW w:w="2380" w:type="dxa"/>
            <w:vAlign w:val="bottom"/>
            <w:shd w:val="clear" w:color="auto" w:fill="E5FFFF"/>
          </w:tcPr>
          <w:p>
            <w:pPr>
              <w:spacing w:after="0" w:line="169" w:lineRule="exact"/>
              <w:rPr>
                <w:sz w:val="20"/>
                <w:szCs w:val="20"/>
                <w:color w:val="auto"/>
              </w:rPr>
            </w:pPr>
            <w:r>
              <w:rPr>
                <w:rFonts w:ascii="Arial" w:cs="Arial" w:eastAsia="Arial" w:hAnsi="Arial"/>
                <w:sz w:val="14"/>
                <w:szCs w:val="14"/>
                <w:color w:val="auto"/>
              </w:rPr>
              <w:t>Commercial management fee</w:t>
            </w:r>
            <w:r>
              <w:rPr>
                <w:rFonts w:ascii="Arial" w:cs="Arial" w:eastAsia="Arial" w:hAnsi="Arial"/>
                <w:sz w:val="17"/>
                <w:szCs w:val="17"/>
                <w:color w:val="auto"/>
                <w:vertAlign w:val="superscript"/>
              </w:rPr>
              <w:t>(i)</w:t>
            </w:r>
          </w:p>
        </w:tc>
        <w:tc>
          <w:tcPr>
            <w:tcW w:w="120" w:type="dxa"/>
            <w:vAlign w:val="bottom"/>
            <w:shd w:val="clear" w:color="auto" w:fill="E5FFFF"/>
          </w:tcPr>
          <w:p>
            <w:pPr>
              <w:spacing w:after="0"/>
              <w:rPr>
                <w:sz w:val="14"/>
                <w:szCs w:val="14"/>
                <w:color w:val="auto"/>
              </w:rPr>
            </w:pPr>
          </w:p>
        </w:tc>
        <w:tc>
          <w:tcPr>
            <w:tcW w:w="2480" w:type="dxa"/>
            <w:vAlign w:val="bottom"/>
            <w:shd w:val="clear" w:color="auto" w:fill="E5FFFF"/>
          </w:tcPr>
          <w:p>
            <w:pPr>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shd w:val="clear" w:color="auto" w:fill="E5FFFF"/>
          </w:tcPr>
          <w:p>
            <w:pPr>
              <w:spacing w:after="0"/>
              <w:rPr>
                <w:sz w:val="14"/>
                <w:szCs w:val="14"/>
                <w:color w:val="auto"/>
              </w:rPr>
            </w:pPr>
          </w:p>
        </w:tc>
        <w:tc>
          <w:tcPr>
            <w:tcW w:w="120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1,350</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1,350</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2,700</w:t>
            </w:r>
          </w:p>
        </w:tc>
        <w:tc>
          <w:tcPr>
            <w:tcW w:w="10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GasLog</w:t>
            </w:r>
          </w:p>
        </w:tc>
        <w:tc>
          <w:tcPr>
            <w:tcW w:w="250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Administrative services fee</w:t>
            </w:r>
            <w:r>
              <w:rPr>
                <w:rFonts w:ascii="Arial" w:cs="Arial" w:eastAsia="Arial" w:hAnsi="Arial"/>
                <w:sz w:val="17"/>
                <w:szCs w:val="17"/>
                <w:color w:val="auto"/>
                <w:vertAlign w:val="superscript"/>
              </w:rPr>
              <w:t>(ii)</w:t>
            </w: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General and administrative expenses</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2,279</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1,959</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4,406</w:t>
            </w:r>
          </w:p>
        </w:tc>
        <w:tc>
          <w:tcPr>
            <w:tcW w:w="1060" w:type="dxa"/>
            <w:vAlign w:val="bottom"/>
          </w:tcPr>
          <w:p>
            <w:pPr>
              <w:jc w:val="right"/>
              <w:spacing w:after="0"/>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189"/>
        </w:trPr>
        <w:tc>
          <w:tcPr>
            <w:tcW w:w="1540" w:type="dxa"/>
            <w:vAlign w:val="bottom"/>
            <w:shd w:val="clear" w:color="auto" w:fill="E5FFFF"/>
          </w:tcPr>
          <w:p>
            <w:pPr>
              <w:spacing w:after="0"/>
              <w:rPr>
                <w:sz w:val="20"/>
                <w:szCs w:val="20"/>
                <w:color w:val="auto"/>
              </w:rPr>
            </w:pPr>
            <w:r>
              <w:rPr>
                <w:rFonts w:ascii="Arial" w:cs="Arial" w:eastAsia="Arial" w:hAnsi="Arial"/>
                <w:sz w:val="14"/>
                <w:szCs w:val="14"/>
                <w:color w:val="auto"/>
              </w:rPr>
              <w:t>GasLog LNG Services</w:t>
            </w:r>
          </w:p>
        </w:tc>
        <w:tc>
          <w:tcPr>
            <w:tcW w:w="2500" w:type="dxa"/>
            <w:vAlign w:val="bottom"/>
            <w:gridSpan w:val="2"/>
            <w:shd w:val="clear" w:color="auto" w:fill="E5FFFF"/>
          </w:tcPr>
          <w:p>
            <w:pPr>
              <w:ind w:left="120"/>
              <w:spacing w:after="0" w:line="189" w:lineRule="exact"/>
              <w:rPr>
                <w:sz w:val="20"/>
                <w:szCs w:val="20"/>
                <w:color w:val="auto"/>
              </w:rPr>
            </w:pPr>
            <w:r>
              <w:rPr>
                <w:rFonts w:ascii="Arial" w:cs="Arial" w:eastAsia="Arial" w:hAnsi="Arial"/>
                <w:sz w:val="14"/>
                <w:szCs w:val="14"/>
                <w:color w:val="auto"/>
              </w:rPr>
              <w:t>Management fees</w:t>
            </w:r>
            <w:r>
              <w:rPr>
                <w:rFonts w:ascii="Arial" w:cs="Arial" w:eastAsia="Arial" w:hAnsi="Arial"/>
                <w:sz w:val="17"/>
                <w:szCs w:val="17"/>
                <w:color w:val="auto"/>
                <w:vertAlign w:val="superscript"/>
              </w:rPr>
              <w:t>(iii)</w:t>
            </w:r>
          </w:p>
        </w:tc>
        <w:tc>
          <w:tcPr>
            <w:tcW w:w="2700" w:type="dxa"/>
            <w:vAlign w:val="bottom"/>
            <w:gridSpan w:val="3"/>
            <w:shd w:val="clear" w:color="auto" w:fill="E5FFFF"/>
          </w:tcPr>
          <w:p>
            <w:pPr>
              <w:ind w:left="120"/>
              <w:spacing w:after="0"/>
              <w:rPr>
                <w:sz w:val="20"/>
                <w:szCs w:val="20"/>
                <w:color w:val="auto"/>
              </w:rPr>
            </w:pPr>
            <w:r>
              <w:rPr>
                <w:rFonts w:ascii="Arial" w:cs="Arial" w:eastAsia="Arial" w:hAnsi="Arial"/>
                <w:sz w:val="14"/>
                <w:szCs w:val="14"/>
                <w:color w:val="auto"/>
              </w:rPr>
              <w:t>Vessel operating costs</w:t>
            </w:r>
          </w:p>
        </w:tc>
        <w:tc>
          <w:tcPr>
            <w:tcW w:w="120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1,932</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1,932</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3,864</w:t>
            </w:r>
          </w:p>
        </w:tc>
        <w:tc>
          <w:tcPr>
            <w:tcW w:w="10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GasLog LNG Services</w:t>
            </w:r>
          </w:p>
        </w:tc>
        <w:tc>
          <w:tcPr>
            <w:tcW w:w="2500" w:type="dxa"/>
            <w:vAlign w:val="bottom"/>
            <w:gridSpan w:val="2"/>
          </w:tcPr>
          <w:p>
            <w:pPr>
              <w:ind w:left="120"/>
              <w:spacing w:after="0"/>
              <w:rPr>
                <w:sz w:val="20"/>
                <w:szCs w:val="20"/>
                <w:color w:val="auto"/>
              </w:rPr>
            </w:pPr>
            <w:r>
              <w:rPr>
                <w:rFonts w:ascii="Arial" w:cs="Arial" w:eastAsia="Arial" w:hAnsi="Arial"/>
                <w:sz w:val="14"/>
                <w:szCs w:val="14"/>
                <w:color w:val="auto"/>
              </w:rPr>
              <w:t>Other vessel operating costs</w:t>
            </w: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Vessel operating costs</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15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500" w:type="dxa"/>
            <w:vAlign w:val="bottom"/>
            <w:gridSpan w:val="2"/>
            <w:shd w:val="clear" w:color="auto" w:fill="E5FFFF"/>
          </w:tcPr>
          <w:p>
            <w:pPr>
              <w:ind w:left="120"/>
              <w:spacing w:after="0" w:line="130" w:lineRule="exact"/>
              <w:rPr>
                <w:sz w:val="20"/>
                <w:szCs w:val="20"/>
                <w:color w:val="auto"/>
              </w:rPr>
            </w:pPr>
            <w:r>
              <w:rPr>
                <w:rFonts w:ascii="Arial" w:cs="Arial" w:eastAsia="Arial" w:hAnsi="Arial"/>
                <w:sz w:val="14"/>
                <w:szCs w:val="14"/>
                <w:color w:val="auto"/>
                <w:w w:val="98"/>
              </w:rPr>
              <w:t>Commitment fee under Sponsor Credit</w:t>
            </w:r>
          </w:p>
        </w:tc>
        <w:tc>
          <w:tcPr>
            <w:tcW w:w="2700" w:type="dxa"/>
            <w:vAlign w:val="bottom"/>
            <w:gridSpan w:val="3"/>
            <w:shd w:val="clear" w:color="auto" w:fill="E5FFFF"/>
          </w:tcPr>
          <w:p>
            <w:pPr>
              <w:ind w:left="120"/>
              <w:spacing w:after="0" w:line="130" w:lineRule="exact"/>
              <w:rPr>
                <w:sz w:val="20"/>
                <w:szCs w:val="20"/>
                <w:color w:val="auto"/>
              </w:rPr>
            </w:pPr>
            <w:r>
              <w:rPr>
                <w:rFonts w:ascii="Arial" w:cs="Arial" w:eastAsia="Arial" w:hAnsi="Arial"/>
                <w:sz w:val="14"/>
                <w:szCs w:val="14"/>
                <w:color w:val="auto"/>
              </w:rPr>
              <w:t>Financial costs</w:t>
            </w:r>
          </w:p>
        </w:tc>
        <w:tc>
          <w:tcPr>
            <w:tcW w:w="11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00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00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06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E5FFFF"/>
          </w:tcPr>
          <w:p>
            <w:pPr>
              <w:spacing w:after="0"/>
              <w:rPr>
                <w:sz w:val="14"/>
                <w:szCs w:val="14"/>
                <w:color w:val="auto"/>
              </w:rPr>
            </w:pPr>
          </w:p>
        </w:tc>
        <w:tc>
          <w:tcPr>
            <w:tcW w:w="2500" w:type="dxa"/>
            <w:vAlign w:val="bottom"/>
            <w:gridSpan w:val="2"/>
            <w:shd w:val="clear" w:color="auto" w:fill="E5FFFF"/>
          </w:tcPr>
          <w:p>
            <w:pPr>
              <w:ind w:left="120"/>
              <w:spacing w:after="0"/>
              <w:rPr>
                <w:sz w:val="20"/>
                <w:szCs w:val="20"/>
                <w:color w:val="auto"/>
              </w:rPr>
            </w:pPr>
            <w:r>
              <w:rPr>
                <w:rFonts w:ascii="Arial" w:cs="Arial" w:eastAsia="Arial" w:hAnsi="Arial"/>
                <w:sz w:val="14"/>
                <w:szCs w:val="14"/>
                <w:color w:val="auto"/>
              </w:rPr>
              <w:t>Facility</w:t>
            </w:r>
          </w:p>
        </w:tc>
        <w:tc>
          <w:tcPr>
            <w:tcW w:w="120" w:type="dxa"/>
            <w:vAlign w:val="bottom"/>
            <w:shd w:val="clear" w:color="auto" w:fill="E5FFFF"/>
          </w:tcPr>
          <w:p>
            <w:pPr>
              <w:spacing w:after="0"/>
              <w:rPr>
                <w:sz w:val="14"/>
                <w:szCs w:val="14"/>
                <w:color w:val="auto"/>
              </w:rPr>
            </w:pPr>
          </w:p>
        </w:tc>
        <w:tc>
          <w:tcPr>
            <w:tcW w:w="24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0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76</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76</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151</w:t>
            </w:r>
          </w:p>
        </w:tc>
        <w:tc>
          <w:tcPr>
            <w:tcW w:w="10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GasLog</w:t>
            </w:r>
          </w:p>
        </w:tc>
        <w:tc>
          <w:tcPr>
            <w:tcW w:w="25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Realized (gain)/loss on interest rate</w:t>
            </w:r>
          </w:p>
        </w:tc>
        <w:tc>
          <w:tcPr>
            <w:tcW w:w="270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(Loss)/gain on derivatives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2500" w:type="dxa"/>
            <w:vAlign w:val="bottom"/>
            <w:gridSpan w:val="2"/>
          </w:tcPr>
          <w:p>
            <w:pPr>
              <w:ind w:left="120"/>
              <w:spacing w:after="0"/>
              <w:rPr>
                <w:sz w:val="20"/>
                <w:szCs w:val="20"/>
                <w:color w:val="auto"/>
              </w:rPr>
            </w:pPr>
            <w:r>
              <w:rPr>
                <w:rFonts w:ascii="Arial" w:cs="Arial" w:eastAsia="Arial" w:hAnsi="Arial"/>
                <w:sz w:val="14"/>
                <w:szCs w:val="14"/>
                <w:color w:val="auto"/>
              </w:rPr>
              <w:t>swaps (Note 14)</w:t>
            </w: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(831)</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832</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(1,928)</w:t>
            </w:r>
          </w:p>
        </w:tc>
        <w:tc>
          <w:tcPr>
            <w:tcW w:w="106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30"/>
        </w:trPr>
        <w:tc>
          <w:tcPr>
            <w:tcW w:w="15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500" w:type="dxa"/>
            <w:vAlign w:val="bottom"/>
            <w:gridSpan w:val="2"/>
            <w:shd w:val="clear" w:color="auto" w:fill="E5FFFF"/>
          </w:tcPr>
          <w:p>
            <w:pPr>
              <w:ind w:left="120"/>
              <w:spacing w:after="0" w:line="130" w:lineRule="exact"/>
              <w:rPr>
                <w:sz w:val="20"/>
                <w:szCs w:val="20"/>
                <w:color w:val="auto"/>
              </w:rPr>
            </w:pPr>
            <w:r>
              <w:rPr>
                <w:rFonts w:ascii="Arial" w:cs="Arial" w:eastAsia="Arial" w:hAnsi="Arial"/>
                <w:sz w:val="14"/>
                <w:szCs w:val="14"/>
                <w:color w:val="auto"/>
              </w:rPr>
              <w:t>Realized loss on forward foreign</w:t>
            </w:r>
          </w:p>
        </w:tc>
        <w:tc>
          <w:tcPr>
            <w:tcW w:w="2700" w:type="dxa"/>
            <w:vAlign w:val="bottom"/>
            <w:gridSpan w:val="3"/>
            <w:shd w:val="clear" w:color="auto" w:fill="E5FFFF"/>
          </w:tcPr>
          <w:p>
            <w:pPr>
              <w:ind w:left="120"/>
              <w:spacing w:after="0" w:line="130" w:lineRule="exact"/>
              <w:rPr>
                <w:sz w:val="20"/>
                <w:szCs w:val="20"/>
                <w:color w:val="auto"/>
              </w:rPr>
            </w:pPr>
            <w:r>
              <w:rPr>
                <w:rFonts w:ascii="Arial" w:cs="Arial" w:eastAsia="Arial" w:hAnsi="Arial"/>
                <w:sz w:val="14"/>
                <w:szCs w:val="14"/>
                <w:color w:val="auto"/>
              </w:rPr>
              <w:t>(Loss)/gain on derivatives</w:t>
            </w:r>
          </w:p>
        </w:tc>
        <w:tc>
          <w:tcPr>
            <w:tcW w:w="11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00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00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06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E5FFFF"/>
          </w:tcPr>
          <w:p>
            <w:pPr>
              <w:spacing w:after="0"/>
              <w:rPr>
                <w:sz w:val="12"/>
                <w:szCs w:val="12"/>
                <w:color w:val="auto"/>
              </w:rPr>
            </w:pPr>
          </w:p>
        </w:tc>
        <w:tc>
          <w:tcPr>
            <w:tcW w:w="250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exchange contracts held for trading</w:t>
            </w:r>
          </w:p>
        </w:tc>
        <w:tc>
          <w:tcPr>
            <w:tcW w:w="120" w:type="dxa"/>
            <w:vAlign w:val="bottom"/>
            <w:shd w:val="clear" w:color="auto" w:fill="E5FFFF"/>
          </w:tcPr>
          <w:p>
            <w:pPr>
              <w:spacing w:after="0"/>
              <w:rPr>
                <w:sz w:val="12"/>
                <w:szCs w:val="12"/>
                <w:color w:val="auto"/>
              </w:rPr>
            </w:pPr>
          </w:p>
        </w:tc>
        <w:tc>
          <w:tcPr>
            <w:tcW w:w="24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6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E5FFFF"/>
          </w:tcPr>
          <w:p>
            <w:pPr>
              <w:spacing w:after="0"/>
              <w:rPr>
                <w:sz w:val="14"/>
                <w:szCs w:val="14"/>
                <w:color w:val="auto"/>
              </w:rPr>
            </w:pPr>
          </w:p>
        </w:tc>
        <w:tc>
          <w:tcPr>
            <w:tcW w:w="2500" w:type="dxa"/>
            <w:vAlign w:val="bottom"/>
            <w:gridSpan w:val="2"/>
            <w:shd w:val="clear" w:color="auto" w:fill="E5FFFF"/>
          </w:tcPr>
          <w:p>
            <w:pPr>
              <w:ind w:left="120"/>
              <w:spacing w:after="0"/>
              <w:rPr>
                <w:sz w:val="20"/>
                <w:szCs w:val="20"/>
                <w:color w:val="auto"/>
              </w:rPr>
            </w:pPr>
            <w:r>
              <w:rPr>
                <w:rFonts w:ascii="Arial" w:cs="Arial" w:eastAsia="Arial" w:hAnsi="Arial"/>
                <w:sz w:val="14"/>
                <w:szCs w:val="14"/>
                <w:color w:val="auto"/>
              </w:rPr>
              <w:t>(Note 14)</w:t>
            </w:r>
          </w:p>
        </w:tc>
        <w:tc>
          <w:tcPr>
            <w:tcW w:w="120" w:type="dxa"/>
            <w:vAlign w:val="bottom"/>
            <w:shd w:val="clear" w:color="auto" w:fill="E5FFFF"/>
          </w:tcPr>
          <w:p>
            <w:pPr>
              <w:spacing w:after="0"/>
              <w:rPr>
                <w:sz w:val="14"/>
                <w:szCs w:val="14"/>
                <w:color w:val="auto"/>
              </w:rPr>
            </w:pPr>
          </w:p>
        </w:tc>
        <w:tc>
          <w:tcPr>
            <w:tcW w:w="24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0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451</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234</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818</w:t>
            </w:r>
          </w:p>
        </w:tc>
        <w:tc>
          <w:tcPr>
            <w:tcW w:w="10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Arial" w:cs="Arial" w:eastAsia="Arial" w:hAnsi="Arial"/>
                <w:sz w:val="14"/>
                <w:szCs w:val="14"/>
                <w:color w:val="auto"/>
              </w:rPr>
              <w:t>Cool Pool</w:t>
            </w:r>
            <w:r>
              <w:rPr>
                <w:rFonts w:ascii="Arial" w:cs="Arial" w:eastAsia="Arial" w:hAnsi="Arial"/>
                <w:sz w:val="17"/>
                <w:szCs w:val="17"/>
                <w:color w:val="auto"/>
                <w:vertAlign w:val="superscript"/>
              </w:rPr>
              <w:t>(iv)</w:t>
            </w:r>
          </w:p>
        </w:tc>
        <w:tc>
          <w:tcPr>
            <w:tcW w:w="2500" w:type="dxa"/>
            <w:vAlign w:val="bottom"/>
            <w:gridSpan w:val="2"/>
          </w:tcPr>
          <w:p>
            <w:pPr>
              <w:ind w:left="120"/>
              <w:spacing w:after="0"/>
              <w:rPr>
                <w:sz w:val="20"/>
                <w:szCs w:val="20"/>
                <w:color w:val="auto"/>
              </w:rPr>
            </w:pPr>
            <w:r>
              <w:rPr>
                <w:rFonts w:ascii="Arial" w:cs="Arial" w:eastAsia="Arial" w:hAnsi="Arial"/>
                <w:sz w:val="14"/>
                <w:szCs w:val="14"/>
                <w:color w:val="auto"/>
              </w:rPr>
              <w:t>Adjustment for net pool allocation</w:t>
            </w: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Net pool allocation</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(1,024)</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(1,058)</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hanging="202"/>
        <w:spacing w:after="0"/>
        <w:tabs>
          <w:tab w:leader="none" w:pos="340" w:val="left"/>
        </w:tabs>
        <w:numPr>
          <w:ilvl w:val="0"/>
          <w:numId w:val="933"/>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Commercial Management Agreements</w:t>
      </w:r>
    </w:p>
    <w:p>
      <w:pPr>
        <w:spacing w:after="0" w:line="182" w:lineRule="exact"/>
        <w:rPr>
          <w:rFonts w:ascii="Arial" w:cs="Arial" w:eastAsia="Arial" w:hAnsi="Arial"/>
          <w:sz w:val="18"/>
          <w:szCs w:val="18"/>
          <w:color w:val="auto"/>
          <w:vertAlign w:val="superscript"/>
        </w:rPr>
      </w:pPr>
    </w:p>
    <w:p>
      <w:pPr>
        <w:ind w:left="340" w:right="120"/>
        <w:spacing w:after="0" w:line="248" w:lineRule="auto"/>
        <w:rPr>
          <w:rFonts w:ascii="Arial" w:cs="Arial" w:eastAsia="Arial" w:hAnsi="Arial"/>
          <w:sz w:val="18"/>
          <w:szCs w:val="18"/>
          <w:color w:val="auto"/>
          <w:vertAlign w:val="superscript"/>
        </w:rPr>
      </w:pPr>
      <w:r>
        <w:rPr>
          <w:rFonts w:ascii="Arial" w:cs="Arial" w:eastAsia="Arial" w:hAnsi="Arial"/>
          <w:sz w:val="13"/>
          <w:szCs w:val="13"/>
          <w:color w:val="auto"/>
        </w:rPr>
        <w:t>Upon completion of the initial public offering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80" w:lineRule="exact"/>
        <w:rPr>
          <w:rFonts w:ascii="Arial" w:cs="Arial" w:eastAsia="Arial" w:hAnsi="Arial"/>
          <w:sz w:val="18"/>
          <w:szCs w:val="18"/>
          <w:color w:val="auto"/>
          <w:vertAlign w:val="superscript"/>
        </w:rPr>
      </w:pPr>
    </w:p>
    <w:p>
      <w:pPr>
        <w:ind w:left="340" w:right="6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 xml:space="preserve">The same provisions are included in the commercial management agreements that GAS-eleven Ltd., GAS-twelve Ltd., GAS-thirteen Ltd., GAS-fourteen Ltd., GAS-sixteen Ltd., GAS-seventeen Ltd., GAS-nineteen Ltd., GAS-twenty Ltd., GAS-twenty one Ltd. and GAS-twenty seven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Glasgow</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Geneva</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Gibraltar</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Rita Andrea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Jane Elizabeth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Heather Sally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Becki Anne</w:t>
      </w:r>
      <w:r>
        <w:rPr>
          <w:rFonts w:ascii="Arial" w:cs="Arial" w:eastAsia="Arial" w:hAnsi="Arial"/>
          <w:sz w:val="14"/>
          <w:szCs w:val="14"/>
          <w:color w:val="auto"/>
        </w:rPr>
        <w:t>, respectively, into GasLog’s fleet in March 2016, June 2016, September 2016, October 2016, April 2014, June 2014 and March 2015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Amended Commercial Management Agreements and the commercial management agreements entered into by GAS-seven Ltd. and GAS-eight Ltd. with GasLog, the “Commercial Management Agreements”).</w:t>
      </w:r>
    </w:p>
    <w:p>
      <w:pPr>
        <w:spacing w:after="0" w:line="160" w:lineRule="exact"/>
        <w:rPr>
          <w:rFonts w:ascii="Arial" w:cs="Arial" w:eastAsia="Arial" w:hAnsi="Arial"/>
          <w:sz w:val="18"/>
          <w:szCs w:val="18"/>
          <w:color w:val="auto"/>
          <w:vertAlign w:val="superscript"/>
        </w:rPr>
      </w:pPr>
    </w:p>
    <w:p>
      <w:pPr>
        <w:ind w:left="300" w:hanging="162"/>
        <w:spacing w:after="0"/>
        <w:tabs>
          <w:tab w:leader="none" w:pos="300" w:val="left"/>
        </w:tabs>
        <w:numPr>
          <w:ilvl w:val="0"/>
          <w:numId w:val="933"/>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Administrative Services Agreement</w:t>
      </w:r>
    </w:p>
    <w:p>
      <w:pPr>
        <w:spacing w:after="0" w:line="182" w:lineRule="exact"/>
        <w:rPr>
          <w:sz w:val="20"/>
          <w:szCs w:val="20"/>
          <w:color w:val="auto"/>
        </w:rPr>
      </w:pPr>
    </w:p>
    <w:p>
      <w:pPr>
        <w:ind w:left="340"/>
        <w:spacing w:after="0" w:line="251" w:lineRule="auto"/>
        <w:rPr>
          <w:sz w:val="20"/>
          <w:szCs w:val="20"/>
          <w:color w:val="auto"/>
        </w:rPr>
      </w:pPr>
      <w:r>
        <w:rPr>
          <w:rFonts w:ascii="Arial" w:cs="Arial" w:eastAsia="Arial" w:hAnsi="Arial"/>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 ended December 31, 2019, the service fee was amended to $608 per vessel per year. With effect from January 1, 2020, the service fee was reduced to $523 per vessel per year.</w:t>
      </w:r>
    </w:p>
    <w:p>
      <w:pPr>
        <w:spacing w:after="0" w:line="152" w:lineRule="exact"/>
        <w:rPr>
          <w:sz w:val="20"/>
          <w:szCs w:val="20"/>
          <w:color w:val="auto"/>
        </w:rPr>
      </w:pPr>
    </w:p>
    <w:p>
      <w:pPr>
        <w:ind w:left="320" w:hanging="182"/>
        <w:spacing w:after="0"/>
        <w:tabs>
          <w:tab w:leader="none" w:pos="320" w:val="left"/>
        </w:tabs>
        <w:numPr>
          <w:ilvl w:val="0"/>
          <w:numId w:val="934"/>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Ship Management Agreements</w:t>
      </w:r>
    </w:p>
    <w:p>
      <w:pPr>
        <w:spacing w:after="0" w:line="182" w:lineRule="exact"/>
        <w:rPr>
          <w:rFonts w:ascii="Arial" w:cs="Arial" w:eastAsia="Arial" w:hAnsi="Arial"/>
          <w:sz w:val="18"/>
          <w:szCs w:val="18"/>
          <w:color w:val="auto"/>
          <w:vertAlign w:val="superscript"/>
        </w:rPr>
      </w:pPr>
    </w:p>
    <w:p>
      <w:pPr>
        <w:ind w:left="340" w:right="40"/>
        <w:spacing w:after="0" w:line="244" w:lineRule="auto"/>
        <w:rPr>
          <w:rFonts w:ascii="Arial" w:cs="Arial" w:eastAsia="Arial" w:hAnsi="Arial"/>
          <w:sz w:val="18"/>
          <w:szCs w:val="18"/>
          <w:color w:val="auto"/>
          <w:vertAlign w:val="superscript"/>
        </w:rPr>
      </w:pPr>
      <w:r>
        <w:rPr>
          <w:rFonts w:ascii="Arial" w:cs="Arial" w:eastAsia="Arial" w:hAnsi="Arial"/>
          <w:sz w:val="13"/>
          <w:szCs w:val="13"/>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Becki Anne</w:t>
      </w:r>
      <w:r>
        <w:rPr>
          <w:rFonts w:ascii="Arial" w:cs="Arial" w:eastAsia="Arial" w:hAnsi="Arial"/>
          <w:sz w:val="13"/>
          <w:szCs w:val="13"/>
          <w:color w:val="auto"/>
        </w:rPr>
        <w:t>, respectively, into GasLog’s fleet in April 2014, June 2014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84" w:name="page385"/>
    <w:bookmarkEnd w:id="384"/>
    <w:p>
      <w:pPr>
        <w:ind w:left="340"/>
        <w:spacing w:after="0" w:line="248" w:lineRule="auto"/>
        <w:rPr>
          <w:sz w:val="20"/>
          <w:szCs w:val="20"/>
          <w:color w:val="auto"/>
        </w:rPr>
      </w:pPr>
      <w:r>
        <w:rPr>
          <w:rFonts w:ascii="Arial" w:cs="Arial" w:eastAsia="Arial" w:hAnsi="Arial"/>
          <w:sz w:val="13"/>
          <w:szCs w:val="13"/>
          <w:color w:val="auto"/>
        </w:rPr>
        <w:t xml:space="preserve">March 2015 (together 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GAS-twelve Ltd., GAS-thirteen Ltd. and GAS-fourteen Ltd. had entered into with GasLog upon the deliveries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in March 2016,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Glasgow </w:t>
      </w:r>
      <w:r>
        <w:rPr>
          <w:rFonts w:ascii="Arial" w:cs="Arial" w:eastAsia="Arial" w:hAnsi="Arial"/>
          <w:sz w:val="13"/>
          <w:szCs w:val="13"/>
          <w:color w:val="auto"/>
        </w:rPr>
        <w:t>in June 2016, the</w:t>
      </w:r>
      <w:r>
        <w:rPr>
          <w:rFonts w:ascii="Arial" w:cs="Arial" w:eastAsia="Arial" w:hAnsi="Arial"/>
          <w:sz w:val="13"/>
          <w:szCs w:val="13"/>
          <w:i w:val="1"/>
          <w:iCs w:val="1"/>
          <w:color w:val="auto"/>
        </w:rPr>
        <w:t xml:space="preserve"> GasLog Geneva </w:t>
      </w:r>
      <w:r>
        <w:rPr>
          <w:rFonts w:ascii="Arial" w:cs="Arial" w:eastAsia="Arial" w:hAnsi="Arial"/>
          <w:sz w:val="13"/>
          <w:szCs w:val="13"/>
          <w:color w:val="auto"/>
        </w:rPr>
        <w:t>in September 2016 and the</w:t>
      </w:r>
      <w:r>
        <w:rPr>
          <w:rFonts w:ascii="Arial" w:cs="Arial" w:eastAsia="Arial" w:hAnsi="Arial"/>
          <w:sz w:val="13"/>
          <w:szCs w:val="13"/>
          <w:i w:val="1"/>
          <w:iCs w:val="1"/>
          <w:color w:val="auto"/>
        </w:rPr>
        <w:t xml:space="preserve"> GasLog Gibraltar </w:t>
      </w:r>
      <w:r>
        <w:rPr>
          <w:rFonts w:ascii="Arial" w:cs="Arial" w:eastAsia="Arial" w:hAnsi="Arial"/>
          <w:sz w:val="13"/>
          <w:szCs w:val="13"/>
          <w:color w:val="auto"/>
        </w:rPr>
        <w:t>in October 2016, respectively (with a fixed monthly charge of $46).</w:t>
      </w:r>
    </w:p>
    <w:p>
      <w:pPr>
        <w:spacing w:after="0" w:line="180" w:lineRule="exact"/>
        <w:rPr>
          <w:sz w:val="20"/>
          <w:szCs w:val="20"/>
          <w:color w:val="auto"/>
        </w:rPr>
      </w:pPr>
    </w:p>
    <w:p>
      <w:pPr>
        <w:ind w:left="340" w:right="160" w:hanging="202"/>
        <w:spacing w:after="0" w:line="215" w:lineRule="auto"/>
        <w:tabs>
          <w:tab w:leader="none" w:pos="329" w:val="left"/>
        </w:tabs>
        <w:numPr>
          <w:ilvl w:val="1"/>
          <w:numId w:val="935"/>
        </w:numPr>
        <w:rPr>
          <w:rFonts w:ascii="Arial" w:cs="Arial" w:eastAsia="Arial" w:hAnsi="Arial"/>
          <w:sz w:val="18"/>
          <w:szCs w:val="18"/>
          <w:color w:val="auto"/>
          <w:vertAlign w:val="superscript"/>
        </w:rPr>
      </w:pPr>
      <w:r>
        <w:rPr>
          <w:rFonts w:ascii="Arial" w:cs="Arial" w:eastAsia="Arial" w:hAnsi="Arial"/>
          <w:sz w:val="14"/>
          <w:szCs w:val="14"/>
          <w:color w:val="auto"/>
        </w:rPr>
        <w:t xml:space="preserve">In the period from May 2018 until June 2019, the Partnership, through the </w:t>
      </w:r>
      <w:r>
        <w:rPr>
          <w:rFonts w:ascii="Arial" w:cs="Arial" w:eastAsia="Arial" w:hAnsi="Arial"/>
          <w:sz w:val="14"/>
          <w:szCs w:val="14"/>
          <w:i w:val="1"/>
          <w:iCs w:val="1"/>
          <w:color w:val="auto"/>
        </w:rPr>
        <w:t>GasLog Shanghai</w:t>
      </w:r>
      <w:r>
        <w:rPr>
          <w:rFonts w:ascii="Arial" w:cs="Arial" w:eastAsia="Arial" w:hAnsi="Arial"/>
          <w:sz w:val="14"/>
          <w:szCs w:val="14"/>
          <w:color w:val="auto"/>
        </w:rPr>
        <w:t>, participated in the Cool Pool, an LNG carrier pooling arrangement operated by GasLog and Golar LNG Ltd. (the “Cool Pool”) to market their vessels operating in the LNG shipping spot market.</w:t>
      </w:r>
    </w:p>
    <w:p>
      <w:pPr>
        <w:spacing w:after="0" w:line="200" w:lineRule="exact"/>
        <w:rPr>
          <w:rFonts w:ascii="Arial" w:cs="Arial" w:eastAsia="Arial" w:hAnsi="Arial"/>
          <w:sz w:val="18"/>
          <w:szCs w:val="18"/>
          <w:color w:val="auto"/>
          <w:vertAlign w:val="superscript"/>
        </w:rPr>
      </w:pPr>
    </w:p>
    <w:p>
      <w:pPr>
        <w:spacing w:after="0" w:line="204"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936"/>
        </w:numPr>
        <w:rPr>
          <w:rFonts w:ascii="Arial" w:cs="Arial" w:eastAsia="Arial" w:hAnsi="Arial"/>
          <w:sz w:val="16"/>
          <w:szCs w:val="16"/>
          <w:b w:val="1"/>
          <w:bCs w:val="1"/>
          <w:color w:val="auto"/>
        </w:rPr>
      </w:pPr>
      <w:r>
        <w:rPr>
          <w:rFonts w:ascii="Arial" w:cs="Arial" w:eastAsia="Arial" w:hAnsi="Arial"/>
          <w:sz w:val="16"/>
          <w:szCs w:val="16"/>
          <w:b w:val="1"/>
          <w:bCs w:val="1"/>
          <w:color w:val="auto"/>
        </w:rPr>
        <w:t>Tangible Fixed Assets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 in tangible fixed assets is reported in the following table: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Other tangible</w:t>
            </w:r>
          </w:p>
        </w:tc>
        <w:tc>
          <w:tcPr>
            <w:tcW w:w="1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 tangible fixed</w:t>
            </w:r>
          </w:p>
        </w:tc>
      </w:tr>
      <w:tr>
        <w:trPr>
          <w:trHeight w:val="213"/>
        </w:trPr>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20" w:type="dxa"/>
            <w:vAlign w:val="bottom"/>
          </w:tcPr>
          <w:p>
            <w:pPr>
              <w:ind w:left="780"/>
              <w:spacing w:after="0"/>
              <w:rPr>
                <w:sz w:val="20"/>
                <w:szCs w:val="20"/>
                <w:color w:val="auto"/>
              </w:rPr>
            </w:pPr>
            <w:r>
              <w:rPr>
                <w:rFonts w:ascii="Arial" w:cs="Arial" w:eastAsia="Arial" w:hAnsi="Arial"/>
                <w:sz w:val="16"/>
                <w:szCs w:val="16"/>
                <w:b w:val="1"/>
                <w:bCs w:val="1"/>
                <w:color w:val="auto"/>
                <w:w w:val="87"/>
              </w:rPr>
              <w:t>Vessels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76"/>
              </w:rPr>
              <w:t>assets</w:t>
            </w:r>
          </w:p>
        </w:tc>
        <w:tc>
          <w:tcPr>
            <w:tcW w:w="18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assets</w:t>
            </w:r>
          </w:p>
        </w:tc>
      </w:tr>
      <w:tr>
        <w:trPr>
          <w:trHeight w:val="159"/>
        </w:trPr>
        <w:tc>
          <w:tcPr>
            <w:tcW w:w="5500" w:type="dxa"/>
            <w:vAlign w:val="bottom"/>
            <w:tcBorders>
              <w:top w:val="single" w:sz="8" w:color="E5FFFF"/>
            </w:tcBorders>
            <w:gridSpan w:val="2"/>
            <w:shd w:val="clear" w:color="auto" w:fill="E5FFFF"/>
          </w:tcPr>
          <w:p>
            <w:pPr>
              <w:spacing w:after="0" w:line="158" w:lineRule="exact"/>
              <w:rPr>
                <w:sz w:val="20"/>
                <w:szCs w:val="20"/>
                <w:color w:val="auto"/>
              </w:rPr>
            </w:pPr>
            <w:r>
              <w:rPr>
                <w:rFonts w:ascii="Arial" w:cs="Arial" w:eastAsia="Arial" w:hAnsi="Arial"/>
                <w:sz w:val="16"/>
                <w:szCs w:val="16"/>
                <w:b w:val="1"/>
                <w:bCs w:val="1"/>
                <w:color w:val="auto"/>
              </w:rPr>
              <w:t>Cost</w:t>
            </w:r>
          </w:p>
        </w:tc>
        <w:tc>
          <w:tcPr>
            <w:tcW w:w="1320" w:type="dxa"/>
            <w:vAlign w:val="bottom"/>
            <w:tcBorders>
              <w:top w:val="single" w:sz="8" w:color="auto"/>
            </w:tcBorders>
            <w:shd w:val="clear" w:color="auto" w:fill="E5FFFF"/>
          </w:tcPr>
          <w:p>
            <w:pPr>
              <w:spacing w:after="0"/>
              <w:rPr>
                <w:sz w:val="13"/>
                <w:szCs w:val="13"/>
                <w:color w:val="auto"/>
              </w:rPr>
            </w:pPr>
          </w:p>
        </w:tc>
        <w:tc>
          <w:tcPr>
            <w:tcW w:w="700" w:type="dxa"/>
            <w:vAlign w:val="bottom"/>
            <w:tcBorders>
              <w:top w:val="single" w:sz="8" w:color="auto"/>
            </w:tcBorders>
            <w:shd w:val="clear" w:color="auto" w:fill="E5FFFF"/>
          </w:tcPr>
          <w:p>
            <w:pPr>
              <w:spacing w:after="0"/>
              <w:rPr>
                <w:sz w:val="13"/>
                <w:szCs w:val="13"/>
                <w:color w:val="auto"/>
              </w:rPr>
            </w:pPr>
          </w:p>
        </w:tc>
        <w:tc>
          <w:tcPr>
            <w:tcW w:w="180" w:type="dxa"/>
            <w:vAlign w:val="bottom"/>
            <w:tcBorders>
              <w:top w:val="single" w:sz="8" w:color="E5FFFF"/>
            </w:tcBorders>
            <w:shd w:val="clear" w:color="auto" w:fill="E5FFFF"/>
          </w:tcPr>
          <w:p>
            <w:pPr>
              <w:spacing w:after="0"/>
              <w:rPr>
                <w:sz w:val="13"/>
                <w:szCs w:val="13"/>
                <w:color w:val="auto"/>
              </w:rPr>
            </w:pPr>
          </w:p>
        </w:tc>
        <w:tc>
          <w:tcPr>
            <w:tcW w:w="1300" w:type="dxa"/>
            <w:vAlign w:val="bottom"/>
            <w:tcBorders>
              <w:top w:val="single" w:sz="8" w:color="auto"/>
            </w:tcBorders>
            <w:shd w:val="clear" w:color="auto" w:fill="E5FFFF"/>
          </w:tcPr>
          <w:p>
            <w:pPr>
              <w:spacing w:after="0"/>
              <w:rPr>
                <w:sz w:val="13"/>
                <w:szCs w:val="13"/>
                <w:color w:val="auto"/>
              </w:rPr>
            </w:pPr>
          </w:p>
        </w:tc>
        <w:tc>
          <w:tcPr>
            <w:tcW w:w="180" w:type="dxa"/>
            <w:vAlign w:val="bottom"/>
            <w:tcBorders>
              <w:top w:val="single" w:sz="8" w:color="E5FFFF"/>
            </w:tcBorders>
            <w:shd w:val="clear" w:color="auto" w:fill="E5FFFF"/>
          </w:tcPr>
          <w:p>
            <w:pPr>
              <w:spacing w:after="0"/>
              <w:rPr>
                <w:sz w:val="13"/>
                <w:szCs w:val="13"/>
                <w:color w:val="auto"/>
              </w:rPr>
            </w:pPr>
          </w:p>
        </w:tc>
        <w:tc>
          <w:tcPr>
            <w:tcW w:w="1760" w:type="dxa"/>
            <w:vAlign w:val="bottom"/>
            <w:tcBorders>
              <w:top w:val="single" w:sz="8" w:color="auto"/>
            </w:tcBorders>
            <w:shd w:val="clear" w:color="auto" w:fill="E5FFFF"/>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5180" w:type="dxa"/>
            <w:vAlign w:val="bottom"/>
            <w:tcBorders>
              <w:top w:val="single" w:sz="8" w:color="E5FFFF"/>
            </w:tcBorders>
            <w:shd w:val="clear" w:color="auto" w:fill="E5FFFF"/>
          </w:tcPr>
          <w:p>
            <w:pPr>
              <w:spacing w:after="0" w:line="20" w:lineRule="exact"/>
              <w:rPr>
                <w:sz w:val="1"/>
                <w:szCs w:val="1"/>
                <w:color w:val="auto"/>
              </w:rPr>
            </w:pPr>
          </w:p>
        </w:tc>
        <w:tc>
          <w:tcPr>
            <w:tcW w:w="1320" w:type="dxa"/>
            <w:vAlign w:val="bottom"/>
            <w:tcBorders>
              <w:top w:val="single" w:sz="8" w:color="E5FFFF"/>
            </w:tcBorders>
            <w:shd w:val="clear" w:color="auto" w:fill="E5FFFF"/>
          </w:tcPr>
          <w:p>
            <w:pPr>
              <w:spacing w:after="0" w:line="20" w:lineRule="exact"/>
              <w:rPr>
                <w:sz w:val="1"/>
                <w:szCs w:val="1"/>
                <w:color w:val="auto"/>
              </w:rPr>
            </w:pPr>
          </w:p>
        </w:tc>
        <w:tc>
          <w:tcPr>
            <w:tcW w:w="70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130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1760" w:type="dxa"/>
            <w:vAlign w:val="bottom"/>
            <w:tcBorders>
              <w:top w:val="single" w:sz="8" w:color="E5FFFF"/>
            </w:tcBorders>
            <w:shd w:val="clear" w:color="auto" w:fill="E5FF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6820" w:type="dxa"/>
            <w:vAlign w:val="bottom"/>
            <w:gridSpan w:val="3"/>
          </w:tcPr>
          <w:p>
            <w:pPr>
              <w:spacing w:after="0"/>
              <w:rPr>
                <w:sz w:val="20"/>
                <w:szCs w:val="20"/>
                <w:color w:val="auto"/>
              </w:rPr>
            </w:pPr>
            <w:r>
              <w:rPr>
                <w:rFonts w:ascii="Arial" w:cs="Arial" w:eastAsia="Arial" w:hAnsi="Arial"/>
                <w:sz w:val="16"/>
                <w:szCs w:val="16"/>
                <w:color w:val="auto"/>
              </w:rPr>
              <w:t>As of January 1, 2020</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2,859,172</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2,859,172</w:t>
            </w:r>
          </w:p>
        </w:tc>
      </w:tr>
      <w:tr>
        <w:trPr>
          <w:trHeight w:val="219"/>
        </w:trPr>
        <w:tc>
          <w:tcPr>
            <w:tcW w:w="68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Additions</w:t>
            </w: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9,548</w:t>
            </w:r>
          </w:p>
        </w:tc>
        <w:tc>
          <w:tcPr>
            <w:tcW w:w="1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2,719</w:t>
            </w: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12,267</w:t>
            </w:r>
          </w:p>
        </w:tc>
        <w:tc>
          <w:tcPr>
            <w:tcW w:w="60" w:type="dxa"/>
            <w:vAlign w:val="bottom"/>
          </w:tcPr>
          <w:p>
            <w:pPr>
              <w:spacing w:after="0"/>
              <w:rPr>
                <w:sz w:val="19"/>
                <w:szCs w:val="19"/>
                <w:color w:val="auto"/>
              </w:rPr>
            </w:pPr>
          </w:p>
        </w:tc>
      </w:tr>
      <w:tr>
        <w:trPr>
          <w:trHeight w:val="210"/>
        </w:trPr>
        <w:tc>
          <w:tcPr>
            <w:tcW w:w="6820" w:type="dxa"/>
            <w:vAlign w:val="bottom"/>
            <w:gridSpan w:val="3"/>
          </w:tcPr>
          <w:p>
            <w:pPr>
              <w:spacing w:after="0"/>
              <w:rPr>
                <w:sz w:val="20"/>
                <w:szCs w:val="20"/>
                <w:color w:val="auto"/>
              </w:rPr>
            </w:pPr>
            <w:r>
              <w:rPr>
                <w:rFonts w:ascii="Arial" w:cs="Arial" w:eastAsia="Arial" w:hAnsi="Arial"/>
                <w:sz w:val="16"/>
                <w:szCs w:val="16"/>
                <w:color w:val="auto"/>
              </w:rPr>
              <w:t>Fully amortized dry-docking component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(2,442)</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(2,442)</w:t>
            </w:r>
          </w:p>
        </w:tc>
      </w:tr>
      <w:tr>
        <w:trPr>
          <w:trHeight w:val="202"/>
        </w:trPr>
        <w:tc>
          <w:tcPr>
            <w:tcW w:w="55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June 30, 2020</w:t>
            </w:r>
          </w:p>
        </w:tc>
        <w:tc>
          <w:tcPr>
            <w:tcW w:w="1320" w:type="dxa"/>
            <w:vAlign w:val="bottom"/>
            <w:tcBorders>
              <w:top w:val="single" w:sz="8" w:color="auto"/>
              <w:bottom w:val="single" w:sz="8" w:color="auto"/>
            </w:tcBorders>
            <w:shd w:val="clear" w:color="auto" w:fill="E5FFFF"/>
          </w:tcPr>
          <w:p>
            <w:pPr>
              <w:spacing w:after="0"/>
              <w:rPr>
                <w:sz w:val="17"/>
                <w:szCs w:val="17"/>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5"/>
              </w:rPr>
              <w:t>2,866,278</w:t>
            </w:r>
          </w:p>
        </w:tc>
        <w:tc>
          <w:tcPr>
            <w:tcW w:w="1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2,719</w:t>
            </w:r>
          </w:p>
        </w:tc>
        <w:tc>
          <w:tcPr>
            <w:tcW w:w="18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2,868,997</w:t>
            </w:r>
          </w:p>
        </w:tc>
        <w:tc>
          <w:tcPr>
            <w:tcW w:w="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82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Accumulated depreciation</w:t>
            </w:r>
          </w:p>
        </w:tc>
        <w:tc>
          <w:tcPr>
            <w:tcW w:w="7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7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820" w:type="dxa"/>
            <w:vAlign w:val="bottom"/>
            <w:gridSpan w:val="3"/>
          </w:tcPr>
          <w:p>
            <w:pPr>
              <w:spacing w:after="0"/>
              <w:rPr>
                <w:sz w:val="20"/>
                <w:szCs w:val="20"/>
                <w:color w:val="auto"/>
              </w:rPr>
            </w:pPr>
            <w:r>
              <w:rPr>
                <w:rFonts w:ascii="Arial" w:cs="Arial" w:eastAsia="Arial" w:hAnsi="Arial"/>
                <w:sz w:val="16"/>
                <w:szCs w:val="16"/>
                <w:color w:val="auto"/>
              </w:rPr>
              <w:t>As of January 1, 2020</w:t>
            </w:r>
          </w:p>
        </w:tc>
        <w:tc>
          <w:tcPr>
            <w:tcW w:w="700" w:type="dxa"/>
            <w:vAlign w:val="bottom"/>
          </w:tcPr>
          <w:p>
            <w:pPr>
              <w:jc w:val="right"/>
              <w:spacing w:after="0"/>
              <w:rPr>
                <w:sz w:val="20"/>
                <w:szCs w:val="20"/>
                <w:color w:val="auto"/>
              </w:rPr>
            </w:pPr>
            <w:r>
              <w:rPr>
                <w:rFonts w:ascii="Arial" w:cs="Arial" w:eastAsia="Arial" w:hAnsi="Arial"/>
                <w:sz w:val="16"/>
                <w:szCs w:val="16"/>
                <w:color w:val="auto"/>
              </w:rPr>
              <w:t>572,742</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572,742</w:t>
            </w:r>
          </w:p>
        </w:tc>
      </w:tr>
      <w:tr>
        <w:trPr>
          <w:trHeight w:val="219"/>
        </w:trPr>
        <w:tc>
          <w:tcPr>
            <w:tcW w:w="68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40,999</w:t>
            </w:r>
          </w:p>
        </w:tc>
        <w:tc>
          <w:tcPr>
            <w:tcW w:w="180" w:type="dxa"/>
            <w:vAlign w:val="bottom"/>
            <w:shd w:val="clear" w:color="auto" w:fill="E5FFFF"/>
          </w:tcPr>
          <w:p>
            <w:pPr>
              <w:spacing w:after="0"/>
              <w:rPr>
                <w:sz w:val="19"/>
                <w:szCs w:val="19"/>
                <w:color w:val="auto"/>
              </w:rPr>
            </w:pP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40,999</w:t>
            </w:r>
          </w:p>
        </w:tc>
        <w:tc>
          <w:tcPr>
            <w:tcW w:w="60" w:type="dxa"/>
            <w:vAlign w:val="bottom"/>
          </w:tcPr>
          <w:p>
            <w:pPr>
              <w:spacing w:after="0"/>
              <w:rPr>
                <w:sz w:val="19"/>
                <w:szCs w:val="19"/>
                <w:color w:val="auto"/>
              </w:rPr>
            </w:pPr>
          </w:p>
        </w:tc>
      </w:tr>
      <w:tr>
        <w:trPr>
          <w:trHeight w:val="213"/>
        </w:trPr>
        <w:tc>
          <w:tcPr>
            <w:tcW w:w="6820" w:type="dxa"/>
            <w:vAlign w:val="bottom"/>
            <w:gridSpan w:val="3"/>
          </w:tcPr>
          <w:p>
            <w:pPr>
              <w:spacing w:after="0"/>
              <w:rPr>
                <w:sz w:val="20"/>
                <w:szCs w:val="20"/>
                <w:color w:val="auto"/>
              </w:rPr>
            </w:pPr>
            <w:r>
              <w:rPr>
                <w:rFonts w:ascii="Arial" w:cs="Arial" w:eastAsia="Arial" w:hAnsi="Arial"/>
                <w:sz w:val="16"/>
                <w:szCs w:val="16"/>
                <w:color w:val="auto"/>
              </w:rPr>
              <w:t>Impairment loss on vessels</w:t>
            </w:r>
          </w:p>
        </w:tc>
        <w:tc>
          <w:tcPr>
            <w:tcW w:w="700" w:type="dxa"/>
            <w:vAlign w:val="bottom"/>
          </w:tcPr>
          <w:p>
            <w:pPr>
              <w:jc w:val="right"/>
              <w:spacing w:after="0"/>
              <w:rPr>
                <w:sz w:val="20"/>
                <w:szCs w:val="20"/>
                <w:color w:val="auto"/>
              </w:rPr>
            </w:pPr>
            <w:r>
              <w:rPr>
                <w:rFonts w:ascii="Arial" w:cs="Arial" w:eastAsia="Arial" w:hAnsi="Arial"/>
                <w:sz w:val="16"/>
                <w:szCs w:val="16"/>
                <w:color w:val="auto"/>
              </w:rPr>
              <w:t>18,841</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18,841</w:t>
            </w:r>
          </w:p>
        </w:tc>
      </w:tr>
      <w:tr>
        <w:trPr>
          <w:trHeight w:val="219"/>
        </w:trPr>
        <w:tc>
          <w:tcPr>
            <w:tcW w:w="68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Fully amortized dry-docking component</w:t>
            </w:r>
          </w:p>
        </w:tc>
        <w:tc>
          <w:tcPr>
            <w:tcW w:w="8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(2,442)</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(2,442)</w:t>
            </w:r>
          </w:p>
        </w:tc>
        <w:tc>
          <w:tcPr>
            <w:tcW w:w="60" w:type="dxa"/>
            <w:vAlign w:val="bottom"/>
          </w:tcPr>
          <w:p>
            <w:pPr>
              <w:spacing w:after="0"/>
              <w:rPr>
                <w:sz w:val="19"/>
                <w:szCs w:val="19"/>
                <w:color w:val="auto"/>
              </w:rPr>
            </w:pPr>
          </w:p>
        </w:tc>
      </w:tr>
      <w:tr>
        <w:trPr>
          <w:trHeight w:val="196"/>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As of June 30, 2020</w:t>
            </w:r>
          </w:p>
        </w:tc>
        <w:tc>
          <w:tcPr>
            <w:tcW w:w="1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630,140</w:t>
            </w:r>
          </w:p>
        </w:tc>
        <w:tc>
          <w:tcPr>
            <w:tcW w:w="1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630,140</w:t>
            </w:r>
          </w:p>
        </w:tc>
        <w:tc>
          <w:tcPr>
            <w:tcW w:w="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82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Net book value</w:t>
            </w:r>
          </w:p>
        </w:tc>
        <w:tc>
          <w:tcPr>
            <w:tcW w:w="7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7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682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2019</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5"/>
              </w:rPr>
              <w:t>2,286,430</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2,286,430</w:t>
            </w:r>
          </w:p>
        </w:tc>
        <w:tc>
          <w:tcPr>
            <w:tcW w:w="60" w:type="dxa"/>
            <w:vAlign w:val="bottom"/>
          </w:tcPr>
          <w:p>
            <w:pPr>
              <w:spacing w:after="0"/>
              <w:rPr>
                <w:sz w:val="18"/>
                <w:szCs w:val="18"/>
                <w:color w:val="auto"/>
              </w:rPr>
            </w:pPr>
          </w:p>
        </w:tc>
      </w:tr>
      <w:tr>
        <w:trPr>
          <w:trHeight w:val="209"/>
        </w:trPr>
        <w:tc>
          <w:tcPr>
            <w:tcW w:w="550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 of June 30, 2020</w:t>
            </w:r>
          </w:p>
        </w:tc>
        <w:tc>
          <w:tcPr>
            <w:tcW w:w="13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5"/>
              </w:rPr>
              <w:t>2,236,138</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2,719</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2,238,857</w:t>
            </w:r>
          </w:p>
        </w:tc>
        <w:tc>
          <w:tcPr>
            <w:tcW w:w="60" w:type="dxa"/>
            <w:vAlign w:val="bottom"/>
          </w:tcPr>
          <w:p>
            <w:pPr>
              <w:spacing w:after="0"/>
              <w:rPr>
                <w:sz w:val="18"/>
                <w:szCs w:val="18"/>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vessels have been pledged as collateral under the terms of the Partnership’s bank loan agreements.</w:t>
      </w:r>
    </w:p>
    <w:p>
      <w:pPr>
        <w:spacing w:after="0" w:line="235" w:lineRule="exact"/>
        <w:rPr>
          <w:sz w:val="20"/>
          <w:szCs w:val="20"/>
          <w:color w:val="auto"/>
        </w:rPr>
      </w:pPr>
    </w:p>
    <w:p>
      <w:pPr>
        <w:ind w:right="240" w:firstLine="405"/>
        <w:spacing w:after="0" w:line="297" w:lineRule="auto"/>
        <w:rPr>
          <w:sz w:val="20"/>
          <w:szCs w:val="20"/>
          <w:color w:val="auto"/>
        </w:rPr>
      </w:pPr>
      <w:r>
        <w:rPr>
          <w:rFonts w:ascii="Arial" w:cs="Arial" w:eastAsia="Arial" w:hAnsi="Arial"/>
          <w:sz w:val="15"/>
          <w:szCs w:val="15"/>
          <w:color w:val="auto"/>
        </w:rPr>
        <w:t xml:space="preserve">Following the acquisition of (i)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(ii)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 xml:space="preserve">Methane Heather Sally </w:t>
      </w:r>
      <w:r>
        <w:rPr>
          <w:rFonts w:ascii="Arial" w:cs="Arial" w:eastAsia="Arial" w:hAnsi="Arial"/>
          <w:sz w:val="15"/>
          <w:szCs w:val="15"/>
          <w:color w:val="auto"/>
        </w:rPr>
        <w:t>and (iii) the</w:t>
      </w:r>
      <w:r>
        <w:rPr>
          <w:rFonts w:ascii="Arial" w:cs="Arial" w:eastAsia="Arial" w:hAnsi="Arial"/>
          <w:sz w:val="15"/>
          <w:szCs w:val="15"/>
          <w:i w:val="1"/>
          <w:iCs w:val="1"/>
          <w:color w:val="auto"/>
        </w:rPr>
        <w:t xml:space="preserve"> Methane Becki Anne</w:t>
      </w:r>
      <w:r>
        <w:rPr>
          <w:rFonts w:ascii="Arial" w:cs="Arial" w:eastAsia="Arial" w:hAnsi="Arial"/>
          <w:sz w:val="15"/>
          <w:szCs w:val="15"/>
          <w:color w:val="auto"/>
        </w:rPr>
        <w:t>, the Partnership, through its subsidiaries (i) GAS-sixteen Ltd. and GAS-seventeen Ltd., (ii) GAS-nineteen Ltd.,</w:t>
      </w:r>
      <w:r>
        <w:rPr>
          <w:rFonts w:ascii="Arial" w:cs="Arial" w:eastAsia="Arial" w:hAnsi="Arial"/>
          <w:sz w:val="15"/>
          <w:szCs w:val="15"/>
          <w:i w:val="1"/>
          <w:iCs w:val="1"/>
          <w:color w:val="auto"/>
        </w:rPr>
        <w:t xml:space="preserve"> </w:t>
      </w:r>
      <w:r>
        <w:rPr>
          <w:rFonts w:ascii="Arial" w:cs="Arial" w:eastAsia="Arial" w:hAnsi="Arial"/>
          <w:sz w:val="15"/>
          <w:szCs w:val="15"/>
          <w:color w:val="auto"/>
        </w:rPr>
        <w:t>GAS-twenty Ltd., GAS-twenty one Ltd., and (iii) GAS-twenty seven Ltd., respectively, was counter guarantor for the acquisition from BG Group plc of depot spares purchased with respect to the aforementioned vessels. In June 2020, the Partnership acquired from GasLog the relevant spares at a cost of $2,719.</w:t>
      </w:r>
    </w:p>
    <w:p>
      <w:pPr>
        <w:spacing w:after="0" w:line="172" w:lineRule="exact"/>
        <w:rPr>
          <w:sz w:val="20"/>
          <w:szCs w:val="20"/>
          <w:color w:val="auto"/>
        </w:rPr>
      </w:pPr>
    </w:p>
    <w:p>
      <w:pPr>
        <w:ind w:right="80" w:firstLine="405"/>
        <w:spacing w:after="0" w:line="269" w:lineRule="auto"/>
        <w:rPr>
          <w:sz w:val="20"/>
          <w:szCs w:val="20"/>
          <w:color w:val="auto"/>
        </w:rPr>
      </w:pPr>
      <w:r>
        <w:rPr>
          <w:rFonts w:ascii="Arial" w:cs="Arial" w:eastAsia="Arial" w:hAnsi="Arial"/>
          <w:sz w:val="16"/>
          <w:szCs w:val="16"/>
          <w:color w:val="auto"/>
        </w:rPr>
        <w:t xml:space="preserve">As of June 30, 2020, a number of negative indicators, such as the downward pressure on economic activity and energy demand, as well as the significant uncertainty regarding future LNG demand and, therefore LNG shipping requirements pursuant to the COVID-19 pandemic, combined with our reduced expectations for the estimated rates at which employment for the Partnership’s vessels could be secured over the near-term in the spot market, prompted the Partnership to perform an impairment assessment of its vessels in accordance with the Partnership’s accounting policy. The recoverable amounts (values in use) for three steam turbine propulsion (“Steam”) vessels owned by the Partnership, i.e.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calculated as per above were lower than the respective carrying amounts of these vessels and, consequently, an aggregate impairment loss of $18,841 was recognized in profit or loss in the six months ended June 30, 2020.</w:t>
      </w:r>
    </w:p>
    <w:p>
      <w:pPr>
        <w:spacing w:after="0" w:line="190" w:lineRule="exact"/>
        <w:rPr>
          <w:sz w:val="20"/>
          <w:szCs w:val="20"/>
          <w:color w:val="auto"/>
        </w:rPr>
      </w:pPr>
    </w:p>
    <w:p>
      <w:pPr>
        <w:ind w:right="60" w:firstLine="383"/>
        <w:spacing w:after="0" w:line="318" w:lineRule="auto"/>
        <w:rPr>
          <w:sz w:val="20"/>
          <w:szCs w:val="20"/>
          <w:color w:val="auto"/>
        </w:rPr>
      </w:pPr>
      <w:r>
        <w:rPr>
          <w:rFonts w:ascii="Arial" w:cs="Arial" w:eastAsia="Arial" w:hAnsi="Arial"/>
          <w:sz w:val="14"/>
          <w:szCs w:val="14"/>
          <w:color w:val="auto"/>
        </w:rPr>
        <w:t>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$39 per day. Increasing/decreasing the average re-chartering rate used by $5 per day would result in an aggregate (decrease)/increase in the impairment charge of $(105,540)/98,878. The discount rate used for the Steam vessels was 5.8% as of June 30, 2020. Increasing/decreasing the discount rate by 0.5% would increase/(decrease) the impairment loss by $21,793/($11,335),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movements in right-of use assets and lease liabilities are reported in the following tables:</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94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Vessel equipment</w:t>
            </w:r>
          </w:p>
        </w:tc>
      </w:tr>
      <w:tr>
        <w:trPr>
          <w:trHeight w:val="179"/>
        </w:trPr>
        <w:tc>
          <w:tcPr>
            <w:tcW w:w="1300" w:type="dxa"/>
            <w:vAlign w:val="bottom"/>
            <w:tcBorders>
              <w:top w:val="single" w:sz="8" w:color="E5FFFF"/>
              <w:bottom w:val="single" w:sz="8" w:color="auto"/>
            </w:tcBorders>
            <w:gridSpan w:val="2"/>
            <w:shd w:val="clear" w:color="auto" w:fill="E5FFFF"/>
          </w:tcPr>
          <w:p>
            <w:pPr>
              <w:spacing w:after="0" w:line="158" w:lineRule="exact"/>
              <w:rPr>
                <w:sz w:val="20"/>
                <w:szCs w:val="20"/>
                <w:color w:val="auto"/>
              </w:rPr>
            </w:pPr>
            <w:r>
              <w:rPr>
                <w:rFonts w:ascii="Arial" w:cs="Arial" w:eastAsia="Arial" w:hAnsi="Arial"/>
                <w:sz w:val="16"/>
                <w:szCs w:val="16"/>
                <w:b w:val="1"/>
                <w:bCs w:val="1"/>
                <w:color w:val="auto"/>
                <w:w w:val="86"/>
              </w:rPr>
              <w:t>Right-of-use assets</w:t>
            </w:r>
          </w:p>
        </w:tc>
        <w:tc>
          <w:tcPr>
            <w:tcW w:w="7780" w:type="dxa"/>
            <w:vAlign w:val="bottom"/>
            <w:tcBorders>
              <w:top w:val="single" w:sz="8" w:color="E5FFFF"/>
              <w:bottom w:val="single" w:sz="8" w:color="E5FFFF"/>
            </w:tcBorders>
            <w:shd w:val="clear" w:color="auto" w:fill="E5FFFF"/>
          </w:tcPr>
          <w:p>
            <w:pPr>
              <w:spacing w:after="0"/>
              <w:rPr>
                <w:sz w:val="15"/>
                <w:szCs w:val="15"/>
                <w:color w:val="auto"/>
              </w:rPr>
            </w:pPr>
          </w:p>
        </w:tc>
        <w:tc>
          <w:tcPr>
            <w:tcW w:w="1880" w:type="dxa"/>
            <w:vAlign w:val="bottom"/>
            <w:tcBorders>
              <w:top w:val="single" w:sz="8" w:color="auto"/>
              <w:bottom w:val="single" w:sz="8" w:color="E5FFFF"/>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b w:val="1"/>
                <w:bCs w:val="1"/>
                <w:color w:val="auto"/>
              </w:rPr>
              <w:t>As of January 1, 2020</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1,033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90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6"/>
        </w:trPr>
        <w:tc>
          <w:tcPr>
            <w:tcW w:w="9080" w:type="dxa"/>
            <w:vAlign w:val="bottom"/>
            <w:gridSpan w:val="3"/>
          </w:tcPr>
          <w:p>
            <w:pPr>
              <w:spacing w:after="0"/>
              <w:rPr>
                <w:sz w:val="20"/>
                <w:szCs w:val="20"/>
                <w:color w:val="auto"/>
              </w:rPr>
            </w:pPr>
            <w:r>
              <w:rPr>
                <w:rFonts w:ascii="Arial" w:cs="Arial" w:eastAsia="Arial" w:hAnsi="Arial"/>
                <w:sz w:val="16"/>
                <w:szCs w:val="16"/>
                <w:b w:val="1"/>
                <w:bCs w:val="1"/>
                <w:color w:val="auto"/>
              </w:rPr>
              <w:t>As of June 30, 2020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80" w:type="dxa"/>
            <w:vAlign w:val="bottom"/>
            <w:tcBorders>
              <w:bottom w:val="single" w:sz="8" w:color="auto"/>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w w:val="89"/>
              </w:rPr>
              <w:t>Lease liabilities</w:t>
            </w:r>
          </w:p>
        </w:tc>
        <w:tc>
          <w:tcPr>
            <w:tcW w:w="8000" w:type="dxa"/>
            <w:vAlign w:val="bottom"/>
            <w:tcBorders>
              <w:bottom w:val="single" w:sz="8" w:color="E5FFFF"/>
            </w:tcBorders>
            <w:gridSpan w:val="2"/>
            <w:shd w:val="clear" w:color="auto" w:fill="E5FFFF"/>
          </w:tcPr>
          <w:p>
            <w:pPr>
              <w:spacing w:after="0"/>
              <w:rPr>
                <w:sz w:val="17"/>
                <w:szCs w:val="17"/>
                <w:color w:val="auto"/>
              </w:rPr>
            </w:pPr>
          </w:p>
        </w:tc>
        <w:tc>
          <w:tcPr>
            <w:tcW w:w="1880" w:type="dxa"/>
            <w:vAlign w:val="bottom"/>
            <w:tcBorders>
              <w:bottom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b w:val="1"/>
                <w:bCs w:val="1"/>
                <w:color w:val="auto"/>
              </w:rPr>
              <w:t>As of January 1, 2020</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886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90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Lease expense (Note 14)</w:t>
            </w:r>
          </w:p>
        </w:tc>
        <w:tc>
          <w:tcPr>
            <w:tcW w:w="1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9080" w:type="dxa"/>
            <w:vAlign w:val="bottom"/>
            <w:gridSpan w:val="3"/>
          </w:tcPr>
          <w:p>
            <w:pPr>
              <w:spacing w:after="0"/>
              <w:rPr>
                <w:sz w:val="20"/>
                <w:szCs w:val="20"/>
                <w:color w:val="auto"/>
              </w:rPr>
            </w:pPr>
            <w:r>
              <w:rPr>
                <w:rFonts w:ascii="Arial" w:cs="Arial" w:eastAsia="Arial" w:hAnsi="Arial"/>
                <w:sz w:val="16"/>
                <w:szCs w:val="16"/>
                <w:color w:val="auto"/>
              </w:rPr>
              <w:t>Payments</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(254)</w:t>
            </w:r>
          </w:p>
        </w:tc>
      </w:tr>
      <w:tr>
        <w:trPr>
          <w:trHeight w:val="202"/>
        </w:trPr>
        <w:tc>
          <w:tcPr>
            <w:tcW w:w="90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As of June 30, 2020</w:t>
            </w: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080" w:type="dxa"/>
            <w:vAlign w:val="bottom"/>
            <w:gridSpan w:val="3"/>
          </w:tcPr>
          <w:p>
            <w:pPr>
              <w:spacing w:after="0"/>
              <w:rPr>
                <w:sz w:val="20"/>
                <w:szCs w:val="20"/>
                <w:color w:val="auto"/>
              </w:rPr>
            </w:pPr>
            <w:r>
              <w:rPr>
                <w:rFonts w:ascii="Arial" w:cs="Arial" w:eastAsia="Arial" w:hAnsi="Arial"/>
                <w:sz w:val="16"/>
                <w:szCs w:val="16"/>
                <w:color w:val="auto"/>
              </w:rPr>
              <w:t>Lease liabilities, current portion</w:t>
            </w:r>
          </w:p>
        </w:tc>
        <w:tc>
          <w:tcPr>
            <w:tcW w:w="1880" w:type="dxa"/>
            <w:vAlign w:val="bottom"/>
          </w:tcPr>
          <w:p>
            <w:pPr>
              <w:jc w:val="right"/>
              <w:spacing w:after="0"/>
              <w:rPr>
                <w:sz w:val="20"/>
                <w:szCs w:val="20"/>
                <w:color w:val="auto"/>
              </w:rPr>
            </w:pPr>
            <w:r>
              <w:rPr>
                <w:rFonts w:ascii="Arial" w:cs="Arial" w:eastAsia="Arial" w:hAnsi="Arial"/>
                <w:sz w:val="16"/>
                <w:szCs w:val="16"/>
                <w:color w:val="auto"/>
              </w:rPr>
              <w:t>427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0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Lease liabilities, non-current portion</w:t>
            </w:r>
          </w:p>
        </w:tc>
        <w:tc>
          <w:tcPr>
            <w:tcW w:w="1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908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6" w:lineRule="exact"/>
        <w:rPr>
          <w:sz w:val="20"/>
          <w:szCs w:val="20"/>
          <w:color w:val="auto"/>
        </w:rPr>
      </w:pPr>
    </w:p>
    <w:p>
      <w:pPr>
        <w:ind w:right="40" w:firstLine="383"/>
        <w:spacing w:after="0" w:line="328" w:lineRule="auto"/>
        <w:rPr>
          <w:sz w:val="20"/>
          <w:szCs w:val="20"/>
          <w:color w:val="auto"/>
        </w:rPr>
      </w:pPr>
      <w:r>
        <w:rPr>
          <w:rFonts w:ascii="Arial" w:cs="Arial" w:eastAsia="Arial" w:hAnsi="Arial"/>
          <w:sz w:val="15"/>
          <w:szCs w:val="15"/>
          <w:color w:val="auto"/>
        </w:rPr>
        <w:t>An amount of $16 and $102 has been recognized in the unaudited condensed consolidated statement of profit or loss for the three and six months ended June 30, 2020, respectively which represents the lease expense incurred for low value leases not included in the measurement of the right-of-use assets and lease liabilities.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6. Prepayments and Other Current Assets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18"/>
        </w:trPr>
        <w:tc>
          <w:tcPr>
            <w:tcW w:w="160" w:type="dxa"/>
            <w:vAlign w:val="bottom"/>
          </w:tcPr>
          <w:p>
            <w:pPr>
              <w:spacing w:after="0"/>
              <w:rPr>
                <w:sz w:val="24"/>
                <w:szCs w:val="24"/>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An analysis of prepayments and other current assets is as follows: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1"/>
        </w:trPr>
        <w:tc>
          <w:tcPr>
            <w:tcW w:w="1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w:t>
            </w:r>
          </w:p>
        </w:tc>
      </w:tr>
      <w:tr>
        <w:trPr>
          <w:trHeight w:val="213"/>
        </w:trPr>
        <w:tc>
          <w:tcPr>
            <w:tcW w:w="160" w:type="dxa"/>
            <w:vAlign w:val="bottom"/>
          </w:tcPr>
          <w:p>
            <w:pPr>
              <w:spacing w:after="0"/>
              <w:rPr>
                <w:sz w:val="18"/>
                <w:szCs w:val="18"/>
                <w:color w:val="auto"/>
              </w:rPr>
            </w:pPr>
          </w:p>
        </w:tc>
        <w:tc>
          <w:tcPr>
            <w:tcW w:w="80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9"/>
        </w:trPr>
        <w:tc>
          <w:tcPr>
            <w:tcW w:w="160" w:type="dxa"/>
            <w:vAlign w:val="bottom"/>
          </w:tcPr>
          <w:p>
            <w:pPr>
              <w:spacing w:after="0"/>
              <w:rPr>
                <w:sz w:val="17"/>
                <w:szCs w:val="17"/>
                <w:color w:val="auto"/>
              </w:rPr>
            </w:pPr>
          </w:p>
        </w:tc>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Prepayments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1,597</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1,526</w:t>
            </w:r>
          </w:p>
        </w:tc>
      </w:tr>
      <w:tr>
        <w:trPr>
          <w:trHeight w:val="203"/>
        </w:trPr>
        <w:tc>
          <w:tcPr>
            <w:tcW w:w="16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Other current assets</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03"/>
        </w:trPr>
        <w:tc>
          <w:tcPr>
            <w:tcW w:w="160" w:type="dxa"/>
            <w:vAlign w:val="bottom"/>
          </w:tcPr>
          <w:p>
            <w:pPr>
              <w:spacing w:after="0"/>
              <w:rPr>
                <w:sz w:val="17"/>
                <w:szCs w:val="17"/>
                <w:color w:val="auto"/>
              </w:rPr>
            </w:pPr>
          </w:p>
        </w:tc>
        <w:tc>
          <w:tcPr>
            <w:tcW w:w="80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1,597</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16,526</w:t>
            </w:r>
          </w:p>
        </w:tc>
      </w:tr>
    </w:tbl>
    <w:p>
      <w:pPr>
        <w:spacing w:after="0" w:line="206" w:lineRule="exact"/>
        <w:rPr>
          <w:sz w:val="20"/>
          <w:szCs w:val="20"/>
          <w:color w:val="auto"/>
        </w:rPr>
      </w:pPr>
    </w:p>
    <w:p>
      <w:pPr>
        <w:ind w:right="520" w:firstLine="396"/>
        <w:spacing w:after="0" w:line="293" w:lineRule="auto"/>
        <w:rPr>
          <w:sz w:val="20"/>
          <w:szCs w:val="20"/>
          <w:color w:val="auto"/>
        </w:rPr>
      </w:pPr>
      <w:r>
        <w:rPr>
          <w:rFonts w:ascii="Arial" w:cs="Arial" w:eastAsia="Arial" w:hAnsi="Arial"/>
          <w:sz w:val="16"/>
          <w:szCs w:val="16"/>
          <w:color w:val="auto"/>
        </w:rPr>
        <w:t>Other current assets comprise $15,000 of cash deposited with GasLog as collateral for the interest rate swaps and forward foreign exchange contracts held with GasLog, pursuant to a Credit Support Annex entered into on March 16, 2020 (Note 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Partners’ Equity</w:t>
      </w:r>
    </w:p>
    <w:p>
      <w:pPr>
        <w:spacing w:after="0" w:line="23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5"/>
          <w:szCs w:val="15"/>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Since the authorization of the unit repurchase programme and through December 31, 2019, GasLog Partners has repurchased and cancelled a total of 1,171,572 units at a weighted average price of $19.52 per common unit for a total amount of $22,890, including commissions.</w:t>
      </w:r>
    </w:p>
    <w:p>
      <w:pPr>
        <w:spacing w:after="0" w:line="172" w:lineRule="exact"/>
        <w:rPr>
          <w:sz w:val="20"/>
          <w:szCs w:val="20"/>
          <w:color w:val="auto"/>
        </w:rPr>
      </w:pPr>
    </w:p>
    <w:p>
      <w:pPr>
        <w:jc w:val="both"/>
        <w:ind w:right="80" w:firstLine="324"/>
        <w:spacing w:after="0" w:line="305" w:lineRule="auto"/>
        <w:rPr>
          <w:sz w:val="20"/>
          <w:szCs w:val="20"/>
          <w:color w:val="auto"/>
        </w:rPr>
      </w:pPr>
      <w:r>
        <w:rPr>
          <w:rFonts w:ascii="Arial" w:cs="Arial" w:eastAsia="Arial" w:hAnsi="Arial"/>
          <w:sz w:val="15"/>
          <w:szCs w:val="15"/>
          <w:color w:val="auto"/>
        </w:rPr>
        <w:t>On February 5, 2020, the board of directors of GasLog Partners authorized a renewal of the unit repurchase programme taking the total authority outstanding under the programme to $25,000, to be utilized from February 10, 2020 to December 31, 2021. In the six months ended June 30, 2020, GasLog Partners repurchased and cancelled a total of 191,490 units at a weighted average price of $5.18 per common unit for a total amount of $996, including commissions.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On April 3, 2020, GasLog Partners issued 46,843 common units in connection with the vesting of 25,551 RCUs and 21,292 PCUs under its 2015 Long-Term Incentive Plan (the “2015 Plan”) and an additional 21,589 common units in connection with the vesting of 11,776 RCUs and 9,813 PCUs on June 30, 2020. Subsequently, on July 1, 2020, GasLog Partners issued 415,000 common units in connection with GasLog’s option to convert the first tranche of its Class B units issued upon the elimination of IDRs in June 2019 (Note 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8. Borrowings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1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160" w:type="dxa"/>
            <w:vAlign w:val="bottom"/>
          </w:tcPr>
          <w:p>
            <w:pPr>
              <w:spacing w:after="0"/>
              <w:rPr>
                <w:sz w:val="18"/>
                <w:szCs w:val="18"/>
                <w:color w:val="auto"/>
              </w:rPr>
            </w:pPr>
          </w:p>
        </w:tc>
        <w:tc>
          <w:tcPr>
            <w:tcW w:w="80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r>
      <w:tr>
        <w:trPr>
          <w:trHeight w:val="199"/>
        </w:trPr>
        <w:tc>
          <w:tcPr>
            <w:tcW w:w="160" w:type="dxa"/>
            <w:vAlign w:val="bottom"/>
          </w:tcPr>
          <w:p>
            <w:pPr>
              <w:spacing w:after="0"/>
              <w:rPr>
                <w:sz w:val="17"/>
                <w:szCs w:val="17"/>
                <w:color w:val="auto"/>
              </w:rPr>
            </w:pPr>
          </w:p>
        </w:tc>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115,572</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318,256</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(5,750)</w:t>
            </w:r>
          </w:p>
        </w:tc>
        <w:tc>
          <w:tcPr>
            <w:tcW w:w="1300" w:type="dxa"/>
            <w:vAlign w:val="bottom"/>
          </w:tcPr>
          <w:p>
            <w:pPr>
              <w:jc w:val="right"/>
              <w:spacing w:after="0"/>
              <w:rPr>
                <w:sz w:val="20"/>
                <w:szCs w:val="20"/>
                <w:color w:val="auto"/>
              </w:rPr>
            </w:pPr>
            <w:r>
              <w:rPr>
                <w:rFonts w:ascii="Arial" w:cs="Arial" w:eastAsia="Arial" w:hAnsi="Arial"/>
                <w:sz w:val="16"/>
                <w:szCs w:val="16"/>
                <w:color w:val="auto"/>
              </w:rPr>
              <w:t>(5,247)</w:t>
            </w:r>
          </w:p>
        </w:tc>
        <w:tc>
          <w:tcPr>
            <w:tcW w:w="4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8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109,822</w:t>
            </w:r>
          </w:p>
        </w:tc>
        <w:tc>
          <w:tcPr>
            <w:tcW w:w="1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313,009</w:t>
            </w:r>
          </w:p>
        </w:tc>
        <w:tc>
          <w:tcPr>
            <w:tcW w:w="40" w:type="dxa"/>
            <w:vAlign w:val="bottom"/>
          </w:tcPr>
          <w:p>
            <w:pPr>
              <w:spacing w:after="0"/>
              <w:rPr>
                <w:sz w:val="17"/>
                <w:szCs w:val="17"/>
                <w:color w:val="auto"/>
              </w:rPr>
            </w:pPr>
          </w:p>
        </w:tc>
      </w:tr>
      <w:tr>
        <w:trPr>
          <w:trHeight w:val="196"/>
        </w:trPr>
        <w:tc>
          <w:tcPr>
            <w:tcW w:w="8180" w:type="dxa"/>
            <w:vAlign w:val="bottom"/>
            <w:gridSpan w:val="2"/>
          </w:tcPr>
          <w:p>
            <w:pPr>
              <w:ind w:left="160"/>
              <w:spacing w:after="0"/>
              <w:rPr>
                <w:sz w:val="20"/>
                <w:szCs w:val="20"/>
                <w:color w:val="auto"/>
              </w:rPr>
            </w:pPr>
            <w:r>
              <w:rPr>
                <w:rFonts w:ascii="Arial" w:cs="Arial" w:eastAsia="Arial" w:hAnsi="Arial"/>
                <w:sz w:val="16"/>
                <w:szCs w:val="16"/>
                <w:color w:val="auto"/>
              </w:rPr>
              <w:t>Amounts due after one year</w:t>
            </w:r>
          </w:p>
        </w:tc>
        <w:tc>
          <w:tcPr>
            <w:tcW w:w="1360" w:type="dxa"/>
            <w:vAlign w:val="bottom"/>
          </w:tcPr>
          <w:p>
            <w:pPr>
              <w:jc w:val="right"/>
              <w:spacing w:after="0"/>
              <w:rPr>
                <w:sz w:val="20"/>
                <w:szCs w:val="20"/>
                <w:color w:val="auto"/>
              </w:rPr>
            </w:pPr>
            <w:r>
              <w:rPr>
                <w:rFonts w:ascii="Arial" w:cs="Arial" w:eastAsia="Arial" w:hAnsi="Arial"/>
                <w:sz w:val="16"/>
                <w:szCs w:val="16"/>
                <w:color w:val="auto"/>
              </w:rPr>
              <w:t>1,250,059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1,017,510</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5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(13,857)</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(11,408)</w:t>
            </w:r>
          </w:p>
        </w:tc>
        <w:tc>
          <w:tcPr>
            <w:tcW w:w="4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80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1,236,202</w:t>
            </w:r>
          </w:p>
        </w:tc>
        <w:tc>
          <w:tcPr>
            <w:tcW w:w="18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1,006,102</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80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1,346,024</w:t>
            </w:r>
          </w:p>
        </w:tc>
        <w:tc>
          <w:tcPr>
            <w:tcW w:w="18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1,319,111</w:t>
            </w:r>
          </w:p>
        </w:tc>
        <w:tc>
          <w:tcPr>
            <w:tcW w:w="40" w:type="dxa"/>
            <w:vAlign w:val="bottom"/>
          </w:tcPr>
          <w:p>
            <w:pPr>
              <w:spacing w:after="0"/>
              <w:rPr>
                <w:sz w:val="17"/>
                <w:szCs w:val="17"/>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6" w:name="page387"/>
    <w:bookmarkEnd w:id="386"/>
    <w:p>
      <w:pPr>
        <w:ind w:right="120" w:firstLine="405"/>
        <w:spacing w:after="0" w:line="293" w:lineRule="auto"/>
        <w:rPr>
          <w:sz w:val="20"/>
          <w:szCs w:val="20"/>
          <w:color w:val="auto"/>
        </w:rPr>
      </w:pPr>
      <w:r>
        <w:rPr>
          <w:rFonts w:ascii="Arial" w:cs="Arial" w:eastAsia="Arial" w:hAnsi="Arial"/>
          <w:sz w:val="16"/>
          <w:szCs w:val="16"/>
          <w:color w:val="auto"/>
        </w:rPr>
        <w:t>The main terms of the bank loan facilities, including financial covenants, and the Sponsor Credit Facility have been disclosed in the annual consolidated financial statements for the year ended December 31, 2019. Refer to Note 7 “Borrowings”.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July 2020, the Partnership successfully refinanced its debt facilities maturing in April and July 2021 (Note 20).</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GasLog Partners was in compliance with its financial covenants as of June 30, 2020.</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9. Other Payables and Accruals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18"/>
        </w:trPr>
        <w:tc>
          <w:tcPr>
            <w:tcW w:w="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16"/>
                <w:szCs w:val="16"/>
                <w:color w:val="auto"/>
              </w:rPr>
              <w:t>An analysis of other payables and accruals is as follows: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1"/>
        </w:trPr>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3"/>
        </w:trPr>
        <w:tc>
          <w:tcPr>
            <w:tcW w:w="160" w:type="dxa"/>
            <w:vAlign w:val="bottom"/>
          </w:tcPr>
          <w:p>
            <w:pPr>
              <w:spacing w:after="0"/>
              <w:rPr>
                <w:sz w:val="18"/>
                <w:szCs w:val="18"/>
                <w:color w:val="auto"/>
              </w:rPr>
            </w:pPr>
          </w:p>
        </w:tc>
        <w:tc>
          <w:tcPr>
            <w:tcW w:w="4860" w:type="dxa"/>
            <w:vAlign w:val="bottom"/>
            <w:tcBorders>
              <w:bottom w:val="single" w:sz="8" w:color="E5FFFF"/>
            </w:tcBorders>
          </w:tcPr>
          <w:p>
            <w:pPr>
              <w:spacing w:after="0"/>
              <w:rPr>
                <w:sz w:val="18"/>
                <w:szCs w:val="18"/>
                <w:color w:val="auto"/>
              </w:rPr>
            </w:pPr>
          </w:p>
        </w:tc>
        <w:tc>
          <w:tcPr>
            <w:tcW w:w="13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199"/>
        </w:trPr>
        <w:tc>
          <w:tcPr>
            <w:tcW w:w="16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27,916</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14,513</w:t>
            </w:r>
          </w:p>
        </w:tc>
      </w:tr>
      <w:tr>
        <w:trPr>
          <w:trHeight w:val="203"/>
        </w:trPr>
        <w:tc>
          <w:tcPr>
            <w:tcW w:w="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Accrued off-hire</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1,688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3,379</w:t>
            </w:r>
          </w:p>
        </w:tc>
      </w:tr>
      <w:tr>
        <w:trPr>
          <w:trHeight w:val="203"/>
        </w:trPr>
        <w:tc>
          <w:tcPr>
            <w:tcW w:w="16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3,335</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2,508</w:t>
            </w:r>
          </w:p>
        </w:tc>
      </w:tr>
      <w:tr>
        <w:trPr>
          <w:trHeight w:val="203"/>
        </w:trPr>
        <w:tc>
          <w:tcPr>
            <w:tcW w:w="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Accrued interest</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12,393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10,359</w:t>
            </w:r>
          </w:p>
        </w:tc>
      </w:tr>
      <w:tr>
        <w:trPr>
          <w:trHeight w:val="203"/>
        </w:trPr>
        <w:tc>
          <w:tcPr>
            <w:tcW w:w="16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6,238</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9,018</w:t>
            </w:r>
          </w:p>
        </w:tc>
      </w:tr>
      <w:tr>
        <w:trPr>
          <w:trHeight w:val="203"/>
        </w:trPr>
        <w:tc>
          <w:tcPr>
            <w:tcW w:w="5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51,570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39,777</w:t>
            </w:r>
          </w:p>
        </w:tc>
      </w:tr>
      <w:tr>
        <w:trPr>
          <w:trHeight w:val="413"/>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10. Revenues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6400" w:type="dxa"/>
            <w:vAlign w:val="bottom"/>
            <w:gridSpan w:val="3"/>
          </w:tcPr>
          <w:p>
            <w:pPr>
              <w:ind w:left="240"/>
              <w:spacing w:after="0"/>
              <w:rPr>
                <w:sz w:val="20"/>
                <w:szCs w:val="20"/>
                <w:color w:val="auto"/>
              </w:rPr>
            </w:pPr>
            <w:r>
              <w:rPr>
                <w:rFonts w:ascii="Arial" w:cs="Arial" w:eastAsia="Arial" w:hAnsi="Arial"/>
                <w:sz w:val="16"/>
                <w:szCs w:val="16"/>
                <w:color w:val="auto"/>
              </w:rPr>
              <w:t>The Partnership has recognized the following amounts relating to revenues: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1"/>
        </w:trPr>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160" w:type="dxa"/>
            <w:vAlign w:val="bottom"/>
            <w:gridSpan w:val="5"/>
          </w:tcPr>
          <w:p>
            <w:pPr>
              <w:ind w:left="480"/>
              <w:spacing w:after="0"/>
              <w:rPr>
                <w:sz w:val="20"/>
                <w:szCs w:val="20"/>
                <w:color w:val="auto"/>
              </w:rPr>
            </w:pPr>
            <w:r>
              <w:rPr>
                <w:rFonts w:ascii="Arial" w:cs="Arial" w:eastAsia="Arial" w:hAnsi="Arial"/>
                <w:sz w:val="16"/>
                <w:szCs w:val="16"/>
                <w:b w:val="1"/>
                <w:bCs w:val="1"/>
                <w:color w:val="auto"/>
              </w:rPr>
              <w:t>For the three months ended</w:t>
            </w:r>
          </w:p>
        </w:tc>
        <w:tc>
          <w:tcPr>
            <w:tcW w:w="28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62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2020</w:t>
            </w:r>
          </w:p>
        </w:tc>
        <w:tc>
          <w:tcPr>
            <w:tcW w:w="1540" w:type="dxa"/>
            <w:vAlign w:val="bottom"/>
            <w:gridSpan w:val="4"/>
          </w:tcPr>
          <w:p>
            <w:pPr>
              <w:ind w:left="140"/>
              <w:spacing w:after="0"/>
              <w:rPr>
                <w:sz w:val="20"/>
                <w:szCs w:val="20"/>
                <w:color w:val="auto"/>
              </w:rPr>
            </w:pPr>
            <w:r>
              <w:rPr>
                <w:rFonts w:ascii="Arial" w:cs="Arial" w:eastAsia="Arial" w:hAnsi="Arial"/>
                <w:sz w:val="16"/>
                <w:szCs w:val="16"/>
                <w:b w:val="1"/>
                <w:bCs w:val="1"/>
                <w:color w:val="auto"/>
              </w:rPr>
              <w:t>June 30, 2019</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2020</w:t>
            </w:r>
          </w:p>
        </w:tc>
      </w:tr>
      <w:tr>
        <w:trPr>
          <w:trHeight w:val="199"/>
        </w:trPr>
        <w:tc>
          <w:tcPr>
            <w:tcW w:w="160" w:type="dxa"/>
            <w:vAlign w:val="bottom"/>
          </w:tcPr>
          <w:p>
            <w:pPr>
              <w:spacing w:after="0"/>
              <w:rPr>
                <w:sz w:val="17"/>
                <w:szCs w:val="17"/>
                <w:color w:val="auto"/>
              </w:rPr>
            </w:pPr>
          </w:p>
        </w:tc>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90,509</w:t>
            </w:r>
          </w:p>
        </w:tc>
        <w:tc>
          <w:tcPr>
            <w:tcW w:w="2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84,448</w:t>
            </w:r>
          </w:p>
        </w:tc>
        <w:tc>
          <w:tcPr>
            <w:tcW w:w="1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180,696</w:t>
            </w:r>
          </w:p>
        </w:tc>
        <w:tc>
          <w:tcPr>
            <w:tcW w:w="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175,801</w:t>
            </w:r>
          </w:p>
        </w:tc>
      </w:tr>
      <w:tr>
        <w:trPr>
          <w:trHeight w:val="203"/>
        </w:trPr>
        <w:tc>
          <w:tcPr>
            <w:tcW w:w="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Revenues from the Cool Pool</w:t>
            </w:r>
          </w:p>
        </w:tc>
        <w:tc>
          <w:tcPr>
            <w:tcW w:w="1340" w:type="dxa"/>
            <w:vAlign w:val="bottom"/>
          </w:tcPr>
          <w:p>
            <w:pPr>
              <w:jc w:val="right"/>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7"/>
                <w:szCs w:val="17"/>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4,994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60" w:type="dxa"/>
            <w:vAlign w:val="bottom"/>
          </w:tcPr>
          <w:p>
            <w:pPr>
              <w:spacing w:after="0"/>
              <w:rPr>
                <w:sz w:val="17"/>
                <w:szCs w:val="17"/>
                <w:color w:val="auto"/>
              </w:rPr>
            </w:pPr>
          </w:p>
        </w:tc>
        <w:tc>
          <w:tcPr>
            <w:tcW w:w="4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91,805</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84,448</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auto"/>
              <w:bottom w:val="single" w:sz="8" w:color="auto"/>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185,690</w:t>
            </w:r>
          </w:p>
        </w:tc>
        <w:tc>
          <w:tcPr>
            <w:tcW w:w="6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175,801</w:t>
            </w:r>
          </w:p>
        </w:tc>
      </w:tr>
    </w:tbl>
    <w:p>
      <w:pPr>
        <w:spacing w:after="0" w:line="206" w:lineRule="exact"/>
        <w:rPr>
          <w:sz w:val="20"/>
          <w:szCs w:val="20"/>
          <w:color w:val="auto"/>
        </w:rPr>
      </w:pPr>
    </w:p>
    <w:p>
      <w:pPr>
        <w:ind w:right="80" w:firstLine="396"/>
        <w:spacing w:after="0" w:line="278" w:lineRule="auto"/>
        <w:rPr>
          <w:sz w:val="20"/>
          <w:szCs w:val="20"/>
          <w:color w:val="auto"/>
        </w:rPr>
      </w:pPr>
      <w:r>
        <w:rPr>
          <w:rFonts w:ascii="Arial" w:cs="Arial" w:eastAsia="Arial" w:hAnsi="Arial"/>
          <w:sz w:val="16"/>
          <w:szCs w:val="16"/>
          <w:color w:val="auto"/>
        </w:rPr>
        <w:t xml:space="preserve">Revenues from the Cool Pool for the three and six months ended June 30, 2019 relate only to the pool revenues received from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do not include the Net pool allocation to GasLog Partners of a gain of $1,024 and $1,058 for the three and six months ended June 30, 2019, respectively.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exited the Cool Pool in June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11. General and Administrative Expenses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8"/>
        </w:trPr>
        <w:tc>
          <w:tcPr>
            <w:tcW w:w="160" w:type="dxa"/>
            <w:vAlign w:val="bottom"/>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16"/>
                <w:szCs w:val="16"/>
                <w:color w:val="auto"/>
              </w:rPr>
              <w:t>An analysis of general and administrative expenses is as follows: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5"/>
        </w:trPr>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80" w:type="dxa"/>
            <w:vAlign w:val="bottom"/>
            <w:gridSpan w:val="4"/>
          </w:tcPr>
          <w:p>
            <w:pPr>
              <w:ind w:left="480"/>
              <w:spacing w:after="0"/>
              <w:rPr>
                <w:sz w:val="20"/>
                <w:szCs w:val="20"/>
                <w:color w:val="auto"/>
              </w:rPr>
            </w:pPr>
            <w:r>
              <w:rPr>
                <w:rFonts w:ascii="Arial" w:cs="Arial" w:eastAsia="Arial" w:hAnsi="Arial"/>
                <w:sz w:val="16"/>
                <w:szCs w:val="16"/>
                <w:b w:val="1"/>
                <w:bCs w:val="1"/>
                <w:color w:val="auto"/>
              </w:rPr>
              <w:t>For the three months ended</w:t>
            </w:r>
          </w:p>
        </w:tc>
        <w:tc>
          <w:tcPr>
            <w:tcW w:w="29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160" w:type="dxa"/>
            <w:vAlign w:val="bottom"/>
          </w:tcPr>
          <w:p>
            <w:pPr>
              <w:spacing w:after="0"/>
              <w:rPr>
                <w:sz w:val="17"/>
                <w:szCs w:val="17"/>
                <w:color w:val="auto"/>
              </w:rPr>
            </w:pPr>
          </w:p>
        </w:tc>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Administrative services fees (Note 3)</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2,279</w:t>
            </w:r>
          </w:p>
        </w:tc>
        <w:tc>
          <w:tcPr>
            <w:tcW w:w="2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1,959</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4,406</w:t>
            </w:r>
          </w:p>
        </w:tc>
        <w:tc>
          <w:tcPr>
            <w:tcW w:w="2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3,919</w:t>
            </w:r>
          </w:p>
        </w:tc>
      </w:tr>
      <w:tr>
        <w:trPr>
          <w:trHeight w:val="203"/>
        </w:trPr>
        <w:tc>
          <w:tcPr>
            <w:tcW w:w="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1340" w:type="dxa"/>
            <w:vAlign w:val="bottom"/>
          </w:tcPr>
          <w:p>
            <w:pPr>
              <w:jc w:val="right"/>
              <w:spacing w:after="0"/>
              <w:rPr>
                <w:sz w:val="20"/>
                <w:szCs w:val="20"/>
                <w:color w:val="auto"/>
              </w:rPr>
            </w:pPr>
            <w:r>
              <w:rPr>
                <w:rFonts w:ascii="Arial" w:cs="Arial" w:eastAsia="Arial" w:hAnsi="Arial"/>
                <w:sz w:val="16"/>
                <w:szCs w:val="16"/>
                <w:color w:val="auto"/>
              </w:rPr>
              <w:t>1,350</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1,350</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2,700</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2,700</w:t>
            </w:r>
          </w:p>
        </w:tc>
      </w:tr>
      <w:tr>
        <w:trPr>
          <w:trHeight w:val="203"/>
        </w:trPr>
        <w:tc>
          <w:tcPr>
            <w:tcW w:w="16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 (Note 18)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247</w:t>
            </w: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362</w:t>
            </w:r>
          </w:p>
        </w:tc>
        <w:tc>
          <w:tcPr>
            <w:tcW w:w="1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509</w:t>
            </w:r>
          </w:p>
        </w:tc>
        <w:tc>
          <w:tcPr>
            <w:tcW w:w="2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659</w:t>
            </w:r>
          </w:p>
        </w:tc>
      </w:tr>
      <w:tr>
        <w:trPr>
          <w:trHeight w:val="203"/>
        </w:trPr>
        <w:tc>
          <w:tcPr>
            <w:tcW w:w="160" w:type="dxa"/>
            <w:vAlign w:val="bottom"/>
          </w:tcPr>
          <w:p>
            <w:pPr>
              <w:spacing w:after="0"/>
              <w:rPr>
                <w:sz w:val="17"/>
                <w:szCs w:val="17"/>
                <w:color w:val="auto"/>
              </w:rPr>
            </w:pPr>
          </w:p>
        </w:tc>
        <w:tc>
          <w:tcPr>
            <w:tcW w:w="4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expenses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20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20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r>
      <w:tr>
        <w:trPr>
          <w:trHeight w:val="216"/>
        </w:trPr>
        <w:tc>
          <w:tcPr>
            <w:tcW w:w="160" w:type="dxa"/>
            <w:vAlign w:val="bottom"/>
          </w:tcPr>
          <w:p>
            <w:pPr>
              <w:spacing w:after="0"/>
              <w:rPr>
                <w:sz w:val="18"/>
                <w:szCs w:val="18"/>
                <w:color w:val="auto"/>
              </w:rPr>
            </w:pPr>
          </w:p>
        </w:tc>
        <w:tc>
          <w:tcPr>
            <w:tcW w:w="4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4,741</w:t>
            </w:r>
          </w:p>
        </w:tc>
        <w:tc>
          <w:tcPr>
            <w:tcW w:w="20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4,421</w:t>
            </w:r>
          </w:p>
        </w:tc>
        <w:tc>
          <w:tcPr>
            <w:tcW w:w="18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9,435</w:t>
            </w:r>
          </w:p>
        </w:tc>
        <w:tc>
          <w:tcPr>
            <w:tcW w:w="20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8,592</w:t>
            </w:r>
          </w:p>
        </w:tc>
      </w:tr>
      <w:tr>
        <w:trPr>
          <w:trHeight w:val="710"/>
        </w:trPr>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12. Vessel Operating Costs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9"/>
        </w:trPr>
        <w:tc>
          <w:tcPr>
            <w:tcW w:w="160" w:type="dxa"/>
            <w:vAlign w:val="bottom"/>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16"/>
                <w:szCs w:val="16"/>
                <w:color w:val="auto"/>
              </w:rPr>
              <w:t>An analysis of vessel operating costs is as follows: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27"/>
        </w:trPr>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Arial" w:cs="Arial" w:eastAsia="Arial" w:hAnsi="Arial"/>
                <w:sz w:val="16"/>
                <w:szCs w:val="16"/>
                <w:b w:val="1"/>
                <w:bCs w:val="1"/>
                <w:color w:val="auto"/>
              </w:rPr>
              <w:t>For the three months ended</w:t>
            </w:r>
          </w:p>
        </w:tc>
        <w:tc>
          <w:tcPr>
            <w:tcW w:w="29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160" w:type="dxa"/>
            <w:vAlign w:val="bottom"/>
          </w:tcPr>
          <w:p>
            <w:pPr>
              <w:spacing w:after="0"/>
              <w:rPr>
                <w:sz w:val="17"/>
                <w:szCs w:val="17"/>
                <w:color w:val="auto"/>
              </w:rPr>
            </w:pPr>
          </w:p>
        </w:tc>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costs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9,178</w:t>
            </w:r>
          </w:p>
        </w:tc>
        <w:tc>
          <w:tcPr>
            <w:tcW w:w="2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8,780</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18,273</w:t>
            </w:r>
          </w:p>
        </w:tc>
        <w:tc>
          <w:tcPr>
            <w:tcW w:w="2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17,619</w:t>
            </w:r>
          </w:p>
        </w:tc>
      </w:tr>
      <w:tr>
        <w:trPr>
          <w:trHeight w:val="203"/>
        </w:trPr>
        <w:tc>
          <w:tcPr>
            <w:tcW w:w="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340" w:type="dxa"/>
            <w:vAlign w:val="bottom"/>
          </w:tcPr>
          <w:p>
            <w:pPr>
              <w:jc w:val="right"/>
              <w:spacing w:after="0"/>
              <w:rPr>
                <w:sz w:val="20"/>
                <w:szCs w:val="20"/>
                <w:color w:val="auto"/>
              </w:rPr>
            </w:pPr>
            <w:r>
              <w:rPr>
                <w:rFonts w:ascii="Arial" w:cs="Arial" w:eastAsia="Arial" w:hAnsi="Arial"/>
                <w:sz w:val="16"/>
                <w:szCs w:val="16"/>
                <w:color w:val="auto"/>
              </w:rPr>
              <w:t>4,800</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4,142</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9,697</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10,079</w:t>
            </w:r>
          </w:p>
        </w:tc>
      </w:tr>
      <w:tr>
        <w:trPr>
          <w:trHeight w:val="203"/>
        </w:trPr>
        <w:tc>
          <w:tcPr>
            <w:tcW w:w="16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Other operating expenses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4,570</w:t>
            </w:r>
          </w:p>
        </w:tc>
        <w:tc>
          <w:tcPr>
            <w:tcW w:w="20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3,973</w:t>
            </w:r>
          </w:p>
        </w:tc>
        <w:tc>
          <w:tcPr>
            <w:tcW w:w="1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9,209</w:t>
            </w:r>
          </w:p>
        </w:tc>
        <w:tc>
          <w:tcPr>
            <w:tcW w:w="20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8,290</w:t>
            </w:r>
          </w:p>
        </w:tc>
      </w:tr>
      <w:tr>
        <w:trPr>
          <w:trHeight w:val="203"/>
        </w:trPr>
        <w:tc>
          <w:tcPr>
            <w:tcW w:w="5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18,548</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16,895</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37,179</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35,988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Derivative Financial Instruments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derivative assets is as follows:</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20"/>
          </w:cols>
          <w:pgMar w:left="320" w:top="346" w:right="55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3"/>
        </w:trPr>
        <w:tc>
          <w:tcPr>
            <w:tcW w:w="824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86"/>
        </w:trPr>
        <w:tc>
          <w:tcPr>
            <w:tcW w:w="8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4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Interest rate swaps</w:t>
            </w:r>
          </w:p>
        </w:tc>
        <w:tc>
          <w:tcPr>
            <w:tcW w:w="1400" w:type="dxa"/>
            <w:vAlign w:val="bottom"/>
          </w:tcPr>
          <w:p>
            <w:pPr>
              <w:jc w:val="right"/>
              <w:spacing w:after="0"/>
              <w:rPr>
                <w:sz w:val="20"/>
                <w:szCs w:val="20"/>
                <w:color w:val="auto"/>
              </w:rPr>
            </w:pPr>
            <w:r>
              <w:rPr>
                <w:rFonts w:ascii="Arial" w:cs="Arial" w:eastAsia="Arial" w:hAnsi="Arial"/>
                <w:sz w:val="16"/>
                <w:szCs w:val="16"/>
                <w:color w:val="auto"/>
              </w:rPr>
              <w:t>365</w:t>
            </w:r>
          </w:p>
        </w:tc>
        <w:tc>
          <w:tcPr>
            <w:tcW w:w="180" w:type="dxa"/>
            <w:vAlign w:val="bottom"/>
          </w:tcPr>
          <w:p>
            <w:pPr>
              <w:spacing w:after="0"/>
              <w:rPr>
                <w:sz w:val="17"/>
                <w:szCs w:val="17"/>
                <w:color w:val="auto"/>
              </w:rPr>
            </w:pPr>
          </w:p>
        </w:tc>
        <w:tc>
          <w:tcPr>
            <w:tcW w:w="1340" w:type="dxa"/>
            <w:vAlign w:val="bottom"/>
          </w:tcPr>
          <w:p>
            <w:pPr>
              <w:ind w:left="1180"/>
              <w:spacing w:after="0"/>
              <w:rPr>
                <w:sz w:val="20"/>
                <w:szCs w:val="20"/>
                <w:color w:val="auto"/>
              </w:rPr>
            </w:pPr>
            <w:r>
              <w:rPr>
                <w:rFonts w:ascii="Arial" w:cs="Arial" w:eastAsia="Arial" w:hAnsi="Arial"/>
                <w:sz w:val="16"/>
                <w:szCs w:val="16"/>
                <w:color w:val="auto"/>
                <w:w w:val="87"/>
              </w:rPr>
              <w:t>—</w:t>
            </w:r>
          </w:p>
        </w:tc>
      </w:tr>
      <w:tr>
        <w:trPr>
          <w:trHeight w:val="203"/>
        </w:trPr>
        <w:tc>
          <w:tcPr>
            <w:tcW w:w="82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ind w:left="1180"/>
              <w:spacing w:after="0"/>
              <w:rPr>
                <w:sz w:val="20"/>
                <w:szCs w:val="20"/>
                <w:color w:val="auto"/>
              </w:rPr>
            </w:pPr>
            <w:r>
              <w:rPr>
                <w:rFonts w:ascii="Arial" w:cs="Arial" w:eastAsia="Arial" w:hAnsi="Arial"/>
                <w:sz w:val="16"/>
                <w:szCs w:val="16"/>
                <w:color w:val="auto"/>
                <w:w w:val="87"/>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18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03"/>
        </w:trPr>
        <w:tc>
          <w:tcPr>
            <w:tcW w:w="82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asset</w:t>
            </w: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372</w:t>
            </w:r>
          </w:p>
        </w:tc>
        <w:tc>
          <w:tcPr>
            <w:tcW w:w="18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629"/>
        </w:trPr>
        <w:tc>
          <w:tcPr>
            <w:tcW w:w="8240" w:type="dxa"/>
            <w:vAlign w:val="bottom"/>
          </w:tcPr>
          <w:p>
            <w:pPr>
              <w:ind w:left="340"/>
              <w:spacing w:after="0"/>
              <w:rPr>
                <w:sz w:val="20"/>
                <w:szCs w:val="20"/>
                <w:color w:val="auto"/>
              </w:rPr>
            </w:pPr>
            <w:r>
              <w:rPr>
                <w:rFonts w:ascii="Arial" w:cs="Arial" w:eastAsia="Arial" w:hAnsi="Arial"/>
                <w:sz w:val="16"/>
                <w:szCs w:val="16"/>
                <w:color w:val="auto"/>
              </w:rPr>
              <w:t>The fair value of the derivative liabilities is as follows: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27"/>
        </w:trPr>
        <w:tc>
          <w:tcPr>
            <w:tcW w:w="824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w:t>
            </w:r>
          </w:p>
        </w:tc>
      </w:tr>
      <w:tr>
        <w:trPr>
          <w:trHeight w:val="213"/>
        </w:trPr>
        <w:tc>
          <w:tcPr>
            <w:tcW w:w="824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72"/>
        </w:trPr>
        <w:tc>
          <w:tcPr>
            <w:tcW w:w="8240" w:type="dxa"/>
            <w:vAlign w:val="bottom"/>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Derivative liabilities carried at fair value through profit or loss</w:t>
            </w:r>
          </w:p>
        </w:tc>
        <w:tc>
          <w:tcPr>
            <w:tcW w:w="14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r>
      <w:tr>
        <w:trPr>
          <w:trHeight w:val="216"/>
        </w:trPr>
        <w:tc>
          <w:tcPr>
            <w:tcW w:w="8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(FVTPL)</w:t>
            </w:r>
          </w:p>
        </w:tc>
        <w:tc>
          <w:tcPr>
            <w:tcW w:w="14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Interest rate swaps</w:t>
            </w:r>
          </w:p>
        </w:tc>
        <w:tc>
          <w:tcPr>
            <w:tcW w:w="1400" w:type="dxa"/>
            <w:vAlign w:val="bottom"/>
          </w:tcPr>
          <w:p>
            <w:pPr>
              <w:jc w:val="right"/>
              <w:spacing w:after="0"/>
              <w:rPr>
                <w:sz w:val="20"/>
                <w:szCs w:val="20"/>
                <w:color w:val="auto"/>
              </w:rPr>
            </w:pPr>
            <w:r>
              <w:rPr>
                <w:rFonts w:ascii="Arial" w:cs="Arial" w:eastAsia="Arial" w:hAnsi="Arial"/>
                <w:sz w:val="16"/>
                <w:szCs w:val="16"/>
                <w:color w:val="auto"/>
              </w:rPr>
              <w:t>9,233</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21,016</w:t>
            </w:r>
          </w:p>
        </w:tc>
      </w:tr>
      <w:tr>
        <w:trPr>
          <w:trHeight w:val="203"/>
        </w:trPr>
        <w:tc>
          <w:tcPr>
            <w:tcW w:w="82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62</w:t>
            </w:r>
          </w:p>
        </w:tc>
        <w:tc>
          <w:tcPr>
            <w:tcW w:w="18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8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9,295</w:t>
            </w:r>
          </w:p>
        </w:tc>
        <w:tc>
          <w:tcPr>
            <w:tcW w:w="1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21,140</w:t>
            </w:r>
          </w:p>
        </w:tc>
      </w:tr>
      <w:tr>
        <w:trPr>
          <w:trHeight w:val="203"/>
        </w:trPr>
        <w:tc>
          <w:tcPr>
            <w:tcW w:w="82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liability</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2,607</w:t>
            </w: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8,864</w:t>
            </w:r>
          </w:p>
        </w:tc>
      </w:tr>
      <w:tr>
        <w:trPr>
          <w:trHeight w:val="203"/>
        </w:trPr>
        <w:tc>
          <w:tcPr>
            <w:tcW w:w="82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w:t>
            </w:r>
          </w:p>
        </w:tc>
        <w:tc>
          <w:tcPr>
            <w:tcW w:w="1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12,276</w:t>
            </w:r>
          </w:p>
        </w:tc>
      </w:tr>
      <w:tr>
        <w:trPr>
          <w:trHeight w:val="203"/>
        </w:trPr>
        <w:tc>
          <w:tcPr>
            <w:tcW w:w="82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9,295</w:t>
            </w:r>
          </w:p>
        </w:tc>
        <w:tc>
          <w:tcPr>
            <w:tcW w:w="1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21,140</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USD London Interbank Offered Rate (“LIBOR”), and the Partnership effects quarterly payments to the counterparty on the notional amount at the respective fixed rates.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ind w:left="78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Termination</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Fixed Interest</w:t>
            </w:r>
          </w:p>
        </w:tc>
        <w:tc>
          <w:tcPr>
            <w:tcW w:w="148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6"/>
                <w:szCs w:val="16"/>
                <w:color w:val="auto"/>
              </w:rPr>
            </w:pPr>
          </w:p>
        </w:tc>
      </w:tr>
      <w:tr>
        <w:trPr>
          <w:trHeight w:val="213"/>
        </w:trPr>
        <w:tc>
          <w:tcPr>
            <w:tcW w:w="146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2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Counterparty</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Trade Date</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Effective Date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Rate</w:t>
            </w: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199"/>
        </w:trPr>
        <w:tc>
          <w:tcPr>
            <w:tcW w:w="1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2020</w:t>
            </w:r>
          </w:p>
        </w:tc>
        <w:tc>
          <w:tcPr>
            <w:tcW w:w="1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1.34%</w:t>
            </w:r>
          </w:p>
        </w:tc>
        <w:tc>
          <w:tcPr>
            <w:tcW w:w="1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20" w:type="dxa"/>
            <w:vAlign w:val="bottom"/>
          </w:tcPr>
          <w:p>
            <w:pPr>
              <w:spacing w:after="0"/>
              <w:rPr>
                <w:sz w:val="17"/>
                <w:szCs w:val="17"/>
                <w:color w:val="auto"/>
              </w:rPr>
            </w:pPr>
          </w:p>
        </w:tc>
      </w:tr>
      <w:tr>
        <w:trPr>
          <w:trHeight w:val="203"/>
        </w:trPr>
        <w:tc>
          <w:tcPr>
            <w:tcW w:w="1460" w:type="dxa"/>
            <w:vAlign w:val="bottom"/>
          </w:tcPr>
          <w:p>
            <w:pPr>
              <w:spacing w:after="0"/>
              <w:rPr>
                <w:sz w:val="20"/>
                <w:szCs w:val="20"/>
                <w:color w:val="auto"/>
              </w:rPr>
            </w:pPr>
            <w:r>
              <w:rPr>
                <w:rFonts w:ascii="Arial" w:cs="Arial" w:eastAsia="Arial" w:hAnsi="Arial"/>
                <w:sz w:val="16"/>
                <w:szCs w:val="16"/>
                <w:color w:val="auto"/>
              </w:rPr>
              <w:t>GasLog Partners</w:t>
            </w:r>
          </w:p>
        </w:tc>
        <w:tc>
          <w:tcPr>
            <w:tcW w:w="1700" w:type="dxa"/>
            <w:vAlign w:val="bottom"/>
            <w:gridSpan w:val="3"/>
          </w:tcPr>
          <w:p>
            <w:pPr>
              <w:ind w:left="120"/>
              <w:spacing w:after="0"/>
              <w:rPr>
                <w:sz w:val="20"/>
                <w:szCs w:val="20"/>
                <w:color w:val="auto"/>
              </w:rPr>
            </w:pPr>
            <w:r>
              <w:rPr>
                <w:rFonts w:ascii="Arial" w:cs="Arial" w:eastAsia="Arial" w:hAnsi="Arial"/>
                <w:sz w:val="16"/>
                <w:szCs w:val="16"/>
                <w:color w:val="auto"/>
              </w:rPr>
              <w:t>GasLog</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 2016</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 2016</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2021</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130,000</w:t>
            </w:r>
          </w:p>
        </w:tc>
        <w:tc>
          <w:tcPr>
            <w:tcW w:w="20" w:type="dxa"/>
            <w:vAlign w:val="bottom"/>
          </w:tcPr>
          <w:p>
            <w:pPr>
              <w:spacing w:after="0"/>
              <w:rPr>
                <w:sz w:val="17"/>
                <w:szCs w:val="17"/>
                <w:color w:val="auto"/>
              </w:rPr>
            </w:pPr>
          </w:p>
        </w:tc>
      </w:tr>
      <w:tr>
        <w:trPr>
          <w:trHeight w:val="203"/>
        </w:trPr>
        <w:tc>
          <w:tcPr>
            <w:tcW w:w="146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7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GasLog</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Nov 2016</w:t>
            </w:r>
          </w:p>
        </w:tc>
        <w:tc>
          <w:tcPr>
            <w:tcW w:w="13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Nov 2016</w:t>
            </w:r>
          </w:p>
        </w:tc>
        <w:tc>
          <w:tcPr>
            <w:tcW w:w="14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2022</w:t>
            </w:r>
          </w:p>
        </w:tc>
        <w:tc>
          <w:tcPr>
            <w:tcW w:w="12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1.515%</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20" w:type="dxa"/>
            <w:vAlign w:val="bottom"/>
          </w:tcPr>
          <w:p>
            <w:pPr>
              <w:spacing w:after="0"/>
              <w:rPr>
                <w:sz w:val="17"/>
                <w:szCs w:val="17"/>
                <w:color w:val="auto"/>
              </w:rPr>
            </w:pPr>
          </w:p>
        </w:tc>
      </w:tr>
      <w:tr>
        <w:trPr>
          <w:trHeight w:val="203"/>
        </w:trPr>
        <w:tc>
          <w:tcPr>
            <w:tcW w:w="1460" w:type="dxa"/>
            <w:vAlign w:val="bottom"/>
          </w:tcPr>
          <w:p>
            <w:pPr>
              <w:spacing w:after="0"/>
              <w:rPr>
                <w:sz w:val="20"/>
                <w:szCs w:val="20"/>
                <w:color w:val="auto"/>
              </w:rPr>
            </w:pPr>
            <w:r>
              <w:rPr>
                <w:rFonts w:ascii="Arial" w:cs="Arial" w:eastAsia="Arial" w:hAnsi="Arial"/>
                <w:sz w:val="16"/>
                <w:szCs w:val="16"/>
                <w:color w:val="auto"/>
              </w:rPr>
              <w:t>GasLog Partners</w:t>
            </w:r>
          </w:p>
        </w:tc>
        <w:tc>
          <w:tcPr>
            <w:tcW w:w="1700" w:type="dxa"/>
            <w:vAlign w:val="bottom"/>
            <w:gridSpan w:val="3"/>
          </w:tcPr>
          <w:p>
            <w:pPr>
              <w:ind w:left="120"/>
              <w:spacing w:after="0"/>
              <w:rPr>
                <w:sz w:val="20"/>
                <w:szCs w:val="20"/>
                <w:color w:val="auto"/>
              </w:rPr>
            </w:pPr>
            <w:r>
              <w:rPr>
                <w:rFonts w:ascii="Arial" w:cs="Arial" w:eastAsia="Arial" w:hAnsi="Arial"/>
                <w:sz w:val="16"/>
                <w:szCs w:val="16"/>
                <w:color w:val="auto"/>
              </w:rPr>
              <w:t>GasLog</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2017</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2017</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June 2022</w:t>
            </w:r>
          </w:p>
        </w:tc>
        <w:tc>
          <w:tcPr>
            <w:tcW w:w="1200" w:type="dxa"/>
            <w:vAlign w:val="bottom"/>
          </w:tcPr>
          <w:p>
            <w:pPr>
              <w:jc w:val="center"/>
              <w:spacing w:after="0"/>
              <w:rPr>
                <w:sz w:val="20"/>
                <w:szCs w:val="20"/>
                <w:color w:val="auto"/>
              </w:rPr>
            </w:pPr>
            <w:r>
              <w:rPr>
                <w:rFonts w:ascii="Arial" w:cs="Arial" w:eastAsia="Arial" w:hAnsi="Arial"/>
                <w:sz w:val="16"/>
                <w:szCs w:val="16"/>
                <w:color w:val="auto"/>
                <w:w w:val="94"/>
              </w:rPr>
              <w:t>2.19%/1.99%*</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80,000</w:t>
            </w:r>
          </w:p>
        </w:tc>
        <w:tc>
          <w:tcPr>
            <w:tcW w:w="20" w:type="dxa"/>
            <w:vAlign w:val="bottom"/>
          </w:tcPr>
          <w:p>
            <w:pPr>
              <w:spacing w:after="0"/>
              <w:rPr>
                <w:sz w:val="17"/>
                <w:szCs w:val="17"/>
                <w:color w:val="auto"/>
              </w:rPr>
            </w:pPr>
          </w:p>
        </w:tc>
      </w:tr>
      <w:tr>
        <w:trPr>
          <w:trHeight w:val="203"/>
        </w:trPr>
        <w:tc>
          <w:tcPr>
            <w:tcW w:w="146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7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GasLog</w:t>
            </w:r>
          </w:p>
        </w:tc>
        <w:tc>
          <w:tcPr>
            <w:tcW w:w="11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2018</w:t>
            </w:r>
          </w:p>
        </w:tc>
        <w:tc>
          <w:tcPr>
            <w:tcW w:w="13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2018</w:t>
            </w:r>
          </w:p>
        </w:tc>
        <w:tc>
          <w:tcPr>
            <w:tcW w:w="14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April 2023</w:t>
            </w:r>
          </w:p>
        </w:tc>
        <w:tc>
          <w:tcPr>
            <w:tcW w:w="12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2.95%</w:t>
            </w:r>
          </w:p>
        </w:tc>
        <w:tc>
          <w:tcPr>
            <w:tcW w:w="16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c>
          <w:tcPr>
            <w:tcW w:w="20" w:type="dxa"/>
            <w:vAlign w:val="bottom"/>
          </w:tcPr>
          <w:p>
            <w:pPr>
              <w:spacing w:after="0"/>
              <w:rPr>
                <w:sz w:val="17"/>
                <w:szCs w:val="17"/>
                <w:color w:val="auto"/>
              </w:rPr>
            </w:pPr>
          </w:p>
        </w:tc>
      </w:tr>
      <w:tr>
        <w:trPr>
          <w:trHeight w:val="203"/>
        </w:trPr>
        <w:tc>
          <w:tcPr>
            <w:tcW w:w="14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GasLog Partners</w:t>
            </w:r>
          </w:p>
        </w:tc>
        <w:tc>
          <w:tcPr>
            <w:tcW w:w="1700" w:type="dxa"/>
            <w:vAlign w:val="bottom"/>
            <w:tcBorders>
              <w:bottom w:val="single" w:sz="8" w:color="E5FFFF"/>
            </w:tcBorders>
            <w:gridSpan w:val="3"/>
          </w:tcPr>
          <w:p>
            <w:pPr>
              <w:ind w:left="120"/>
              <w:spacing w:after="0"/>
              <w:rPr>
                <w:sz w:val="20"/>
                <w:szCs w:val="20"/>
                <w:color w:val="auto"/>
              </w:rPr>
            </w:pPr>
            <w:r>
              <w:rPr>
                <w:rFonts w:ascii="Arial" w:cs="Arial" w:eastAsia="Arial" w:hAnsi="Arial"/>
                <w:sz w:val="16"/>
                <w:szCs w:val="16"/>
                <w:color w:val="auto"/>
              </w:rPr>
              <w:t>GasLog</w:t>
            </w:r>
          </w:p>
        </w:tc>
        <w:tc>
          <w:tcPr>
            <w:tcW w:w="1140" w:type="dxa"/>
            <w:vAlign w:val="bottom"/>
            <w:tcBorders>
              <w:bottom w:val="single" w:sz="8" w:color="E5FFFF"/>
            </w:tcBorders>
            <w:gridSpan w:val="2"/>
          </w:tcPr>
          <w:p>
            <w:pPr>
              <w:jc w:val="center"/>
              <w:ind w:right="120"/>
              <w:spacing w:after="0"/>
              <w:rPr>
                <w:sz w:val="20"/>
                <w:szCs w:val="20"/>
                <w:color w:val="auto"/>
              </w:rPr>
            </w:pPr>
            <w:r>
              <w:rPr>
                <w:rFonts w:ascii="Arial" w:cs="Arial" w:eastAsia="Arial" w:hAnsi="Arial"/>
                <w:sz w:val="16"/>
                <w:szCs w:val="16"/>
                <w:color w:val="auto"/>
                <w:w w:val="90"/>
              </w:rPr>
              <w:t>Dec 2018</w:t>
            </w:r>
          </w:p>
        </w:tc>
        <w:tc>
          <w:tcPr>
            <w:tcW w:w="1380" w:type="dxa"/>
            <w:vAlign w:val="bottom"/>
            <w:tcBorders>
              <w:bottom w:val="single" w:sz="8" w:color="E5FFFF"/>
            </w:tcBorders>
            <w:gridSpan w:val="2"/>
          </w:tcPr>
          <w:p>
            <w:pPr>
              <w:jc w:val="center"/>
              <w:ind w:right="120"/>
              <w:spacing w:after="0"/>
              <w:rPr>
                <w:sz w:val="20"/>
                <w:szCs w:val="20"/>
                <w:color w:val="auto"/>
              </w:rPr>
            </w:pPr>
            <w:r>
              <w:rPr>
                <w:rFonts w:ascii="Arial" w:cs="Arial" w:eastAsia="Arial" w:hAnsi="Arial"/>
                <w:sz w:val="16"/>
                <w:szCs w:val="16"/>
                <w:color w:val="auto"/>
                <w:w w:val="88"/>
              </w:rPr>
              <w:t>Jan 2019</w:t>
            </w:r>
          </w:p>
        </w:tc>
        <w:tc>
          <w:tcPr>
            <w:tcW w:w="1420" w:type="dxa"/>
            <w:vAlign w:val="bottom"/>
            <w:tcBorders>
              <w:bottom w:val="single" w:sz="8" w:color="E5FFFF"/>
            </w:tcBorders>
            <w:gridSpan w:val="2"/>
          </w:tcPr>
          <w:p>
            <w:pPr>
              <w:jc w:val="center"/>
              <w:ind w:right="120"/>
              <w:spacing w:after="0"/>
              <w:rPr>
                <w:sz w:val="20"/>
                <w:szCs w:val="20"/>
                <w:color w:val="auto"/>
              </w:rPr>
            </w:pPr>
            <w:r>
              <w:rPr>
                <w:rFonts w:ascii="Arial" w:cs="Arial" w:eastAsia="Arial" w:hAnsi="Arial"/>
                <w:sz w:val="16"/>
                <w:szCs w:val="16"/>
                <w:color w:val="auto"/>
                <w:w w:val="88"/>
              </w:rPr>
              <w:t>Jan 2024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2.9357%</w:t>
            </w:r>
          </w:p>
        </w:tc>
        <w:tc>
          <w:tcPr>
            <w:tcW w:w="16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E5FF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w:t>
            </w:r>
          </w:p>
        </w:tc>
        <w:tc>
          <w:tcPr>
            <w:tcW w:w="20" w:type="dxa"/>
            <w:vAlign w:val="bottom"/>
          </w:tcPr>
          <w:p>
            <w:pPr>
              <w:spacing w:after="0"/>
              <w:rPr>
                <w:sz w:val="17"/>
                <w:szCs w:val="17"/>
                <w:color w:val="auto"/>
              </w:rPr>
            </w:pPr>
          </w:p>
        </w:tc>
      </w:tr>
      <w:tr>
        <w:trPr>
          <w:trHeight w:val="203"/>
        </w:trPr>
        <w:tc>
          <w:tcPr>
            <w:tcW w:w="146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0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c>
          <w:tcPr>
            <w:tcW w:w="12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c>
          <w:tcPr>
            <w:tcW w:w="20" w:type="dxa"/>
            <w:vAlign w:val="bottom"/>
          </w:tcPr>
          <w:p>
            <w:pPr>
              <w:spacing w:after="0"/>
              <w:rPr>
                <w:sz w:val="17"/>
                <w:szCs w:val="17"/>
                <w:color w:val="auto"/>
              </w:rPr>
            </w:pPr>
          </w:p>
        </w:tc>
      </w:tr>
    </w:tbl>
    <w:p>
      <w:pPr>
        <w:spacing w:after="0" w:line="197" w:lineRule="exact"/>
        <w:rPr>
          <w:sz w:val="20"/>
          <w:szCs w:val="20"/>
          <w:color w:val="auto"/>
        </w:rPr>
      </w:pPr>
    </w:p>
    <w:p>
      <w:pPr>
        <w:ind w:right="280" w:firstLine="8"/>
        <w:spacing w:after="0" w:line="253" w:lineRule="auto"/>
        <w:tabs>
          <w:tab w:leader="none" w:pos="108" w:val="left"/>
        </w:tabs>
        <w:numPr>
          <w:ilvl w:val="0"/>
          <w:numId w:val="937"/>
        </w:numPr>
        <w:rPr>
          <w:rFonts w:ascii="Arial" w:cs="Arial" w:eastAsia="Arial" w:hAnsi="Arial"/>
          <w:sz w:val="14"/>
          <w:szCs w:val="14"/>
          <w:color w:val="auto"/>
        </w:rPr>
      </w:pPr>
      <w:r>
        <w:rPr>
          <w:rFonts w:ascii="Arial" w:cs="Arial" w:eastAsia="Arial" w:hAnsi="Arial"/>
          <w:sz w:val="14"/>
          <w:szCs w:val="14"/>
          <w:color w:val="auto"/>
        </w:rPr>
        <w:t>Pursuant to the Credit Support Annex entered into in March 2020, whereby GasLog Partners agreed to effect deposit cash collateral payments with GasLog in connection with its derivative instruments with GasLog (Note 3), the fixed interest rates of the interest rate swaps were decreased by 20 basis points or 0.2%</w:t>
      </w:r>
      <w:r>
        <w:rPr>
          <w:rFonts w:ascii="Arial" w:cs="Arial" w:eastAsia="Arial" w:hAnsi="Arial"/>
          <w:sz w:val="12"/>
          <w:szCs w:val="12"/>
          <w:color w:val="auto"/>
        </w:rPr>
        <w:t>.</w:t>
      </w:r>
    </w:p>
    <w:p>
      <w:pPr>
        <w:spacing w:after="0" w:line="182" w:lineRule="exact"/>
        <w:rPr>
          <w:sz w:val="20"/>
          <w:szCs w:val="20"/>
          <w:color w:val="auto"/>
        </w:rPr>
      </w:pPr>
    </w:p>
    <w:p>
      <w:pPr>
        <w:ind w:right="60" w:firstLine="436"/>
        <w:spacing w:after="0" w:line="318" w:lineRule="auto"/>
        <w:rPr>
          <w:sz w:val="20"/>
          <w:szCs w:val="20"/>
          <w:color w:val="auto"/>
        </w:rPr>
      </w:pPr>
      <w:r>
        <w:rPr>
          <w:rFonts w:ascii="Arial" w:cs="Arial" w:eastAsia="Arial" w:hAnsi="Arial"/>
          <w:sz w:val="14"/>
          <w:szCs w:val="14"/>
          <w:color w:val="auto"/>
        </w:rPr>
        <w:t>The derivative instruments listed above were not designated as cash flow hedging instruments as of June 30, 2020. The change in the fair value of the interest rate swaps for the three and six months ended June 30, 2020 amounted to a gain of $1,034 and a loss of $12,148, respectively (for the three and six months ended June 30, 2019, a loss of $9,112 and $14,609, respectively), which was recognized in profit or loss in the period incurred and is included in Loss/(gain) on derivatives. During the three and six months ended June 30, 2020, the gain of $1,034/ loss of $12,148, respectively (Note 14), was attributable to changes in the LIBOR yield curve, which was used to calculate the present value of the estimated future cash flows, resulting in a decrease/increase in net derivative liabilities from interest rate swaps held for trading.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60" w:firstLine="383"/>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and Singapore Dollars (“SGD”).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88" w:name="page389"/>
    <w:bookmarkEnd w:id="388"/>
    <w:tbl>
      <w:tblPr>
        <w:tblLayout w:type="fixed"/>
        <w:tblInd w:w="160" w:type="dxa"/>
        <w:tblCellMar>
          <w:top w:w="0" w:type="dxa"/>
          <w:left w:w="0" w:type="dxa"/>
          <w:bottom w:w="0" w:type="dxa"/>
          <w:right w:w="0" w:type="dxa"/>
        </w:tblCellMar>
      </w:tblPr>
      <w:tr>
        <w:trPr>
          <w:trHeight w:val="206"/>
        </w:trPr>
        <w:tc>
          <w:tcPr>
            <w:tcW w:w="4600" w:type="dxa"/>
            <w:vAlign w:val="bottom"/>
            <w:gridSpan w:val="5"/>
          </w:tcPr>
          <w:p>
            <w:pPr>
              <w:ind w:left="26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19"/>
        </w:trPr>
        <w:tc>
          <w:tcPr>
            <w:tcW w:w="7520" w:type="dxa"/>
            <w:vAlign w:val="bottom"/>
            <w:gridSpan w:val="9"/>
          </w:tcPr>
          <w:p>
            <w:pPr>
              <w:ind w:left="20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11"/>
        </w:trPr>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Fixed</w:t>
            </w:r>
          </w:p>
        </w:tc>
        <w:tc>
          <w:tcPr>
            <w:tcW w:w="192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Exchange Rate</w:t>
            </w:r>
          </w:p>
        </w:tc>
        <w:tc>
          <w:tcPr>
            <w:tcW w:w="1920" w:type="dxa"/>
            <w:vAlign w:val="bottom"/>
          </w:tcPr>
          <w:p>
            <w:pPr>
              <w:spacing w:after="0"/>
              <w:rPr>
                <w:sz w:val="17"/>
                <w:szCs w:val="17"/>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Counterparty</w:t>
            </w: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Trade Date</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contracts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Settlement Date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(USD/EUR)</w:t>
            </w:r>
          </w:p>
        </w:tc>
        <w:tc>
          <w:tcPr>
            <w:tcW w:w="1920" w:type="dxa"/>
            <w:vAlign w:val="bottom"/>
          </w:tcPr>
          <w:p>
            <w:pPr>
              <w:jc w:val="right"/>
              <w:ind w:right="299"/>
              <w:spacing w:after="0"/>
              <w:rPr>
                <w:sz w:val="20"/>
                <w:szCs w:val="20"/>
                <w:color w:val="auto"/>
              </w:rPr>
            </w:pPr>
            <w:r>
              <w:rPr>
                <w:rFonts w:ascii="Arial" w:cs="Arial" w:eastAsia="Arial" w:hAnsi="Arial"/>
                <w:sz w:val="16"/>
                <w:szCs w:val="16"/>
                <w:b w:val="1"/>
                <w:bCs w:val="1"/>
                <w:color w:val="auto"/>
              </w:rPr>
              <w:t>Notional Amount</w:t>
            </w:r>
          </w:p>
        </w:tc>
      </w:tr>
      <w:tr>
        <w:trPr>
          <w:trHeight w:val="202"/>
        </w:trPr>
        <w:tc>
          <w:tcPr>
            <w:tcW w:w="1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GasLog</w:t>
            </w:r>
          </w:p>
        </w:tc>
        <w:tc>
          <w:tcPr>
            <w:tcW w:w="1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Dec 2019</w:t>
            </w:r>
          </w:p>
        </w:tc>
        <w:tc>
          <w:tcPr>
            <w:tcW w:w="18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Jul 2020 – Dec 2020</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1.1350 – 1.1456</w:t>
            </w:r>
          </w:p>
        </w:tc>
        <w:tc>
          <w:tcPr>
            <w:tcW w:w="16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€9,600</w:t>
            </w:r>
          </w:p>
        </w:tc>
      </w:tr>
      <w:tr>
        <w:trPr>
          <w:trHeight w:val="203"/>
        </w:trPr>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Total</w:t>
            </w:r>
          </w:p>
        </w:tc>
        <w:tc>
          <w:tcPr>
            <w:tcW w:w="16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€9,600</w:t>
            </w:r>
          </w:p>
        </w:tc>
      </w:tr>
      <w:tr>
        <w:trPr>
          <w:trHeight w:val="621"/>
        </w:trPr>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Fixed</w:t>
            </w:r>
          </w:p>
        </w:tc>
        <w:tc>
          <w:tcPr>
            <w:tcW w:w="192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Exchange Rate</w:t>
            </w:r>
          </w:p>
        </w:tc>
        <w:tc>
          <w:tcPr>
            <w:tcW w:w="1920" w:type="dxa"/>
            <w:vAlign w:val="bottom"/>
          </w:tcPr>
          <w:p>
            <w:pPr>
              <w:spacing w:after="0"/>
              <w:rPr>
                <w:sz w:val="17"/>
                <w:szCs w:val="17"/>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Counterparty</w:t>
            </w: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Trade Date</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contracts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Settlement Date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(USD/SGD)</w:t>
            </w:r>
          </w:p>
        </w:tc>
        <w:tc>
          <w:tcPr>
            <w:tcW w:w="1920" w:type="dxa"/>
            <w:vAlign w:val="bottom"/>
          </w:tcPr>
          <w:p>
            <w:pPr>
              <w:jc w:val="right"/>
              <w:ind w:right="299"/>
              <w:spacing w:after="0"/>
              <w:rPr>
                <w:sz w:val="20"/>
                <w:szCs w:val="20"/>
                <w:color w:val="auto"/>
              </w:rPr>
            </w:pPr>
            <w:r>
              <w:rPr>
                <w:rFonts w:ascii="Arial" w:cs="Arial" w:eastAsia="Arial" w:hAnsi="Arial"/>
                <w:sz w:val="16"/>
                <w:szCs w:val="16"/>
                <w:b w:val="1"/>
                <w:bCs w:val="1"/>
                <w:color w:val="auto"/>
              </w:rPr>
              <w:t>Notional Amount</w:t>
            </w:r>
          </w:p>
        </w:tc>
      </w:tr>
      <w:tr>
        <w:trPr>
          <w:trHeight w:val="202"/>
        </w:trPr>
        <w:tc>
          <w:tcPr>
            <w:tcW w:w="1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GasLog</w:t>
            </w:r>
          </w:p>
        </w:tc>
        <w:tc>
          <w:tcPr>
            <w:tcW w:w="1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Dec 2019</w:t>
            </w:r>
          </w:p>
        </w:tc>
        <w:tc>
          <w:tcPr>
            <w:tcW w:w="18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Jul 2020 – Sep 2020</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ind w:right="359"/>
              <w:spacing w:after="0"/>
              <w:rPr>
                <w:sz w:val="20"/>
                <w:szCs w:val="20"/>
                <w:color w:val="auto"/>
              </w:rPr>
            </w:pPr>
            <w:r>
              <w:rPr>
                <w:rFonts w:ascii="Arial" w:cs="Arial" w:eastAsia="Arial" w:hAnsi="Arial"/>
                <w:sz w:val="16"/>
                <w:szCs w:val="16"/>
                <w:color w:val="auto"/>
              </w:rPr>
              <w:t>1.3549</w:t>
            </w:r>
          </w:p>
        </w:tc>
        <w:tc>
          <w:tcPr>
            <w:tcW w:w="16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S$750</w:t>
            </w:r>
          </w:p>
        </w:tc>
      </w:tr>
      <w:tr>
        <w:trPr>
          <w:trHeight w:val="203"/>
        </w:trPr>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Total</w:t>
            </w:r>
          </w:p>
        </w:tc>
        <w:tc>
          <w:tcPr>
            <w:tcW w:w="16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S$750</w:t>
            </w:r>
          </w:p>
        </w:tc>
      </w:tr>
    </w:tbl>
    <w:p>
      <w:pPr>
        <w:spacing w:after="0" w:line="206" w:lineRule="exact"/>
        <w:rPr>
          <w:sz w:val="20"/>
          <w:szCs w:val="20"/>
          <w:color w:val="auto"/>
        </w:rPr>
      </w:pPr>
    </w:p>
    <w:p>
      <w:pPr>
        <w:jc w:val="both"/>
        <w:ind w:right="20" w:firstLine="356"/>
        <w:spacing w:after="0" w:line="305" w:lineRule="auto"/>
        <w:rPr>
          <w:sz w:val="20"/>
          <w:szCs w:val="20"/>
          <w:color w:val="auto"/>
        </w:rPr>
      </w:pPr>
      <w:r>
        <w:rPr>
          <w:rFonts w:ascii="Arial" w:cs="Arial" w:eastAsia="Arial" w:hAnsi="Arial"/>
          <w:sz w:val="15"/>
          <w:szCs w:val="15"/>
          <w:color w:val="auto"/>
        </w:rPr>
        <w:t>The derivative instruments listed above were not designated as cash flow hedging instruments as of June 30, 2020. The change in the fair value of these contracts for the three and six months ended June 30, 2020 amounted to a gain of $401 and a loss of $69, respectively (for the three and six months ended June 30, 2019, a gain of $466 and $356, respectively), which was recognized in profit or loss in the period incurred and included in Loss/(gain) on derivatives (Note 14).</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Financial Costs and Loss/(gain) on Derivatives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06"/>
        </w:trPr>
        <w:tc>
          <w:tcPr>
            <w:tcW w:w="4860" w:type="dxa"/>
            <w:vAlign w:val="bottom"/>
          </w:tcPr>
          <w:p>
            <w:pPr>
              <w:ind w:left="260"/>
              <w:spacing w:after="0"/>
              <w:rPr>
                <w:sz w:val="20"/>
                <w:szCs w:val="20"/>
                <w:color w:val="auto"/>
              </w:rPr>
            </w:pPr>
            <w:r>
              <w:rPr>
                <w:rFonts w:ascii="Arial" w:cs="Arial" w:eastAsia="Arial" w:hAnsi="Arial"/>
                <w:sz w:val="16"/>
                <w:szCs w:val="16"/>
                <w:color w:val="auto"/>
              </w:rPr>
              <w:t>An analysis of financial costs is as follows: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4860" w:type="dxa"/>
            <w:vAlign w:val="bottom"/>
          </w:tcPr>
          <w:p>
            <w:pPr>
              <w:spacing w:after="0"/>
              <w:rPr>
                <w:sz w:val="24"/>
                <w:szCs w:val="24"/>
                <w:color w:val="auto"/>
              </w:rPr>
            </w:pPr>
          </w:p>
        </w:tc>
        <w:tc>
          <w:tcPr>
            <w:tcW w:w="30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29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 2019</w:t>
            </w:r>
          </w:p>
        </w:tc>
        <w:tc>
          <w:tcPr>
            <w:tcW w:w="15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2020</w:t>
            </w:r>
          </w:p>
        </w:tc>
        <w:tc>
          <w:tcPr>
            <w:tcW w:w="15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 2019</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199"/>
        </w:trPr>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1,422</w:t>
            </w:r>
          </w:p>
        </w:tc>
        <w:tc>
          <w:tcPr>
            <w:tcW w:w="2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1,480</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3,959</w:t>
            </w:r>
          </w:p>
        </w:tc>
        <w:tc>
          <w:tcPr>
            <w:tcW w:w="2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2,985</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340" w:type="dxa"/>
            <w:vAlign w:val="bottom"/>
          </w:tcPr>
          <w:p>
            <w:pPr>
              <w:jc w:val="right"/>
              <w:spacing w:after="0"/>
              <w:rPr>
                <w:sz w:val="20"/>
                <w:szCs w:val="20"/>
                <w:color w:val="auto"/>
              </w:rPr>
            </w:pPr>
            <w:r>
              <w:rPr>
                <w:rFonts w:ascii="Arial" w:cs="Arial" w:eastAsia="Arial" w:hAnsi="Arial"/>
                <w:sz w:val="16"/>
                <w:szCs w:val="16"/>
                <w:color w:val="auto"/>
              </w:rPr>
              <w:t>16,842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11,466</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33,433</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24,900</w:t>
            </w:r>
          </w:p>
        </w:tc>
        <w:tc>
          <w:tcPr>
            <w:tcW w:w="0" w:type="dxa"/>
            <w:vAlign w:val="bottom"/>
          </w:tcPr>
          <w:p>
            <w:pPr>
              <w:spacing w:after="0"/>
              <w:rPr>
                <w:sz w:val="1"/>
                <w:szCs w:val="1"/>
                <w:color w:val="auto"/>
              </w:rPr>
            </w:pPr>
          </w:p>
        </w:tc>
      </w:tr>
      <w:tr>
        <w:trPr>
          <w:trHeight w:val="203"/>
        </w:trPr>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Lease expense</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Commitment fees</w:t>
            </w:r>
          </w:p>
        </w:tc>
        <w:tc>
          <w:tcPr>
            <w:tcW w:w="1340" w:type="dxa"/>
            <w:vAlign w:val="bottom"/>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457</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3"/>
        </w:trPr>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236</w:t>
            </w:r>
          </w:p>
        </w:tc>
        <w:tc>
          <w:tcPr>
            <w:tcW w:w="20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18,484</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13,067</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38,116</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28,580</w:t>
            </w:r>
          </w:p>
        </w:tc>
        <w:tc>
          <w:tcPr>
            <w:tcW w:w="0" w:type="dxa"/>
            <w:vAlign w:val="bottom"/>
          </w:tcPr>
          <w:p>
            <w:pPr>
              <w:spacing w:after="0"/>
              <w:rPr>
                <w:sz w:val="1"/>
                <w:szCs w:val="1"/>
                <w:color w:val="auto"/>
              </w:rPr>
            </w:pPr>
          </w:p>
        </w:tc>
      </w:tr>
      <w:tr>
        <w:trPr>
          <w:trHeight w:val="413"/>
        </w:trPr>
        <w:tc>
          <w:tcPr>
            <w:tcW w:w="4860" w:type="dxa"/>
            <w:vAlign w:val="bottom"/>
          </w:tcPr>
          <w:p>
            <w:pPr>
              <w:ind w:left="260"/>
              <w:spacing w:after="0"/>
              <w:rPr>
                <w:sz w:val="20"/>
                <w:szCs w:val="20"/>
                <w:color w:val="auto"/>
              </w:rPr>
            </w:pPr>
            <w:r>
              <w:rPr>
                <w:rFonts w:ascii="Arial" w:cs="Arial" w:eastAsia="Arial" w:hAnsi="Arial"/>
                <w:sz w:val="16"/>
                <w:szCs w:val="16"/>
                <w:color w:val="auto"/>
              </w:rPr>
              <w:t>An analysis of loss/(gain) on derivatives is as follows: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860" w:type="dxa"/>
            <w:vAlign w:val="bottom"/>
          </w:tcPr>
          <w:p>
            <w:pPr>
              <w:spacing w:after="0"/>
              <w:rPr>
                <w:sz w:val="24"/>
                <w:szCs w:val="24"/>
                <w:color w:val="auto"/>
              </w:rPr>
            </w:pPr>
          </w:p>
        </w:tc>
        <w:tc>
          <w:tcPr>
            <w:tcW w:w="30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29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June 30, 2019</w:t>
            </w:r>
          </w:p>
        </w:tc>
        <w:tc>
          <w:tcPr>
            <w:tcW w:w="15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2020</w:t>
            </w:r>
          </w:p>
        </w:tc>
        <w:tc>
          <w:tcPr>
            <w:tcW w:w="15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 2019</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199"/>
        </w:trPr>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w w:val="97"/>
              </w:rPr>
              <w:t>Unrealized loss/(gain) on interest rate swaps held for trading (Note 13)</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9,112</w:t>
            </w:r>
          </w:p>
        </w:tc>
        <w:tc>
          <w:tcPr>
            <w:tcW w:w="2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(1,034)</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14,609</w:t>
            </w:r>
          </w:p>
        </w:tc>
        <w:tc>
          <w:tcPr>
            <w:tcW w:w="2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12,148</w:t>
            </w:r>
          </w:p>
        </w:tc>
        <w:tc>
          <w:tcPr>
            <w:tcW w:w="0" w:type="dxa"/>
            <w:vAlign w:val="bottom"/>
          </w:tcPr>
          <w:p>
            <w:pPr>
              <w:spacing w:after="0"/>
              <w:rPr>
                <w:sz w:val="1"/>
                <w:szCs w:val="1"/>
                <w:color w:val="auto"/>
              </w:rPr>
            </w:pPr>
          </w:p>
        </w:tc>
      </w:tr>
      <w:tr>
        <w:trPr>
          <w:trHeight w:val="193"/>
        </w:trPr>
        <w:tc>
          <w:tcPr>
            <w:tcW w:w="4860" w:type="dxa"/>
            <w:vAlign w:val="bottom"/>
          </w:tcPr>
          <w:p>
            <w:pPr>
              <w:spacing w:after="0"/>
              <w:rPr>
                <w:sz w:val="20"/>
                <w:szCs w:val="20"/>
                <w:color w:val="auto"/>
              </w:rPr>
            </w:pPr>
            <w:r>
              <w:rPr>
                <w:rFonts w:ascii="Arial" w:cs="Arial" w:eastAsia="Arial" w:hAnsi="Arial"/>
                <w:sz w:val="16"/>
                <w:szCs w:val="16"/>
                <w:color w:val="auto"/>
                <w:w w:val="98"/>
              </w:rPr>
              <w:t>Unrealized (gain)/loss on forward foreign exchange contracts held for</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160"/>
              <w:spacing w:after="0"/>
              <w:rPr>
                <w:sz w:val="20"/>
                <w:szCs w:val="20"/>
                <w:color w:val="auto"/>
              </w:rPr>
            </w:pPr>
            <w:r>
              <w:rPr>
                <w:rFonts w:ascii="Arial" w:cs="Arial" w:eastAsia="Arial" w:hAnsi="Arial"/>
                <w:sz w:val="16"/>
                <w:szCs w:val="16"/>
                <w:color w:val="auto"/>
              </w:rPr>
              <w:t>trading (Note 13)</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(466 )</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(401)</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(356)</w:t>
            </w:r>
          </w:p>
        </w:tc>
        <w:tc>
          <w:tcPr>
            <w:tcW w:w="13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Realized (gain)/loss on interest rate swaps held for trading</w:t>
            </w:r>
          </w:p>
        </w:tc>
        <w:tc>
          <w:tcPr>
            <w:tcW w:w="15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(831)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832</w:t>
            </w:r>
          </w:p>
        </w:tc>
        <w:tc>
          <w:tcPr>
            <w:tcW w:w="18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(1,928)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20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20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155"/>
        </w:trPr>
        <w:tc>
          <w:tcPr>
            <w:tcW w:w="486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Total loss/(gain) on derivatives</w:t>
            </w:r>
          </w:p>
        </w:tc>
        <w:tc>
          <w:tcPr>
            <w:tcW w:w="13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8,266</w:t>
            </w:r>
          </w:p>
        </w:tc>
        <w:tc>
          <w:tcPr>
            <w:tcW w:w="200" w:type="dxa"/>
            <w:vAlign w:val="bottom"/>
            <w:shd w:val="clear" w:color="auto" w:fill="E5FFFF"/>
          </w:tcPr>
          <w:p>
            <w:pPr>
              <w:spacing w:after="0"/>
              <w:rPr>
                <w:sz w:val="13"/>
                <w:szCs w:val="13"/>
                <w:color w:val="auto"/>
              </w:rPr>
            </w:pPr>
          </w:p>
        </w:tc>
        <w:tc>
          <w:tcPr>
            <w:tcW w:w="13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(369</w:t>
            </w:r>
          </w:p>
        </w:tc>
        <w:tc>
          <w:tcPr>
            <w:tcW w:w="180" w:type="dxa"/>
            <w:vAlign w:val="bottom"/>
            <w:shd w:val="clear" w:color="auto" w:fill="E5FFFF"/>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3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13,143</w:t>
            </w:r>
          </w:p>
        </w:tc>
        <w:tc>
          <w:tcPr>
            <w:tcW w:w="200" w:type="dxa"/>
            <w:vAlign w:val="bottom"/>
            <w:shd w:val="clear" w:color="auto" w:fill="E5FFFF"/>
          </w:tcPr>
          <w:p>
            <w:pPr>
              <w:spacing w:after="0"/>
              <w:rPr>
                <w:sz w:val="13"/>
                <w:szCs w:val="13"/>
                <w:color w:val="auto"/>
              </w:rPr>
            </w:pPr>
          </w:p>
        </w:tc>
        <w:tc>
          <w:tcPr>
            <w:tcW w:w="13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13,751</w:t>
            </w:r>
          </w:p>
        </w:tc>
        <w:tc>
          <w:tcPr>
            <w:tcW w:w="0" w:type="dxa"/>
            <w:vAlign w:val="bottom"/>
          </w:tcPr>
          <w:p>
            <w:pPr>
              <w:spacing w:after="0"/>
              <w:rPr>
                <w:sz w:val="1"/>
                <w:szCs w:val="1"/>
                <w:color w:val="auto"/>
              </w:rPr>
            </w:pPr>
          </w:p>
        </w:tc>
      </w:tr>
      <w:tr>
        <w:trPr>
          <w:trHeight w:val="48"/>
        </w:trPr>
        <w:tc>
          <w:tcPr>
            <w:tcW w:w="4860" w:type="dxa"/>
            <w:vAlign w:val="bottom"/>
            <w:tcBorders>
              <w:bottom w:val="single" w:sz="8" w:color="E5FFFF"/>
            </w:tcBorders>
            <w:vMerge w:val="continue"/>
            <w:shd w:val="clear" w:color="auto" w:fill="E5FFFF"/>
          </w:tcPr>
          <w:p>
            <w:pPr>
              <w:spacing w:after="0"/>
              <w:rPr>
                <w:sz w:val="4"/>
                <w:szCs w:val="4"/>
                <w:color w:val="auto"/>
              </w:rPr>
            </w:pPr>
          </w:p>
        </w:tc>
        <w:tc>
          <w:tcPr>
            <w:tcW w:w="1340" w:type="dxa"/>
            <w:vAlign w:val="bottom"/>
            <w:tcBorders>
              <w:bottom w:val="single" w:sz="8" w:color="auto"/>
            </w:tcBorders>
            <w:vMerge w:val="continue"/>
            <w:shd w:val="clear" w:color="auto" w:fill="E5FFFF"/>
          </w:tcPr>
          <w:p>
            <w:pPr>
              <w:spacing w:after="0"/>
              <w:rPr>
                <w:sz w:val="4"/>
                <w:szCs w:val="4"/>
                <w:color w:val="auto"/>
              </w:rPr>
            </w:pPr>
          </w:p>
        </w:tc>
        <w:tc>
          <w:tcPr>
            <w:tcW w:w="200" w:type="dxa"/>
            <w:vAlign w:val="bottom"/>
            <w:tcBorders>
              <w:bottom w:val="single" w:sz="8" w:color="E5FFFF"/>
            </w:tcBorders>
            <w:shd w:val="clear" w:color="auto" w:fill="E5FFFF"/>
          </w:tcPr>
          <w:p>
            <w:pPr>
              <w:spacing w:after="0"/>
              <w:rPr>
                <w:sz w:val="4"/>
                <w:szCs w:val="4"/>
                <w:color w:val="auto"/>
              </w:rPr>
            </w:pPr>
          </w:p>
        </w:tc>
        <w:tc>
          <w:tcPr>
            <w:tcW w:w="1360" w:type="dxa"/>
            <w:vAlign w:val="bottom"/>
            <w:tcBorders>
              <w:bottom w:val="single" w:sz="8" w:color="auto"/>
            </w:tcBorders>
            <w:vMerge w:val="continue"/>
            <w:shd w:val="clear" w:color="auto" w:fill="E5FFFF"/>
          </w:tcPr>
          <w:p>
            <w:pPr>
              <w:spacing w:after="0"/>
              <w:rPr>
                <w:sz w:val="4"/>
                <w:szCs w:val="4"/>
                <w:color w:val="auto"/>
              </w:rPr>
            </w:pPr>
          </w:p>
        </w:tc>
        <w:tc>
          <w:tcPr>
            <w:tcW w:w="180" w:type="dxa"/>
            <w:vAlign w:val="bottom"/>
            <w:tcBorders>
              <w:bottom w:val="single" w:sz="8" w:color="E5FFFF"/>
            </w:tcBorders>
            <w:shd w:val="clear" w:color="auto" w:fill="E5FFFF"/>
          </w:tcPr>
          <w:p>
            <w:pPr>
              <w:spacing w:after="0"/>
              <w:rPr>
                <w:sz w:val="4"/>
                <w:szCs w:val="4"/>
                <w:color w:val="auto"/>
              </w:rPr>
            </w:pPr>
          </w:p>
        </w:tc>
        <w:tc>
          <w:tcPr>
            <w:tcW w:w="1380" w:type="dxa"/>
            <w:vAlign w:val="bottom"/>
            <w:tcBorders>
              <w:bottom w:val="single" w:sz="8" w:color="auto"/>
            </w:tcBorders>
            <w:vMerge w:val="continue"/>
            <w:shd w:val="clear" w:color="auto" w:fill="E5FFFF"/>
          </w:tcPr>
          <w:p>
            <w:pPr>
              <w:spacing w:after="0"/>
              <w:rPr>
                <w:sz w:val="4"/>
                <w:szCs w:val="4"/>
                <w:color w:val="auto"/>
              </w:rPr>
            </w:pPr>
          </w:p>
        </w:tc>
        <w:tc>
          <w:tcPr>
            <w:tcW w:w="200" w:type="dxa"/>
            <w:vAlign w:val="bottom"/>
            <w:tcBorders>
              <w:bottom w:val="single" w:sz="8" w:color="E5FFFF"/>
            </w:tcBorders>
            <w:shd w:val="clear" w:color="auto" w:fill="E5FFFF"/>
          </w:tcPr>
          <w:p>
            <w:pPr>
              <w:spacing w:after="0"/>
              <w:rPr>
                <w:sz w:val="4"/>
                <w:szCs w:val="4"/>
                <w:color w:val="auto"/>
              </w:rPr>
            </w:pPr>
          </w:p>
        </w:tc>
        <w:tc>
          <w:tcPr>
            <w:tcW w:w="1340" w:type="dxa"/>
            <w:vAlign w:val="bottom"/>
            <w:tcBorders>
              <w:bottom w:val="single" w:sz="8" w:color="auto"/>
            </w:tcBorders>
            <w:vMerge w:val="continue"/>
            <w:shd w:val="clear" w:color="auto" w:fill="E5FFFF"/>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15. Cash Flow Reconciliations</w:t>
      </w:r>
    </w:p>
    <w:p>
      <w:pPr>
        <w:spacing w:after="0" w:line="239" w:lineRule="exact"/>
        <w:rPr>
          <w:sz w:val="20"/>
          <w:szCs w:val="20"/>
          <w:color w:val="auto"/>
        </w:rPr>
      </w:pPr>
    </w:p>
    <w:p>
      <w:pPr>
        <w:ind w:right="240" w:firstLine="383"/>
        <w:spacing w:after="0" w:line="293" w:lineRule="auto"/>
        <w:rPr>
          <w:sz w:val="20"/>
          <w:szCs w:val="20"/>
          <w:color w:val="auto"/>
        </w:rPr>
      </w:pPr>
      <w:r>
        <w:rPr>
          <w:rFonts w:ascii="Arial" w:cs="Arial" w:eastAsia="Arial" w:hAnsi="Arial"/>
          <w:sz w:val="16"/>
          <w:szCs w:val="16"/>
          <w:color w:val="auto"/>
        </w:rPr>
        <w:t>The reconciliations of the Partnership’s non-cash investing and financing activities for the six months ended June 30, 2019 and June 30, 2020 are presented in the following tables: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Deferred</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financing costs,</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rPr>
              <w:t>Opening balance</w:t>
            </w:r>
          </w:p>
        </w:tc>
        <w:tc>
          <w:tcPr>
            <w:tcW w:w="1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Cash flows</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Non-cash items</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76"/>
              </w:rPr>
              <w:t>assets</w:t>
            </w:r>
          </w:p>
        </w:tc>
        <w:tc>
          <w:tcPr>
            <w:tcW w:w="1240" w:type="dxa"/>
            <w:vAlign w:val="bottom"/>
            <w:gridSpan w:val="2"/>
          </w:tcPr>
          <w:p>
            <w:pPr>
              <w:ind w:left="420"/>
              <w:spacing w:after="0"/>
              <w:rPr>
                <w:sz w:val="20"/>
                <w:szCs w:val="20"/>
                <w:color w:val="auto"/>
              </w:rPr>
            </w:pPr>
            <w:r>
              <w:rPr>
                <w:rFonts w:ascii="Arial" w:cs="Arial" w:eastAsia="Arial" w:hAnsi="Arial"/>
                <w:sz w:val="16"/>
                <w:szCs w:val="16"/>
                <w:b w:val="1"/>
                <w:bCs w:val="1"/>
                <w:color w:val="auto"/>
              </w:rPr>
              <w:t>Total</w:t>
            </w:r>
          </w:p>
        </w:tc>
      </w:tr>
      <w:tr>
        <w:trPr>
          <w:trHeight w:val="179"/>
        </w:trPr>
        <w:tc>
          <w:tcPr>
            <w:tcW w:w="316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 January 1,</w:t>
            </w:r>
          </w:p>
        </w:tc>
        <w:tc>
          <w:tcPr>
            <w:tcW w:w="15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30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1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1,365,800</w:t>
            </w:r>
          </w:p>
        </w:tc>
        <w:tc>
          <w:tcPr>
            <w:tcW w:w="18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1,365,800</w:t>
            </w:r>
          </w:p>
        </w:tc>
        <w:tc>
          <w:tcPr>
            <w:tcW w:w="40" w:type="dxa"/>
            <w:vAlign w:val="bottom"/>
          </w:tcPr>
          <w:p>
            <w:pPr>
              <w:spacing w:after="0"/>
              <w:rPr>
                <w:sz w:val="18"/>
                <w:szCs w:val="18"/>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Borrowings drawdowns</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435,000</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435,000</w:t>
            </w:r>
          </w:p>
        </w:tc>
        <w:tc>
          <w:tcPr>
            <w:tcW w:w="40" w:type="dxa"/>
            <w:vAlign w:val="bottom"/>
          </w:tcPr>
          <w:p>
            <w:pPr>
              <w:spacing w:after="0"/>
              <w:rPr>
                <w:sz w:val="17"/>
                <w:szCs w:val="17"/>
                <w:color w:val="auto"/>
              </w:rPr>
            </w:pPr>
          </w:p>
        </w:tc>
      </w:tr>
      <w:tr>
        <w:trPr>
          <w:trHeight w:val="203"/>
        </w:trPr>
        <w:tc>
          <w:tcPr>
            <w:tcW w:w="31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(403,072)</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(403,072)</w:t>
            </w:r>
          </w:p>
        </w:tc>
        <w:tc>
          <w:tcPr>
            <w:tcW w:w="40" w:type="dxa"/>
            <w:vAlign w:val="bottom"/>
          </w:tcPr>
          <w:p>
            <w:pPr>
              <w:spacing w:after="0"/>
              <w:rPr>
                <w:sz w:val="17"/>
                <w:szCs w:val="17"/>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(4,972)</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(156)</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1200" w:type="dxa"/>
            <w:vAlign w:val="bottom"/>
          </w:tcPr>
          <w:p>
            <w:pPr>
              <w:jc w:val="right"/>
              <w:spacing w:after="0"/>
              <w:rPr>
                <w:sz w:val="20"/>
                <w:szCs w:val="20"/>
                <w:color w:val="auto"/>
              </w:rPr>
            </w:pPr>
            <w:r>
              <w:rPr>
                <w:rFonts w:ascii="Arial" w:cs="Arial" w:eastAsia="Arial" w:hAnsi="Arial"/>
                <w:sz w:val="16"/>
                <w:szCs w:val="16"/>
                <w:color w:val="auto"/>
              </w:rPr>
              <w:t>(5,178)</w:t>
            </w:r>
          </w:p>
        </w:tc>
        <w:tc>
          <w:tcPr>
            <w:tcW w:w="40" w:type="dxa"/>
            <w:vAlign w:val="bottom"/>
          </w:tcPr>
          <w:p>
            <w:pPr>
              <w:spacing w:after="0"/>
              <w:rPr>
                <w:sz w:val="17"/>
                <w:szCs w:val="17"/>
                <w:color w:val="auto"/>
              </w:rPr>
            </w:pPr>
          </w:p>
        </w:tc>
      </w:tr>
      <w:tr>
        <w:trPr>
          <w:trHeight w:val="193"/>
        </w:trPr>
        <w:tc>
          <w:tcPr>
            <w:tcW w:w="316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 deferred loan</w:t>
            </w:r>
          </w:p>
        </w:tc>
        <w:tc>
          <w:tcPr>
            <w:tcW w:w="15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31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(Note 14)</w:t>
            </w: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3,959</w:t>
            </w:r>
          </w:p>
        </w:tc>
        <w:tc>
          <w:tcPr>
            <w:tcW w:w="1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3,959</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6" w:right="47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0"/>
        </w:trPr>
        <w:tc>
          <w:tcPr>
            <w:tcW w:w="33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Borrowings outstanding as of June 30,</w:t>
            </w: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1,365,800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26,956</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3,803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1,396,509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300" w:type="dxa"/>
            <w:vAlign w:val="bottom"/>
            <w:gridSpan w:val="2"/>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bottom w:val="single" w:sz="8" w:color="auto"/>
            </w:tcBorders>
            <w:gridSpan w:val="2"/>
          </w:tcPr>
          <w:p>
            <w:pPr>
              <w:jc w:val="right"/>
              <w:spacing w:after="0" w:line="68" w:lineRule="exact"/>
              <w:rPr>
                <w:sz w:val="20"/>
                <w:szCs w:val="20"/>
                <w:color w:val="auto"/>
              </w:rPr>
            </w:pPr>
            <w:r>
              <w:rPr>
                <w:rFonts w:ascii="Arial" w:cs="Arial" w:eastAsia="Arial" w:hAnsi="Arial"/>
                <w:sz w:val="7"/>
                <w:szCs w:val="7"/>
                <w:b w:val="1"/>
                <w:bCs w:val="1"/>
                <w:color w:val="auto"/>
              </w:rPr>
              <w:t>(50</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9"/>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4"/>
              </w:rPr>
              <w:t>Deferred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86"/>
              </w:rPr>
              <w:t>financing costs,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80" w:type="dxa"/>
            <w:vAlign w:val="bottom"/>
            <w:gridSpan w:val="5"/>
          </w:tcPr>
          <w:p>
            <w:pPr>
              <w:ind w:left="200"/>
              <w:spacing w:after="0"/>
              <w:rPr>
                <w:sz w:val="20"/>
                <w:szCs w:val="20"/>
                <w:color w:val="auto"/>
              </w:rPr>
            </w:pPr>
            <w:r>
              <w:rPr>
                <w:rFonts w:ascii="Arial" w:cs="Arial" w:eastAsia="Arial" w:hAnsi="Arial"/>
                <w:sz w:val="16"/>
                <w:szCs w:val="16"/>
                <w:b w:val="1"/>
                <w:bCs w:val="1"/>
                <w:color w:val="auto"/>
              </w:rPr>
              <w:t>Opening balance</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color w:val="auto"/>
              </w:rPr>
              <w:t>Cash flows</w:t>
            </w:r>
          </w:p>
        </w:tc>
        <w:tc>
          <w:tcPr>
            <w:tcW w:w="14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Non-cash items</w:t>
            </w:r>
          </w:p>
        </w:tc>
        <w:tc>
          <w:tcPr>
            <w:tcW w:w="80" w:type="dxa"/>
            <w:vAlign w:val="bottom"/>
          </w:tcPr>
          <w:p>
            <w:pPr>
              <w:spacing w:after="0"/>
              <w:rPr>
                <w:sz w:val="18"/>
                <w:szCs w:val="18"/>
                <w:color w:val="auto"/>
              </w:rPr>
            </w:pPr>
          </w:p>
        </w:tc>
        <w:tc>
          <w:tcPr>
            <w:tcW w:w="15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76"/>
              </w:rPr>
              <w:t>assets</w:t>
            </w:r>
          </w:p>
        </w:tc>
        <w:tc>
          <w:tcPr>
            <w:tcW w:w="100" w:type="dxa"/>
            <w:vAlign w:val="bottom"/>
          </w:tcPr>
          <w:p>
            <w:pPr>
              <w:spacing w:after="0"/>
              <w:rPr>
                <w:sz w:val="18"/>
                <w:szCs w:val="18"/>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314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 January 1,</w:t>
            </w:r>
          </w:p>
        </w:tc>
        <w:tc>
          <w:tcPr>
            <w:tcW w:w="880" w:type="dxa"/>
            <w:vAlign w:val="bottom"/>
            <w:tcBorders>
              <w:top w:val="single" w:sz="8" w:color="auto"/>
              <w:left w:val="single" w:sz="8" w:color="E5FFFF"/>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auto"/>
              <w:right w:val="single" w:sz="8" w:color="E5FFFF"/>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right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spacing w:after="0"/>
              <w:rPr>
                <w:sz w:val="15"/>
                <w:szCs w:val="15"/>
                <w:color w:val="auto"/>
              </w:rPr>
            </w:pPr>
          </w:p>
        </w:tc>
        <w:tc>
          <w:tcPr>
            <w:tcW w:w="60" w:type="dxa"/>
            <w:vAlign w:val="bottom"/>
            <w:tcBorders>
              <w:top w:val="single" w:sz="8" w:color="E5FFFF"/>
              <w:left w:val="single" w:sz="8" w:color="E5FFFF"/>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auto"/>
            </w:tcBorders>
            <w:shd w:val="clear" w:color="auto" w:fill="E5FFFF"/>
          </w:tcPr>
          <w:p>
            <w:pPr>
              <w:spacing w:after="0"/>
              <w:rPr>
                <w:sz w:val="15"/>
                <w:szCs w:val="15"/>
                <w:color w:val="auto"/>
              </w:rPr>
            </w:pPr>
          </w:p>
        </w:tc>
        <w:tc>
          <w:tcPr>
            <w:tcW w:w="130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right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1080" w:type="dxa"/>
            <w:vAlign w:val="bottom"/>
            <w:tcBorders>
              <w:top w:val="single" w:sz="8" w:color="auto"/>
            </w:tcBorders>
            <w:shd w:val="clear" w:color="auto" w:fill="E5FFFF"/>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14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2020</w:t>
            </w:r>
          </w:p>
        </w:tc>
        <w:tc>
          <w:tcPr>
            <w:tcW w:w="880" w:type="dxa"/>
            <w:vAlign w:val="bottom"/>
            <w:tcBorders>
              <w:left w:val="single" w:sz="8" w:color="E5FFFF"/>
            </w:tcBorders>
            <w:shd w:val="clear" w:color="auto" w:fill="E5FFFF"/>
          </w:tcPr>
          <w:p>
            <w:pPr>
              <w:spacing w:after="0"/>
              <w:rPr>
                <w:sz w:val="18"/>
                <w:szCs w:val="18"/>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1,346,024</w:t>
            </w: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tcBorders>
              <w:right w:val="single" w:sz="8" w:color="E5FFFF"/>
            </w:tcBorders>
            <w:gridSpan w:val="4"/>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18"/>
                <w:szCs w:val="18"/>
                <w:color w:val="auto"/>
              </w:rPr>
            </w:pPr>
          </w:p>
        </w:tc>
        <w:tc>
          <w:tcPr>
            <w:tcW w:w="1500" w:type="dxa"/>
            <w:vAlign w:val="bottom"/>
            <w:tcBorders>
              <w:right w:val="single" w:sz="8" w:color="E5FFFF"/>
            </w:tcBorders>
            <w:gridSpan w:val="4"/>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1,346,024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Borrowings drawdowns</w:t>
            </w:r>
          </w:p>
        </w:tc>
        <w:tc>
          <w:tcPr>
            <w:tcW w:w="1100" w:type="dxa"/>
            <w:vAlign w:val="bottom"/>
            <w:gridSpan w:val="4"/>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25,940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500" w:type="dxa"/>
            <w:vAlign w:val="bottom"/>
            <w:gridSpan w:val="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25,940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100" w:type="dxa"/>
            <w:vAlign w:val="bottom"/>
            <w:gridSpan w:val="4"/>
            <w:shd w:val="clear" w:color="auto" w:fill="E5FFFF"/>
          </w:tcPr>
          <w:p>
            <w:pPr>
              <w:jc w:val="right"/>
              <w:ind w:right="440"/>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(55,805)</w:t>
            </w:r>
          </w:p>
        </w:tc>
        <w:tc>
          <w:tcPr>
            <w:tcW w:w="40" w:type="dxa"/>
            <w:vAlign w:val="bottom"/>
            <w:tcBorders>
              <w:right w:val="single" w:sz="8" w:color="E5FFFF"/>
            </w:tcBorders>
            <w:shd w:val="clear" w:color="auto" w:fill="E5FFFF"/>
          </w:tcPr>
          <w:p>
            <w:pPr>
              <w:spacing w:after="0"/>
              <w:rPr>
                <w:sz w:val="17"/>
                <w:szCs w:val="17"/>
                <w:color w:val="auto"/>
              </w:rPr>
            </w:pPr>
          </w:p>
        </w:tc>
        <w:tc>
          <w:tcPr>
            <w:tcW w:w="144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17"/>
                <w:szCs w:val="17"/>
                <w:color w:val="auto"/>
              </w:rPr>
            </w:pPr>
          </w:p>
        </w:tc>
        <w:tc>
          <w:tcPr>
            <w:tcW w:w="1500" w:type="dxa"/>
            <w:vAlign w:val="bottom"/>
            <w:tcBorders>
              <w:right w:val="single" w:sz="8" w:color="E5FFFF"/>
            </w:tcBorders>
            <w:gridSpan w:val="4"/>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(55,805)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Additions in deferred loan fees</w:t>
            </w:r>
          </w:p>
        </w:tc>
        <w:tc>
          <w:tcPr>
            <w:tcW w:w="1100" w:type="dxa"/>
            <w:vAlign w:val="bottom"/>
            <w:gridSpan w:val="4"/>
          </w:tcPr>
          <w:p>
            <w:pPr>
              <w:jc w:val="right"/>
              <w:ind w:right="44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40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Amortization and write-off of deferred loan</w:t>
            </w:r>
          </w:p>
        </w:tc>
        <w:tc>
          <w:tcPr>
            <w:tcW w:w="6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000" w:type="dxa"/>
            <w:vAlign w:val="bottom"/>
            <w:shd w:val="clear" w:color="auto" w:fill="E5FFFF"/>
          </w:tcPr>
          <w:p>
            <w:pPr>
              <w:spacing w:after="0"/>
              <w:rPr>
                <w:sz w:val="16"/>
                <w:szCs w:val="16"/>
                <w:color w:val="auto"/>
              </w:rPr>
            </w:pPr>
          </w:p>
        </w:tc>
        <w:tc>
          <w:tcPr>
            <w:tcW w:w="40" w:type="dxa"/>
            <w:vAlign w:val="bottom"/>
            <w:tcBorders>
              <w:right w:val="single" w:sz="8" w:color="E5FFFF"/>
            </w:tcBorders>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40" w:type="dxa"/>
            <w:vAlign w:val="bottom"/>
            <w:tcBorders>
              <w:right w:val="single" w:sz="8" w:color="E5FFFF"/>
            </w:tcBorders>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60" w:type="dxa"/>
            <w:vAlign w:val="bottom"/>
            <w:tcBorders>
              <w:left w:val="single" w:sz="8" w:color="E5FFFF"/>
            </w:tcBorders>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80" w:type="dxa"/>
            <w:vAlign w:val="bottom"/>
            <w:tcBorders>
              <w:right w:val="single" w:sz="8" w:color="E5FFFF"/>
            </w:tcBorders>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80" w:type="dxa"/>
            <w:vAlign w:val="bottom"/>
            <w:shd w:val="clear" w:color="auto" w:fill="E5FFFF"/>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1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(Note 14)</w:t>
            </w:r>
          </w:p>
        </w:tc>
        <w:tc>
          <w:tcPr>
            <w:tcW w:w="880" w:type="dxa"/>
            <w:vAlign w:val="bottom"/>
            <w:tcBorders>
              <w:left w:val="single" w:sz="8" w:color="E5FFFF"/>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E5FFFF"/>
            </w:tcBorders>
            <w:gridSpan w:val="2"/>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2,985</w:t>
            </w:r>
          </w:p>
        </w:tc>
        <w:tc>
          <w:tcPr>
            <w:tcW w:w="60" w:type="dxa"/>
            <w:vAlign w:val="bottom"/>
            <w:tcBorders>
              <w:left w:val="single" w:sz="8" w:color="E5FFFF"/>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E5FFFF"/>
            </w:tcBorders>
            <w:gridSpan w:val="3"/>
            <w:shd w:val="clear" w:color="auto" w:fill="E5FFFF"/>
          </w:tcPr>
          <w:p>
            <w:pPr>
              <w:spacing w:after="0"/>
              <w:rPr>
                <w:sz w:val="18"/>
                <w:szCs w:val="18"/>
                <w:color w:val="auto"/>
              </w:rPr>
            </w:pPr>
          </w:p>
        </w:tc>
        <w:tc>
          <w:tcPr>
            <w:tcW w:w="11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2,985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140" w:type="dxa"/>
            <w:vAlign w:val="bottom"/>
          </w:tcPr>
          <w:p>
            <w:pPr>
              <w:spacing w:after="0" w:line="169" w:lineRule="exact"/>
              <w:rPr>
                <w:sz w:val="20"/>
                <w:szCs w:val="20"/>
                <w:color w:val="auto"/>
              </w:rPr>
            </w:pPr>
            <w:r>
              <w:rPr>
                <w:rFonts w:ascii="Arial" w:cs="Arial" w:eastAsia="Arial" w:hAnsi="Arial"/>
                <w:sz w:val="16"/>
                <w:szCs w:val="16"/>
                <w:b w:val="1"/>
                <w:bCs w:val="1"/>
                <w:color w:val="auto"/>
              </w:rPr>
              <w:t>Borrowings outstanding as of June 30,</w:t>
            </w:r>
          </w:p>
        </w:tc>
        <w:tc>
          <w:tcPr>
            <w:tcW w:w="8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1,346,024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vMerge w:val="restart"/>
          </w:tcPr>
          <w:p>
            <w:pPr>
              <w:ind w:left="10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134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1,319,111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2020</w:t>
            </w:r>
          </w:p>
        </w:tc>
        <w:tc>
          <w:tcPr>
            <w:tcW w:w="8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300" w:type="dxa"/>
            <w:vAlign w:val="bottom"/>
            <w:gridSpan w:val="2"/>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tcPr>
          <w:p>
            <w:pPr>
              <w:jc w:val="right"/>
              <w:ind w:right="20"/>
              <w:spacing w:after="0" w:line="68" w:lineRule="exact"/>
              <w:rPr>
                <w:sz w:val="20"/>
                <w:szCs w:val="20"/>
                <w:color w:val="auto"/>
              </w:rPr>
            </w:pPr>
            <w:r>
              <w:rPr>
                <w:rFonts w:ascii="Arial" w:cs="Arial" w:eastAsia="Arial" w:hAnsi="Arial"/>
                <w:sz w:val="7"/>
                <w:szCs w:val="7"/>
                <w:b w:val="1"/>
                <w:bCs w:val="1"/>
                <w:color w:val="auto"/>
              </w:rPr>
              <w:t>(30,054</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16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6"/>
                <w:szCs w:val="16"/>
                <w:color w:val="auto"/>
                <w:w w:val="95"/>
              </w:rPr>
              <w:t>A reconciliation of derivatives arising from financing activities is as follows: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Opening</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balance</w:t>
            </w:r>
          </w:p>
        </w:tc>
        <w:tc>
          <w:tcPr>
            <w:tcW w:w="80" w:type="dxa"/>
            <w:vAlign w:val="bottom"/>
          </w:tcPr>
          <w:p>
            <w:pPr>
              <w:spacing w:after="0"/>
              <w:rPr>
                <w:sz w:val="18"/>
                <w:szCs w:val="18"/>
                <w:color w:val="auto"/>
              </w:rPr>
            </w:pPr>
          </w:p>
        </w:tc>
        <w:tc>
          <w:tcPr>
            <w:tcW w:w="15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88"/>
              </w:rPr>
              <w:t>Non-cash items</w:t>
            </w:r>
          </w:p>
        </w:tc>
        <w:tc>
          <w:tcPr>
            <w:tcW w:w="100" w:type="dxa"/>
            <w:vAlign w:val="bottom"/>
          </w:tcPr>
          <w:p>
            <w:pPr>
              <w:spacing w:after="0"/>
              <w:rPr>
                <w:sz w:val="18"/>
                <w:szCs w:val="18"/>
                <w:color w:val="auto"/>
              </w:rPr>
            </w:pPr>
          </w:p>
        </w:tc>
        <w:tc>
          <w:tcPr>
            <w:tcW w:w="1280" w:type="dxa"/>
            <w:vAlign w:val="bottom"/>
            <w:gridSpan w:val="3"/>
          </w:tcPr>
          <w:p>
            <w:pPr>
              <w:ind w:lef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Net derivative assets as of January 1, 2019</w:t>
            </w:r>
          </w:p>
        </w:tc>
        <w:tc>
          <w:tcPr>
            <w:tcW w:w="6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right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4,935</w:t>
            </w:r>
          </w:p>
        </w:tc>
        <w:tc>
          <w:tcPr>
            <w:tcW w:w="60" w:type="dxa"/>
            <w:vAlign w:val="bottom"/>
            <w:tcBorders>
              <w:top w:val="single" w:sz="8" w:color="E5FFFF"/>
              <w:left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right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4,935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w w:val="91"/>
              </w:rPr>
              <w:t>Unrealized loss on interest rate swaps held for trading (Note 14)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(14,609)</w:t>
            </w:r>
          </w:p>
        </w:tc>
        <w:tc>
          <w:tcPr>
            <w:tcW w:w="8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(14,609)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7"/>
            <w:shd w:val="clear" w:color="auto" w:fill="E5FFFF"/>
          </w:tcPr>
          <w:p>
            <w:pPr>
              <w:spacing w:after="0"/>
              <w:rPr>
                <w:sz w:val="20"/>
                <w:szCs w:val="20"/>
                <w:color w:val="auto"/>
              </w:rPr>
            </w:pPr>
            <w:r>
              <w:rPr>
                <w:rFonts w:ascii="Arial" w:cs="Arial" w:eastAsia="Arial" w:hAnsi="Arial"/>
                <w:sz w:val="16"/>
                <w:szCs w:val="16"/>
                <w:color w:val="auto"/>
                <w:w w:val="92"/>
              </w:rPr>
              <w:t>Unrealized gain on forward foreign exchange contracts held for trading (Note 14)</w:t>
            </w:r>
          </w:p>
        </w:tc>
        <w:tc>
          <w:tcPr>
            <w:tcW w:w="1000" w:type="dxa"/>
            <w:vAlign w:val="bottom"/>
            <w:shd w:val="clear" w:color="auto" w:fill="E5FFFF"/>
          </w:tcPr>
          <w:p>
            <w:pPr>
              <w:spacing w:after="0"/>
              <w:rPr>
                <w:sz w:val="17"/>
                <w:szCs w:val="17"/>
                <w:color w:val="auto"/>
              </w:rPr>
            </w:pPr>
          </w:p>
        </w:tc>
        <w:tc>
          <w:tcPr>
            <w:tcW w:w="40" w:type="dxa"/>
            <w:vAlign w:val="bottom"/>
            <w:tcBorders>
              <w:right w:val="single" w:sz="8" w:color="E5FFFF"/>
            </w:tcBorders>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tcBorders>
              <w:bottom w:val="single" w:sz="8" w:color="auto"/>
              <w:right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E5FFFF"/>
            </w:tcBorders>
            <w:gridSpan w:val="2"/>
            <w:shd w:val="clear" w:color="auto" w:fill="E5FFFF"/>
          </w:tcPr>
          <w:p>
            <w:pPr>
              <w:spacing w:after="0"/>
              <w:rPr>
                <w:sz w:val="17"/>
                <w:szCs w:val="17"/>
                <w:color w:val="auto"/>
              </w:rPr>
            </w:pPr>
          </w:p>
        </w:tc>
        <w:tc>
          <w:tcPr>
            <w:tcW w:w="142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356</w:t>
            </w:r>
          </w:p>
        </w:tc>
        <w:tc>
          <w:tcPr>
            <w:tcW w:w="80" w:type="dxa"/>
            <w:vAlign w:val="bottom"/>
            <w:shd w:val="clear" w:color="auto" w:fill="E5FFFF"/>
          </w:tcPr>
          <w:p>
            <w:pPr>
              <w:spacing w:after="0"/>
              <w:rPr>
                <w:sz w:val="17"/>
                <w:szCs w:val="17"/>
                <w:color w:val="auto"/>
              </w:rPr>
            </w:pPr>
          </w:p>
        </w:tc>
        <w:tc>
          <w:tcPr>
            <w:tcW w:w="80" w:type="dxa"/>
            <w:vAlign w:val="bottom"/>
            <w:tcBorders>
              <w:right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356</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56"/>
        </w:trPr>
        <w:tc>
          <w:tcPr>
            <w:tcW w:w="41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Net derivative liabilities as of June 30, 2019</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4,935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(14,253</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34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(9,318</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1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Borders>
              <w:bottom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Opening</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balance</w:t>
            </w:r>
          </w:p>
        </w:tc>
        <w:tc>
          <w:tcPr>
            <w:tcW w:w="80" w:type="dxa"/>
            <w:vAlign w:val="bottom"/>
          </w:tcPr>
          <w:p>
            <w:pPr>
              <w:spacing w:after="0"/>
              <w:rPr>
                <w:sz w:val="18"/>
                <w:szCs w:val="18"/>
                <w:color w:val="auto"/>
              </w:rPr>
            </w:pPr>
          </w:p>
        </w:tc>
        <w:tc>
          <w:tcPr>
            <w:tcW w:w="150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88"/>
              </w:rPr>
              <w:t>Non-cash items</w:t>
            </w:r>
          </w:p>
        </w:tc>
        <w:tc>
          <w:tcPr>
            <w:tcW w:w="100" w:type="dxa"/>
            <w:vAlign w:val="bottom"/>
          </w:tcPr>
          <w:p>
            <w:pPr>
              <w:spacing w:after="0"/>
              <w:rPr>
                <w:sz w:val="18"/>
                <w:szCs w:val="18"/>
                <w:color w:val="auto"/>
              </w:rPr>
            </w:pPr>
          </w:p>
        </w:tc>
        <w:tc>
          <w:tcPr>
            <w:tcW w:w="1280" w:type="dxa"/>
            <w:vAlign w:val="bottom"/>
            <w:gridSpan w:val="3"/>
          </w:tcPr>
          <w:p>
            <w:pPr>
              <w:ind w:lef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Net derivative liabilities as of January 1, 2020</w:t>
            </w:r>
          </w:p>
        </w:tc>
        <w:tc>
          <w:tcPr>
            <w:tcW w:w="6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right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(8,923</w:t>
            </w:r>
          </w:p>
        </w:tc>
        <w:tc>
          <w:tcPr>
            <w:tcW w:w="60" w:type="dxa"/>
            <w:vAlign w:val="bottom"/>
            <w:tcBorders>
              <w:top w:val="single" w:sz="8" w:color="E5FFFF"/>
              <w:lef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right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(8,923)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w w:val="91"/>
              </w:rPr>
              <w:t>Unrealized loss on interest rate swaps held for trading (Note 14)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(12,148)</w:t>
            </w:r>
          </w:p>
        </w:tc>
        <w:tc>
          <w:tcPr>
            <w:tcW w:w="8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(12,148)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7"/>
            <w:shd w:val="clear" w:color="auto" w:fill="E5FFFF"/>
          </w:tcPr>
          <w:p>
            <w:pPr>
              <w:spacing w:after="0"/>
              <w:rPr>
                <w:sz w:val="20"/>
                <w:szCs w:val="20"/>
                <w:color w:val="auto"/>
              </w:rPr>
            </w:pPr>
            <w:r>
              <w:rPr>
                <w:rFonts w:ascii="Arial" w:cs="Arial" w:eastAsia="Arial" w:hAnsi="Arial"/>
                <w:sz w:val="16"/>
                <w:szCs w:val="16"/>
                <w:color w:val="auto"/>
                <w:w w:val="92"/>
              </w:rPr>
              <w:t>Unrealized loss on forward foreign exchange contracts held for trading (Note 14)</w:t>
            </w:r>
          </w:p>
        </w:tc>
        <w:tc>
          <w:tcPr>
            <w:tcW w:w="1000" w:type="dxa"/>
            <w:vAlign w:val="bottom"/>
            <w:shd w:val="clear" w:color="auto" w:fill="E5FFFF"/>
          </w:tcPr>
          <w:p>
            <w:pPr>
              <w:spacing w:after="0"/>
              <w:rPr>
                <w:sz w:val="17"/>
                <w:szCs w:val="17"/>
                <w:color w:val="auto"/>
              </w:rPr>
            </w:pPr>
          </w:p>
        </w:tc>
        <w:tc>
          <w:tcPr>
            <w:tcW w:w="40" w:type="dxa"/>
            <w:vAlign w:val="bottom"/>
            <w:tcBorders>
              <w:right w:val="single" w:sz="8" w:color="E5FFFF"/>
            </w:tcBorders>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tcBorders>
              <w:right w:val="single" w:sz="8" w:color="E5FFFF"/>
            </w:tcBorders>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E5FFFF"/>
            </w:tcBorders>
            <w:gridSpan w:val="2"/>
            <w:shd w:val="clear" w:color="auto" w:fill="E5FFFF"/>
          </w:tcPr>
          <w:p>
            <w:pPr>
              <w:spacing w:after="0"/>
              <w:rPr>
                <w:sz w:val="17"/>
                <w:szCs w:val="17"/>
                <w:color w:val="auto"/>
              </w:rPr>
            </w:pPr>
          </w:p>
        </w:tc>
        <w:tc>
          <w:tcPr>
            <w:tcW w:w="15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right w:val="single" w:sz="8" w:color="E5FFFF"/>
            </w:tcBorders>
            <w:shd w:val="clear" w:color="auto" w:fill="E5FFFF"/>
          </w:tcPr>
          <w:p>
            <w:pPr>
              <w:spacing w:after="0"/>
              <w:rPr>
                <w:sz w:val="17"/>
                <w:szCs w:val="17"/>
                <w:color w:val="auto"/>
              </w:rPr>
            </w:pP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(69)</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56"/>
        </w:trPr>
        <w:tc>
          <w:tcPr>
            <w:tcW w:w="41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Net derivative liabilities as of June 30, 2020</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(8,923</w:t>
            </w:r>
          </w:p>
        </w:tc>
        <w:tc>
          <w:tcPr>
            <w:tcW w:w="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3"/>
                <w:szCs w:val="13"/>
                <w:color w:val="auto"/>
              </w:rPr>
            </w:pPr>
          </w:p>
        </w:tc>
        <w:tc>
          <w:tcPr>
            <w:tcW w:w="142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(12,217</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34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(21,140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1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Borders>
              <w:bottom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6340" w:type="dxa"/>
            <w:vAlign w:val="bottom"/>
            <w:gridSpan w:val="10"/>
          </w:tcPr>
          <w:p>
            <w:pPr>
              <w:ind w:left="80"/>
              <w:spacing w:after="0"/>
              <w:rPr>
                <w:sz w:val="20"/>
                <w:szCs w:val="20"/>
                <w:color w:val="auto"/>
              </w:rPr>
            </w:pPr>
            <w:r>
              <w:rPr>
                <w:rFonts w:ascii="Arial" w:cs="Arial" w:eastAsia="Arial" w:hAnsi="Arial"/>
                <w:sz w:val="16"/>
                <w:szCs w:val="16"/>
                <w:color w:val="auto"/>
                <w:w w:val="95"/>
              </w:rPr>
              <w:t>A reconciliation of vessels/tangible fixed assets arising from investing activities is as follows:</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Arial" w:cs="Arial" w:eastAsia="Arial" w:hAnsi="Arial"/>
                <w:sz w:val="16"/>
                <w:szCs w:val="16"/>
                <w:b w:val="1"/>
                <w:bCs w:val="1"/>
                <w:color w:val="auto"/>
              </w:rPr>
              <w:t>Opening</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balance</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8"/>
                <w:szCs w:val="18"/>
                <w:color w:val="auto"/>
              </w:rPr>
            </w:pPr>
          </w:p>
        </w:tc>
        <w:tc>
          <w:tcPr>
            <w:tcW w:w="15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Non-cash items</w:t>
            </w:r>
          </w:p>
        </w:tc>
        <w:tc>
          <w:tcPr>
            <w:tcW w:w="100" w:type="dxa"/>
            <w:vAlign w:val="bottom"/>
          </w:tcPr>
          <w:p>
            <w:pPr>
              <w:spacing w:after="0"/>
              <w:rPr>
                <w:sz w:val="18"/>
                <w:szCs w:val="18"/>
                <w:color w:val="auto"/>
              </w:rPr>
            </w:pPr>
          </w:p>
        </w:tc>
        <w:tc>
          <w:tcPr>
            <w:tcW w:w="1280" w:type="dxa"/>
            <w:vAlign w:val="bottom"/>
            <w:gridSpan w:val="3"/>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Vessels as of January 1, 2019</w:t>
            </w:r>
          </w:p>
        </w:tc>
        <w:tc>
          <w:tcPr>
            <w:tcW w:w="6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2,509,283</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right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2,509,283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Additions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6,737</w:t>
            </w:r>
          </w:p>
        </w:tc>
        <w:tc>
          <w:tcPr>
            <w:tcW w:w="100" w:type="dxa"/>
            <w:vAlign w:val="bottom"/>
          </w:tcPr>
          <w:p>
            <w:pPr>
              <w:spacing w:after="0"/>
              <w:rPr>
                <w:sz w:val="17"/>
                <w:szCs w:val="17"/>
                <w:color w:val="auto"/>
              </w:rPr>
            </w:pPr>
          </w:p>
        </w:tc>
        <w:tc>
          <w:tcPr>
            <w:tcW w:w="1580" w:type="dxa"/>
            <w:vAlign w:val="bottom"/>
            <w:gridSpan w:val="5"/>
          </w:tcPr>
          <w:p>
            <w:pPr>
              <w:jc w:val="right"/>
              <w:spacing w:after="0"/>
              <w:rPr>
                <w:sz w:val="20"/>
                <w:szCs w:val="20"/>
                <w:color w:val="auto"/>
              </w:rPr>
            </w:pPr>
            <w:r>
              <w:rPr>
                <w:rFonts w:ascii="Arial" w:cs="Arial" w:eastAsia="Arial" w:hAnsi="Arial"/>
                <w:sz w:val="16"/>
                <w:szCs w:val="16"/>
                <w:color w:val="auto"/>
              </w:rPr>
              <w:t>(4,167)</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2,570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tcBorders>
              <w:right w:val="single" w:sz="8" w:color="E5FFFF"/>
            </w:tcBorders>
            <w:gridSpan w:val="4"/>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(4,021)</w:t>
            </w:r>
          </w:p>
        </w:tc>
        <w:tc>
          <w:tcPr>
            <w:tcW w:w="80" w:type="dxa"/>
            <w:vAlign w:val="bottom"/>
            <w:shd w:val="clear" w:color="auto" w:fill="E5FFFF"/>
          </w:tcPr>
          <w:p>
            <w:pPr>
              <w:spacing w:after="0"/>
              <w:rPr>
                <w:sz w:val="17"/>
                <w:szCs w:val="17"/>
                <w:color w:val="auto"/>
              </w:rPr>
            </w:pPr>
          </w:p>
        </w:tc>
        <w:tc>
          <w:tcPr>
            <w:tcW w:w="1500" w:type="dxa"/>
            <w:vAlign w:val="bottom"/>
            <w:tcBorders>
              <w:right w:val="single" w:sz="8" w:color="E5FFFF"/>
            </w:tcBorders>
            <w:gridSpan w:val="4"/>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Depreciation expense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(43,734)</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(43,734)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8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Vessels as of June 30, 2019</w:t>
            </w: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auto"/>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E5FFFF"/>
            </w:tcBorders>
            <w:shd w:val="clear" w:color="auto" w:fill="E5FFFF"/>
          </w:tcPr>
          <w:p>
            <w:pPr>
              <w:spacing w:after="0"/>
              <w:rPr>
                <w:sz w:val="17"/>
                <w:szCs w:val="17"/>
                <w:color w:val="auto"/>
              </w:rPr>
            </w:pPr>
          </w:p>
        </w:tc>
        <w:tc>
          <w:tcPr>
            <w:tcW w:w="1040" w:type="dxa"/>
            <w:vAlign w:val="bottom"/>
            <w:tcBorders>
              <w:top w:val="single" w:sz="8" w:color="auto"/>
              <w:bottom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2,509,283</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right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2,716</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(47,901</w:t>
            </w:r>
          </w:p>
        </w:tc>
        <w:tc>
          <w:tcPr>
            <w:tcW w:w="80" w:type="dxa"/>
            <w:vAlign w:val="bottom"/>
            <w:tcBorders>
              <w:top w:val="single" w:sz="8" w:color="E5FFFF"/>
              <w:bottom w:val="single" w:sz="8" w:color="E5FFFF"/>
              <w:right w:val="single" w:sz="8" w:color="E5FFFF"/>
            </w:tcBorders>
            <w:shd w:val="clear" w:color="auto" w:fill="E5FFFF"/>
          </w:tcPr>
          <w:p>
            <w:pPr>
              <w:jc w:val="right"/>
              <w:spacing w:after="0" w:line="155" w:lineRule="exact"/>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2,464,098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60" w:type="dxa"/>
            <w:vAlign w:val="bottom"/>
            <w:tcBorders>
              <w:top w:val="single" w:sz="8" w:color="E5FFFF"/>
            </w:tcBorders>
          </w:tcPr>
          <w:p>
            <w:pPr>
              <w:spacing w:after="0"/>
              <w:rPr>
                <w:sz w:val="24"/>
                <w:szCs w:val="24"/>
                <w:color w:val="auto"/>
              </w:rPr>
            </w:pPr>
          </w:p>
        </w:tc>
        <w:tc>
          <w:tcPr>
            <w:tcW w:w="3140" w:type="dxa"/>
            <w:vAlign w:val="bottom"/>
            <w:tcBorders>
              <w:top w:val="single" w:sz="8" w:color="E5FFFF"/>
            </w:tcBorders>
          </w:tcPr>
          <w:p>
            <w:pPr>
              <w:spacing w:after="0"/>
              <w:rPr>
                <w:sz w:val="24"/>
                <w:szCs w:val="24"/>
                <w:color w:val="auto"/>
              </w:rPr>
            </w:pPr>
          </w:p>
        </w:tc>
        <w:tc>
          <w:tcPr>
            <w:tcW w:w="880" w:type="dxa"/>
            <w:vAlign w:val="bottom"/>
            <w:tcBorders>
              <w:top w:val="single" w:sz="8" w:color="E5FFFF"/>
            </w:tcBorders>
          </w:tcPr>
          <w:p>
            <w:pPr>
              <w:spacing w:after="0"/>
              <w:rPr>
                <w:sz w:val="24"/>
                <w:szCs w:val="24"/>
                <w:color w:val="auto"/>
              </w:rPr>
            </w:pPr>
          </w:p>
        </w:tc>
        <w:tc>
          <w:tcPr>
            <w:tcW w:w="68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Opening</w:t>
            </w:r>
          </w:p>
        </w:tc>
        <w:tc>
          <w:tcPr>
            <w:tcW w:w="180" w:type="dxa"/>
            <w:vAlign w:val="bottom"/>
            <w:tcBorders>
              <w:top w:val="single" w:sz="8" w:color="E5FFFF"/>
            </w:tcBorders>
            <w:gridSpan w:val="2"/>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80" w:type="dxa"/>
            <w:vAlign w:val="bottom"/>
            <w:tcBorders>
              <w:top w:val="single" w:sz="8" w:color="E5FFFF"/>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balance</w:t>
            </w:r>
          </w:p>
        </w:tc>
        <w:tc>
          <w:tcPr>
            <w:tcW w:w="14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8"/>
                <w:szCs w:val="18"/>
                <w:color w:val="auto"/>
              </w:rPr>
            </w:pPr>
          </w:p>
        </w:tc>
        <w:tc>
          <w:tcPr>
            <w:tcW w:w="15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Non-cash items</w:t>
            </w:r>
          </w:p>
        </w:tc>
        <w:tc>
          <w:tcPr>
            <w:tcW w:w="100" w:type="dxa"/>
            <w:vAlign w:val="bottom"/>
          </w:tcPr>
          <w:p>
            <w:pPr>
              <w:spacing w:after="0"/>
              <w:rPr>
                <w:sz w:val="18"/>
                <w:szCs w:val="18"/>
                <w:color w:val="auto"/>
              </w:rPr>
            </w:pPr>
          </w:p>
        </w:tc>
        <w:tc>
          <w:tcPr>
            <w:tcW w:w="1280" w:type="dxa"/>
            <w:vAlign w:val="bottom"/>
            <w:gridSpan w:val="3"/>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Tangible fixed assets as of January 1, 2020</w:t>
            </w:r>
          </w:p>
        </w:tc>
        <w:tc>
          <w:tcPr>
            <w:tcW w:w="6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2,286,430</w:t>
            </w: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left w:val="single" w:sz="8" w:color="E5FFFF"/>
            </w:tcBorders>
            <w:gridSpan w:val="2"/>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right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2,286,430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Additions (Note 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12,027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12,267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Depreciation expense (Note 4)</w:t>
            </w:r>
          </w:p>
        </w:tc>
        <w:tc>
          <w:tcPr>
            <w:tcW w:w="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tcBorders>
              <w:right w:val="single" w:sz="8" w:color="E5FFFF"/>
            </w:tcBorders>
            <w:gridSpan w:val="4"/>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E5FFFF"/>
            </w:tcBorders>
            <w:gridSpan w:val="5"/>
            <w:shd w:val="clear" w:color="auto" w:fill="E5FFFF"/>
          </w:tcPr>
          <w:p>
            <w:pPr>
              <w:jc w:val="right"/>
              <w:spacing w:after="0"/>
              <w:rPr>
                <w:sz w:val="20"/>
                <w:szCs w:val="20"/>
                <w:color w:val="auto"/>
              </w:rPr>
            </w:pPr>
            <w:r>
              <w:rPr>
                <w:rFonts w:ascii="Arial" w:cs="Arial" w:eastAsia="Arial" w:hAnsi="Arial"/>
                <w:sz w:val="16"/>
                <w:szCs w:val="16"/>
                <w:color w:val="auto"/>
              </w:rPr>
              <w:t>(40,999)</w:t>
            </w: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(40,999)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Impairment loss (Note 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gridSpan w:val="5"/>
          </w:tcPr>
          <w:p>
            <w:pPr>
              <w:jc w:val="right"/>
              <w:spacing w:after="0"/>
              <w:rPr>
                <w:sz w:val="20"/>
                <w:szCs w:val="20"/>
                <w:color w:val="auto"/>
              </w:rPr>
            </w:pPr>
            <w:r>
              <w:rPr>
                <w:rFonts w:ascii="Arial" w:cs="Arial" w:eastAsia="Arial" w:hAnsi="Arial"/>
                <w:sz w:val="16"/>
                <w:szCs w:val="16"/>
                <w:color w:val="auto"/>
              </w:rPr>
              <w:t>(18,841)</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(18,841)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80" w:type="dxa"/>
            <w:vAlign w:val="bottom"/>
            <w:tcBorders>
              <w:top w:val="single" w:sz="8" w:color="E5FFFF"/>
              <w:bottom w:val="single" w:sz="8" w:color="E5FFFF"/>
            </w:tcBorders>
            <w:gridSpan w:val="3"/>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Tangible fixed assets as of June 30, 2020</w:t>
            </w:r>
          </w:p>
        </w:tc>
        <w:tc>
          <w:tcPr>
            <w:tcW w:w="680" w:type="dxa"/>
            <w:vAlign w:val="bottom"/>
            <w:tcBorders>
              <w:top w:val="single" w:sz="8" w:color="E5FFFF"/>
              <w:bottom w:val="single" w:sz="8" w:color="E5FFFF"/>
            </w:tcBorders>
            <w:shd w:val="clear" w:color="auto" w:fill="E5FFFF"/>
          </w:tcPr>
          <w:p>
            <w:pPr>
              <w:spacing w:after="0"/>
              <w:rPr>
                <w:sz w:val="15"/>
                <w:szCs w:val="15"/>
                <w:color w:val="auto"/>
              </w:rPr>
            </w:pPr>
          </w:p>
        </w:tc>
        <w:tc>
          <w:tcPr>
            <w:tcW w:w="100" w:type="dxa"/>
            <w:vAlign w:val="bottom"/>
            <w:tcBorders>
              <w:top w:val="single" w:sz="8" w:color="E5FFFF"/>
              <w:bottom w:val="single" w:sz="8" w:color="E5FFFF"/>
            </w:tcBorders>
            <w:shd w:val="clear" w:color="auto" w:fill="E5FFFF"/>
          </w:tcPr>
          <w:p>
            <w:pPr>
              <w:spacing w:after="0"/>
              <w:rPr>
                <w:sz w:val="15"/>
                <w:szCs w:val="15"/>
                <w:color w:val="auto"/>
              </w:rPr>
            </w:pPr>
          </w:p>
        </w:tc>
        <w:tc>
          <w:tcPr>
            <w:tcW w:w="80" w:type="dxa"/>
            <w:vAlign w:val="bottom"/>
            <w:tcBorders>
              <w:top w:val="single" w:sz="8" w:color="auto"/>
              <w:bottom w:val="single" w:sz="8" w:color="E5FFFF"/>
            </w:tcBorders>
            <w:shd w:val="clear" w:color="auto" w:fill="E5FFFF"/>
          </w:tcPr>
          <w:p>
            <w:pPr>
              <w:spacing w:after="0"/>
              <w:rPr>
                <w:sz w:val="15"/>
                <w:szCs w:val="15"/>
                <w:color w:val="auto"/>
              </w:rPr>
            </w:pPr>
          </w:p>
        </w:tc>
        <w:tc>
          <w:tcPr>
            <w:tcW w:w="240" w:type="dxa"/>
            <w:vAlign w:val="bottom"/>
            <w:tcBorders>
              <w:top w:val="single" w:sz="8" w:color="auto"/>
              <w:bottom w:val="single" w:sz="8" w:color="E5FFFF"/>
            </w:tcBorders>
            <w:shd w:val="clear" w:color="auto" w:fill="E5FFFF"/>
          </w:tcPr>
          <w:p>
            <w:pPr>
              <w:spacing w:after="0"/>
              <w:rPr>
                <w:sz w:val="15"/>
                <w:szCs w:val="15"/>
                <w:color w:val="auto"/>
              </w:rPr>
            </w:pPr>
          </w:p>
        </w:tc>
        <w:tc>
          <w:tcPr>
            <w:tcW w:w="1000" w:type="dxa"/>
            <w:vAlign w:val="bottom"/>
            <w:tcBorders>
              <w:top w:val="single" w:sz="8" w:color="auto"/>
              <w:bottom w:val="single" w:sz="8" w:color="auto"/>
            </w:tcBorders>
            <w:shd w:val="clear" w:color="auto" w:fill="E5FFFF"/>
          </w:tcPr>
          <w:p>
            <w:pPr>
              <w:jc w:val="right"/>
              <w:spacing w:after="0" w:line="176" w:lineRule="exact"/>
              <w:rPr>
                <w:sz w:val="20"/>
                <w:szCs w:val="20"/>
                <w:color w:val="auto"/>
              </w:rPr>
            </w:pPr>
            <w:r>
              <w:rPr>
                <w:rFonts w:ascii="Arial" w:cs="Arial" w:eastAsia="Arial" w:hAnsi="Arial"/>
                <w:sz w:val="16"/>
                <w:szCs w:val="16"/>
                <w:b w:val="1"/>
                <w:bCs w:val="1"/>
                <w:color w:val="auto"/>
              </w:rPr>
              <w:t>2,286,430</w:t>
            </w:r>
          </w:p>
        </w:tc>
        <w:tc>
          <w:tcPr>
            <w:tcW w:w="40" w:type="dxa"/>
            <w:vAlign w:val="bottom"/>
            <w:tcBorders>
              <w:top w:val="single" w:sz="8" w:color="E5FFFF"/>
              <w:bottom w:val="single" w:sz="8" w:color="E5FFFF"/>
              <w:right w:val="single" w:sz="8" w:color="E5FFFF"/>
            </w:tcBorders>
            <w:shd w:val="clear" w:color="auto" w:fill="E5FFFF"/>
          </w:tcPr>
          <w:p>
            <w:pPr>
              <w:spacing w:after="0"/>
              <w:rPr>
                <w:sz w:val="15"/>
                <w:szCs w:val="15"/>
                <w:color w:val="auto"/>
              </w:rPr>
            </w:pPr>
          </w:p>
        </w:tc>
        <w:tc>
          <w:tcPr>
            <w:tcW w:w="140" w:type="dxa"/>
            <w:vAlign w:val="bottom"/>
            <w:tcBorders>
              <w:top w:val="single" w:sz="8" w:color="E5FFFF"/>
              <w:bottom w:val="single" w:sz="8" w:color="E5FFFF"/>
            </w:tcBorders>
            <w:shd w:val="clear" w:color="auto" w:fill="E5FFFF"/>
          </w:tcPr>
          <w:p>
            <w:pPr>
              <w:spacing w:after="0"/>
              <w:rPr>
                <w:sz w:val="15"/>
                <w:szCs w:val="15"/>
                <w:color w:val="auto"/>
              </w:rPr>
            </w:pPr>
          </w:p>
        </w:tc>
        <w:tc>
          <w:tcPr>
            <w:tcW w:w="40" w:type="dxa"/>
            <w:vAlign w:val="bottom"/>
            <w:tcBorders>
              <w:top w:val="single" w:sz="8" w:color="E5FFFF"/>
              <w:bottom w:val="single" w:sz="8" w:color="E5FFFF"/>
              <w:right w:val="single" w:sz="8" w:color="E5FFFF"/>
            </w:tcBorders>
            <w:shd w:val="clear" w:color="auto" w:fill="E5FFFF"/>
          </w:tcPr>
          <w:p>
            <w:pPr>
              <w:spacing w:after="0"/>
              <w:rPr>
                <w:sz w:val="15"/>
                <w:szCs w:val="15"/>
                <w:color w:val="auto"/>
              </w:rPr>
            </w:pPr>
          </w:p>
        </w:tc>
        <w:tc>
          <w:tcPr>
            <w:tcW w:w="1280" w:type="dxa"/>
            <w:vAlign w:val="bottom"/>
            <w:tcBorders>
              <w:top w:val="single" w:sz="8" w:color="auto"/>
              <w:bottom w:val="single" w:sz="8" w:color="auto"/>
            </w:tcBorders>
            <w:shd w:val="clear" w:color="auto" w:fill="E5FFFF"/>
          </w:tcPr>
          <w:p>
            <w:pPr>
              <w:jc w:val="right"/>
              <w:spacing w:after="0" w:line="176" w:lineRule="exact"/>
              <w:rPr>
                <w:sz w:val="20"/>
                <w:szCs w:val="20"/>
                <w:color w:val="auto"/>
              </w:rPr>
            </w:pPr>
            <w:r>
              <w:rPr>
                <w:rFonts w:ascii="Arial" w:cs="Arial" w:eastAsia="Arial" w:hAnsi="Arial"/>
                <w:sz w:val="16"/>
                <w:szCs w:val="16"/>
                <w:b w:val="1"/>
                <w:bCs w:val="1"/>
                <w:color w:val="auto"/>
              </w:rPr>
              <w:t>12,027</w:t>
            </w:r>
          </w:p>
        </w:tc>
        <w:tc>
          <w:tcPr>
            <w:tcW w:w="60" w:type="dxa"/>
            <w:vAlign w:val="bottom"/>
            <w:tcBorders>
              <w:top w:val="single" w:sz="8" w:color="E5FFFF"/>
              <w:left w:val="single" w:sz="8" w:color="E5FFFF"/>
              <w:bottom w:val="single" w:sz="8" w:color="E5FFFF"/>
            </w:tcBorders>
            <w:shd w:val="clear" w:color="auto" w:fill="E5FFFF"/>
          </w:tcPr>
          <w:p>
            <w:pPr>
              <w:spacing w:after="0"/>
              <w:rPr>
                <w:sz w:val="15"/>
                <w:szCs w:val="15"/>
                <w:color w:val="auto"/>
              </w:rPr>
            </w:pPr>
          </w:p>
        </w:tc>
        <w:tc>
          <w:tcPr>
            <w:tcW w:w="100" w:type="dxa"/>
            <w:vAlign w:val="bottom"/>
            <w:tcBorders>
              <w:top w:val="single" w:sz="8" w:color="E5FFFF"/>
              <w:bottom w:val="single" w:sz="8" w:color="E5FFFF"/>
            </w:tcBorders>
            <w:shd w:val="clear" w:color="auto" w:fill="E5FFFF"/>
          </w:tcPr>
          <w:p>
            <w:pPr>
              <w:spacing w:after="0"/>
              <w:rPr>
                <w:sz w:val="15"/>
                <w:szCs w:val="15"/>
                <w:color w:val="auto"/>
              </w:rPr>
            </w:pPr>
          </w:p>
        </w:tc>
        <w:tc>
          <w:tcPr>
            <w:tcW w:w="80" w:type="dxa"/>
            <w:vAlign w:val="bottom"/>
            <w:tcBorders>
              <w:top w:val="single" w:sz="8" w:color="E5FFFF"/>
              <w:bottom w:val="single" w:sz="8" w:color="E5FFFF"/>
            </w:tcBorders>
            <w:shd w:val="clear" w:color="auto" w:fill="E5FFFF"/>
          </w:tcPr>
          <w:p>
            <w:pPr>
              <w:spacing w:after="0"/>
              <w:rPr>
                <w:sz w:val="15"/>
                <w:szCs w:val="15"/>
                <w:color w:val="auto"/>
              </w:rPr>
            </w:pPr>
          </w:p>
        </w:tc>
        <w:tc>
          <w:tcPr>
            <w:tcW w:w="1420" w:type="dxa"/>
            <w:vAlign w:val="bottom"/>
            <w:tcBorders>
              <w:top w:val="single" w:sz="8" w:color="auto"/>
              <w:bottom w:val="single" w:sz="8" w:color="auto"/>
            </w:tcBorders>
            <w:gridSpan w:val="3"/>
            <w:shd w:val="clear" w:color="auto" w:fill="E5FFFF"/>
          </w:tcPr>
          <w:p>
            <w:pPr>
              <w:jc w:val="right"/>
              <w:spacing w:after="0" w:line="176" w:lineRule="exact"/>
              <w:rPr>
                <w:sz w:val="20"/>
                <w:szCs w:val="20"/>
                <w:color w:val="auto"/>
              </w:rPr>
            </w:pPr>
            <w:r>
              <w:rPr>
                <w:rFonts w:ascii="Arial" w:cs="Arial" w:eastAsia="Arial" w:hAnsi="Arial"/>
                <w:sz w:val="16"/>
                <w:szCs w:val="16"/>
                <w:b w:val="1"/>
                <w:bCs w:val="1"/>
                <w:color w:val="auto"/>
              </w:rPr>
              <w:t>(59,600</w:t>
            </w:r>
          </w:p>
        </w:tc>
        <w:tc>
          <w:tcPr>
            <w:tcW w:w="80" w:type="dxa"/>
            <w:vAlign w:val="bottom"/>
            <w:tcBorders>
              <w:top w:val="single" w:sz="8" w:color="E5FFFF"/>
              <w:bottom w:val="single" w:sz="8" w:color="E5FFFF"/>
              <w:right w:val="single" w:sz="8" w:color="E5FFFF"/>
            </w:tcBorders>
            <w:shd w:val="clear" w:color="auto" w:fill="E5FFFF"/>
          </w:tcPr>
          <w:p>
            <w:pPr>
              <w:jc w:val="right"/>
              <w:spacing w:after="0" w:line="155"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E5FFFF"/>
              <w:bottom w:val="single" w:sz="8" w:color="E5FFFF"/>
            </w:tcBorders>
            <w:shd w:val="clear" w:color="auto" w:fill="E5FFFF"/>
          </w:tcPr>
          <w:p>
            <w:pPr>
              <w:spacing w:after="0"/>
              <w:rPr>
                <w:sz w:val="15"/>
                <w:szCs w:val="15"/>
                <w:color w:val="auto"/>
              </w:rPr>
            </w:pPr>
          </w:p>
        </w:tc>
        <w:tc>
          <w:tcPr>
            <w:tcW w:w="1240" w:type="dxa"/>
            <w:vAlign w:val="bottom"/>
            <w:tcBorders>
              <w:top w:val="single" w:sz="8" w:color="auto"/>
              <w:bottom w:val="single" w:sz="8" w:color="auto"/>
            </w:tcBorders>
            <w:gridSpan w:val="2"/>
            <w:shd w:val="clear" w:color="auto" w:fill="E5FFFF"/>
          </w:tcPr>
          <w:p>
            <w:pPr>
              <w:jc w:val="right"/>
              <w:ind w:right="20"/>
              <w:spacing w:after="0" w:line="176" w:lineRule="exact"/>
              <w:rPr>
                <w:sz w:val="20"/>
                <w:szCs w:val="20"/>
                <w:color w:val="auto"/>
              </w:rPr>
            </w:pPr>
            <w:r>
              <w:rPr>
                <w:rFonts w:ascii="Arial" w:cs="Arial" w:eastAsia="Arial" w:hAnsi="Arial"/>
                <w:sz w:val="16"/>
                <w:szCs w:val="16"/>
                <w:b w:val="1"/>
                <w:bCs w:val="1"/>
                <w:color w:val="auto"/>
              </w:rPr>
              <w:t>2,238,857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0" w:type="dxa"/>
            <w:vAlign w:val="bottom"/>
            <w:shd w:val="clear" w:color="auto" w:fill="E5FFFF"/>
          </w:tcPr>
          <w:p>
            <w:pPr>
              <w:spacing w:after="0"/>
              <w:rPr>
                <w:sz w:val="2"/>
                <w:szCs w:val="2"/>
                <w:color w:val="auto"/>
              </w:rPr>
            </w:pPr>
          </w:p>
        </w:tc>
        <w:tc>
          <w:tcPr>
            <w:tcW w:w="4800" w:type="dxa"/>
            <w:vAlign w:val="bottom"/>
            <w:gridSpan w:val="4"/>
            <w:shd w:val="clear" w:color="auto" w:fill="E5FFFF"/>
          </w:tcPr>
          <w:p>
            <w:pPr>
              <w:spacing w:after="0"/>
              <w:rPr>
                <w:sz w:val="2"/>
                <w:szCs w:val="2"/>
                <w:color w:val="auto"/>
              </w:rPr>
            </w:pPr>
          </w:p>
        </w:tc>
        <w:tc>
          <w:tcPr>
            <w:tcW w:w="1320" w:type="dxa"/>
            <w:vAlign w:val="bottom"/>
            <w:gridSpan w:val="3"/>
            <w:shd w:val="clear" w:color="auto" w:fill="000000"/>
          </w:tcPr>
          <w:p>
            <w:pPr>
              <w:spacing w:after="0"/>
              <w:rPr>
                <w:sz w:val="2"/>
                <w:szCs w:val="2"/>
                <w:color w:val="auto"/>
              </w:rPr>
            </w:pPr>
          </w:p>
        </w:tc>
        <w:tc>
          <w:tcPr>
            <w:tcW w:w="220" w:type="dxa"/>
            <w:vAlign w:val="bottom"/>
            <w:tcBorders>
              <w:right w:val="single" w:sz="8" w:color="auto"/>
            </w:tcBorders>
            <w:gridSpan w:val="3"/>
            <w:shd w:val="clear" w:color="auto" w:fill="E5FF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80" w:type="dxa"/>
            <w:vAlign w:val="bottom"/>
            <w:shd w:val="clear" w:color="auto" w:fill="E5FF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right w:val="single" w:sz="8" w:color="E5FFFF"/>
            </w:tcBorders>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6340" w:type="dxa"/>
            <w:vAlign w:val="bottom"/>
            <w:gridSpan w:val="10"/>
          </w:tcPr>
          <w:p>
            <w:pPr>
              <w:ind w:left="8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Arial" w:cs="Arial" w:eastAsia="Arial" w:hAnsi="Arial"/>
                <w:sz w:val="16"/>
                <w:szCs w:val="16"/>
                <w:b w:val="1"/>
                <w:bCs w:val="1"/>
                <w:color w:val="auto"/>
              </w:rPr>
              <w:t>Opening</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balance</w:t>
            </w:r>
          </w:p>
        </w:tc>
        <w:tc>
          <w:tcPr>
            <w:tcW w:w="14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8"/>
                <w:szCs w:val="18"/>
                <w:color w:val="auto"/>
              </w:rPr>
            </w:pPr>
          </w:p>
        </w:tc>
        <w:tc>
          <w:tcPr>
            <w:tcW w:w="15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Non-cash items</w:t>
            </w:r>
          </w:p>
        </w:tc>
        <w:tc>
          <w:tcPr>
            <w:tcW w:w="100" w:type="dxa"/>
            <w:vAlign w:val="bottom"/>
          </w:tcPr>
          <w:p>
            <w:pPr>
              <w:spacing w:after="0"/>
              <w:rPr>
                <w:sz w:val="18"/>
                <w:szCs w:val="18"/>
                <w:color w:val="auto"/>
              </w:rPr>
            </w:pPr>
          </w:p>
        </w:tc>
        <w:tc>
          <w:tcPr>
            <w:tcW w:w="1280" w:type="dxa"/>
            <w:vAlign w:val="bottom"/>
            <w:gridSpan w:val="3"/>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6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left w:val="single" w:sz="8" w:color="E5FFFF"/>
            </w:tcBorders>
            <w:gridSpan w:val="2"/>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right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Lease expense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tcBorders>
              <w:right w:val="single" w:sz="8" w:color="E5FFFF"/>
            </w:tcBorders>
            <w:gridSpan w:val="4"/>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(28)</w:t>
            </w:r>
          </w:p>
        </w:tc>
        <w:tc>
          <w:tcPr>
            <w:tcW w:w="80" w:type="dxa"/>
            <w:vAlign w:val="bottom"/>
            <w:shd w:val="clear" w:color="auto" w:fill="E5FFFF"/>
          </w:tcPr>
          <w:p>
            <w:pPr>
              <w:spacing w:after="0"/>
              <w:rPr>
                <w:sz w:val="17"/>
                <w:szCs w:val="17"/>
                <w:color w:val="auto"/>
              </w:rPr>
            </w:pPr>
          </w:p>
        </w:tc>
        <w:tc>
          <w:tcPr>
            <w:tcW w:w="1500" w:type="dxa"/>
            <w:vAlign w:val="bottom"/>
            <w:tcBorders>
              <w:right w:val="single" w:sz="8" w:color="E5FFFF"/>
            </w:tcBorders>
            <w:gridSpan w:val="4"/>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rPr>
                <w:sz w:val="20"/>
                <w:szCs w:val="20"/>
                <w:color w:val="auto"/>
              </w:rPr>
            </w:pPr>
            <w:r>
              <w:rPr>
                <w:rFonts w:ascii="Arial" w:cs="Arial" w:eastAsia="Arial" w:hAnsi="Arial"/>
                <w:sz w:val="16"/>
                <w:szCs w:val="16"/>
                <w:color w:val="auto"/>
              </w:rPr>
              <w:t>Payments for lease liabilities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(247)</w:t>
            </w:r>
          </w:p>
        </w:tc>
        <w:tc>
          <w:tcPr>
            <w:tcW w:w="1580" w:type="dxa"/>
            <w:vAlign w:val="bottom"/>
            <w:gridSpan w:val="5"/>
          </w:tcPr>
          <w:p>
            <w:pPr>
              <w:jc w:val="right"/>
              <w:spacing w:after="0"/>
              <w:rPr>
                <w:sz w:val="20"/>
                <w:szCs w:val="20"/>
                <w:color w:val="auto"/>
              </w:rPr>
            </w:pPr>
            <w:r>
              <w:rPr>
                <w:rFonts w:ascii="Arial" w:cs="Arial" w:eastAsia="Arial" w:hAnsi="Arial"/>
                <w:sz w:val="16"/>
                <w:szCs w:val="16"/>
                <w:color w:val="auto"/>
              </w:rPr>
              <w:t>(26)</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8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June 30, 2019</w:t>
            </w: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auto"/>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E5FFFF"/>
            </w:tcBorders>
            <w:shd w:val="clear" w:color="auto" w:fill="E5FFFF"/>
          </w:tcPr>
          <w:p>
            <w:pPr>
              <w:spacing w:after="0"/>
              <w:rPr>
                <w:sz w:val="17"/>
                <w:szCs w:val="17"/>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w:t>
            </w:r>
          </w:p>
        </w:tc>
        <w:tc>
          <w:tcPr>
            <w:tcW w:w="40" w:type="dxa"/>
            <w:vAlign w:val="bottom"/>
            <w:tcBorders>
              <w:top w:val="single" w:sz="8" w:color="E5FFFF"/>
              <w:bottom w:val="single" w:sz="8" w:color="E5FFFF"/>
              <w:right w:val="single" w:sz="8" w:color="E5FFFF"/>
            </w:tcBorders>
            <w:shd w:val="clear" w:color="auto" w:fill="E5FFFF"/>
          </w:tcPr>
          <w:p>
            <w:pPr>
              <w:spacing w:after="0"/>
              <w:rPr>
                <w:sz w:val="17"/>
                <w:szCs w:val="17"/>
                <w:color w:val="auto"/>
              </w:rPr>
            </w:pP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right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(275</w:t>
            </w:r>
          </w:p>
        </w:tc>
        <w:tc>
          <w:tcPr>
            <w:tcW w:w="160" w:type="dxa"/>
            <w:vAlign w:val="bottom"/>
            <w:tcBorders>
              <w:top w:val="single" w:sz="8" w:color="E5FFFF"/>
              <w:left w:val="single" w:sz="8" w:color="E5FFFF"/>
              <w:bottom w:val="single" w:sz="8" w:color="E5FFFF"/>
            </w:tcBorders>
            <w:gridSpan w:val="2"/>
            <w:shd w:val="clear" w:color="auto" w:fill="E5FFFF"/>
          </w:tcPr>
          <w:p>
            <w:pPr>
              <w:jc w:val="right"/>
              <w:ind w:right="60"/>
              <w:spacing w:after="0" w:line="155" w:lineRule="exact"/>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top w:val="single" w:sz="8" w:color="E5FFFF"/>
              <w:bottom w:val="single" w:sz="8" w:color="E5FFFF"/>
              <w:right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1,123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60" w:type="dxa"/>
            <w:vAlign w:val="bottom"/>
            <w:tcBorders>
              <w:top w:val="single" w:sz="8" w:color="E5FFFF"/>
            </w:tcBorders>
          </w:tcPr>
          <w:p>
            <w:pPr>
              <w:spacing w:after="0"/>
              <w:rPr>
                <w:sz w:val="24"/>
                <w:szCs w:val="24"/>
                <w:color w:val="auto"/>
              </w:rPr>
            </w:pPr>
          </w:p>
        </w:tc>
        <w:tc>
          <w:tcPr>
            <w:tcW w:w="3140" w:type="dxa"/>
            <w:vAlign w:val="bottom"/>
            <w:tcBorders>
              <w:top w:val="single" w:sz="8" w:color="E5FFFF"/>
            </w:tcBorders>
          </w:tcPr>
          <w:p>
            <w:pPr>
              <w:spacing w:after="0"/>
              <w:rPr>
                <w:sz w:val="24"/>
                <w:szCs w:val="24"/>
                <w:color w:val="auto"/>
              </w:rPr>
            </w:pPr>
          </w:p>
        </w:tc>
        <w:tc>
          <w:tcPr>
            <w:tcW w:w="880" w:type="dxa"/>
            <w:vAlign w:val="bottom"/>
            <w:tcBorders>
              <w:top w:val="single" w:sz="8" w:color="E5FFFF"/>
            </w:tcBorders>
          </w:tcPr>
          <w:p>
            <w:pPr>
              <w:spacing w:after="0"/>
              <w:rPr>
                <w:sz w:val="24"/>
                <w:szCs w:val="24"/>
                <w:color w:val="auto"/>
              </w:rPr>
            </w:pPr>
          </w:p>
        </w:tc>
        <w:tc>
          <w:tcPr>
            <w:tcW w:w="68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Opening</w:t>
            </w:r>
          </w:p>
        </w:tc>
        <w:tc>
          <w:tcPr>
            <w:tcW w:w="220" w:type="dxa"/>
            <w:vAlign w:val="bottom"/>
            <w:tcBorders>
              <w:top w:val="single" w:sz="8" w:color="E5FFFF"/>
            </w:tcBorders>
            <w:gridSpan w:val="3"/>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80" w:type="dxa"/>
            <w:vAlign w:val="bottom"/>
            <w:tcBorders>
              <w:top w:val="single" w:sz="8" w:color="E5FFFF"/>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balance</w:t>
            </w:r>
          </w:p>
        </w:tc>
        <w:tc>
          <w:tcPr>
            <w:tcW w:w="14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8"/>
                <w:szCs w:val="18"/>
                <w:color w:val="auto"/>
              </w:rPr>
            </w:pPr>
          </w:p>
        </w:tc>
        <w:tc>
          <w:tcPr>
            <w:tcW w:w="15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Non-cash items</w:t>
            </w:r>
          </w:p>
        </w:tc>
        <w:tc>
          <w:tcPr>
            <w:tcW w:w="100" w:type="dxa"/>
            <w:vAlign w:val="bottom"/>
          </w:tcPr>
          <w:p>
            <w:pPr>
              <w:spacing w:after="0"/>
              <w:rPr>
                <w:sz w:val="18"/>
                <w:szCs w:val="18"/>
                <w:color w:val="auto"/>
              </w:rPr>
            </w:pPr>
          </w:p>
        </w:tc>
        <w:tc>
          <w:tcPr>
            <w:tcW w:w="1280" w:type="dxa"/>
            <w:vAlign w:val="bottom"/>
            <w:gridSpan w:val="3"/>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Lease liabilities as of January 1, 2020</w:t>
            </w:r>
          </w:p>
        </w:tc>
        <w:tc>
          <w:tcPr>
            <w:tcW w:w="6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886</w:t>
            </w: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left w:val="single" w:sz="8" w:color="E5FFFF"/>
            </w:tcBorders>
            <w:gridSpan w:val="2"/>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E5FFFF"/>
              <w:right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Lease expense (Note 5)</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81280</wp:posOffset>
            </wp:positionV>
            <wp:extent cx="71532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00"/>
          </w:cols>
          <w:pgMar w:left="480" w:top="355" w:right="519" w:bottom="1440" w:gutter="0" w:footer="0" w:header="0"/>
        </w:sectPr>
      </w:pPr>
    </w:p>
    <w:bookmarkStart w:id="390" w:name="page391"/>
    <w:bookmarkEnd w:id="390"/>
    <w:tbl>
      <w:tblPr>
        <w:tblLayout w:type="fixed"/>
        <w:tblInd w:w="160" w:type="dxa"/>
        <w:tblCellMar>
          <w:top w:w="0" w:type="dxa"/>
          <w:left w:w="0" w:type="dxa"/>
          <w:bottom w:w="0" w:type="dxa"/>
          <w:right w:w="0" w:type="dxa"/>
        </w:tblCellMar>
      </w:tblPr>
      <w:tr>
        <w:trPr>
          <w:trHeight w:val="203"/>
        </w:trPr>
        <w:tc>
          <w:tcPr>
            <w:tcW w:w="57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7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(19)</w:t>
            </w:r>
          </w:p>
        </w:tc>
        <w:tc>
          <w:tcPr>
            <w:tcW w:w="20" w:type="dxa"/>
            <w:vAlign w:val="bottom"/>
            <w:shd w:val="clear" w:color="auto" w:fill="E5FFFF"/>
          </w:tcPr>
          <w:p>
            <w:pPr>
              <w:spacing w:after="0"/>
              <w:rPr>
                <w:sz w:val="17"/>
                <w:szCs w:val="17"/>
                <w:color w:val="auto"/>
              </w:rPr>
            </w:pPr>
          </w:p>
        </w:tc>
        <w:tc>
          <w:tcPr>
            <w:tcW w:w="1580" w:type="dxa"/>
            <w:vAlign w:val="bottom"/>
            <w:gridSpan w:val="4"/>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8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4"/>
          </w:tcPr>
          <w:p>
            <w:pPr>
              <w:jc w:val="right"/>
              <w:ind w:right="100"/>
              <w:spacing w:after="0"/>
              <w:rPr>
                <w:sz w:val="20"/>
                <w:szCs w:val="20"/>
                <w:color w:val="auto"/>
              </w:rPr>
            </w:pPr>
            <w:r>
              <w:rPr>
                <w:rFonts w:ascii="Arial" w:cs="Arial" w:eastAsia="Arial" w:hAnsi="Arial"/>
                <w:sz w:val="16"/>
                <w:szCs w:val="16"/>
                <w:color w:val="auto"/>
              </w:rPr>
              <w:t>(228)</w:t>
            </w:r>
          </w:p>
        </w:tc>
        <w:tc>
          <w:tcPr>
            <w:tcW w:w="1560" w:type="dxa"/>
            <w:vAlign w:val="bottom"/>
            <w:gridSpan w:val="4"/>
          </w:tcPr>
          <w:p>
            <w:pPr>
              <w:jc w:val="right"/>
              <w:ind w:right="8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960" w:type="dxa"/>
            <w:vAlign w:val="bottom"/>
            <w:tcBorders>
              <w:top w:val="single" w:sz="8" w:color="E5FFFF"/>
            </w:tcBorders>
            <w:vMerge w:val="restart"/>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June 30, 2020</w:t>
            </w:r>
          </w:p>
        </w:tc>
        <w:tc>
          <w:tcPr>
            <w:tcW w:w="820" w:type="dxa"/>
            <w:vAlign w:val="bottom"/>
            <w:tcBorders>
              <w:top w:val="single" w:sz="8" w:color="auto"/>
            </w:tcBorders>
            <w:vMerge w:val="restart"/>
            <w:shd w:val="clear" w:color="auto" w:fill="E5FFFF"/>
          </w:tcPr>
          <w:p>
            <w:pPr>
              <w:spacing w:after="0"/>
              <w:rPr>
                <w:sz w:val="13"/>
                <w:szCs w:val="13"/>
                <w:color w:val="auto"/>
              </w:rPr>
            </w:pPr>
          </w:p>
        </w:tc>
        <w:tc>
          <w:tcPr>
            <w:tcW w:w="500" w:type="dxa"/>
            <w:vAlign w:val="bottom"/>
            <w:tcBorders>
              <w:top w:val="single" w:sz="8" w:color="auto"/>
            </w:tcBorders>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886</w:t>
            </w:r>
          </w:p>
        </w:tc>
        <w:tc>
          <w:tcPr>
            <w:tcW w:w="200" w:type="dxa"/>
            <w:vAlign w:val="bottom"/>
            <w:tcBorders>
              <w:top w:val="single" w:sz="8" w:color="E5FFFF"/>
            </w:tcBorders>
            <w:shd w:val="clear" w:color="auto" w:fill="E5FFFF"/>
          </w:tcPr>
          <w:p>
            <w:pPr>
              <w:spacing w:after="0"/>
              <w:rPr>
                <w:sz w:val="13"/>
                <w:szCs w:val="13"/>
                <w:color w:val="auto"/>
              </w:rPr>
            </w:pPr>
          </w:p>
        </w:tc>
        <w:tc>
          <w:tcPr>
            <w:tcW w:w="1340" w:type="dxa"/>
            <w:vAlign w:val="bottom"/>
            <w:tcBorders>
              <w:top w:val="single" w:sz="8" w:color="auto"/>
            </w:tcBorders>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(247</w:t>
            </w:r>
          </w:p>
        </w:tc>
        <w:tc>
          <w:tcPr>
            <w:tcW w:w="200" w:type="dxa"/>
            <w:vAlign w:val="bottom"/>
            <w:tcBorders>
              <w:top w:val="single" w:sz="8" w:color="E5FFFF"/>
            </w:tcBorders>
            <w:gridSpan w:val="2"/>
            <w:shd w:val="clear" w:color="auto" w:fill="E5FFFF"/>
          </w:tcPr>
          <w:p>
            <w:pPr>
              <w:jc w:val="right"/>
              <w:ind w:right="100"/>
              <w:spacing w:after="0" w:line="155" w:lineRule="exact"/>
              <w:rPr>
                <w:sz w:val="20"/>
                <w:szCs w:val="20"/>
                <w:color w:val="auto"/>
              </w:rPr>
            </w:pPr>
            <w:r>
              <w:rPr>
                <w:rFonts w:ascii="Arial" w:cs="Arial" w:eastAsia="Arial" w:hAnsi="Arial"/>
                <w:sz w:val="16"/>
                <w:szCs w:val="16"/>
                <w:b w:val="1"/>
                <w:bCs w:val="1"/>
                <w:color w:val="auto"/>
                <w:w w:val="74"/>
              </w:rPr>
              <w:t>)</w:t>
            </w:r>
          </w:p>
        </w:tc>
        <w:tc>
          <w:tcPr>
            <w:tcW w:w="1440" w:type="dxa"/>
            <w:vAlign w:val="bottom"/>
            <w:tcBorders>
              <w:top w:val="single" w:sz="8" w:color="auto"/>
            </w:tcBorders>
            <w:gridSpan w:val="3"/>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top w:val="single" w:sz="8" w:color="E5FFFF"/>
            </w:tcBorders>
            <w:shd w:val="clear" w:color="auto" w:fill="E5FFFF"/>
          </w:tcPr>
          <w:p>
            <w:pPr>
              <w:spacing w:after="0"/>
              <w:rPr>
                <w:sz w:val="13"/>
                <w:szCs w:val="13"/>
                <w:color w:val="auto"/>
              </w:rPr>
            </w:pPr>
          </w:p>
        </w:tc>
        <w:tc>
          <w:tcPr>
            <w:tcW w:w="40" w:type="dxa"/>
            <w:vAlign w:val="bottom"/>
            <w:tcBorders>
              <w:top w:val="single" w:sz="8" w:color="E5FFFF"/>
            </w:tcBorders>
            <w:shd w:val="clear" w:color="auto" w:fill="E5FFFF"/>
          </w:tcPr>
          <w:p>
            <w:pPr>
              <w:spacing w:after="0"/>
              <w:rPr>
                <w:sz w:val="13"/>
                <w:szCs w:val="13"/>
                <w:color w:val="auto"/>
              </w:rPr>
            </w:pPr>
          </w:p>
        </w:tc>
        <w:tc>
          <w:tcPr>
            <w:tcW w:w="1240" w:type="dxa"/>
            <w:vAlign w:val="bottom"/>
            <w:tcBorders>
              <w:top w:val="single" w:sz="8" w:color="auto"/>
            </w:tcBorders>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651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960" w:type="dxa"/>
            <w:vAlign w:val="bottom"/>
            <w:tcBorders>
              <w:bottom w:val="single" w:sz="8" w:color="E5FFFF"/>
            </w:tcBorders>
            <w:vMerge w:val="continue"/>
            <w:shd w:val="clear" w:color="auto" w:fill="E5FFFF"/>
          </w:tcPr>
          <w:p>
            <w:pPr>
              <w:spacing w:after="0"/>
              <w:rPr>
                <w:sz w:val="4"/>
                <w:szCs w:val="4"/>
                <w:color w:val="auto"/>
              </w:rPr>
            </w:pPr>
          </w:p>
        </w:tc>
        <w:tc>
          <w:tcPr>
            <w:tcW w:w="820" w:type="dxa"/>
            <w:vAlign w:val="bottom"/>
            <w:tcBorders>
              <w:bottom w:val="single" w:sz="8" w:color="auto"/>
            </w:tcBorders>
            <w:vMerge w:val="continue"/>
            <w:shd w:val="clear" w:color="auto" w:fill="E5FFFF"/>
          </w:tcPr>
          <w:p>
            <w:pPr>
              <w:spacing w:after="0"/>
              <w:rPr>
                <w:sz w:val="4"/>
                <w:szCs w:val="4"/>
                <w:color w:val="auto"/>
              </w:rPr>
            </w:pPr>
          </w:p>
        </w:tc>
        <w:tc>
          <w:tcPr>
            <w:tcW w:w="500" w:type="dxa"/>
            <w:vAlign w:val="bottom"/>
            <w:tcBorders>
              <w:bottom w:val="single" w:sz="8" w:color="auto"/>
            </w:tcBorders>
            <w:vMerge w:val="continue"/>
            <w:shd w:val="clear" w:color="auto" w:fill="E5FFFF"/>
          </w:tcPr>
          <w:p>
            <w:pPr>
              <w:spacing w:after="0"/>
              <w:rPr>
                <w:sz w:val="4"/>
                <w:szCs w:val="4"/>
                <w:color w:val="auto"/>
              </w:rPr>
            </w:pPr>
          </w:p>
        </w:tc>
        <w:tc>
          <w:tcPr>
            <w:tcW w:w="200" w:type="dxa"/>
            <w:vAlign w:val="bottom"/>
            <w:tcBorders>
              <w:bottom w:val="single" w:sz="8" w:color="E5FFFF"/>
            </w:tcBorders>
            <w:shd w:val="clear" w:color="auto" w:fill="E5FFFF"/>
          </w:tcPr>
          <w:p>
            <w:pPr>
              <w:spacing w:after="0"/>
              <w:rPr>
                <w:sz w:val="4"/>
                <w:szCs w:val="4"/>
                <w:color w:val="auto"/>
              </w:rPr>
            </w:pPr>
          </w:p>
        </w:tc>
        <w:tc>
          <w:tcPr>
            <w:tcW w:w="1340" w:type="dxa"/>
            <w:vAlign w:val="bottom"/>
            <w:tcBorders>
              <w:bottom w:val="single" w:sz="8" w:color="auto"/>
            </w:tcBorders>
            <w:gridSpan w:val="2"/>
            <w:vMerge w:val="continue"/>
            <w:shd w:val="clear" w:color="auto" w:fill="E5FFFF"/>
          </w:tcPr>
          <w:p>
            <w:pPr>
              <w:spacing w:after="0"/>
              <w:rPr>
                <w:sz w:val="4"/>
                <w:szCs w:val="4"/>
                <w:color w:val="auto"/>
              </w:rPr>
            </w:pPr>
          </w:p>
        </w:tc>
        <w:tc>
          <w:tcPr>
            <w:tcW w:w="40" w:type="dxa"/>
            <w:vAlign w:val="bottom"/>
            <w:tcBorders>
              <w:bottom w:val="single" w:sz="8" w:color="E5FFFF"/>
            </w:tcBorders>
            <w:shd w:val="clear" w:color="auto" w:fill="E5FFFF"/>
          </w:tcPr>
          <w:p>
            <w:pPr>
              <w:spacing w:after="0"/>
              <w:rPr>
                <w:sz w:val="4"/>
                <w:szCs w:val="4"/>
                <w:color w:val="auto"/>
              </w:rPr>
            </w:pPr>
          </w:p>
        </w:tc>
        <w:tc>
          <w:tcPr>
            <w:tcW w:w="160" w:type="dxa"/>
            <w:vAlign w:val="bottom"/>
            <w:tcBorders>
              <w:bottom w:val="single" w:sz="8" w:color="E5FFFF"/>
            </w:tcBorders>
            <w:shd w:val="clear" w:color="auto" w:fill="E5FFFF"/>
          </w:tcPr>
          <w:p>
            <w:pPr>
              <w:spacing w:after="0"/>
              <w:rPr>
                <w:sz w:val="4"/>
                <w:szCs w:val="4"/>
                <w:color w:val="auto"/>
              </w:rPr>
            </w:pPr>
          </w:p>
        </w:tc>
        <w:tc>
          <w:tcPr>
            <w:tcW w:w="1440" w:type="dxa"/>
            <w:vAlign w:val="bottom"/>
            <w:tcBorders>
              <w:bottom w:val="single" w:sz="8" w:color="auto"/>
            </w:tcBorders>
            <w:gridSpan w:val="3"/>
            <w:vMerge w:val="continue"/>
            <w:shd w:val="clear" w:color="auto" w:fill="E5FFFF"/>
          </w:tcPr>
          <w:p>
            <w:pPr>
              <w:spacing w:after="0"/>
              <w:rPr>
                <w:sz w:val="4"/>
                <w:szCs w:val="4"/>
                <w:color w:val="auto"/>
              </w:rPr>
            </w:pPr>
          </w:p>
        </w:tc>
        <w:tc>
          <w:tcPr>
            <w:tcW w:w="120" w:type="dxa"/>
            <w:vAlign w:val="bottom"/>
            <w:tcBorders>
              <w:bottom w:val="single" w:sz="8" w:color="E5FFFF"/>
            </w:tcBorders>
            <w:shd w:val="clear" w:color="auto" w:fill="E5FFFF"/>
          </w:tcPr>
          <w:p>
            <w:pPr>
              <w:spacing w:after="0"/>
              <w:rPr>
                <w:sz w:val="4"/>
                <w:szCs w:val="4"/>
                <w:color w:val="auto"/>
              </w:rPr>
            </w:pPr>
          </w:p>
        </w:tc>
        <w:tc>
          <w:tcPr>
            <w:tcW w:w="40" w:type="dxa"/>
            <w:vAlign w:val="bottom"/>
            <w:tcBorders>
              <w:bottom w:val="single" w:sz="8" w:color="E5FFFF"/>
            </w:tcBorders>
            <w:shd w:val="clear" w:color="auto" w:fill="E5FFFF"/>
          </w:tcPr>
          <w:p>
            <w:pPr>
              <w:spacing w:after="0"/>
              <w:rPr>
                <w:sz w:val="4"/>
                <w:szCs w:val="4"/>
                <w:color w:val="auto"/>
              </w:rPr>
            </w:pPr>
          </w:p>
        </w:tc>
        <w:tc>
          <w:tcPr>
            <w:tcW w:w="1240" w:type="dxa"/>
            <w:vAlign w:val="bottom"/>
            <w:tcBorders>
              <w:bottom w:val="single" w:sz="8" w:color="auto"/>
            </w:tcBorders>
            <w:vMerge w:val="continue"/>
            <w:shd w:val="clear" w:color="auto" w:fill="E5FFFF"/>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5780" w:type="dxa"/>
            <w:vAlign w:val="bottom"/>
            <w:gridSpan w:val="2"/>
          </w:tcPr>
          <w:p>
            <w:pPr>
              <w:ind w:left="240"/>
              <w:spacing w:after="0"/>
              <w:rPr>
                <w:sz w:val="20"/>
                <w:szCs w:val="20"/>
                <w:color w:val="auto"/>
              </w:rPr>
            </w:pPr>
            <w:r>
              <w:rPr>
                <w:rFonts w:ascii="Arial" w:cs="Arial" w:eastAsia="Arial" w:hAnsi="Arial"/>
                <w:sz w:val="16"/>
                <w:szCs w:val="16"/>
                <w:color w:val="auto"/>
                <w:w w:val="99"/>
              </w:rPr>
              <w:t>A reconciliation of equity offerings arising from financing activities is as follows: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Cash flows</w:t>
            </w:r>
          </w:p>
        </w:tc>
        <w:tc>
          <w:tcPr>
            <w:tcW w:w="20" w:type="dxa"/>
            <w:vAlign w:val="bottom"/>
          </w:tcPr>
          <w:p>
            <w:pPr>
              <w:spacing w:after="0"/>
              <w:rPr>
                <w:sz w:val="24"/>
                <w:szCs w:val="24"/>
                <w:color w:val="auto"/>
              </w:rPr>
            </w:pPr>
          </w:p>
        </w:tc>
        <w:tc>
          <w:tcPr>
            <w:tcW w:w="158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7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Equity related costs</w:t>
            </w:r>
          </w:p>
        </w:tc>
        <w:tc>
          <w:tcPr>
            <w:tcW w:w="5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(890</w:t>
            </w:r>
          </w:p>
        </w:tc>
        <w:tc>
          <w:tcPr>
            <w:tcW w:w="160" w:type="dxa"/>
            <w:vAlign w:val="bottom"/>
            <w:tcBorders>
              <w:top w:val="single" w:sz="8" w:color="E5FFFF"/>
            </w:tcBorders>
            <w:shd w:val="clear" w:color="auto" w:fill="E5FFFF"/>
          </w:tcPr>
          <w:p>
            <w:pPr>
              <w:jc w:val="right"/>
              <w:ind w:right="8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401</w:t>
            </w: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6"/>
                <w:szCs w:val="16"/>
                <w:color w:val="auto"/>
              </w:rPr>
              <w:t>Proceeds from issuances of general partner units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1,996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6"/>
                <w:szCs w:val="16"/>
                <w:b w:val="1"/>
                <w:bCs w:val="1"/>
                <w:color w:val="auto"/>
              </w:rPr>
              <w:t>Net proceeds from equity offerings in the six months ended June 30, 2019</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1,106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4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Cash flows</w:t>
            </w:r>
          </w:p>
        </w:tc>
        <w:tc>
          <w:tcPr>
            <w:tcW w:w="20" w:type="dxa"/>
            <w:vAlign w:val="bottom"/>
          </w:tcPr>
          <w:p>
            <w:pPr>
              <w:spacing w:after="0"/>
              <w:rPr>
                <w:sz w:val="24"/>
                <w:szCs w:val="24"/>
                <w:color w:val="auto"/>
              </w:rPr>
            </w:pPr>
          </w:p>
        </w:tc>
        <w:tc>
          <w:tcPr>
            <w:tcW w:w="158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7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5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top w:val="single" w:sz="8" w:color="E5FFFF"/>
            </w:tcBorders>
            <w:shd w:val="clear" w:color="auto" w:fill="E5FFFF"/>
          </w:tcPr>
          <w:p>
            <w:pPr>
              <w:jc w:val="right"/>
              <w:ind w:right="8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(99</w:t>
            </w:r>
          </w:p>
        </w:tc>
        <w:tc>
          <w:tcPr>
            <w:tcW w:w="140" w:type="dxa"/>
            <w:vAlign w:val="bottom"/>
            <w:tcBorders>
              <w:top w:val="single" w:sz="8" w:color="E5FFFF"/>
            </w:tcBorders>
            <w:gridSpan w:val="2"/>
            <w:shd w:val="clear" w:color="auto" w:fill="E5FFFF"/>
          </w:tcPr>
          <w:p>
            <w:pPr>
              <w:jc w:val="right"/>
              <w:ind w:right="100"/>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(114)</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55"/>
        </w:trPr>
        <w:tc>
          <w:tcPr>
            <w:tcW w:w="5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payments for equity offerings in the six months ended June 30, 2020</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20" w:type="dxa"/>
            <w:vAlign w:val="bottom"/>
            <w:vMerge w:val="restart"/>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(99</w:t>
            </w:r>
          </w:p>
        </w:tc>
        <w:tc>
          <w:tcPr>
            <w:tcW w:w="14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(114</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5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40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Distributions</w:t>
      </w:r>
    </w:p>
    <w:p>
      <w:pPr>
        <w:spacing w:after="0" w:line="239" w:lineRule="exact"/>
        <w:rPr>
          <w:sz w:val="20"/>
          <w:szCs w:val="20"/>
          <w:color w:val="auto"/>
        </w:rPr>
      </w:pPr>
    </w:p>
    <w:p>
      <w:pPr>
        <w:ind w:right="300" w:firstLine="383"/>
        <w:spacing w:after="0" w:line="369" w:lineRule="auto"/>
        <w:rPr>
          <w:sz w:val="20"/>
          <w:szCs w:val="20"/>
          <w:color w:val="auto"/>
        </w:rPr>
      </w:pPr>
      <w:r>
        <w:rPr>
          <w:rFonts w:ascii="Arial" w:cs="Arial" w:eastAsia="Arial" w:hAnsi="Arial"/>
          <w:sz w:val="14"/>
          <w:szCs w:val="14"/>
          <w:color w:val="auto"/>
        </w:rPr>
        <w:t>On February 5, 2020, the board of directors of the Partnership approved and declared a quarterly cash distribution, with respect to the quarter ended December 31, 2019, of $0.561 per common unit. The cash distribution of $26,754 was paid on February 21, 2020 to all unitholders of record as of February 18, 2020.</w:t>
      </w:r>
    </w:p>
    <w:p>
      <w:pPr>
        <w:spacing w:after="0" w:line="126" w:lineRule="exact"/>
        <w:rPr>
          <w:sz w:val="20"/>
          <w:szCs w:val="20"/>
          <w:color w:val="auto"/>
        </w:rPr>
      </w:pPr>
    </w:p>
    <w:p>
      <w:pPr>
        <w:ind w:right="120" w:firstLine="383"/>
        <w:spacing w:after="0" w:line="278" w:lineRule="auto"/>
        <w:rPr>
          <w:sz w:val="20"/>
          <w:szCs w:val="20"/>
          <w:color w:val="auto"/>
        </w:rPr>
      </w:pPr>
      <w:r>
        <w:rPr>
          <w:rFonts w:ascii="Arial" w:cs="Arial" w:eastAsia="Arial" w:hAnsi="Arial"/>
          <w:sz w:val="16"/>
          <w:szCs w:val="16"/>
          <w:color w:val="auto"/>
        </w:rPr>
        <w:t>On February 5, 2020, the board of directors of the Partnership approved and declared a distribution on the Series A Preference Units of $0.5390625 per preference unit, a distribution on the Series B Preference Units of $0.5125 per preference unit and a distribution on the Series C Preference Units of $0.53125 per preference unit. The aggregate cash distributions of $7,582 were paid on March 16, 2020 to all unitholders of record as of March 9, 2020.</w:t>
      </w:r>
    </w:p>
    <w:p>
      <w:pPr>
        <w:spacing w:after="0" w:line="184" w:lineRule="exact"/>
        <w:rPr>
          <w:sz w:val="20"/>
          <w:szCs w:val="20"/>
          <w:color w:val="auto"/>
        </w:rPr>
      </w:pPr>
    </w:p>
    <w:p>
      <w:pPr>
        <w:ind w:right="540" w:firstLine="383"/>
        <w:spacing w:after="0" w:line="293" w:lineRule="auto"/>
        <w:rPr>
          <w:sz w:val="20"/>
          <w:szCs w:val="20"/>
          <w:color w:val="auto"/>
        </w:rPr>
      </w:pPr>
      <w:r>
        <w:rPr>
          <w:rFonts w:ascii="Arial" w:cs="Arial" w:eastAsia="Arial" w:hAnsi="Arial"/>
          <w:sz w:val="16"/>
          <w:szCs w:val="16"/>
          <w:color w:val="auto"/>
        </w:rPr>
        <w:t>On May 6, 2020, the board of directors of the Partnership approved and declared a quarterly cash distribution of $0.125 per common unit for the quarter ended March 31, 2020. The cash distribution of $5,967 was paid on May 21, 2020 to all unitholders of record as of May 18, 2020.</w:t>
      </w:r>
    </w:p>
    <w:p>
      <w:pPr>
        <w:spacing w:after="0" w:line="172" w:lineRule="exact"/>
        <w:rPr>
          <w:sz w:val="20"/>
          <w:szCs w:val="20"/>
          <w:color w:val="auto"/>
        </w:rPr>
      </w:pPr>
    </w:p>
    <w:p>
      <w:pPr>
        <w:ind w:right="60" w:firstLine="383"/>
        <w:spacing w:after="0" w:line="278" w:lineRule="auto"/>
        <w:rPr>
          <w:sz w:val="20"/>
          <w:szCs w:val="20"/>
          <w:color w:val="auto"/>
        </w:rPr>
      </w:pPr>
      <w:r>
        <w:rPr>
          <w:rFonts w:ascii="Arial" w:cs="Arial" w:eastAsia="Arial" w:hAnsi="Arial"/>
          <w:sz w:val="16"/>
          <w:szCs w:val="16"/>
          <w:color w:val="auto"/>
        </w:rPr>
        <w:t>On May 14, 2020, the board of directors of the Partnership approved and declared a distribution on the Series A Preference Units of $0.5390625 per preference unit, a distribution on the Series B Preference Units of $0.5125 per preference unit and a distribution on the Series C Preference Units of $0.53125 per preference unit. The aggregate cash distributions of $7,582 were paid on June 15, 2020 to all unitholders of record as of June 8, 2020.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Earnings per Unit (“EPU”)</w:t>
      </w:r>
    </w:p>
    <w:p>
      <w:pPr>
        <w:spacing w:after="0" w:line="239" w:lineRule="exact"/>
        <w:rPr>
          <w:sz w:val="20"/>
          <w:szCs w:val="20"/>
          <w:color w:val="auto"/>
        </w:rPr>
      </w:pPr>
    </w:p>
    <w:p>
      <w:pPr>
        <w:ind w:right="20" w:firstLine="396"/>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firstLine="396"/>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per unit is presented for the period in which the units were outstanding, with earnings calculated as follows:</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31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298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472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June 30, 2019</w:t>
            </w:r>
          </w:p>
        </w:tc>
        <w:tc>
          <w:tcPr>
            <w:tcW w:w="15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 2020</w:t>
            </w:r>
          </w:p>
        </w:tc>
        <w:tc>
          <w:tcPr>
            <w:tcW w:w="16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 2019</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r>
      <w:tr>
        <w:trPr>
          <w:trHeight w:val="202"/>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20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1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42,159</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22,382</w:t>
            </w:r>
          </w:p>
        </w:tc>
        <w:tc>
          <w:tcPr>
            <w:tcW w:w="60" w:type="dxa"/>
            <w:vAlign w:val="bottom"/>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Less: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(2,650)</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4720" w:type="dxa"/>
            <w:vAlign w:val="bottom"/>
          </w:tcPr>
          <w:p>
            <w:pPr>
              <w:spacing w:after="0"/>
              <w:rPr>
                <w:sz w:val="20"/>
                <w:szCs w:val="20"/>
                <w:color w:val="auto"/>
              </w:rPr>
            </w:pPr>
            <w:r>
              <w:rPr>
                <w:rFonts w:ascii="Arial" w:cs="Arial" w:eastAsia="Arial" w:hAnsi="Arial"/>
                <w:sz w:val="16"/>
                <w:szCs w:val="16"/>
                <w:b w:val="1"/>
                <w:bCs w:val="1"/>
                <w:color w:val="auto"/>
              </w:rPr>
              <w:t>Partnership’s profit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20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8,213</w:t>
            </w:r>
          </w:p>
        </w:tc>
        <w:tc>
          <w:tcPr>
            <w:tcW w:w="1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39,509</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22,382</w:t>
            </w:r>
          </w:p>
        </w:tc>
        <w:tc>
          <w:tcPr>
            <w:tcW w:w="60" w:type="dxa"/>
            <w:vAlign w:val="bottom"/>
          </w:tcPr>
          <w:p>
            <w:pPr>
              <w:spacing w:after="0"/>
              <w:rPr>
                <w:sz w:val="17"/>
                <w:szCs w:val="17"/>
                <w:color w:val="auto"/>
              </w:rPr>
            </w:pPr>
          </w:p>
        </w:tc>
      </w:tr>
      <w:tr>
        <w:trPr>
          <w:trHeight w:val="203"/>
        </w:trPr>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4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(7,582)</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(7,582)</w:t>
            </w: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(15,164)</w:t>
            </w:r>
          </w:p>
        </w:tc>
        <w:tc>
          <w:tcPr>
            <w:tcW w:w="1320" w:type="dxa"/>
            <w:vAlign w:val="bottom"/>
          </w:tcPr>
          <w:p>
            <w:pPr>
              <w:jc w:val="right"/>
              <w:spacing w:after="0"/>
              <w:rPr>
                <w:sz w:val="20"/>
                <w:szCs w:val="20"/>
                <w:color w:val="auto"/>
              </w:rPr>
            </w:pPr>
            <w:r>
              <w:rPr>
                <w:rFonts w:ascii="Arial" w:cs="Arial" w:eastAsia="Arial" w:hAnsi="Arial"/>
                <w:sz w:val="16"/>
                <w:szCs w:val="16"/>
                <w:color w:val="auto"/>
              </w:rPr>
              <w:t>(15,164)</w:t>
            </w:r>
          </w:p>
        </w:tc>
        <w:tc>
          <w:tcPr>
            <w:tcW w:w="60" w:type="dxa"/>
            <w:vAlign w:val="bottom"/>
          </w:tcPr>
          <w:p>
            <w:pPr>
              <w:spacing w:after="0"/>
              <w:rPr>
                <w:sz w:val="17"/>
                <w:szCs w:val="17"/>
                <w:color w:val="auto"/>
              </w:rPr>
            </w:pPr>
          </w:p>
        </w:tc>
      </w:tr>
      <w:tr>
        <w:trPr>
          <w:trHeight w:val="216"/>
        </w:trPr>
        <w:tc>
          <w:tcPr>
            <w:tcW w:w="47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11,561</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631</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24,345</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7,218</w:t>
            </w:r>
          </w:p>
        </w:tc>
        <w:tc>
          <w:tcPr>
            <w:tcW w:w="60" w:type="dxa"/>
            <w:vAlign w:val="bottom"/>
          </w:tcPr>
          <w:p>
            <w:pPr>
              <w:spacing w:after="0"/>
              <w:rPr>
                <w:sz w:val="18"/>
                <w:szCs w:val="18"/>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Common unitholders</w:t>
            </w:r>
          </w:p>
        </w:tc>
        <w:tc>
          <w:tcPr>
            <w:tcW w:w="1400" w:type="dxa"/>
            <w:vAlign w:val="bottom"/>
          </w:tcPr>
          <w:p>
            <w:pPr>
              <w:jc w:val="right"/>
              <w:spacing w:after="0"/>
              <w:rPr>
                <w:sz w:val="20"/>
                <w:szCs w:val="20"/>
                <w:color w:val="auto"/>
              </w:rPr>
            </w:pPr>
            <w:r>
              <w:rPr>
                <w:rFonts w:ascii="Arial" w:cs="Arial" w:eastAsia="Arial" w:hAnsi="Arial"/>
                <w:sz w:val="16"/>
                <w:szCs w:val="16"/>
                <w:color w:val="auto"/>
              </w:rPr>
              <w:t>11,329</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617</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23,858</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7,063</w:t>
            </w:r>
          </w:p>
        </w:tc>
        <w:tc>
          <w:tcPr>
            <w:tcW w:w="60" w:type="dxa"/>
            <w:vAlign w:val="bottom"/>
          </w:tcPr>
          <w:p>
            <w:pPr>
              <w:spacing w:after="0"/>
              <w:rPr>
                <w:sz w:val="16"/>
                <w:szCs w:val="16"/>
                <w:color w:val="auto"/>
              </w:rPr>
            </w:pP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w:t>
            </w:r>
          </w:p>
        </w:tc>
        <w:tc>
          <w:tcPr>
            <w:tcW w:w="14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232</w:t>
            </w:r>
          </w:p>
        </w:tc>
        <w:tc>
          <w:tcPr>
            <w:tcW w:w="200" w:type="dxa"/>
            <w:vAlign w:val="bottom"/>
            <w:shd w:val="clear" w:color="auto" w:fill="E1FFFF"/>
          </w:tcPr>
          <w:p>
            <w:pPr>
              <w:spacing w:after="0"/>
              <w:rPr>
                <w:sz w:val="17"/>
                <w:szCs w:val="17"/>
                <w:color w:val="auto"/>
              </w:rPr>
            </w:pPr>
          </w:p>
        </w:tc>
        <w:tc>
          <w:tcPr>
            <w:tcW w:w="14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E1FFFF"/>
          </w:tcPr>
          <w:p>
            <w:pPr>
              <w:spacing w:after="0"/>
              <w:rPr>
                <w:sz w:val="17"/>
                <w:szCs w:val="17"/>
                <w:color w:val="auto"/>
              </w:rPr>
            </w:pPr>
          </w:p>
        </w:tc>
        <w:tc>
          <w:tcPr>
            <w:tcW w:w="14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487</w:t>
            </w: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155</w:t>
            </w:r>
          </w:p>
        </w:tc>
        <w:tc>
          <w:tcPr>
            <w:tcW w:w="60" w:type="dxa"/>
            <w:vAlign w:val="bottom"/>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400" w:type="dxa"/>
            <w:vAlign w:val="bottom"/>
            <w:shd w:val="clear" w:color="auto" w:fill="E1FFFF"/>
          </w:tcPr>
          <w:p>
            <w:pPr>
              <w:spacing w:after="0"/>
              <w:rPr>
                <w:sz w:val="17"/>
                <w:szCs w:val="17"/>
                <w:color w:val="auto"/>
              </w:rPr>
            </w:pPr>
          </w:p>
        </w:tc>
        <w:tc>
          <w:tcPr>
            <w:tcW w:w="200" w:type="dxa"/>
            <w:vAlign w:val="bottom"/>
            <w:shd w:val="clear" w:color="auto" w:fill="E1FFFF"/>
          </w:tcPr>
          <w:p>
            <w:pPr>
              <w:spacing w:after="0"/>
              <w:rPr>
                <w:sz w:val="17"/>
                <w:szCs w:val="17"/>
                <w:color w:val="auto"/>
              </w:rPr>
            </w:pPr>
          </w:p>
        </w:tc>
        <w:tc>
          <w:tcPr>
            <w:tcW w:w="140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42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Common units</w:t>
            </w:r>
          </w:p>
        </w:tc>
        <w:tc>
          <w:tcPr>
            <w:tcW w:w="1400" w:type="dxa"/>
            <w:vAlign w:val="bottom"/>
          </w:tcPr>
          <w:p>
            <w:pPr>
              <w:jc w:val="right"/>
              <w:spacing w:after="0"/>
              <w:rPr>
                <w:sz w:val="20"/>
                <w:szCs w:val="20"/>
                <w:color w:val="auto"/>
              </w:rPr>
            </w:pPr>
            <w:r>
              <w:rPr>
                <w:rFonts w:ascii="Arial" w:cs="Arial" w:eastAsia="Arial" w:hAnsi="Arial"/>
                <w:sz w:val="16"/>
                <w:szCs w:val="16"/>
                <w:color w:val="auto"/>
              </w:rPr>
              <w:t>45,300,760</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46,713,991</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45,374,467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46,739,034</w:t>
            </w:r>
          </w:p>
        </w:tc>
        <w:tc>
          <w:tcPr>
            <w:tcW w:w="60" w:type="dxa"/>
            <w:vAlign w:val="bottom"/>
          </w:tcPr>
          <w:p>
            <w:pPr>
              <w:spacing w:after="0"/>
              <w:rPr>
                <w:sz w:val="17"/>
                <w:szCs w:val="17"/>
                <w:color w:val="auto"/>
              </w:rPr>
            </w:pP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4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930,387</w:t>
            </w:r>
          </w:p>
        </w:tc>
        <w:tc>
          <w:tcPr>
            <w:tcW w:w="200" w:type="dxa"/>
            <w:vAlign w:val="bottom"/>
            <w:shd w:val="clear" w:color="auto" w:fill="E1FFFF"/>
          </w:tcPr>
          <w:p>
            <w:pPr>
              <w:spacing w:after="0"/>
              <w:rPr>
                <w:sz w:val="17"/>
                <w:szCs w:val="17"/>
                <w:color w:val="auto"/>
              </w:rPr>
            </w:pPr>
          </w:p>
        </w:tc>
        <w:tc>
          <w:tcPr>
            <w:tcW w:w="14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1,021,336</w:t>
            </w:r>
          </w:p>
        </w:tc>
        <w:tc>
          <w:tcPr>
            <w:tcW w:w="180" w:type="dxa"/>
            <w:vAlign w:val="bottom"/>
            <w:shd w:val="clear" w:color="auto" w:fill="E1FFFF"/>
          </w:tcPr>
          <w:p>
            <w:pPr>
              <w:spacing w:after="0"/>
              <w:rPr>
                <w:sz w:val="17"/>
                <w:szCs w:val="17"/>
                <w:color w:val="auto"/>
              </w:rPr>
            </w:pPr>
          </w:p>
        </w:tc>
        <w:tc>
          <w:tcPr>
            <w:tcW w:w="14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928,967</w:t>
            </w: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1,021,336</w:t>
            </w:r>
          </w:p>
        </w:tc>
        <w:tc>
          <w:tcPr>
            <w:tcW w:w="60" w:type="dxa"/>
            <w:vAlign w:val="bottom"/>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4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0.25</w:t>
            </w:r>
          </w:p>
        </w:tc>
        <w:tc>
          <w:tcPr>
            <w:tcW w:w="200" w:type="dxa"/>
            <w:vAlign w:val="bottom"/>
            <w:shd w:val="clear" w:color="auto" w:fill="E1FFFF"/>
          </w:tcPr>
          <w:p>
            <w:pPr>
              <w:spacing w:after="0"/>
              <w:rPr>
                <w:sz w:val="17"/>
                <w:szCs w:val="17"/>
                <w:color w:val="auto"/>
              </w:rPr>
            </w:pPr>
          </w:p>
        </w:tc>
        <w:tc>
          <w:tcPr>
            <w:tcW w:w="14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E1FFFF"/>
          </w:tcPr>
          <w:p>
            <w:pPr>
              <w:spacing w:after="0"/>
              <w:rPr>
                <w:sz w:val="17"/>
                <w:szCs w:val="17"/>
                <w:color w:val="auto"/>
              </w:rPr>
            </w:pPr>
          </w:p>
        </w:tc>
        <w:tc>
          <w:tcPr>
            <w:tcW w:w="14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0.53</w:t>
            </w:r>
          </w:p>
        </w:tc>
        <w:tc>
          <w:tcPr>
            <w:tcW w:w="180" w:type="dxa"/>
            <w:vAlign w:val="bottom"/>
            <w:shd w:val="clear" w:color="auto" w:fill="E1FFFF"/>
          </w:tcPr>
          <w:p>
            <w:pPr>
              <w:spacing w:after="0"/>
              <w:rPr>
                <w:sz w:val="17"/>
                <w:szCs w:val="17"/>
                <w:color w:val="auto"/>
              </w:rPr>
            </w:pPr>
          </w:p>
        </w:tc>
        <w:tc>
          <w:tcPr>
            <w:tcW w:w="13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17"/>
                <w:szCs w:val="17"/>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6"/>
                <w:szCs w:val="16"/>
                <w:b w:val="1"/>
                <w:bCs w:val="1"/>
                <w:color w:val="auto"/>
              </w:rPr>
              <w:t>General partner</w:t>
            </w:r>
          </w:p>
        </w:tc>
        <w:tc>
          <w:tcPr>
            <w:tcW w:w="1400" w:type="dxa"/>
            <w:vAlign w:val="bottom"/>
          </w:tcPr>
          <w:p>
            <w:pPr>
              <w:jc w:val="right"/>
              <w:spacing w:after="0"/>
              <w:rPr>
                <w:sz w:val="20"/>
                <w:szCs w:val="20"/>
                <w:color w:val="auto"/>
              </w:rPr>
            </w:pPr>
            <w:r>
              <w:rPr>
                <w:rFonts w:ascii="Arial" w:cs="Arial" w:eastAsia="Arial" w:hAnsi="Arial"/>
                <w:sz w:val="16"/>
                <w:szCs w:val="16"/>
                <w:color w:val="auto"/>
              </w:rPr>
              <w:t>0.25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0.52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18"/>
                <w:szCs w:val="18"/>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91" w:name="page392"/>
    <w:bookmarkEnd w:id="391"/>
    <w:tbl>
      <w:tblPr>
        <w:tblLayout w:type="fixed"/>
        <w:tblInd w:w="160" w:type="dxa"/>
        <w:tblCellMar>
          <w:top w:w="0" w:type="dxa"/>
          <w:left w:w="0" w:type="dxa"/>
          <w:bottom w:w="0" w:type="dxa"/>
          <w:right w:w="0" w:type="dxa"/>
        </w:tblCellMar>
      </w:tblPr>
      <w:tr>
        <w:trPr>
          <w:trHeight w:val="203"/>
        </w:trPr>
        <w:tc>
          <w:tcPr>
            <w:tcW w:w="464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900" w:type="dxa"/>
            <w:vAlign w:val="bottom"/>
            <w:shd w:val="clear" w:color="auto" w:fill="E1FFFF"/>
          </w:tcPr>
          <w:p>
            <w:pPr>
              <w:spacing w:after="0"/>
              <w:rPr>
                <w:sz w:val="17"/>
                <w:szCs w:val="17"/>
                <w:color w:val="auto"/>
              </w:rPr>
            </w:pPr>
          </w:p>
        </w:tc>
        <w:tc>
          <w:tcPr>
            <w:tcW w:w="1600" w:type="dxa"/>
            <w:vAlign w:val="bottom"/>
            <w:shd w:val="clear" w:color="auto" w:fill="E1FFFF"/>
          </w:tcPr>
          <w:p>
            <w:pPr>
              <w:spacing w:after="0"/>
              <w:rPr>
                <w:sz w:val="17"/>
                <w:szCs w:val="17"/>
                <w:color w:val="auto"/>
              </w:rPr>
            </w:pPr>
          </w:p>
        </w:tc>
        <w:tc>
          <w:tcPr>
            <w:tcW w:w="1560" w:type="dxa"/>
            <w:vAlign w:val="bottom"/>
            <w:shd w:val="clear" w:color="auto" w:fill="E1FFFF"/>
          </w:tcPr>
          <w:p>
            <w:pPr>
              <w:spacing w:after="0"/>
              <w:rPr>
                <w:sz w:val="17"/>
                <w:szCs w:val="17"/>
                <w:color w:val="auto"/>
              </w:rPr>
            </w:pPr>
          </w:p>
        </w:tc>
        <w:tc>
          <w:tcPr>
            <w:tcW w:w="1120" w:type="dxa"/>
            <w:vAlign w:val="bottom"/>
            <w:shd w:val="clear" w:color="auto" w:fill="E1FFFF"/>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Common units***</w:t>
            </w:r>
          </w:p>
        </w:tc>
        <w:tc>
          <w:tcPr>
            <w:tcW w:w="1900" w:type="dxa"/>
            <w:vAlign w:val="bottom"/>
          </w:tcPr>
          <w:p>
            <w:pPr>
              <w:jc w:val="right"/>
              <w:ind w:right="359"/>
              <w:spacing w:after="0"/>
              <w:rPr>
                <w:sz w:val="20"/>
                <w:szCs w:val="20"/>
                <w:color w:val="auto"/>
              </w:rPr>
            </w:pPr>
            <w:r>
              <w:rPr>
                <w:rFonts w:ascii="Arial" w:cs="Arial" w:eastAsia="Arial" w:hAnsi="Arial"/>
                <w:sz w:val="16"/>
                <w:szCs w:val="16"/>
                <w:color w:val="auto"/>
              </w:rPr>
              <w:t>45,350,113</w:t>
            </w: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49,460,033</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45,443,822</w:t>
            </w:r>
          </w:p>
        </w:tc>
        <w:tc>
          <w:tcPr>
            <w:tcW w:w="1120" w:type="dxa"/>
            <w:vAlign w:val="bottom"/>
          </w:tcPr>
          <w:p>
            <w:pPr>
              <w:jc w:val="right"/>
              <w:spacing w:after="0"/>
              <w:rPr>
                <w:sz w:val="20"/>
                <w:szCs w:val="20"/>
                <w:color w:val="auto"/>
              </w:rPr>
            </w:pPr>
            <w:r>
              <w:rPr>
                <w:rFonts w:ascii="Arial" w:cs="Arial" w:eastAsia="Arial" w:hAnsi="Arial"/>
                <w:sz w:val="16"/>
                <w:szCs w:val="16"/>
                <w:color w:val="auto"/>
              </w:rPr>
              <w:t>49,402,714</w:t>
            </w:r>
          </w:p>
        </w:tc>
      </w:tr>
      <w:tr>
        <w:trPr>
          <w:trHeight w:val="203"/>
        </w:trPr>
        <w:tc>
          <w:tcPr>
            <w:tcW w:w="464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900" w:type="dxa"/>
            <w:vAlign w:val="bottom"/>
            <w:shd w:val="clear" w:color="auto" w:fill="E1FFFF"/>
          </w:tcPr>
          <w:p>
            <w:pPr>
              <w:jc w:val="right"/>
              <w:ind w:right="359"/>
              <w:spacing w:after="0"/>
              <w:rPr>
                <w:sz w:val="20"/>
                <w:szCs w:val="20"/>
                <w:color w:val="auto"/>
              </w:rPr>
            </w:pPr>
            <w:r>
              <w:rPr>
                <w:rFonts w:ascii="Arial" w:cs="Arial" w:eastAsia="Arial" w:hAnsi="Arial"/>
                <w:sz w:val="16"/>
                <w:szCs w:val="16"/>
                <w:color w:val="auto"/>
              </w:rPr>
              <w:t>930,387</w:t>
            </w:r>
          </w:p>
        </w:tc>
        <w:tc>
          <w:tcPr>
            <w:tcW w:w="1600" w:type="dxa"/>
            <w:vAlign w:val="bottom"/>
            <w:shd w:val="clear" w:color="auto" w:fill="E1FFFF"/>
          </w:tcPr>
          <w:p>
            <w:pPr>
              <w:jc w:val="right"/>
              <w:ind w:right="339"/>
              <w:spacing w:after="0"/>
              <w:rPr>
                <w:sz w:val="20"/>
                <w:szCs w:val="20"/>
                <w:color w:val="auto"/>
              </w:rPr>
            </w:pPr>
            <w:r>
              <w:rPr>
                <w:rFonts w:ascii="Arial" w:cs="Arial" w:eastAsia="Arial" w:hAnsi="Arial"/>
                <w:sz w:val="16"/>
                <w:szCs w:val="16"/>
                <w:color w:val="auto"/>
              </w:rPr>
              <w:t>1,021,336</w:t>
            </w:r>
          </w:p>
        </w:tc>
        <w:tc>
          <w:tcPr>
            <w:tcW w:w="1560" w:type="dxa"/>
            <w:vAlign w:val="bottom"/>
            <w:shd w:val="clear" w:color="auto" w:fill="E1FFFF"/>
          </w:tcPr>
          <w:p>
            <w:pPr>
              <w:jc w:val="right"/>
              <w:ind w:right="319"/>
              <w:spacing w:after="0"/>
              <w:rPr>
                <w:sz w:val="20"/>
                <w:szCs w:val="20"/>
                <w:color w:val="auto"/>
              </w:rPr>
            </w:pPr>
            <w:r>
              <w:rPr>
                <w:rFonts w:ascii="Arial" w:cs="Arial" w:eastAsia="Arial" w:hAnsi="Arial"/>
                <w:sz w:val="16"/>
                <w:szCs w:val="16"/>
                <w:color w:val="auto"/>
              </w:rPr>
              <w:t>928,967</w:t>
            </w:r>
          </w:p>
        </w:tc>
        <w:tc>
          <w:tcPr>
            <w:tcW w:w="11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1,021,336</w:t>
            </w:r>
          </w:p>
        </w:tc>
      </w:tr>
      <w:tr>
        <w:trPr>
          <w:trHeight w:val="203"/>
        </w:trPr>
        <w:tc>
          <w:tcPr>
            <w:tcW w:w="464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900" w:type="dxa"/>
            <w:vAlign w:val="bottom"/>
            <w:shd w:val="clear" w:color="auto" w:fill="E1FFFF"/>
          </w:tcPr>
          <w:p>
            <w:pPr>
              <w:jc w:val="right"/>
              <w:ind w:right="359"/>
              <w:spacing w:after="0"/>
              <w:rPr>
                <w:sz w:val="20"/>
                <w:szCs w:val="20"/>
                <w:color w:val="auto"/>
              </w:rPr>
            </w:pPr>
            <w:r>
              <w:rPr>
                <w:rFonts w:ascii="Arial" w:cs="Arial" w:eastAsia="Arial" w:hAnsi="Arial"/>
                <w:sz w:val="16"/>
                <w:szCs w:val="16"/>
                <w:color w:val="auto"/>
              </w:rPr>
              <w:t>0.25</w:t>
            </w:r>
          </w:p>
        </w:tc>
        <w:tc>
          <w:tcPr>
            <w:tcW w:w="1600" w:type="dxa"/>
            <w:vAlign w:val="bottom"/>
            <w:shd w:val="clear" w:color="auto" w:fill="E1FFFF"/>
          </w:tcPr>
          <w:p>
            <w:pPr>
              <w:jc w:val="right"/>
              <w:ind w:right="339"/>
              <w:spacing w:after="0"/>
              <w:rPr>
                <w:sz w:val="20"/>
                <w:szCs w:val="20"/>
                <w:color w:val="auto"/>
              </w:rPr>
            </w:pPr>
            <w:r>
              <w:rPr>
                <w:rFonts w:ascii="Arial" w:cs="Arial" w:eastAsia="Arial" w:hAnsi="Arial"/>
                <w:sz w:val="16"/>
                <w:szCs w:val="16"/>
                <w:color w:val="auto"/>
              </w:rPr>
              <w:t>0.01</w:t>
            </w:r>
          </w:p>
        </w:tc>
        <w:tc>
          <w:tcPr>
            <w:tcW w:w="1560" w:type="dxa"/>
            <w:vAlign w:val="bottom"/>
            <w:shd w:val="clear" w:color="auto" w:fill="E1FFFF"/>
          </w:tcPr>
          <w:p>
            <w:pPr>
              <w:jc w:val="right"/>
              <w:ind w:right="319"/>
              <w:spacing w:after="0"/>
              <w:rPr>
                <w:sz w:val="20"/>
                <w:szCs w:val="20"/>
                <w:color w:val="auto"/>
              </w:rPr>
            </w:pPr>
            <w:r>
              <w:rPr>
                <w:rFonts w:ascii="Arial" w:cs="Arial" w:eastAsia="Arial" w:hAnsi="Arial"/>
                <w:sz w:val="16"/>
                <w:szCs w:val="16"/>
                <w:color w:val="auto"/>
              </w:rPr>
              <w:t>0.52</w:t>
            </w:r>
          </w:p>
        </w:tc>
        <w:tc>
          <w:tcPr>
            <w:tcW w:w="11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0.14</w:t>
            </w:r>
          </w:p>
        </w:tc>
      </w:tr>
      <w:tr>
        <w:trPr>
          <w:trHeight w:val="206"/>
        </w:trPr>
        <w:tc>
          <w:tcPr>
            <w:tcW w:w="4640" w:type="dxa"/>
            <w:vAlign w:val="bottom"/>
          </w:tcPr>
          <w:p>
            <w:pPr>
              <w:spacing w:after="0"/>
              <w:rPr>
                <w:sz w:val="20"/>
                <w:szCs w:val="20"/>
                <w:color w:val="auto"/>
              </w:rPr>
            </w:pPr>
            <w:r>
              <w:rPr>
                <w:rFonts w:ascii="Arial" w:cs="Arial" w:eastAsia="Arial" w:hAnsi="Arial"/>
                <w:sz w:val="16"/>
                <w:szCs w:val="16"/>
                <w:color w:val="auto"/>
              </w:rPr>
              <w:t>General partner</w:t>
            </w:r>
          </w:p>
        </w:tc>
        <w:tc>
          <w:tcPr>
            <w:tcW w:w="1900" w:type="dxa"/>
            <w:vAlign w:val="bottom"/>
          </w:tcPr>
          <w:p>
            <w:pPr>
              <w:jc w:val="right"/>
              <w:ind w:right="359"/>
              <w:spacing w:after="0"/>
              <w:rPr>
                <w:sz w:val="20"/>
                <w:szCs w:val="20"/>
                <w:color w:val="auto"/>
              </w:rPr>
            </w:pPr>
            <w:r>
              <w:rPr>
                <w:rFonts w:ascii="Arial" w:cs="Arial" w:eastAsia="Arial" w:hAnsi="Arial"/>
                <w:sz w:val="16"/>
                <w:szCs w:val="16"/>
                <w:color w:val="auto"/>
              </w:rPr>
              <w:t>0.25</w:t>
            </w: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0.01</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0.52</w:t>
            </w:r>
          </w:p>
        </w:tc>
        <w:tc>
          <w:tcPr>
            <w:tcW w:w="1120" w:type="dxa"/>
            <w:vAlign w:val="bottom"/>
          </w:tcPr>
          <w:p>
            <w:pPr>
              <w:jc w:val="right"/>
              <w:spacing w:after="0"/>
              <w:rPr>
                <w:sz w:val="20"/>
                <w:szCs w:val="20"/>
                <w:color w:val="auto"/>
              </w:rPr>
            </w:pPr>
            <w:r>
              <w:rPr>
                <w:rFonts w:ascii="Arial" w:cs="Arial" w:eastAsia="Arial" w:hAnsi="Arial"/>
                <w:sz w:val="16"/>
                <w:szCs w:val="16"/>
                <w:color w:val="auto"/>
              </w:rPr>
              <w:t>0.15</w:t>
            </w:r>
          </w:p>
        </w:tc>
      </w:tr>
    </w:tbl>
    <w:p>
      <w:pPr>
        <w:spacing w:after="0" w:line="301" w:lineRule="exact"/>
        <w:rPr>
          <w:sz w:val="20"/>
          <w:szCs w:val="20"/>
          <w:color w:val="auto"/>
        </w:rPr>
      </w:pPr>
    </w:p>
    <w:p>
      <w:pPr>
        <w:ind w:left="140" w:right="60" w:hanging="132"/>
        <w:spacing w:after="0" w:line="265" w:lineRule="auto"/>
        <w:tabs>
          <w:tab w:leader="none" w:pos="134" w:val="left"/>
        </w:tabs>
        <w:numPr>
          <w:ilvl w:val="0"/>
          <w:numId w:val="938"/>
        </w:numPr>
        <w:rPr>
          <w:rFonts w:ascii="Arial" w:cs="Arial" w:eastAsia="Arial" w:hAnsi="Arial"/>
          <w:sz w:val="15"/>
          <w:szCs w:val="15"/>
          <w:color w:val="auto"/>
        </w:rPr>
      </w:pPr>
      <w:r>
        <w:rPr>
          <w:rFonts w:ascii="Arial" w:cs="Arial" w:eastAsia="Arial" w:hAnsi="Arial"/>
          <w:sz w:val="13"/>
          <w:szCs w:val="13"/>
          <w:color w:val="auto"/>
        </w:rPr>
        <w:t>Includes the aggregate profit of GAS-twelve Ltd. for the period prior to its transfer to the Partnership on April 1, 2019. While such amounts are reflected in the Partnership’s financial statements because the transfer to the Partnership was accounted for as a reorganization of entities under common control (Note 1), the aforementioned entity was not owned by the Partnership prior to its transfer to the Partnership on such date and accordingly the Partnership was not entitled to the cash or results generated in the period prior to such transfer.</w:t>
      </w:r>
    </w:p>
    <w:p>
      <w:pPr>
        <w:spacing w:after="0" w:line="168" w:lineRule="exact"/>
        <w:rPr>
          <w:sz w:val="20"/>
          <w:szCs w:val="20"/>
          <w:color w:val="auto"/>
        </w:rPr>
      </w:pPr>
    </w:p>
    <w:p>
      <w:pPr>
        <w:ind w:left="140" w:right="160" w:hanging="127"/>
        <w:spacing w:after="0" w:line="238" w:lineRule="auto"/>
        <w:rPr>
          <w:sz w:val="20"/>
          <w:szCs w:val="20"/>
          <w:color w:val="auto"/>
        </w:rPr>
      </w:pPr>
      <w:r>
        <w:rPr>
          <w:rFonts w:ascii="Arial" w:cs="Arial" w:eastAsia="Arial" w:hAnsi="Arial"/>
          <w:sz w:val="14"/>
          <w:szCs w:val="14"/>
          <w:color w:val="auto"/>
        </w:rPr>
        <w:t>**The IDRs were eliminated on June 30, 2019. GasLog held the incentive distribution rights following completion of the Partnership’s IPO. Until their elimination, they represented the right to receive an increasing percentage of quarterly distributions of available cash from operating surplus after the minimum quarterly distribution and the target distribution levels have been achieved. Based on the nature of such right, earnings attributable to IDRs could not be allocated on a per unit basis.</w:t>
      </w:r>
    </w:p>
    <w:p>
      <w:pPr>
        <w:spacing w:after="0" w:line="183" w:lineRule="exact"/>
        <w:rPr>
          <w:sz w:val="20"/>
          <w:szCs w:val="20"/>
          <w:color w:val="auto"/>
        </w:rPr>
      </w:pPr>
    </w:p>
    <w:p>
      <w:pPr>
        <w:jc w:val="both"/>
        <w:ind w:left="140" w:right="160" w:hanging="132"/>
        <w:spacing w:after="0" w:line="233" w:lineRule="auto"/>
        <w:tabs>
          <w:tab w:leader="none" w:pos="264" w:val="left"/>
        </w:tabs>
        <w:numPr>
          <w:ilvl w:val="0"/>
          <w:numId w:val="939"/>
        </w:numPr>
        <w:rPr>
          <w:rFonts w:ascii="Arial" w:cs="Arial" w:eastAsia="Arial" w:hAnsi="Arial"/>
          <w:sz w:val="14"/>
          <w:szCs w:val="14"/>
          <w:color w:val="auto"/>
        </w:rPr>
      </w:pPr>
      <w:r>
        <w:rPr>
          <w:rFonts w:ascii="Arial" w:cs="Arial" w:eastAsia="Arial" w:hAnsi="Arial"/>
          <w:sz w:val="14"/>
          <w:szCs w:val="14"/>
          <w:color w:val="auto"/>
        </w:rPr>
        <w:t>Includes unvested awards (Note 18) and Class B units, the latter only for the three months ended June 30, 2020. The 2,490,000 Class B units were issued on June 30, 2019 and have been included in the weighted average number of units outstanding for the calculation of diluted EPU from July 1, 2019 and onwards. They will become eligible for conversion on a one-for-one basis into common units at GasLog’s option in six tranches of 415,000 units per annum on July 1 of 2020 (Note 20), 2021, 2022, 2023, 2024 and 2025; as a result, they do not have an impact on the calculation of basic EPU until conversion.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Compensation</w:t>
      </w:r>
    </w:p>
    <w:p>
      <w:pPr>
        <w:spacing w:after="0" w:line="239" w:lineRule="exact"/>
        <w:rPr>
          <w:sz w:val="20"/>
          <w:szCs w:val="20"/>
          <w:color w:val="auto"/>
        </w:rPr>
      </w:pPr>
    </w:p>
    <w:p>
      <w:pPr>
        <w:ind w:right="480" w:firstLine="383"/>
        <w:spacing w:after="0" w:line="328" w:lineRule="auto"/>
        <w:rPr>
          <w:sz w:val="20"/>
          <w:szCs w:val="20"/>
          <w:color w:val="auto"/>
        </w:rPr>
      </w:pPr>
      <w:r>
        <w:rPr>
          <w:rFonts w:ascii="Arial" w:cs="Arial" w:eastAsia="Arial" w:hAnsi="Arial"/>
          <w:sz w:val="15"/>
          <w:szCs w:val="15"/>
          <w:color w:val="auto"/>
        </w:rPr>
        <w:t>The terms of the 2015 Plan and the assumptions for the valuation of Restricted Common Units (“RCUs”) and Performance Common Units (“PCUs”) have been disclosed in Note 21 “Share-Based Compensation” in the annual audited consolidated financial statements for the year ended December 31, 2019.</w:t>
      </w:r>
    </w:p>
    <w:p>
      <w:pPr>
        <w:spacing w:after="0" w:line="150"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On April 1, 2020, the Partnership granted to its executives 233,688 RCUs and 233,688 PCUs in accordance with its 2015 Plan. The RCUs and PCUs will vest on April 1, 2023. The holders are entitled to cash distributions that will be accrued and settled on vesting.</w:t>
      </w:r>
    </w:p>
    <w:p>
      <w:pPr>
        <w:spacing w:after="0" w:line="168" w:lineRule="exact"/>
        <w:rPr>
          <w:sz w:val="20"/>
          <w:szCs w:val="20"/>
          <w:color w:val="auto"/>
        </w:rPr>
      </w:pPr>
    </w:p>
    <w:tbl>
      <w:tblPr>
        <w:tblLayout w:type="fixed"/>
        <w:tblInd w:w="2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 at</w:t>
            </w:r>
          </w:p>
        </w:tc>
      </w:tr>
      <w:tr>
        <w:trPr>
          <w:trHeight w:val="213"/>
        </w:trPr>
        <w:tc>
          <w:tcPr>
            <w:tcW w:w="2520" w:type="dxa"/>
            <w:vAlign w:val="bottom"/>
            <w:gridSpan w:val="3"/>
          </w:tcPr>
          <w:p>
            <w:pPr>
              <w:spacing w:after="0"/>
              <w:rPr>
                <w:sz w:val="20"/>
                <w:szCs w:val="20"/>
                <w:color w:val="auto"/>
              </w:rPr>
            </w:pPr>
            <w:r>
              <w:rPr>
                <w:rFonts w:ascii="Arial" w:cs="Arial" w:eastAsia="Arial" w:hAnsi="Arial"/>
                <w:sz w:val="16"/>
                <w:szCs w:val="16"/>
                <w:b w:val="1"/>
                <w:bCs w:val="1"/>
                <w:color w:val="auto"/>
              </w:rPr>
              <w:t>Awards</w:t>
            </w: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Number</w:t>
            </w: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Grant date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grant date</w:t>
            </w:r>
          </w:p>
        </w:tc>
      </w:tr>
      <w:tr>
        <w:trPr>
          <w:trHeight w:val="199"/>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1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233,688</w:t>
            </w:r>
          </w:p>
        </w:tc>
        <w:tc>
          <w:tcPr>
            <w:tcW w:w="26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7"/>
              </w:rPr>
              <w:t>April 1, 2020</w:t>
            </w:r>
          </w:p>
        </w:tc>
        <w:tc>
          <w:tcPr>
            <w:tcW w:w="2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$2.02</w:t>
            </w:r>
          </w:p>
        </w:tc>
      </w:tr>
      <w:tr>
        <w:trPr>
          <w:trHeight w:val="206"/>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PCUs</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233,688</w:t>
            </w:r>
          </w:p>
        </w:tc>
        <w:tc>
          <w:tcPr>
            <w:tcW w:w="26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April 1, 2020</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$2.02</w:t>
            </w:r>
          </w:p>
        </w:tc>
      </w:tr>
    </w:tbl>
    <w:p>
      <w:pPr>
        <w:spacing w:after="0" w:line="202"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The fair value of the RCUs and PCUs in accordance with the Plan was determined by using the grant date closing price of $2.02 per common unit and was not further adjusted since the holders are entitled to cash distributions.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8"/>
        </w:trPr>
        <w:tc>
          <w:tcPr>
            <w:tcW w:w="5440" w:type="dxa"/>
            <w:vAlign w:val="bottom"/>
            <w:gridSpan w:val="2"/>
          </w:tcPr>
          <w:p>
            <w:pPr>
              <w:ind w:left="340"/>
              <w:spacing w:after="0"/>
              <w:rPr>
                <w:sz w:val="20"/>
                <w:szCs w:val="20"/>
                <w:color w:val="auto"/>
              </w:rPr>
            </w:pPr>
            <w:r>
              <w:rPr>
                <w:rFonts w:ascii="Arial" w:cs="Arial" w:eastAsia="Arial" w:hAnsi="Arial"/>
                <w:sz w:val="16"/>
                <w:szCs w:val="16"/>
                <w:color w:val="auto"/>
              </w:rPr>
              <w:t>The summary of RCUs and PCUs is presented below:</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32"/>
        </w:trPr>
        <w:tc>
          <w:tcPr>
            <w:tcW w:w="1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Weighted</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0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 of</w:t>
            </w: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average</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10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awards</w:t>
            </w: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contractual life</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fair value</w:t>
            </w:r>
          </w:p>
        </w:tc>
      </w:tr>
      <w:tr>
        <w:trPr>
          <w:trHeight w:val="188"/>
        </w:trPr>
        <w:tc>
          <w:tcPr>
            <w:tcW w:w="1020" w:type="dxa"/>
            <w:vAlign w:val="bottom"/>
          </w:tcPr>
          <w:p>
            <w:pPr>
              <w:spacing w:after="0"/>
              <w:rPr>
                <w:sz w:val="16"/>
                <w:szCs w:val="16"/>
                <w:color w:val="auto"/>
              </w:rPr>
            </w:pPr>
          </w:p>
        </w:tc>
        <w:tc>
          <w:tcPr>
            <w:tcW w:w="4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52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40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0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76,467</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1,790</w:t>
            </w:r>
          </w:p>
        </w:tc>
        <w:tc>
          <w:tcPr>
            <w:tcW w:w="6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233,688</w:t>
            </w:r>
          </w:p>
        </w:tc>
        <w:tc>
          <w:tcPr>
            <w:tcW w:w="24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472</w:t>
            </w:r>
          </w:p>
        </w:tc>
        <w:tc>
          <w:tcPr>
            <w:tcW w:w="6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(37,327)</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(882)</w:t>
            </w:r>
          </w:p>
        </w:tc>
        <w:tc>
          <w:tcPr>
            <w:tcW w:w="6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4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2020</w:t>
            </w: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272,828</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1,380</w:t>
            </w:r>
          </w:p>
        </w:tc>
        <w:tc>
          <w:tcPr>
            <w:tcW w:w="6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4420" w:type="dxa"/>
            <w:vAlign w:val="bottom"/>
          </w:tcPr>
          <w:p>
            <w:pPr>
              <w:spacing w:after="0" w:line="176" w:lineRule="exact"/>
              <w:rPr>
                <w:sz w:val="20"/>
                <w:szCs w:val="20"/>
                <w:color w:val="auto"/>
              </w:rPr>
            </w:pPr>
            <w:r>
              <w:rPr>
                <w:rFonts w:ascii="Arial" w:cs="Arial" w:eastAsia="Arial" w:hAnsi="Arial"/>
                <w:sz w:val="16"/>
                <w:szCs w:val="16"/>
                <w:b w:val="1"/>
                <w:bCs w:val="1"/>
                <w:color w:val="auto"/>
              </w:rPr>
              <w:t>PCUs</w:t>
            </w: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020" w:type="dxa"/>
            <w:vAlign w:val="bottom"/>
          </w:tcPr>
          <w:p>
            <w:pPr>
              <w:spacing w:after="0"/>
              <w:rPr>
                <w:sz w:val="17"/>
                <w:szCs w:val="17"/>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76,467</w:t>
            </w:r>
          </w:p>
        </w:tc>
        <w:tc>
          <w:tcPr>
            <w:tcW w:w="24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1.26</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1,790</w:t>
            </w:r>
          </w:p>
        </w:tc>
        <w:tc>
          <w:tcPr>
            <w:tcW w:w="6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520" w:type="dxa"/>
            <w:vAlign w:val="bottom"/>
          </w:tcPr>
          <w:p>
            <w:pPr>
              <w:jc w:val="right"/>
              <w:spacing w:after="0"/>
              <w:rPr>
                <w:sz w:val="20"/>
                <w:szCs w:val="20"/>
                <w:color w:val="auto"/>
              </w:rPr>
            </w:pPr>
            <w:r>
              <w:rPr>
                <w:rFonts w:ascii="Arial" w:cs="Arial" w:eastAsia="Arial" w:hAnsi="Arial"/>
                <w:sz w:val="16"/>
                <w:szCs w:val="16"/>
                <w:color w:val="auto"/>
              </w:rPr>
              <w:t>233,688</w:t>
            </w:r>
          </w:p>
        </w:tc>
        <w:tc>
          <w:tcPr>
            <w:tcW w:w="24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472</w:t>
            </w:r>
          </w:p>
        </w:tc>
        <w:tc>
          <w:tcPr>
            <w:tcW w:w="6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7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(31,105)</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(734)</w:t>
            </w:r>
          </w:p>
        </w:tc>
        <w:tc>
          <w:tcPr>
            <w:tcW w:w="6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Forfeited during the period</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(6,222)</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44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2020</w:t>
            </w: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272,828</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1,380</w:t>
            </w:r>
          </w:p>
        </w:tc>
        <w:tc>
          <w:tcPr>
            <w:tcW w:w="60" w:type="dxa"/>
            <w:vAlign w:val="bottom"/>
          </w:tcPr>
          <w:p>
            <w:pPr>
              <w:spacing w:after="0"/>
              <w:rPr>
                <w:sz w:val="17"/>
                <w:szCs w:val="17"/>
                <w:color w:val="auto"/>
              </w:rPr>
            </w:pPr>
          </w:p>
        </w:tc>
      </w:tr>
    </w:tbl>
    <w:p>
      <w:pPr>
        <w:spacing w:after="0" w:line="2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total expense recognized in respect of equity-settled employee benefits for the three and six months ended June 30, 2020 was $362 and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2" w:name="page393"/>
    <w:bookmarkEnd w:id="392"/>
    <w:p>
      <w:pPr>
        <w:spacing w:after="0"/>
        <w:rPr>
          <w:sz w:val="20"/>
          <w:szCs w:val="20"/>
          <w:color w:val="auto"/>
        </w:rPr>
      </w:pPr>
      <w:r>
        <w:rPr>
          <w:rFonts w:ascii="Arial" w:cs="Arial" w:eastAsia="Arial" w:hAnsi="Arial"/>
          <w:sz w:val="15"/>
          <w:szCs w:val="15"/>
          <w:color w:val="auto"/>
        </w:rPr>
        <w:t>$659, respectively (for the three and six months ended June 30, 2019: $247 and $509, respectively). The total accrued cash distribution as of June 30, 2020 is $396</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$530).</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Commitments and Contingencies</w:t>
      </w:r>
    </w:p>
    <w:p>
      <w:pPr>
        <w:spacing w:after="0" w:line="239" w:lineRule="exact"/>
        <w:rPr>
          <w:sz w:val="20"/>
          <w:szCs w:val="20"/>
          <w:color w:val="auto"/>
        </w:rPr>
      </w:pPr>
    </w:p>
    <w:p>
      <w:pPr>
        <w:ind w:right="40" w:firstLine="405"/>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June 30, 2020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2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191,449</w:t>
            </w:r>
          </w:p>
        </w:tc>
      </w:tr>
      <w:tr>
        <w:trPr>
          <w:trHeight w:val="203"/>
        </w:trPr>
        <w:tc>
          <w:tcPr>
            <w:tcW w:w="914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2100" w:type="dxa"/>
            <w:vAlign w:val="bottom"/>
          </w:tcPr>
          <w:p>
            <w:pPr>
              <w:jc w:val="right"/>
              <w:spacing w:after="0"/>
              <w:rPr>
                <w:sz w:val="20"/>
                <w:szCs w:val="20"/>
                <w:color w:val="auto"/>
              </w:rPr>
            </w:pPr>
            <w:r>
              <w:rPr>
                <w:rFonts w:ascii="Arial" w:cs="Arial" w:eastAsia="Arial" w:hAnsi="Arial"/>
                <w:sz w:val="16"/>
                <w:szCs w:val="16"/>
                <w:color w:val="auto"/>
              </w:rPr>
              <w:t>131,991</w:t>
            </w:r>
          </w:p>
        </w:tc>
      </w:tr>
      <w:tr>
        <w:trPr>
          <w:trHeight w:val="203"/>
        </w:trPr>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123,204</w:t>
            </w:r>
          </w:p>
        </w:tc>
      </w:tr>
      <w:tr>
        <w:trPr>
          <w:trHeight w:val="203"/>
        </w:trPr>
        <w:tc>
          <w:tcPr>
            <w:tcW w:w="914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2100" w:type="dxa"/>
            <w:vAlign w:val="bottom"/>
          </w:tcPr>
          <w:p>
            <w:pPr>
              <w:jc w:val="right"/>
              <w:spacing w:after="0"/>
              <w:rPr>
                <w:sz w:val="20"/>
                <w:szCs w:val="20"/>
                <w:color w:val="auto"/>
              </w:rPr>
            </w:pPr>
            <w:r>
              <w:rPr>
                <w:rFonts w:ascii="Arial" w:cs="Arial" w:eastAsia="Arial" w:hAnsi="Arial"/>
                <w:sz w:val="16"/>
                <w:szCs w:val="16"/>
                <w:color w:val="auto"/>
              </w:rPr>
              <w:t>82,110</w:t>
            </w:r>
          </w:p>
        </w:tc>
      </w:tr>
      <w:tr>
        <w:trPr>
          <w:trHeight w:val="203"/>
        </w:trPr>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50,659</w:t>
            </w:r>
          </w:p>
        </w:tc>
      </w:tr>
      <w:tr>
        <w:trPr>
          <w:trHeight w:val="203"/>
        </w:trPr>
        <w:tc>
          <w:tcPr>
            <w:tcW w:w="91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Later than five years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40,117</w:t>
            </w:r>
          </w:p>
        </w:tc>
      </w:tr>
      <w:tr>
        <w:trPr>
          <w:trHeight w:val="203"/>
        </w:trPr>
        <w:tc>
          <w:tcPr>
            <w:tcW w:w="9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619,530</w:t>
            </w:r>
          </w:p>
        </w:tc>
      </w:tr>
    </w:tbl>
    <w:p>
      <w:pPr>
        <w:spacing w:after="0" w:line="206" w:lineRule="exact"/>
        <w:rPr>
          <w:sz w:val="20"/>
          <w:szCs w:val="20"/>
          <w:color w:val="auto"/>
        </w:rPr>
      </w:pPr>
    </w:p>
    <w:p>
      <w:pPr>
        <w:jc w:val="both"/>
        <w:ind w:right="40" w:firstLine="383"/>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26" w:lineRule="exact"/>
        <w:rPr>
          <w:sz w:val="20"/>
          <w:szCs w:val="20"/>
          <w:color w:val="auto"/>
        </w:rPr>
      </w:pPr>
    </w:p>
    <w:p>
      <w:pPr>
        <w:ind w:right="20" w:firstLine="383"/>
        <w:spacing w:after="0" w:line="305" w:lineRule="auto"/>
        <w:rPr>
          <w:sz w:val="20"/>
          <w:szCs w:val="20"/>
          <w:color w:val="auto"/>
        </w:rPr>
      </w:pPr>
      <w:r>
        <w:rPr>
          <w:rFonts w:ascii="Arial" w:cs="Arial" w:eastAsia="Arial" w:hAnsi="Arial"/>
          <w:sz w:val="15"/>
          <w:szCs w:val="15"/>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June 30, 2020, ballast water management systems had been installed on three out of the eleven vessels.</w:t>
      </w:r>
    </w:p>
    <w:p>
      <w:pPr>
        <w:spacing w:after="0" w:line="166" w:lineRule="exact"/>
        <w:rPr>
          <w:sz w:val="20"/>
          <w:szCs w:val="20"/>
          <w:color w:val="auto"/>
        </w:rPr>
      </w:pPr>
    </w:p>
    <w:p>
      <w:pPr>
        <w:ind w:right="22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Subsequent Events</w:t>
      </w:r>
    </w:p>
    <w:p>
      <w:pPr>
        <w:spacing w:after="0" w:line="239" w:lineRule="exact"/>
        <w:rPr>
          <w:sz w:val="20"/>
          <w:szCs w:val="20"/>
          <w:color w:val="auto"/>
        </w:rPr>
      </w:pPr>
    </w:p>
    <w:p>
      <w:pPr>
        <w:ind w:right="240" w:firstLine="383"/>
        <w:spacing w:after="0" w:line="293" w:lineRule="auto"/>
        <w:rPr>
          <w:sz w:val="20"/>
          <w:szCs w:val="20"/>
          <w:color w:val="auto"/>
        </w:rPr>
      </w:pPr>
      <w:r>
        <w:rPr>
          <w:rFonts w:ascii="Arial" w:cs="Arial" w:eastAsia="Arial" w:hAnsi="Arial"/>
          <w:sz w:val="16"/>
          <w:szCs w:val="16"/>
          <w:color w:val="auto"/>
        </w:rPr>
        <w:t>On July 1, 2020, GasLog Partners issued 415,000 common units in connection with GasLog’s option to convert the first tranche of its Class B units issued upon the elimination of IDRs in June 2019.</w:t>
      </w:r>
    </w:p>
    <w:p>
      <w:pPr>
        <w:spacing w:after="0" w:line="172"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 xml:space="preserve">On July 16, 2020, GasLog Partners entered into a credit agreement of $260,331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$8,597 beginning in January 2021, with a final balloon amount of $174,361 payable concurrently with the last installment in July 2025. Interest on the facility will be payable at a rate of USD LIBOR plus a margin. The relevant amount of $260,331 was drawn on July 21, 2020, out of which $258,532 was used to refinance the outstanding indebtedness of GAS-twenty Ltd., GAS-seven Ltd. and GAS-eight Ltd., the respective entities owning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The facility includes customary restrictive covenants aligned with the ones in the existing bank credit facilities of the Partnership.</w:t>
      </w:r>
    </w:p>
    <w:p>
      <w:pPr>
        <w:spacing w:after="0" w:line="190" w:lineRule="exact"/>
        <w:rPr>
          <w:sz w:val="20"/>
          <w:szCs w:val="20"/>
          <w:color w:val="auto"/>
        </w:rPr>
      </w:pPr>
    </w:p>
    <w:p>
      <w:pPr>
        <w:ind w:right="20" w:firstLine="383"/>
        <w:spacing w:after="0" w:line="283" w:lineRule="auto"/>
        <w:rPr>
          <w:sz w:val="20"/>
          <w:szCs w:val="20"/>
          <w:color w:val="auto"/>
        </w:rPr>
      </w:pPr>
      <w:r>
        <w:rPr>
          <w:rFonts w:ascii="Arial" w:cs="Arial" w:eastAsia="Arial" w:hAnsi="Arial"/>
          <w:sz w:val="15"/>
          <w:szCs w:val="15"/>
          <w:color w:val="auto"/>
        </w:rPr>
        <w:t>Also, on July 16, 2020, GasLog Partners entered into a credit agreement of $193,713 with DNB Bank ASA, London Branch, and ING Bank N.V., London Branch, each an original lender, with DNB Bank ASA, London Branch acting as security agent and trustee for and on behalf of the other finance parties mentioned above, in order to refinance the existing indebtedness due in 2021 on three of its vessels. The facility will amortize over ten equal semi-annual installments of $8,599 beginning in</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 xml:space="preserve">January 2021, with a final balloon amount of $107,723 payable concurrently with the last installment in July 2025. Interest on the facility will be payable at a rate of USD LIBOR plus a margin. DNB Bank ASA, London Branch and ING Bank N.V., London Branch were also registered as hedging providers under the facility. An amount of $193,713 was drawn down on July 21, 2020, out of which $174,867 was used to refinance the outstanding indebtedness of GAS-nineteen Ltd., GAS-twenty one Ltd. and GAS-twenty seven Ltd., the respective entities owning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facility includes customary restrictive covenants aligned with the ones in the existing bank credit facilities of the Partnership.</w:t>
      </w:r>
    </w:p>
    <w:p>
      <w:pPr>
        <w:spacing w:after="0" w:line="190" w:lineRule="exact"/>
        <w:rPr>
          <w:sz w:val="20"/>
          <w:szCs w:val="20"/>
          <w:color w:val="auto"/>
        </w:rPr>
      </w:pPr>
    </w:p>
    <w:p>
      <w:pPr>
        <w:ind w:right="480" w:firstLine="383"/>
        <w:spacing w:after="0" w:line="293" w:lineRule="auto"/>
        <w:rPr>
          <w:sz w:val="20"/>
          <w:szCs w:val="20"/>
          <w:color w:val="auto"/>
        </w:rPr>
      </w:pPr>
      <w:r>
        <w:rPr>
          <w:rFonts w:ascii="Arial" w:cs="Arial" w:eastAsia="Arial" w:hAnsi="Arial"/>
          <w:sz w:val="16"/>
          <w:szCs w:val="16"/>
          <w:color w:val="auto"/>
        </w:rPr>
        <w:t>In July 2020, the Partnership entered into four new interest rate swap agreements with an aggregate notional amount of $133,333 due in 2024 and 2025 with the hedging providers under the above facility.</w:t>
      </w:r>
    </w:p>
    <w:p>
      <w:pPr>
        <w:spacing w:after="0" w:line="172" w:lineRule="exact"/>
        <w:rPr>
          <w:sz w:val="20"/>
          <w:szCs w:val="20"/>
          <w:color w:val="auto"/>
        </w:rPr>
      </w:pPr>
    </w:p>
    <w:p>
      <w:pPr>
        <w:ind w:right="20" w:firstLine="383"/>
        <w:spacing w:after="0" w:line="278" w:lineRule="auto"/>
        <w:rPr>
          <w:sz w:val="20"/>
          <w:szCs w:val="20"/>
          <w:color w:val="auto"/>
        </w:rPr>
      </w:pPr>
      <w:r>
        <w:rPr>
          <w:rFonts w:ascii="Arial" w:cs="Arial" w:eastAsia="Arial" w:hAnsi="Arial"/>
          <w:sz w:val="16"/>
          <w:szCs w:val="16"/>
          <w:color w:val="auto"/>
        </w:rPr>
        <w:t>On August 4, 2020, the board of directors of GasLog Partners approved and declared a quarterly cash distribution of $0.125 per common unit for the quarter ended June 30, 2020. The cash distribution is payable on August 20, 2020 to all unitholders of record as of August 17, 2020. The aggregate amount of the declared distribution will be $5,970 based on the number of units issued and outstanding as of June 30, 2020.</w:t>
      </w:r>
    </w:p>
    <w:p>
      <w:pPr>
        <w:spacing w:after="0" w:line="184" w:lineRule="exact"/>
        <w:rPr>
          <w:sz w:val="20"/>
          <w:szCs w:val="20"/>
          <w:color w:val="auto"/>
        </w:rPr>
      </w:pPr>
    </w:p>
    <w:p>
      <w:pPr>
        <w:ind w:right="340" w:firstLine="383"/>
        <w:spacing w:after="0" w:line="293" w:lineRule="auto"/>
        <w:rPr>
          <w:sz w:val="20"/>
          <w:szCs w:val="20"/>
          <w:color w:val="auto"/>
        </w:rPr>
      </w:pPr>
      <w:r>
        <w:rPr>
          <w:rFonts w:ascii="Arial" w:cs="Arial" w:eastAsia="Arial" w:hAnsi="Arial"/>
          <w:sz w:val="16"/>
          <w:szCs w:val="16"/>
          <w:color w:val="auto"/>
        </w:rPr>
        <w:t>On August 4, 2020, the board of directors of GasLog Partners approved and declared a distribution on the Series A Preference Units of $0.5390625 per preference unit, a distribution on the Series B Preference Units of $0.5125 per preference unit and a distribution on the Series 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93" w:name="page394"/>
    <w:bookmarkEnd w:id="393"/>
    <w:p>
      <w:pPr>
        <w:spacing w:after="0"/>
        <w:rPr>
          <w:sz w:val="20"/>
          <w:szCs w:val="20"/>
          <w:color w:val="auto"/>
        </w:rPr>
      </w:pPr>
      <w:r>
        <w:rPr>
          <w:rFonts w:ascii="Arial" w:cs="Arial" w:eastAsia="Arial" w:hAnsi="Arial"/>
          <w:sz w:val="14"/>
          <w:szCs w:val="14"/>
          <w:color w:val="auto"/>
        </w:rPr>
        <w:t>Preference Units of $0.53125 per preference unit. The cash distributions are payable on September 15, 2020 to all unitholders of record as of September 8, 2020.</w:t>
      </w:r>
    </w:p>
    <w:p>
      <w:pPr>
        <w:sectPr>
          <w:pgSz w:w="11900" w:h="16838" w:orient="portrait"/>
          <w:cols w:equalWidth="0" w:num="1">
            <w:col w:w="10440"/>
          </w:cols>
          <w:pgMar w:left="320" w:top="346" w:right="1139" w:bottom="1440" w:gutter="0" w:footer="0" w:header="0"/>
        </w:sectPr>
      </w:pPr>
    </w:p>
    <w:p>
      <w:pPr>
        <w:spacing w:after="0" w:line="25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32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440"/>
          </w:cols>
          <w:pgMar w:left="320" w:top="346" w:right="1139" w:bottom="1440" w:gutter="0" w:footer="0" w:header="0"/>
          <w:type w:val="continuous"/>
        </w:sectPr>
      </w:pPr>
    </w:p>
    <w:bookmarkStart w:id="394" w:name="page395"/>
    <w:bookmarkEnd w:id="394"/>
    <w:p>
      <w:pPr>
        <w:spacing w:after="0"/>
        <w:rPr>
          <w:sz w:val="20"/>
          <w:szCs w:val="20"/>
          <w:color w:val="auto"/>
        </w:rPr>
      </w:pPr>
      <w:r>
        <w:rPr>
          <w:rFonts w:ascii="Arial" w:cs="Arial" w:eastAsia="Arial" w:hAnsi="Arial"/>
          <w:sz w:val="16"/>
          <w:szCs w:val="16"/>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Our IFRS Common Control Reported Results are derived from the consolidated financial statements of the Partnership. The non-GAAP Partnership Performance Results presented below exclude amounts related to GAS-twelve Ltd., the owner of the </w:t>
      </w:r>
      <w:r>
        <w:rPr>
          <w:rFonts w:ascii="Arial" w:cs="Arial" w:eastAsia="Arial" w:hAnsi="Arial"/>
          <w:sz w:val="16"/>
          <w:szCs w:val="16"/>
          <w:i w:val="1"/>
          <w:iCs w:val="1"/>
          <w:color w:val="auto"/>
        </w:rPr>
        <w:t>GasLog Glasgow</w:t>
      </w:r>
      <w:r>
        <w:rPr>
          <w:rFonts w:ascii="Arial" w:cs="Arial" w:eastAsia="Arial" w:hAnsi="Arial"/>
          <w:sz w:val="16"/>
          <w:szCs w:val="16"/>
          <w:color w:val="auto"/>
        </w:rPr>
        <w:t>, for the period prior to its transfer to the Partnership on April 1, 2019. While such amounts are reflected in the Partnership’s unaudited condensed consolidated financial statements because the transfer to the Partnership was accounted for as a reorganization of entities under common control under IFRS, the aforementioned entity was not owned by the Partnership prior to its transfer on April 1, 2019, and accordingly the Partnership was not entitled to the cash or results generated in the period prior to such transfer.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92" w:lineRule="exact"/>
        <w:rPr>
          <w:sz w:val="20"/>
          <w:szCs w:val="20"/>
          <w:color w:val="auto"/>
        </w:rPr>
      </w:pPr>
    </w:p>
    <w:p>
      <w:pPr>
        <w:ind w:right="80"/>
        <w:spacing w:after="0" w:line="335" w:lineRule="auto"/>
        <w:rPr>
          <w:sz w:val="20"/>
          <w:szCs w:val="20"/>
          <w:color w:val="auto"/>
        </w:rPr>
      </w:pPr>
      <w:r>
        <w:rPr>
          <w:rFonts w:ascii="Arial" w:cs="Arial" w:eastAsia="Arial" w:hAnsi="Arial"/>
          <w:sz w:val="14"/>
          <w:szCs w:val="14"/>
          <w:color w:val="auto"/>
        </w:rPr>
        <w:t>Amounts reflected in the Partnership’s unaudited condensed consolidated financial statements for the three months ended June 30, 2020 are fully attributable to the Partnership. The Partnership Performance Results reported in the second quarter of 2020 are the same as the IFRS Common Control Reported Results for the respective period since there were no vessel acquisitions from GasLog during the quarter, which would have resulted in retrospective adjustment of the historical financial statements.</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Partnership Performance Results</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00" w:type="dxa"/>
            <w:vAlign w:val="bottom"/>
            <w:vMerge w:val="continue"/>
          </w:tcPr>
          <w:p>
            <w:pPr>
              <w:spacing w:after="0"/>
              <w:rPr>
                <w:sz w:val="17"/>
                <w:szCs w:val="17"/>
                <w:color w:val="auto"/>
              </w:rPr>
            </w:pPr>
          </w:p>
        </w:tc>
        <w:tc>
          <w:tcPr>
            <w:tcW w:w="3700" w:type="dxa"/>
            <w:vAlign w:val="bottom"/>
            <w:gridSpan w:val="4"/>
            <w:vMerge w:val="restart"/>
          </w:tcPr>
          <w:p>
            <w:pPr>
              <w:jc w:val="right"/>
              <w:ind w:right="940"/>
              <w:spacing w:after="0"/>
              <w:rPr>
                <w:sz w:val="20"/>
                <w:szCs w:val="20"/>
                <w:color w:val="auto"/>
              </w:rPr>
            </w:pPr>
            <w:r>
              <w:rPr>
                <w:rFonts w:ascii="Arial" w:cs="Arial" w:eastAsia="Arial" w:hAnsi="Arial"/>
                <w:sz w:val="16"/>
                <w:szCs w:val="16"/>
                <w:b w:val="1"/>
                <w:bCs w:val="1"/>
                <w:color w:val="auto"/>
              </w:rPr>
              <w:t>For the three months ended</w:t>
            </w:r>
          </w:p>
        </w:tc>
        <w:tc>
          <w:tcPr>
            <w:tcW w:w="3560" w:type="dxa"/>
            <w:vAlign w:val="bottom"/>
            <w:gridSpan w:val="4"/>
            <w:vMerge w:val="restart"/>
          </w:tcPr>
          <w:p>
            <w:pPr>
              <w:jc w:val="right"/>
              <w:ind w:right="85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6"/>
        </w:trPr>
        <w:tc>
          <w:tcPr>
            <w:tcW w:w="390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tc>
        <w:tc>
          <w:tcPr>
            <w:tcW w:w="3700" w:type="dxa"/>
            <w:vAlign w:val="bottom"/>
            <w:gridSpan w:val="4"/>
            <w:vMerge w:val="continue"/>
          </w:tcPr>
          <w:p>
            <w:pPr>
              <w:spacing w:after="0"/>
              <w:rPr>
                <w:sz w:val="17"/>
                <w:szCs w:val="17"/>
                <w:color w:val="auto"/>
              </w:rPr>
            </w:pPr>
          </w:p>
        </w:tc>
        <w:tc>
          <w:tcPr>
            <w:tcW w:w="35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7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 2019</w:t>
            </w:r>
          </w:p>
        </w:tc>
        <w:tc>
          <w:tcPr>
            <w:tcW w:w="19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2020</w:t>
            </w:r>
          </w:p>
        </w:tc>
        <w:tc>
          <w:tcPr>
            <w:tcW w:w="19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203"/>
        </w:trPr>
        <w:tc>
          <w:tcPr>
            <w:tcW w:w="3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84,448</w:t>
            </w:r>
          </w:p>
        </w:tc>
        <w:tc>
          <w:tcPr>
            <w:tcW w:w="16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178,130</w:t>
            </w:r>
          </w:p>
        </w:tc>
        <w:tc>
          <w:tcPr>
            <w:tcW w:w="1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175,801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Net pool allocation</w:t>
            </w:r>
          </w:p>
        </w:tc>
        <w:tc>
          <w:tcPr>
            <w:tcW w:w="1620" w:type="dxa"/>
            <w:vAlign w:val="bottom"/>
          </w:tcPr>
          <w:p>
            <w:pPr>
              <w:jc w:val="right"/>
              <w:spacing w:after="0"/>
              <w:rPr>
                <w:sz w:val="20"/>
                <w:szCs w:val="20"/>
                <w:color w:val="auto"/>
              </w:rPr>
            </w:pPr>
            <w:r>
              <w:rPr>
                <w:rFonts w:ascii="Arial" w:cs="Arial" w:eastAsia="Arial" w:hAnsi="Arial"/>
                <w:sz w:val="16"/>
                <w:szCs w:val="16"/>
                <w:color w:val="auto"/>
              </w:rPr>
              <w:t>1,024</w:t>
            </w:r>
          </w:p>
        </w:tc>
        <w:tc>
          <w:tcPr>
            <w:tcW w:w="140" w:type="dxa"/>
            <w:vAlign w:val="bottom"/>
          </w:tcPr>
          <w:p>
            <w:pPr>
              <w:spacing w:after="0"/>
              <w:rPr>
                <w:sz w:val="17"/>
                <w:szCs w:val="17"/>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1,058</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(2,037)</w:t>
            </w:r>
          </w:p>
        </w:tc>
        <w:tc>
          <w:tcPr>
            <w:tcW w:w="19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(2,782)</w:t>
            </w:r>
          </w:p>
        </w:tc>
        <w:tc>
          <w:tcPr>
            <w:tcW w:w="192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(3,779)</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(18,548)</w:t>
            </w:r>
          </w:p>
        </w:tc>
        <w:tc>
          <w:tcPr>
            <w:tcW w:w="1940" w:type="dxa"/>
            <w:vAlign w:val="bottom"/>
            <w:gridSpan w:val="2"/>
          </w:tcPr>
          <w:p>
            <w:pPr>
              <w:jc w:val="right"/>
              <w:ind w:right="80"/>
              <w:spacing w:after="0"/>
              <w:rPr>
                <w:sz w:val="20"/>
                <w:szCs w:val="20"/>
                <w:color w:val="auto"/>
              </w:rPr>
            </w:pPr>
            <w:r>
              <w:rPr>
                <w:rFonts w:ascii="Arial" w:cs="Arial" w:eastAsia="Arial" w:hAnsi="Arial"/>
                <w:sz w:val="16"/>
                <w:szCs w:val="16"/>
                <w:color w:val="auto"/>
              </w:rPr>
              <w:t>(16,895)</w:t>
            </w:r>
          </w:p>
        </w:tc>
        <w:tc>
          <w:tcPr>
            <w:tcW w:w="1920" w:type="dxa"/>
            <w:vAlign w:val="bottom"/>
            <w:gridSpan w:val="2"/>
          </w:tcPr>
          <w:p>
            <w:pPr>
              <w:jc w:val="right"/>
              <w:ind w:right="39"/>
              <w:spacing w:after="0"/>
              <w:rPr>
                <w:sz w:val="20"/>
                <w:szCs w:val="20"/>
                <w:color w:val="auto"/>
              </w:rPr>
            </w:pPr>
            <w:r>
              <w:rPr>
                <w:rFonts w:ascii="Arial" w:cs="Arial" w:eastAsia="Arial" w:hAnsi="Arial"/>
                <w:sz w:val="16"/>
                <w:szCs w:val="16"/>
                <w:color w:val="auto"/>
              </w:rPr>
              <w:t>(35,666)</w:t>
            </w:r>
          </w:p>
        </w:tc>
        <w:tc>
          <w:tcPr>
            <w:tcW w:w="1580" w:type="dxa"/>
            <w:vAlign w:val="bottom"/>
          </w:tcPr>
          <w:p>
            <w:pPr>
              <w:jc w:val="right"/>
              <w:spacing w:after="0"/>
              <w:rPr>
                <w:sz w:val="20"/>
                <w:szCs w:val="20"/>
                <w:color w:val="auto"/>
              </w:rPr>
            </w:pPr>
            <w:r>
              <w:rPr>
                <w:rFonts w:ascii="Arial" w:cs="Arial" w:eastAsia="Arial" w:hAnsi="Arial"/>
                <w:sz w:val="16"/>
                <w:szCs w:val="16"/>
                <w:color w:val="auto"/>
              </w:rPr>
              <w:t>(35,988)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(22,137)</w:t>
            </w:r>
          </w:p>
        </w:tc>
        <w:tc>
          <w:tcPr>
            <w:tcW w:w="19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(20,675)</w:t>
            </w:r>
          </w:p>
        </w:tc>
        <w:tc>
          <w:tcPr>
            <w:tcW w:w="192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(42,517)</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(41,273)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(4,741)</w:t>
            </w:r>
          </w:p>
        </w:tc>
        <w:tc>
          <w:tcPr>
            <w:tcW w:w="1940" w:type="dxa"/>
            <w:vAlign w:val="bottom"/>
            <w:gridSpan w:val="2"/>
          </w:tcPr>
          <w:p>
            <w:pPr>
              <w:jc w:val="right"/>
              <w:ind w:right="80"/>
              <w:spacing w:after="0"/>
              <w:rPr>
                <w:sz w:val="20"/>
                <w:szCs w:val="20"/>
                <w:color w:val="auto"/>
              </w:rPr>
            </w:pPr>
            <w:r>
              <w:rPr>
                <w:rFonts w:ascii="Arial" w:cs="Arial" w:eastAsia="Arial" w:hAnsi="Arial"/>
                <w:sz w:val="16"/>
                <w:szCs w:val="16"/>
                <w:color w:val="auto"/>
              </w:rPr>
              <w:t>(4,421)</w:t>
            </w:r>
          </w:p>
        </w:tc>
        <w:tc>
          <w:tcPr>
            <w:tcW w:w="1920" w:type="dxa"/>
            <w:vAlign w:val="bottom"/>
            <w:gridSpan w:val="2"/>
          </w:tcPr>
          <w:p>
            <w:pPr>
              <w:jc w:val="right"/>
              <w:ind w:right="39"/>
              <w:spacing w:after="0"/>
              <w:rPr>
                <w:sz w:val="20"/>
                <w:szCs w:val="20"/>
                <w:color w:val="auto"/>
              </w:rPr>
            </w:pPr>
            <w:r>
              <w:rPr>
                <w:rFonts w:ascii="Arial" w:cs="Arial" w:eastAsia="Arial" w:hAnsi="Arial"/>
                <w:sz w:val="16"/>
                <w:szCs w:val="16"/>
                <w:color w:val="auto"/>
              </w:rPr>
              <w:t>(9,339)</w:t>
            </w:r>
          </w:p>
        </w:tc>
        <w:tc>
          <w:tcPr>
            <w:tcW w:w="1580" w:type="dxa"/>
            <w:vAlign w:val="bottom"/>
          </w:tcPr>
          <w:p>
            <w:pPr>
              <w:jc w:val="right"/>
              <w:spacing w:after="0"/>
              <w:rPr>
                <w:sz w:val="20"/>
                <w:szCs w:val="20"/>
                <w:color w:val="auto"/>
              </w:rPr>
            </w:pPr>
            <w:r>
              <w:rPr>
                <w:rFonts w:ascii="Arial" w:cs="Arial" w:eastAsia="Arial" w:hAnsi="Arial"/>
                <w:sz w:val="16"/>
                <w:szCs w:val="16"/>
                <w:color w:val="auto"/>
              </w:rPr>
              <w:t>(8,592)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76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(18,841)</w:t>
            </w:r>
          </w:p>
        </w:tc>
        <w:tc>
          <w:tcPr>
            <w:tcW w:w="19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(18,841)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45,366</w:t>
            </w:r>
          </w:p>
        </w:tc>
        <w:tc>
          <w:tcPr>
            <w:tcW w:w="140" w:type="dxa"/>
            <w:vAlign w:val="bottom"/>
            <w:tcBorders>
              <w:bottom w:val="single" w:sz="8" w:color="E5FFFF"/>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20,834</w:t>
            </w:r>
          </w:p>
        </w:tc>
        <w:tc>
          <w:tcPr>
            <w:tcW w:w="160" w:type="dxa"/>
            <w:vAlign w:val="bottom"/>
            <w:tcBorders>
              <w:bottom w:val="single" w:sz="8" w:color="E5FFFF"/>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87,887</w:t>
            </w:r>
          </w:p>
        </w:tc>
        <w:tc>
          <w:tcPr>
            <w:tcW w:w="180" w:type="dxa"/>
            <w:vAlign w:val="bottom"/>
            <w:tcBorders>
              <w:bottom w:val="single" w:sz="8" w:color="E5FFFF"/>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64,437</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14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(13,067</w:t>
            </w:r>
          </w:p>
        </w:tc>
        <w:tc>
          <w:tcPr>
            <w:tcW w:w="160" w:type="dxa"/>
            <w:vAlign w:val="bottom"/>
            <w:shd w:val="clear" w:color="auto" w:fill="E5FFFF"/>
          </w:tcPr>
          <w:p>
            <w:pPr>
              <w:jc w:val="right"/>
              <w:ind w:right="80"/>
              <w:spacing w:after="0"/>
              <w:rPr>
                <w:sz w:val="20"/>
                <w:szCs w:val="20"/>
                <w:color w:val="auto"/>
              </w:rPr>
            </w:pPr>
            <w:r>
              <w:rPr>
                <w:rFonts w:ascii="Arial" w:cs="Arial" w:eastAsia="Arial" w:hAnsi="Arial"/>
                <w:sz w:val="8"/>
                <w:szCs w:val="8"/>
                <w:color w:val="auto"/>
                <w:w w:val="73"/>
              </w:rPr>
              <w:t>)</w:t>
            </w:r>
          </w:p>
        </w:tc>
        <w:tc>
          <w:tcPr>
            <w:tcW w:w="1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(36,386</w:t>
            </w:r>
          </w:p>
        </w:tc>
        <w:tc>
          <w:tcPr>
            <w:tcW w:w="1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w w:val="74"/>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(28,580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Financial income</w:t>
            </w:r>
          </w:p>
        </w:tc>
        <w:tc>
          <w:tcPr>
            <w:tcW w:w="1620" w:type="dxa"/>
            <w:vAlign w:val="bottom"/>
          </w:tcPr>
          <w:p>
            <w:pPr>
              <w:jc w:val="right"/>
              <w:spacing w:after="0"/>
              <w:rPr>
                <w:sz w:val="20"/>
                <w:szCs w:val="20"/>
                <w:color w:val="auto"/>
              </w:rPr>
            </w:pPr>
            <w:r>
              <w:rPr>
                <w:rFonts w:ascii="Arial" w:cs="Arial" w:eastAsia="Arial" w:hAnsi="Arial"/>
                <w:sz w:val="16"/>
                <w:szCs w:val="16"/>
                <w:color w:val="auto"/>
              </w:rPr>
              <w:t>527</w:t>
            </w:r>
          </w:p>
        </w:tc>
        <w:tc>
          <w:tcPr>
            <w:tcW w:w="140" w:type="dxa"/>
            <w:vAlign w:val="bottom"/>
          </w:tcPr>
          <w:p>
            <w:pPr>
              <w:spacing w:after="0"/>
              <w:rPr>
                <w:sz w:val="17"/>
                <w:szCs w:val="17"/>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740" w:type="dxa"/>
            <w:vAlign w:val="bottom"/>
          </w:tcPr>
          <w:p>
            <w:pPr>
              <w:jc w:val="right"/>
              <w:spacing w:after="0"/>
              <w:rPr>
                <w:sz w:val="20"/>
                <w:szCs w:val="20"/>
                <w:color w:val="auto"/>
              </w:rPr>
            </w:pPr>
            <w:r>
              <w:rPr>
                <w:rFonts w:ascii="Arial" w:cs="Arial" w:eastAsia="Arial" w:hAnsi="Arial"/>
                <w:sz w:val="16"/>
                <w:szCs w:val="16"/>
                <w:color w:val="auto"/>
              </w:rPr>
              <w:t>1,151</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7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19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369</w:t>
            </w:r>
          </w:p>
        </w:tc>
        <w:tc>
          <w:tcPr>
            <w:tcW w:w="192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(13,143)</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(13,751)</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(26,223</w:t>
            </w:r>
          </w:p>
        </w:tc>
        <w:tc>
          <w:tcPr>
            <w:tcW w:w="14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(12,621</w:t>
            </w:r>
          </w:p>
        </w:tc>
        <w:tc>
          <w:tcPr>
            <w:tcW w:w="160" w:type="dxa"/>
            <w:vAlign w:val="bottom"/>
            <w:tcBorders>
              <w:bottom w:val="single" w:sz="8" w:color="E5FFFF"/>
            </w:tcBorders>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(48,378</w:t>
            </w:r>
          </w:p>
        </w:tc>
        <w:tc>
          <w:tcPr>
            <w:tcW w:w="180" w:type="dxa"/>
            <w:vAlign w:val="bottom"/>
            <w:tcBorders>
              <w:bottom w:val="single" w:sz="8" w:color="E5FFFF"/>
            </w:tcBorders>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(42,055</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140" w:type="dxa"/>
            <w:vAlign w:val="bottom"/>
            <w:tcBorders>
              <w:bottom w:val="single" w:sz="8" w:color="E5FFFF"/>
            </w:tcBorders>
            <w:shd w:val="clear" w:color="auto" w:fill="E5FFFF"/>
          </w:tcPr>
          <w:p>
            <w:pPr>
              <w:spacing w:after="0"/>
              <w:rPr>
                <w:sz w:val="17"/>
                <w:szCs w:val="17"/>
                <w:color w:val="auto"/>
              </w:rPr>
            </w:pPr>
          </w:p>
        </w:tc>
        <w:tc>
          <w:tcPr>
            <w:tcW w:w="1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160" w:type="dxa"/>
            <w:vAlign w:val="bottom"/>
            <w:tcBorders>
              <w:bottom w:val="single" w:sz="8" w:color="E5FFFF"/>
            </w:tcBorders>
            <w:shd w:val="clear" w:color="auto" w:fill="E5FFFF"/>
          </w:tcPr>
          <w:p>
            <w:pPr>
              <w:spacing w:after="0"/>
              <w:rPr>
                <w:sz w:val="17"/>
                <w:szCs w:val="17"/>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39,509</w:t>
            </w:r>
          </w:p>
        </w:tc>
        <w:tc>
          <w:tcPr>
            <w:tcW w:w="180" w:type="dxa"/>
            <w:vAlign w:val="bottom"/>
            <w:tcBorders>
              <w:bottom w:val="single" w:sz="8" w:color="E5FFFF"/>
            </w:tcBorders>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12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5460" w:type="dxa"/>
            <w:vAlign w:val="bottom"/>
            <w:gridSpan w:val="7"/>
          </w:tcPr>
          <w:p>
            <w:pPr>
              <w:ind w:left="1260"/>
              <w:spacing w:after="0"/>
              <w:rPr>
                <w:sz w:val="20"/>
                <w:szCs w:val="20"/>
                <w:color w:val="auto"/>
              </w:rPr>
            </w:pPr>
            <w:r>
              <w:rPr>
                <w:rFonts w:ascii="Arial" w:cs="Arial" w:eastAsia="Arial" w:hAnsi="Arial"/>
                <w:sz w:val="16"/>
                <w:szCs w:val="16"/>
                <w:b w:val="1"/>
                <w:bCs w:val="1"/>
                <w:color w:val="auto"/>
              </w:rPr>
              <w:t>For the three months ended June 30, 2019</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Results attributable to</w:t>
            </w: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Partnership</w:t>
            </w:r>
          </w:p>
        </w:tc>
        <w:tc>
          <w:tcPr>
            <w:tcW w:w="16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Control Reported</w:t>
            </w:r>
          </w:p>
        </w:tc>
        <w:tc>
          <w:tcPr>
            <w:tcW w:w="0" w:type="dxa"/>
            <w:vAlign w:val="bottom"/>
          </w:tcPr>
          <w:p>
            <w:pPr>
              <w:spacing w:after="0"/>
              <w:rPr>
                <w:sz w:val="1"/>
                <w:szCs w:val="1"/>
                <w:color w:val="auto"/>
              </w:rPr>
            </w:pPr>
          </w:p>
        </w:tc>
      </w:tr>
      <w:tr>
        <w:trPr>
          <w:trHeight w:val="213"/>
        </w:trPr>
        <w:tc>
          <w:tcPr>
            <w:tcW w:w="5680" w:type="dxa"/>
            <w:vAlign w:val="bottom"/>
          </w:tcPr>
          <w:p>
            <w:pPr>
              <w:spacing w:after="0"/>
              <w:rPr>
                <w:sz w:val="18"/>
                <w:szCs w:val="18"/>
                <w:color w:val="auto"/>
              </w:rPr>
            </w:pPr>
          </w:p>
        </w:tc>
        <w:tc>
          <w:tcPr>
            <w:tcW w:w="1920" w:type="dxa"/>
            <w:vAlign w:val="bottom"/>
            <w:gridSpan w:val="2"/>
          </w:tcPr>
          <w:p>
            <w:pPr>
              <w:ind w:left="600"/>
              <w:spacing w:after="0"/>
              <w:rPr>
                <w:sz w:val="20"/>
                <w:szCs w:val="20"/>
                <w:color w:val="auto"/>
              </w:rPr>
            </w:pPr>
            <w:r>
              <w:rPr>
                <w:rFonts w:ascii="Arial" w:cs="Arial" w:eastAsia="Arial" w:hAnsi="Arial"/>
                <w:sz w:val="16"/>
                <w:szCs w:val="16"/>
                <w:b w:val="1"/>
                <w:bCs w:val="1"/>
                <w:color w:val="auto"/>
              </w:rPr>
              <w:t>GasLog</w:t>
            </w:r>
          </w:p>
        </w:tc>
        <w:tc>
          <w:tcPr>
            <w:tcW w:w="18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w w:val="97"/>
              </w:rPr>
              <w:t>Performance Results</w:t>
            </w:r>
          </w:p>
        </w:tc>
        <w:tc>
          <w:tcPr>
            <w:tcW w:w="16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Results</w:t>
            </w:r>
          </w:p>
        </w:tc>
        <w:tc>
          <w:tcPr>
            <w:tcW w:w="0" w:type="dxa"/>
            <w:vAlign w:val="bottom"/>
          </w:tcPr>
          <w:p>
            <w:pPr>
              <w:spacing w:after="0"/>
              <w:rPr>
                <w:sz w:val="1"/>
                <w:szCs w:val="1"/>
                <w:color w:val="auto"/>
              </w:rPr>
            </w:pPr>
          </w:p>
        </w:tc>
      </w:tr>
      <w:tr>
        <w:trPr>
          <w:trHeight w:val="199"/>
        </w:trPr>
        <w:tc>
          <w:tcPr>
            <w:tcW w:w="56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760" w:type="dxa"/>
            <w:vAlign w:val="bottom"/>
            <w:tcBorders>
              <w:top w:val="single" w:sz="8" w:color="auto"/>
            </w:tcBorders>
            <w:shd w:val="clear" w:color="auto" w:fill="E5FFFF"/>
          </w:tcPr>
          <w:p>
            <w:pPr>
              <w:ind w:left="160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8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Net pool allocation</w:t>
            </w: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1,024</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80" w:type="dxa"/>
            <w:vAlign w:val="bottom"/>
            <w:shd w:val="clear" w:color="auto" w:fill="E1FFFF"/>
          </w:tcPr>
          <w:p>
            <w:pPr>
              <w:spacing w:after="0"/>
              <w:rPr>
                <w:sz w:val="20"/>
                <w:szCs w:val="20"/>
                <w:color w:val="auto"/>
              </w:rPr>
            </w:pPr>
            <w:r>
              <w:rPr>
                <w:rFonts w:ascii="Arial" w:cs="Arial" w:eastAsia="Arial" w:hAnsi="Arial"/>
                <w:sz w:val="16"/>
                <w:szCs w:val="16"/>
                <w:color w:val="auto"/>
              </w:rPr>
              <w:t>Voyage expenses and commissions</w:t>
            </w:r>
          </w:p>
        </w:tc>
        <w:tc>
          <w:tcPr>
            <w:tcW w:w="1920" w:type="dxa"/>
            <w:vAlign w:val="bottom"/>
            <w:gridSpan w:val="2"/>
            <w:shd w:val="clear" w:color="auto" w:fill="E1FFFF"/>
          </w:tcPr>
          <w:p>
            <w:pPr>
              <w:ind w:left="160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1FFFF"/>
          </w:tcPr>
          <w:p>
            <w:pPr>
              <w:jc w:val="right"/>
              <w:ind w:right="39"/>
              <w:spacing w:after="0"/>
              <w:rPr>
                <w:sz w:val="20"/>
                <w:szCs w:val="20"/>
                <w:color w:val="auto"/>
              </w:rPr>
            </w:pPr>
            <w:r>
              <w:rPr>
                <w:rFonts w:ascii="Arial" w:cs="Arial" w:eastAsia="Arial" w:hAnsi="Arial"/>
                <w:sz w:val="16"/>
                <w:szCs w:val="16"/>
                <w:color w:val="auto"/>
              </w:rPr>
              <w:t>(2,037)</w:t>
            </w:r>
          </w:p>
        </w:tc>
        <w:tc>
          <w:tcPr>
            <w:tcW w:w="16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(2,037)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(18,548)</w:t>
            </w:r>
          </w:p>
        </w:tc>
        <w:tc>
          <w:tcPr>
            <w:tcW w:w="1600" w:type="dxa"/>
            <w:vAlign w:val="bottom"/>
          </w:tcPr>
          <w:p>
            <w:pPr>
              <w:jc w:val="right"/>
              <w:spacing w:after="0"/>
              <w:rPr>
                <w:sz w:val="20"/>
                <w:szCs w:val="20"/>
                <w:color w:val="auto"/>
              </w:rPr>
            </w:pPr>
            <w:r>
              <w:rPr>
                <w:rFonts w:ascii="Arial" w:cs="Arial" w:eastAsia="Arial" w:hAnsi="Arial"/>
                <w:sz w:val="16"/>
                <w:szCs w:val="16"/>
                <w:color w:val="auto"/>
              </w:rPr>
              <w:t>(18,548)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E1FFFF"/>
          </w:tcPr>
          <w:p>
            <w:pPr>
              <w:spacing w:after="0"/>
              <w:rPr>
                <w:sz w:val="20"/>
                <w:szCs w:val="20"/>
                <w:color w:val="auto"/>
              </w:rPr>
            </w:pPr>
            <w:r>
              <w:rPr>
                <w:rFonts w:ascii="Arial" w:cs="Arial" w:eastAsia="Arial" w:hAnsi="Arial"/>
                <w:sz w:val="16"/>
                <w:szCs w:val="16"/>
                <w:color w:val="auto"/>
              </w:rPr>
              <w:t>Depreciation</w:t>
            </w:r>
          </w:p>
        </w:tc>
        <w:tc>
          <w:tcPr>
            <w:tcW w:w="1920" w:type="dxa"/>
            <w:vAlign w:val="bottom"/>
            <w:gridSpan w:val="2"/>
            <w:shd w:val="clear" w:color="auto" w:fill="E1FFFF"/>
          </w:tcPr>
          <w:p>
            <w:pPr>
              <w:ind w:left="160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1FFFF"/>
          </w:tcPr>
          <w:p>
            <w:pPr>
              <w:jc w:val="right"/>
              <w:ind w:right="39"/>
              <w:spacing w:after="0"/>
              <w:rPr>
                <w:sz w:val="20"/>
                <w:szCs w:val="20"/>
                <w:color w:val="auto"/>
              </w:rPr>
            </w:pPr>
            <w:r>
              <w:rPr>
                <w:rFonts w:ascii="Arial" w:cs="Arial" w:eastAsia="Arial" w:hAnsi="Arial"/>
                <w:sz w:val="16"/>
                <w:szCs w:val="16"/>
                <w:color w:val="auto"/>
              </w:rPr>
              <w:t>(22,137)</w:t>
            </w:r>
          </w:p>
        </w:tc>
        <w:tc>
          <w:tcPr>
            <w:tcW w:w="16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(22,137)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(4,741)</w:t>
            </w:r>
          </w:p>
        </w:tc>
        <w:tc>
          <w:tcPr>
            <w:tcW w:w="1600" w:type="dxa"/>
            <w:vAlign w:val="bottom"/>
          </w:tcPr>
          <w:p>
            <w:pPr>
              <w:jc w:val="right"/>
              <w:spacing w:after="0"/>
              <w:rPr>
                <w:sz w:val="20"/>
                <w:szCs w:val="20"/>
                <w:color w:val="auto"/>
              </w:rPr>
            </w:pPr>
            <w:r>
              <w:rPr>
                <w:rFonts w:ascii="Arial" w:cs="Arial" w:eastAsia="Arial" w:hAnsi="Arial"/>
                <w:sz w:val="16"/>
                <w:szCs w:val="16"/>
                <w:color w:val="auto"/>
              </w:rPr>
              <w:t>(4,741)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top w:val="single" w:sz="8" w:color="E1FFFF"/>
            </w:tcBorders>
            <w:shd w:val="clear" w:color="auto" w:fill="E1FFFF"/>
          </w:tcPr>
          <w:p>
            <w:pPr>
              <w:spacing w:after="0"/>
              <w:rPr>
                <w:sz w:val="20"/>
                <w:szCs w:val="20"/>
                <w:color w:val="auto"/>
              </w:rPr>
            </w:pPr>
            <w:r>
              <w:rPr>
                <w:rFonts w:ascii="Arial" w:cs="Arial" w:eastAsia="Arial" w:hAnsi="Arial"/>
                <w:sz w:val="16"/>
                <w:szCs w:val="16"/>
                <w:b w:val="1"/>
                <w:bCs w:val="1"/>
                <w:color w:val="auto"/>
              </w:rPr>
              <w:t>Profit from operations</w:t>
            </w:r>
          </w:p>
        </w:tc>
        <w:tc>
          <w:tcPr>
            <w:tcW w:w="1760" w:type="dxa"/>
            <w:vAlign w:val="bottom"/>
            <w:tcBorders>
              <w:top w:val="single" w:sz="8" w:color="auto"/>
              <w:bottom w:val="single" w:sz="8" w:color="auto"/>
            </w:tcBorders>
            <w:shd w:val="clear" w:color="auto" w:fill="E1FFFF"/>
          </w:tcPr>
          <w:p>
            <w:pPr>
              <w:ind w:left="160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E1FFFF"/>
            </w:tcBorders>
            <w:shd w:val="clear" w:color="auto" w:fill="E1FFFF"/>
          </w:tcPr>
          <w:p>
            <w:pPr>
              <w:spacing w:after="0"/>
              <w:rPr>
                <w:sz w:val="17"/>
                <w:szCs w:val="17"/>
                <w:color w:val="auto"/>
              </w:rPr>
            </w:pPr>
          </w:p>
        </w:tc>
        <w:tc>
          <w:tcPr>
            <w:tcW w:w="170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45,366</w:t>
            </w:r>
          </w:p>
        </w:tc>
        <w:tc>
          <w:tcPr>
            <w:tcW w:w="180" w:type="dxa"/>
            <w:vAlign w:val="bottom"/>
            <w:tcBorders>
              <w:top w:val="single" w:sz="8" w:color="E1FFFF"/>
            </w:tcBorders>
            <w:shd w:val="clear" w:color="auto" w:fill="E1FFFF"/>
          </w:tcPr>
          <w:p>
            <w:pPr>
              <w:spacing w:after="0"/>
              <w:rPr>
                <w:sz w:val="17"/>
                <w:szCs w:val="17"/>
                <w:color w:val="auto"/>
              </w:rPr>
            </w:pPr>
          </w:p>
        </w:tc>
        <w:tc>
          <w:tcPr>
            <w:tcW w:w="160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45,366</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20"/>
                <w:szCs w:val="20"/>
                <w:color w:val="auto"/>
              </w:rPr>
            </w:pPr>
            <w:r>
              <w:rPr>
                <w:rFonts w:ascii="Arial" w:cs="Arial" w:eastAsia="Arial" w:hAnsi="Arial"/>
                <w:sz w:val="16"/>
                <w:szCs w:val="16"/>
                <w:color w:val="auto"/>
              </w:rPr>
              <w:t>Financial costs</w:t>
            </w:r>
          </w:p>
        </w:tc>
        <w:tc>
          <w:tcPr>
            <w:tcW w:w="1760" w:type="dxa"/>
            <w:vAlign w:val="bottom"/>
          </w:tcPr>
          <w:p>
            <w:pPr>
              <w:ind w:left="16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(18,484</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(18,484</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E1FFFF"/>
          </w:tcPr>
          <w:p>
            <w:pPr>
              <w:spacing w:after="0"/>
              <w:rPr>
                <w:sz w:val="20"/>
                <w:szCs w:val="20"/>
                <w:color w:val="auto"/>
              </w:rPr>
            </w:pPr>
            <w:r>
              <w:rPr>
                <w:rFonts w:ascii="Arial" w:cs="Arial" w:eastAsia="Arial" w:hAnsi="Arial"/>
                <w:sz w:val="16"/>
                <w:szCs w:val="16"/>
                <w:color w:val="auto"/>
              </w:rPr>
              <w:t>Financial income</w:t>
            </w:r>
          </w:p>
        </w:tc>
        <w:tc>
          <w:tcPr>
            <w:tcW w:w="1920" w:type="dxa"/>
            <w:vAlign w:val="bottom"/>
            <w:gridSpan w:val="2"/>
            <w:shd w:val="clear" w:color="auto" w:fill="E1FFFF"/>
          </w:tcPr>
          <w:p>
            <w:pPr>
              <w:ind w:left="16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527</w:t>
            </w:r>
          </w:p>
        </w:tc>
        <w:tc>
          <w:tcPr>
            <w:tcW w:w="180" w:type="dxa"/>
            <w:vAlign w:val="bottom"/>
            <w:shd w:val="clear" w:color="auto" w:fill="E1FFFF"/>
          </w:tcPr>
          <w:p>
            <w:pPr>
              <w:spacing w:after="0"/>
              <w:rPr>
                <w:sz w:val="17"/>
                <w:szCs w:val="17"/>
                <w:color w:val="auto"/>
              </w:rPr>
            </w:pPr>
          </w:p>
        </w:tc>
        <w:tc>
          <w:tcPr>
            <w:tcW w:w="16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Loss on derivatives</w:t>
            </w: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(8,266)</w:t>
            </w:r>
          </w:p>
        </w:tc>
        <w:tc>
          <w:tcPr>
            <w:tcW w:w="1600" w:type="dxa"/>
            <w:vAlign w:val="bottom"/>
          </w:tcPr>
          <w:p>
            <w:pPr>
              <w:jc w:val="right"/>
              <w:spacing w:after="0"/>
              <w:rPr>
                <w:sz w:val="20"/>
                <w:szCs w:val="20"/>
                <w:color w:val="auto"/>
              </w:rPr>
            </w:pPr>
            <w:r>
              <w:rPr>
                <w:rFonts w:ascii="Arial" w:cs="Arial" w:eastAsia="Arial" w:hAnsi="Arial"/>
                <w:sz w:val="16"/>
                <w:szCs w:val="16"/>
                <w:color w:val="auto"/>
              </w:rPr>
              <w:t>(8,266)</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680" w:type="dxa"/>
            <w:vAlign w:val="bottom"/>
            <w:tcBorders>
              <w:top w:val="single" w:sz="8" w:color="E1FFFF"/>
            </w:tcBorders>
            <w:shd w:val="clear" w:color="auto" w:fill="E1FFFF"/>
          </w:tcPr>
          <w:p>
            <w:pPr>
              <w:spacing w:after="0"/>
              <w:rPr>
                <w:sz w:val="20"/>
                <w:szCs w:val="20"/>
                <w:color w:val="auto"/>
              </w:rPr>
            </w:pPr>
            <w:r>
              <w:rPr>
                <w:rFonts w:ascii="Arial" w:cs="Arial" w:eastAsia="Arial" w:hAnsi="Arial"/>
                <w:sz w:val="16"/>
                <w:szCs w:val="16"/>
                <w:b w:val="1"/>
                <w:bCs w:val="1"/>
                <w:color w:val="auto"/>
              </w:rPr>
              <w:t>Total other expenses, net</w:t>
            </w:r>
          </w:p>
        </w:tc>
        <w:tc>
          <w:tcPr>
            <w:tcW w:w="1760" w:type="dxa"/>
            <w:vAlign w:val="bottom"/>
            <w:tcBorders>
              <w:top w:val="single" w:sz="8" w:color="auto"/>
              <w:bottom w:val="single" w:sz="8" w:color="auto"/>
            </w:tcBorders>
            <w:shd w:val="clear" w:color="auto" w:fill="E1FFFF"/>
          </w:tcPr>
          <w:p>
            <w:pPr>
              <w:ind w:left="160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E1FFFF"/>
            </w:tcBorders>
            <w:shd w:val="clear" w:color="auto" w:fill="E1FFFF"/>
          </w:tcPr>
          <w:p>
            <w:pPr>
              <w:spacing w:after="0"/>
              <w:rPr>
                <w:sz w:val="17"/>
                <w:szCs w:val="17"/>
                <w:color w:val="auto"/>
              </w:rPr>
            </w:pPr>
          </w:p>
        </w:tc>
        <w:tc>
          <w:tcPr>
            <w:tcW w:w="170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(26,223</w:t>
            </w:r>
          </w:p>
        </w:tc>
        <w:tc>
          <w:tcPr>
            <w:tcW w:w="180" w:type="dxa"/>
            <w:vAlign w:val="bottom"/>
            <w:tcBorders>
              <w:top w:val="single" w:sz="8" w:color="E1FFFF"/>
            </w:tcBorders>
            <w:shd w:val="clear" w:color="auto" w:fill="E1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(26,223</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7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1"/>
          </w:tcPr>
          <w:p>
            <w:pPr>
              <w:ind w:left="1220"/>
              <w:spacing w:after="0"/>
              <w:rPr>
                <w:sz w:val="20"/>
                <w:szCs w:val="20"/>
                <w:color w:val="auto"/>
              </w:rPr>
            </w:pPr>
            <w:r>
              <w:rPr>
                <w:rFonts w:ascii="Arial" w:cs="Arial" w:eastAsia="Arial" w:hAnsi="Arial"/>
                <w:sz w:val="16"/>
                <w:szCs w:val="16"/>
                <w:b w:val="1"/>
                <w:bCs w:val="1"/>
                <w:color w:val="auto"/>
              </w:rPr>
              <w:t>For the three months ended June 30, 2020</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Results attributable</w:t>
            </w:r>
          </w:p>
        </w:tc>
        <w:tc>
          <w:tcPr>
            <w:tcW w:w="40" w:type="dxa"/>
            <w:vAlign w:val="bottom"/>
          </w:tcPr>
          <w:p>
            <w:pPr>
              <w:spacing w:after="0"/>
              <w:rPr>
                <w:sz w:val="17"/>
                <w:szCs w:val="17"/>
                <w:color w:val="auto"/>
              </w:rPr>
            </w:pPr>
          </w:p>
        </w:tc>
        <w:tc>
          <w:tcPr>
            <w:tcW w:w="18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92"/>
              </w:rPr>
              <w:t>Partnership</w:t>
            </w:r>
          </w:p>
        </w:tc>
        <w:tc>
          <w:tcPr>
            <w:tcW w:w="60" w:type="dxa"/>
            <w:vAlign w:val="bottom"/>
          </w:tcPr>
          <w:p>
            <w:pPr>
              <w:spacing w:after="0"/>
              <w:rPr>
                <w:sz w:val="17"/>
                <w:szCs w:val="17"/>
                <w:color w:val="auto"/>
              </w:rPr>
            </w:pPr>
          </w:p>
        </w:tc>
        <w:tc>
          <w:tcPr>
            <w:tcW w:w="1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to GasLog</w:t>
            </w:r>
          </w:p>
        </w:tc>
        <w:tc>
          <w:tcPr>
            <w:tcW w:w="40" w:type="dxa"/>
            <w:vAlign w:val="bottom"/>
          </w:tcPr>
          <w:p>
            <w:pPr>
              <w:spacing w:after="0"/>
              <w:rPr>
                <w:sz w:val="18"/>
                <w:szCs w:val="18"/>
                <w:color w:val="auto"/>
              </w:rPr>
            </w:pPr>
          </w:p>
        </w:tc>
        <w:tc>
          <w:tcPr>
            <w:tcW w:w="18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89"/>
              </w:rPr>
              <w:t>Performance Results</w:t>
            </w:r>
          </w:p>
        </w:tc>
        <w:tc>
          <w:tcPr>
            <w:tcW w:w="60" w:type="dxa"/>
            <w:vAlign w:val="bottom"/>
          </w:tcPr>
          <w:p>
            <w:pPr>
              <w:spacing w:after="0"/>
              <w:rPr>
                <w:sz w:val="18"/>
                <w:szCs w:val="18"/>
                <w:color w:val="auto"/>
              </w:rPr>
            </w:pPr>
          </w:p>
        </w:tc>
        <w:tc>
          <w:tcPr>
            <w:tcW w:w="1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99"/>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40" w:type="dxa"/>
            <w:vAlign w:val="bottom"/>
            <w:tcBorders>
              <w:top w:val="single" w:sz="8" w:color="auto"/>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84,448</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84,448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(2,782)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40" w:type="dxa"/>
            <w:vAlign w:val="bottom"/>
            <w:shd w:val="clear" w:color="auto" w:fill="E5FFFF"/>
          </w:tcPr>
          <w:p>
            <w:pPr>
              <w:spacing w:after="0"/>
              <w:rPr>
                <w:sz w:val="17"/>
                <w:szCs w:val="17"/>
                <w:color w:val="auto"/>
              </w:rPr>
            </w:pPr>
          </w:p>
        </w:tc>
        <w:tc>
          <w:tcPr>
            <w:tcW w:w="1900" w:type="dxa"/>
            <w:vAlign w:val="bottom"/>
            <w:gridSpan w:val="3"/>
            <w:shd w:val="clear" w:color="auto" w:fill="E5FFFF"/>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(16,895)</w:t>
            </w:r>
          </w:p>
        </w:tc>
        <w:tc>
          <w:tcPr>
            <w:tcW w:w="120" w:type="dxa"/>
            <w:vAlign w:val="bottom"/>
            <w:shd w:val="clear" w:color="auto" w:fill="E5FFFF"/>
          </w:tcPr>
          <w:p>
            <w:pPr>
              <w:spacing w:after="0"/>
              <w:rPr>
                <w:sz w:val="17"/>
                <w:szCs w:val="17"/>
                <w:color w:val="auto"/>
              </w:rPr>
            </w:pPr>
          </w:p>
        </w:tc>
        <w:tc>
          <w:tcPr>
            <w:tcW w:w="16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(16,895)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6"/>
                <w:szCs w:val="16"/>
                <w:color w:val="auto"/>
              </w:rPr>
              <w:t>Depreciation</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(20,675)</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(20,675)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40" w:type="dxa"/>
            <w:vAlign w:val="bottom"/>
            <w:shd w:val="clear" w:color="auto" w:fill="E5FFFF"/>
          </w:tcPr>
          <w:p>
            <w:pPr>
              <w:spacing w:after="0"/>
              <w:rPr>
                <w:sz w:val="17"/>
                <w:szCs w:val="17"/>
                <w:color w:val="auto"/>
              </w:rPr>
            </w:pPr>
          </w:p>
        </w:tc>
        <w:tc>
          <w:tcPr>
            <w:tcW w:w="1900" w:type="dxa"/>
            <w:vAlign w:val="bottom"/>
            <w:gridSpan w:val="3"/>
            <w:shd w:val="clear" w:color="auto" w:fill="E5FFFF"/>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(4,421)</w:t>
            </w:r>
          </w:p>
        </w:tc>
        <w:tc>
          <w:tcPr>
            <w:tcW w:w="120" w:type="dxa"/>
            <w:vAlign w:val="bottom"/>
            <w:shd w:val="clear" w:color="auto" w:fill="E5FFFF"/>
          </w:tcPr>
          <w:p>
            <w:pPr>
              <w:spacing w:after="0"/>
              <w:rPr>
                <w:sz w:val="17"/>
                <w:szCs w:val="17"/>
                <w:color w:val="auto"/>
              </w:rPr>
            </w:pPr>
          </w:p>
        </w:tc>
        <w:tc>
          <w:tcPr>
            <w:tcW w:w="16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(4,421)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(18,841)</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(18,841)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20,834</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20,834</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Financial costs</w:t>
            </w:r>
          </w:p>
        </w:tc>
        <w:tc>
          <w:tcPr>
            <w:tcW w:w="40" w:type="dxa"/>
            <w:vAlign w:val="bottom"/>
          </w:tcPr>
          <w:p>
            <w:pPr>
              <w:spacing w:after="0"/>
              <w:rPr>
                <w:sz w:val="17"/>
                <w:szCs w:val="17"/>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(13,067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(13,067</w:t>
            </w: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40" w:type="dxa"/>
            <w:vAlign w:val="bottom"/>
            <w:shd w:val="clear" w:color="auto" w:fill="E5FFFF"/>
          </w:tcPr>
          <w:p>
            <w:pPr>
              <w:spacing w:after="0"/>
              <w:rPr>
                <w:sz w:val="17"/>
                <w:szCs w:val="17"/>
                <w:color w:val="auto"/>
              </w:rPr>
            </w:pPr>
          </w:p>
        </w:tc>
        <w:tc>
          <w:tcPr>
            <w:tcW w:w="1900" w:type="dxa"/>
            <w:vAlign w:val="bottom"/>
            <w:gridSpan w:val="3"/>
            <w:shd w:val="clear" w:color="auto" w:fill="E5FFFF"/>
          </w:tcPr>
          <w:p>
            <w:pPr>
              <w:ind w:left="15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77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Gain on derivatives</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(12,621</w:t>
            </w:r>
          </w:p>
        </w:tc>
        <w:tc>
          <w:tcPr>
            <w:tcW w:w="8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(12,621</w:t>
            </w: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8,213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8,213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gridSpan w:val="11"/>
          </w:tcPr>
          <w:p>
            <w:pPr>
              <w:jc w:val="center"/>
              <w:spacing w:after="0"/>
              <w:rPr>
                <w:sz w:val="20"/>
                <w:szCs w:val="20"/>
                <w:color w:val="auto"/>
              </w:rPr>
            </w:pPr>
            <w:r>
              <w:rPr>
                <w:rFonts w:ascii="Arial" w:cs="Arial" w:eastAsia="Arial" w:hAnsi="Arial"/>
                <w:sz w:val="16"/>
                <w:szCs w:val="16"/>
                <w:b w:val="1"/>
                <w:bCs w:val="1"/>
                <w:color w:val="auto"/>
                <w:w w:val="89"/>
              </w:rPr>
              <w:t>For the six months ended June 30, 2019</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Results attributable</w:t>
            </w:r>
          </w:p>
        </w:tc>
        <w:tc>
          <w:tcPr>
            <w:tcW w:w="40" w:type="dxa"/>
            <w:vAlign w:val="bottom"/>
          </w:tcPr>
          <w:p>
            <w:pPr>
              <w:spacing w:after="0"/>
              <w:rPr>
                <w:sz w:val="17"/>
                <w:szCs w:val="17"/>
                <w:color w:val="auto"/>
              </w:rPr>
            </w:pPr>
          </w:p>
        </w:tc>
        <w:tc>
          <w:tcPr>
            <w:tcW w:w="1860" w:type="dxa"/>
            <w:vAlign w:val="bottom"/>
            <w:gridSpan w:val="3"/>
            <w:vMerge w:val="restart"/>
          </w:tcPr>
          <w:p>
            <w:pPr>
              <w:jc w:val="right"/>
              <w:ind w:right="499"/>
              <w:spacing w:after="0"/>
              <w:rPr>
                <w:sz w:val="20"/>
                <w:szCs w:val="20"/>
                <w:color w:val="auto"/>
              </w:rPr>
            </w:pPr>
            <w:r>
              <w:rPr>
                <w:rFonts w:ascii="Arial" w:cs="Arial" w:eastAsia="Arial" w:hAnsi="Arial"/>
                <w:sz w:val="16"/>
                <w:szCs w:val="16"/>
                <w:b w:val="1"/>
                <w:bCs w:val="1"/>
                <w:color w:val="auto"/>
              </w:rPr>
              <w:t>Partnership</w:t>
            </w:r>
          </w:p>
        </w:tc>
        <w:tc>
          <w:tcPr>
            <w:tcW w:w="60" w:type="dxa"/>
            <w:vAlign w:val="bottom"/>
          </w:tcPr>
          <w:p>
            <w:pPr>
              <w:spacing w:after="0"/>
              <w:rPr>
                <w:sz w:val="17"/>
                <w:szCs w:val="17"/>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4"/>
        </w:trPr>
        <w:tc>
          <w:tcPr>
            <w:tcW w:w="562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40" w:type="dxa"/>
            <w:vAlign w:val="bottom"/>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5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90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rPr>
              <w:t>to GasLog</w:t>
            </w:r>
          </w:p>
        </w:tc>
        <w:tc>
          <w:tcPr>
            <w:tcW w:w="40" w:type="dxa"/>
            <w:vAlign w:val="bottom"/>
          </w:tcPr>
          <w:p>
            <w:pPr>
              <w:spacing w:after="0"/>
              <w:rPr>
                <w:sz w:val="9"/>
                <w:szCs w:val="9"/>
                <w:color w:val="auto"/>
              </w:rPr>
            </w:pPr>
          </w:p>
        </w:tc>
        <w:tc>
          <w:tcPr>
            <w:tcW w:w="1860" w:type="dxa"/>
            <w:vAlign w:val="bottom"/>
            <w:gridSpan w:val="3"/>
            <w:vMerge w:val="restart"/>
          </w:tcPr>
          <w:p>
            <w:pPr>
              <w:jc w:val="right"/>
              <w:ind w:right="179"/>
              <w:spacing w:after="0"/>
              <w:rPr>
                <w:sz w:val="20"/>
                <w:szCs w:val="20"/>
                <w:color w:val="auto"/>
              </w:rPr>
            </w:pPr>
            <w:r>
              <w:rPr>
                <w:rFonts w:ascii="Arial" w:cs="Arial" w:eastAsia="Arial" w:hAnsi="Arial"/>
                <w:sz w:val="16"/>
                <w:szCs w:val="16"/>
                <w:b w:val="1"/>
                <w:bCs w:val="1"/>
                <w:color w:val="auto"/>
                <w:w w:val="98"/>
              </w:rPr>
              <w:t>Performance Results</w:t>
            </w:r>
          </w:p>
        </w:tc>
        <w:tc>
          <w:tcPr>
            <w:tcW w:w="6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11"/>
        </w:trPr>
        <w:tc>
          <w:tcPr>
            <w:tcW w:w="5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7,560</w:t>
            </w: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178,130</w:t>
            </w:r>
          </w:p>
        </w:tc>
        <w:tc>
          <w:tcPr>
            <w:tcW w:w="1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185,690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Net pool allocation</w:t>
            </w:r>
          </w:p>
        </w:tc>
        <w:tc>
          <w:tcPr>
            <w:tcW w:w="40" w:type="dxa"/>
            <w:vAlign w:val="bottom"/>
          </w:tcPr>
          <w:p>
            <w:pPr>
              <w:spacing w:after="0"/>
              <w:rPr>
                <w:sz w:val="17"/>
                <w:szCs w:val="17"/>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1,058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940" w:type="dxa"/>
            <w:vAlign w:val="bottom"/>
            <w:gridSpan w:val="4"/>
            <w:shd w:val="clear" w:color="auto" w:fill="E5FFFF"/>
          </w:tcPr>
          <w:p>
            <w:pPr>
              <w:jc w:val="right"/>
              <w:ind w:right="40"/>
              <w:spacing w:after="0"/>
              <w:rPr>
                <w:sz w:val="20"/>
                <w:szCs w:val="20"/>
                <w:color w:val="auto"/>
              </w:rPr>
            </w:pPr>
            <w:r>
              <w:rPr>
                <w:rFonts w:ascii="Arial" w:cs="Arial" w:eastAsia="Arial" w:hAnsi="Arial"/>
                <w:sz w:val="16"/>
                <w:szCs w:val="16"/>
                <w:color w:val="auto"/>
              </w:rPr>
              <w:t>(95)</w:t>
            </w:r>
          </w:p>
        </w:tc>
        <w:tc>
          <w:tcPr>
            <w:tcW w:w="19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(3,779)</w:t>
            </w:r>
          </w:p>
        </w:tc>
        <w:tc>
          <w:tcPr>
            <w:tcW w:w="16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940" w:type="dxa"/>
            <w:vAlign w:val="bottom"/>
            <w:gridSpan w:val="4"/>
          </w:tcPr>
          <w:p>
            <w:pPr>
              <w:jc w:val="right"/>
              <w:ind w:right="40"/>
              <w:spacing w:after="0"/>
              <w:rPr>
                <w:sz w:val="20"/>
                <w:szCs w:val="20"/>
                <w:color w:val="auto"/>
              </w:rPr>
            </w:pPr>
            <w:r>
              <w:rPr>
                <w:rFonts w:ascii="Arial" w:cs="Arial" w:eastAsia="Arial" w:hAnsi="Arial"/>
                <w:sz w:val="16"/>
                <w:szCs w:val="16"/>
                <w:color w:val="auto"/>
              </w:rPr>
              <w:t>(1,513)</w:t>
            </w:r>
          </w:p>
        </w:tc>
        <w:tc>
          <w:tcPr>
            <w:tcW w:w="1900" w:type="dxa"/>
            <w:vAlign w:val="bottom"/>
            <w:gridSpan w:val="4"/>
          </w:tcPr>
          <w:p>
            <w:pPr>
              <w:jc w:val="right"/>
              <w:spacing w:after="0"/>
              <w:rPr>
                <w:sz w:val="20"/>
                <w:szCs w:val="20"/>
                <w:color w:val="auto"/>
              </w:rPr>
            </w:pPr>
            <w:r>
              <w:rPr>
                <w:rFonts w:ascii="Arial" w:cs="Arial" w:eastAsia="Arial" w:hAnsi="Arial"/>
                <w:sz w:val="16"/>
                <w:szCs w:val="16"/>
                <w:color w:val="auto"/>
              </w:rPr>
              <w:t>(35,666)</w:t>
            </w: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(37,179)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940" w:type="dxa"/>
            <w:vAlign w:val="bottom"/>
            <w:gridSpan w:val="4"/>
            <w:shd w:val="clear" w:color="auto" w:fill="E5FFFF"/>
          </w:tcPr>
          <w:p>
            <w:pPr>
              <w:jc w:val="right"/>
              <w:ind w:right="40"/>
              <w:spacing w:after="0"/>
              <w:rPr>
                <w:sz w:val="20"/>
                <w:szCs w:val="20"/>
                <w:color w:val="auto"/>
              </w:rPr>
            </w:pPr>
            <w:r>
              <w:rPr>
                <w:rFonts w:ascii="Arial" w:cs="Arial" w:eastAsia="Arial" w:hAnsi="Arial"/>
                <w:sz w:val="16"/>
                <w:szCs w:val="16"/>
                <w:color w:val="auto"/>
              </w:rPr>
              <w:t>(1,490)</w:t>
            </w:r>
          </w:p>
        </w:tc>
        <w:tc>
          <w:tcPr>
            <w:tcW w:w="19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(42,517)</w:t>
            </w:r>
          </w:p>
        </w:tc>
        <w:tc>
          <w:tcPr>
            <w:tcW w:w="16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(44,007)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40" w:type="dxa"/>
            <w:vAlign w:val="bottom"/>
            <w:gridSpan w:val="4"/>
          </w:tcPr>
          <w:p>
            <w:pPr>
              <w:jc w:val="right"/>
              <w:ind w:right="40"/>
              <w:spacing w:after="0"/>
              <w:rPr>
                <w:sz w:val="20"/>
                <w:szCs w:val="20"/>
                <w:color w:val="auto"/>
              </w:rPr>
            </w:pPr>
            <w:r>
              <w:rPr>
                <w:rFonts w:ascii="Arial" w:cs="Arial" w:eastAsia="Arial" w:hAnsi="Arial"/>
                <w:sz w:val="16"/>
                <w:szCs w:val="16"/>
                <w:color w:val="auto"/>
              </w:rPr>
              <w:t>(96)</w:t>
            </w:r>
          </w:p>
        </w:tc>
        <w:tc>
          <w:tcPr>
            <w:tcW w:w="1900" w:type="dxa"/>
            <w:vAlign w:val="bottom"/>
            <w:gridSpan w:val="4"/>
          </w:tcPr>
          <w:p>
            <w:pPr>
              <w:jc w:val="right"/>
              <w:spacing w:after="0"/>
              <w:rPr>
                <w:sz w:val="20"/>
                <w:szCs w:val="20"/>
                <w:color w:val="auto"/>
              </w:rPr>
            </w:pPr>
            <w:r>
              <w:rPr>
                <w:rFonts w:ascii="Arial" w:cs="Arial" w:eastAsia="Arial" w:hAnsi="Arial"/>
                <w:sz w:val="16"/>
                <w:szCs w:val="16"/>
                <w:color w:val="auto"/>
              </w:rPr>
              <w:t>(9,339)</w:t>
            </w: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(9,435)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4,366</w:t>
            </w: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87,887</w:t>
            </w:r>
          </w:p>
        </w:tc>
        <w:tc>
          <w:tcPr>
            <w:tcW w:w="1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92,253</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Financial costs</w:t>
            </w:r>
          </w:p>
        </w:tc>
        <w:tc>
          <w:tcPr>
            <w:tcW w:w="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(36,386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(38,116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940" w:type="dxa"/>
            <w:vAlign w:val="bottom"/>
            <w:gridSpan w:val="4"/>
            <w:shd w:val="clear" w:color="auto" w:fill="E5FFFF"/>
          </w:tcPr>
          <w:p>
            <w:pPr>
              <w:jc w:val="right"/>
              <w:ind w:right="80"/>
              <w:spacing w:after="0"/>
              <w:rPr>
                <w:sz w:val="20"/>
                <w:szCs w:val="20"/>
                <w:color w:val="auto"/>
              </w:rPr>
            </w:pPr>
            <w:r>
              <w:rPr>
                <w:rFonts w:ascii="Arial" w:cs="Arial" w:eastAsia="Arial" w:hAnsi="Arial"/>
                <w:sz w:val="16"/>
                <w:szCs w:val="16"/>
                <w:color w:val="auto"/>
              </w:rPr>
              <w:t>14</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1,151</w:t>
            </w:r>
          </w:p>
        </w:tc>
        <w:tc>
          <w:tcPr>
            <w:tcW w:w="120" w:type="dxa"/>
            <w:vAlign w:val="bottom"/>
            <w:shd w:val="clear" w:color="auto" w:fill="E5FFFF"/>
          </w:tcPr>
          <w:p>
            <w:pPr>
              <w:spacing w:after="0"/>
              <w:rPr>
                <w:sz w:val="17"/>
                <w:szCs w:val="17"/>
                <w:color w:val="auto"/>
              </w:rPr>
            </w:pPr>
          </w:p>
        </w:tc>
        <w:tc>
          <w:tcPr>
            <w:tcW w:w="16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1,165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Loss on derivatives</w:t>
            </w:r>
          </w:p>
        </w:tc>
        <w:tc>
          <w:tcPr>
            <w:tcW w:w="40" w:type="dxa"/>
            <w:vAlign w:val="bottom"/>
          </w:tcPr>
          <w:p>
            <w:pPr>
              <w:spacing w:after="0"/>
              <w:rPr>
                <w:sz w:val="17"/>
                <w:szCs w:val="17"/>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900" w:type="dxa"/>
            <w:vAlign w:val="bottom"/>
            <w:gridSpan w:val="4"/>
          </w:tcPr>
          <w:p>
            <w:pPr>
              <w:jc w:val="right"/>
              <w:spacing w:after="0"/>
              <w:rPr>
                <w:sz w:val="20"/>
                <w:szCs w:val="20"/>
                <w:color w:val="auto"/>
              </w:rPr>
            </w:pPr>
            <w:r>
              <w:rPr>
                <w:rFonts w:ascii="Arial" w:cs="Arial" w:eastAsia="Arial" w:hAnsi="Arial"/>
                <w:sz w:val="16"/>
                <w:szCs w:val="16"/>
                <w:color w:val="auto"/>
              </w:rPr>
              <w:t>(13,143)</w:t>
            </w: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(13,143)</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(1,716</w:t>
            </w:r>
          </w:p>
        </w:tc>
        <w:tc>
          <w:tcPr>
            <w:tcW w:w="120" w:type="dxa"/>
            <w:vAlign w:val="bottom"/>
            <w:tcBorders>
              <w:top w:val="single" w:sz="8" w:color="E5FFFF"/>
            </w:tcBorders>
            <w:shd w:val="clear" w:color="auto" w:fill="E5FFFF"/>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4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(48,378</w:t>
            </w:r>
          </w:p>
        </w:tc>
        <w:tc>
          <w:tcPr>
            <w:tcW w:w="12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(50,094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40" w:type="dxa"/>
            <w:vAlign w:val="bottom"/>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2,650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39,509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42,159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gridSpan w:val="11"/>
          </w:tcPr>
          <w:p>
            <w:pPr>
              <w:ind w:left="1300"/>
              <w:spacing w:after="0"/>
              <w:rPr>
                <w:sz w:val="20"/>
                <w:szCs w:val="20"/>
                <w:color w:val="auto"/>
              </w:rPr>
            </w:pPr>
            <w:r>
              <w:rPr>
                <w:rFonts w:ascii="Arial" w:cs="Arial" w:eastAsia="Arial" w:hAnsi="Arial"/>
                <w:sz w:val="16"/>
                <w:szCs w:val="16"/>
                <w:b w:val="1"/>
                <w:bCs w:val="1"/>
                <w:color w:val="auto"/>
              </w:rPr>
              <w:t>For the six months ended June 30, 2020</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Results attributable</w:t>
            </w:r>
          </w:p>
        </w:tc>
        <w:tc>
          <w:tcPr>
            <w:tcW w:w="40" w:type="dxa"/>
            <w:vAlign w:val="bottom"/>
          </w:tcPr>
          <w:p>
            <w:pPr>
              <w:spacing w:after="0"/>
              <w:rPr>
                <w:sz w:val="17"/>
                <w:szCs w:val="17"/>
                <w:color w:val="auto"/>
              </w:rPr>
            </w:pPr>
          </w:p>
        </w:tc>
        <w:tc>
          <w:tcPr>
            <w:tcW w:w="18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92"/>
              </w:rPr>
              <w:t>Partnership</w:t>
            </w:r>
          </w:p>
        </w:tc>
        <w:tc>
          <w:tcPr>
            <w:tcW w:w="60" w:type="dxa"/>
            <w:vAlign w:val="bottom"/>
          </w:tcPr>
          <w:p>
            <w:pPr>
              <w:spacing w:after="0"/>
              <w:rPr>
                <w:sz w:val="17"/>
                <w:szCs w:val="17"/>
                <w:color w:val="auto"/>
              </w:rPr>
            </w:pPr>
          </w:p>
        </w:tc>
        <w:tc>
          <w:tcPr>
            <w:tcW w:w="1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to GasLog</w:t>
            </w:r>
          </w:p>
        </w:tc>
        <w:tc>
          <w:tcPr>
            <w:tcW w:w="40" w:type="dxa"/>
            <w:vAlign w:val="bottom"/>
          </w:tcPr>
          <w:p>
            <w:pPr>
              <w:spacing w:after="0"/>
              <w:rPr>
                <w:sz w:val="18"/>
                <w:szCs w:val="18"/>
                <w:color w:val="auto"/>
              </w:rPr>
            </w:pPr>
          </w:p>
        </w:tc>
        <w:tc>
          <w:tcPr>
            <w:tcW w:w="18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89"/>
              </w:rPr>
              <w:t>Performance Results</w:t>
            </w:r>
          </w:p>
        </w:tc>
        <w:tc>
          <w:tcPr>
            <w:tcW w:w="60" w:type="dxa"/>
            <w:vAlign w:val="bottom"/>
          </w:tcPr>
          <w:p>
            <w:pPr>
              <w:spacing w:after="0"/>
              <w:rPr>
                <w:sz w:val="18"/>
                <w:szCs w:val="18"/>
                <w:color w:val="auto"/>
              </w:rPr>
            </w:pPr>
          </w:p>
        </w:tc>
        <w:tc>
          <w:tcPr>
            <w:tcW w:w="16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99"/>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40" w:type="dxa"/>
            <w:vAlign w:val="bottom"/>
            <w:tcBorders>
              <w:top w:val="single" w:sz="8" w:color="auto"/>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c>
          <w:tcPr>
            <w:tcW w:w="200" w:type="dxa"/>
            <w:vAlign w:val="bottom"/>
            <w:tcBorders>
              <w:top w:val="single" w:sz="8" w:color="E5FFFF"/>
            </w:tcBorders>
            <w:gridSpan w:val="2"/>
            <w:shd w:val="clear" w:color="auto" w:fill="E5FFFF"/>
          </w:tcPr>
          <w:p>
            <w:pPr>
              <w:spacing w:after="0"/>
              <w:rPr>
                <w:sz w:val="17"/>
                <w:szCs w:val="17"/>
                <w:color w:val="auto"/>
              </w:rPr>
            </w:pPr>
          </w:p>
        </w:tc>
        <w:tc>
          <w:tcPr>
            <w:tcW w:w="17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175,801</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175,801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(6,670)</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(6,670)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40" w:type="dxa"/>
            <w:vAlign w:val="bottom"/>
            <w:shd w:val="clear" w:color="auto" w:fill="E5FFFF"/>
          </w:tcPr>
          <w:p>
            <w:pPr>
              <w:spacing w:after="0"/>
              <w:rPr>
                <w:sz w:val="17"/>
                <w:szCs w:val="17"/>
                <w:color w:val="auto"/>
              </w:rPr>
            </w:pPr>
          </w:p>
        </w:tc>
        <w:tc>
          <w:tcPr>
            <w:tcW w:w="1900" w:type="dxa"/>
            <w:vAlign w:val="bottom"/>
            <w:gridSpan w:val="3"/>
            <w:shd w:val="clear" w:color="auto" w:fill="E5FFFF"/>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(35,988)</w:t>
            </w:r>
          </w:p>
        </w:tc>
        <w:tc>
          <w:tcPr>
            <w:tcW w:w="120" w:type="dxa"/>
            <w:vAlign w:val="bottom"/>
            <w:shd w:val="clear" w:color="auto" w:fill="E5FFFF"/>
          </w:tcPr>
          <w:p>
            <w:pPr>
              <w:spacing w:after="0"/>
              <w:rPr>
                <w:sz w:val="17"/>
                <w:szCs w:val="17"/>
                <w:color w:val="auto"/>
              </w:rPr>
            </w:pPr>
          </w:p>
        </w:tc>
        <w:tc>
          <w:tcPr>
            <w:tcW w:w="16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(35,988)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Depreciation</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(41,273)</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(41,273)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40" w:type="dxa"/>
            <w:vAlign w:val="bottom"/>
            <w:shd w:val="clear" w:color="auto" w:fill="E5FFFF"/>
          </w:tcPr>
          <w:p>
            <w:pPr>
              <w:spacing w:after="0"/>
              <w:rPr>
                <w:sz w:val="17"/>
                <w:szCs w:val="17"/>
                <w:color w:val="auto"/>
              </w:rPr>
            </w:pPr>
          </w:p>
        </w:tc>
        <w:tc>
          <w:tcPr>
            <w:tcW w:w="1900" w:type="dxa"/>
            <w:vAlign w:val="bottom"/>
            <w:gridSpan w:val="3"/>
            <w:shd w:val="clear" w:color="auto" w:fill="E5FFFF"/>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(8,592)</w:t>
            </w:r>
          </w:p>
        </w:tc>
        <w:tc>
          <w:tcPr>
            <w:tcW w:w="120" w:type="dxa"/>
            <w:vAlign w:val="bottom"/>
            <w:shd w:val="clear" w:color="auto" w:fill="E5FFFF"/>
          </w:tcPr>
          <w:p>
            <w:pPr>
              <w:spacing w:after="0"/>
              <w:rPr>
                <w:sz w:val="17"/>
                <w:szCs w:val="17"/>
                <w:color w:val="auto"/>
              </w:rPr>
            </w:pPr>
          </w:p>
        </w:tc>
        <w:tc>
          <w:tcPr>
            <w:tcW w:w="16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(8,592)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(18,841)</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(18,841)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c>
          <w:tcPr>
            <w:tcW w:w="200" w:type="dxa"/>
            <w:vAlign w:val="bottom"/>
            <w:tcBorders>
              <w:top w:val="single" w:sz="8" w:color="E5FFFF"/>
            </w:tcBorders>
            <w:gridSpan w:val="2"/>
            <w:shd w:val="clear" w:color="auto" w:fill="E5FFFF"/>
          </w:tcPr>
          <w:p>
            <w:pPr>
              <w:spacing w:after="0"/>
              <w:rPr>
                <w:sz w:val="17"/>
                <w:szCs w:val="17"/>
                <w:color w:val="auto"/>
              </w:rPr>
            </w:pPr>
          </w:p>
        </w:tc>
        <w:tc>
          <w:tcPr>
            <w:tcW w:w="1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64,437</w:t>
            </w: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64,437</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Financial costs</w:t>
            </w:r>
          </w:p>
        </w:tc>
        <w:tc>
          <w:tcPr>
            <w:tcW w:w="40" w:type="dxa"/>
            <w:vAlign w:val="bottom"/>
          </w:tcPr>
          <w:p>
            <w:pPr>
              <w:spacing w:after="0"/>
              <w:rPr>
                <w:sz w:val="17"/>
                <w:szCs w:val="17"/>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w w:val="87"/>
              </w:rPr>
              <w:t>—</w:t>
            </w:r>
          </w:p>
        </w:tc>
        <w:tc>
          <w:tcPr>
            <w:tcW w:w="200" w:type="dxa"/>
            <w:vAlign w:val="bottom"/>
            <w:gridSpan w:val="2"/>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(28,580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(28,580</w:t>
            </w: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40" w:type="dxa"/>
            <w:vAlign w:val="bottom"/>
            <w:shd w:val="clear" w:color="auto" w:fill="E5FFFF"/>
          </w:tcPr>
          <w:p>
            <w:pPr>
              <w:spacing w:after="0"/>
              <w:rPr>
                <w:sz w:val="17"/>
                <w:szCs w:val="17"/>
                <w:color w:val="auto"/>
              </w:rPr>
            </w:pPr>
          </w:p>
        </w:tc>
        <w:tc>
          <w:tcPr>
            <w:tcW w:w="1900" w:type="dxa"/>
            <w:vAlign w:val="bottom"/>
            <w:gridSpan w:val="3"/>
            <w:shd w:val="clear" w:color="auto" w:fill="E5FFFF"/>
          </w:tcPr>
          <w:p>
            <w:pPr>
              <w:ind w:left="15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Loss on derivatives</w:t>
            </w:r>
          </w:p>
        </w:tc>
        <w:tc>
          <w:tcPr>
            <w:tcW w:w="40" w:type="dxa"/>
            <w:vAlign w:val="bottom"/>
          </w:tcPr>
          <w:p>
            <w:pPr>
              <w:spacing w:after="0"/>
              <w:rPr>
                <w:sz w:val="17"/>
                <w:szCs w:val="17"/>
                <w:color w:val="auto"/>
              </w:rPr>
            </w:pPr>
          </w:p>
        </w:tc>
        <w:tc>
          <w:tcPr>
            <w:tcW w:w="1900" w:type="dxa"/>
            <w:vAlign w:val="bottom"/>
            <w:gridSpan w:val="3"/>
          </w:tcPr>
          <w:p>
            <w:pPr>
              <w:ind w:left="1540"/>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(13,751)</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(13,751)</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c>
          <w:tcPr>
            <w:tcW w:w="200" w:type="dxa"/>
            <w:vAlign w:val="bottom"/>
            <w:tcBorders>
              <w:top w:val="single" w:sz="8" w:color="E5FFFF"/>
            </w:tcBorders>
            <w:gridSpan w:val="2"/>
            <w:shd w:val="clear" w:color="auto" w:fill="E5FFFF"/>
          </w:tcPr>
          <w:p>
            <w:pPr>
              <w:spacing w:after="0"/>
              <w:rPr>
                <w:sz w:val="17"/>
                <w:szCs w:val="17"/>
                <w:color w:val="auto"/>
              </w:rPr>
            </w:pPr>
          </w:p>
        </w:tc>
        <w:tc>
          <w:tcPr>
            <w:tcW w:w="1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(42,055</w:t>
            </w:r>
          </w:p>
        </w:tc>
        <w:tc>
          <w:tcPr>
            <w:tcW w:w="8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(42,055</w:t>
            </w: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w w:val="87"/>
              </w:rPr>
              <w:t>—</w:t>
            </w:r>
          </w:p>
        </w:tc>
        <w:tc>
          <w:tcPr>
            <w:tcW w:w="200" w:type="dxa"/>
            <w:vAlign w:val="bottom"/>
            <w:gridSpan w:val="2"/>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22,382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22,382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4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E344B5"/>
    <w:multiLevelType w:val="hybridMultilevel"/>
    <w:lvl w:ilvl="0">
      <w:lvlJc w:val="left"/>
      <w:lvlText w:val="*"/>
      <w:numFmt w:val="bullet"/>
      <w:start w:val="1"/>
    </w:lvl>
  </w:abstractNum>
  <w:abstractNum w:abstractNumId="1">
    <w:nsid w:val="29B0E9A8"/>
    <w:multiLevelType w:val="hybridMultilevel"/>
    <w:lvl w:ilvl="0">
      <w:lvlJc w:val="left"/>
      <w:lvlText w:val="(%1)"/>
      <w:numFmt w:val="decimal"/>
      <w:start w:val="1"/>
    </w:lvl>
  </w:abstractNum>
  <w:abstractNum w:abstractNumId="2">
    <w:nsid w:val="6F49CD8A"/>
    <w:multiLevelType w:val="hybridMultilevel"/>
    <w:lvl w:ilvl="0">
      <w:lvlJc w:val="left"/>
      <w:lvlText w:val="1"/>
      <w:numFmt w:val="bullet"/>
      <w:start w:val="1"/>
    </w:lvl>
  </w:abstractNum>
  <w:abstractNum w:abstractNumId="3">
    <w:nsid w:val="4DC5D907"/>
    <w:multiLevelType w:val="hybridMultilevel"/>
    <w:lvl w:ilvl="0">
      <w:lvlJc w:val="left"/>
      <w:lvlText w:val="(%1)"/>
      <w:numFmt w:val="lowerLetter"/>
      <w:start w:val="1"/>
    </w:lvl>
  </w:abstractNum>
  <w:abstractNum w:abstractNumId="4">
    <w:nsid w:val="D55945E"/>
    <w:multiLevelType w:val="hybridMultilevel"/>
    <w:lvl w:ilvl="0">
      <w:lvlJc w:val="left"/>
      <w:lvlText w:val="(%1)"/>
      <w:numFmt w:val="lowerLetter"/>
      <w:start w:val="1"/>
    </w:lvl>
  </w:abstractNum>
  <w:abstractNum w:abstractNumId="5">
    <w:nsid w:val="672417E1"/>
    <w:multiLevelType w:val="hybridMultilevel"/>
    <w:lvl w:ilvl="0">
      <w:lvlJc w:val="left"/>
      <w:lvlText w:val="(%1)"/>
      <w:numFmt w:val="lowerLetter"/>
      <w:start w:val="1"/>
    </w:lvl>
  </w:abstractNum>
  <w:abstractNum w:abstractNumId="6">
    <w:nsid w:val="5FF6CA09"/>
    <w:multiLevelType w:val="hybridMultilevel"/>
    <w:lvl w:ilvl="0">
      <w:lvlJc w:val="left"/>
      <w:lvlText w:val="(%1)"/>
      <w:numFmt w:val="lowerLetter"/>
      <w:start w:val="1"/>
    </w:lvl>
  </w:abstractNum>
  <w:abstractNum w:abstractNumId="7">
    <w:nsid w:val="330B1333"/>
    <w:multiLevelType w:val="hybridMultilevel"/>
    <w:lvl w:ilvl="0">
      <w:lvlJc w:val="left"/>
      <w:lvlText w:val="(%1)"/>
      <w:numFmt w:val="lowerLetter"/>
      <w:start w:val="1"/>
    </w:lvl>
  </w:abstractNum>
  <w:abstractNum w:abstractNumId="8">
    <w:nsid w:val="2EF32EA6"/>
    <w:multiLevelType w:val="hybridMultilevel"/>
    <w:lvl w:ilvl="0">
      <w:lvlJc w:val="left"/>
      <w:lvlText w:val="(%1)"/>
      <w:numFmt w:val="lowerLetter"/>
      <w:start w:val="1"/>
    </w:lvl>
  </w:abstractNum>
  <w:abstractNum w:abstractNumId="9">
    <w:nsid w:val="32766A55"/>
    <w:multiLevelType w:val="hybridMultilevel"/>
    <w:lvl w:ilvl="0">
      <w:lvlJc w:val="left"/>
      <w:lvlText w:val="(%1)"/>
      <w:numFmt w:val="lowerLetter"/>
      <w:start w:val="2"/>
    </w:lvl>
  </w:abstractNum>
  <w:abstractNum w:abstractNumId="10">
    <w:nsid w:val="22D71957"/>
    <w:multiLevelType w:val="hybridMultilevel"/>
    <w:lvl w:ilvl="0">
      <w:lvlJc w:val="left"/>
      <w:lvlText w:val="(%1)"/>
      <w:numFmt w:val="lowerLetter"/>
      <w:start w:val="1"/>
    </w:lvl>
  </w:abstractNum>
  <w:abstractNum w:abstractNumId="11">
    <w:nsid w:val="4CC1263B"/>
    <w:multiLevelType w:val="hybridMultilevel"/>
    <w:lvl w:ilvl="0">
      <w:lvlJc w:val="left"/>
      <w:lvlText w:val="(%1)"/>
      <w:numFmt w:val="lowerLetter"/>
      <w:start w:val="1"/>
    </w:lvl>
  </w:abstractNum>
  <w:abstractNum w:abstractNumId="12">
    <w:nsid w:val="8BBEB1D"/>
    <w:multiLevelType w:val="hybridMultilevel"/>
    <w:lvl w:ilvl="0">
      <w:lvlJc w:val="left"/>
      <w:lvlText w:val="(%1)"/>
      <w:numFmt w:val="lowerLetter"/>
      <w:start w:val="1"/>
    </w:lvl>
  </w:abstractNum>
  <w:abstractNum w:abstractNumId="13">
    <w:nsid w:val="7365F1EE"/>
    <w:multiLevelType w:val="hybridMultilevel"/>
    <w:lvl w:ilvl="0">
      <w:lvlJc w:val="left"/>
      <w:lvlText w:val="(%1)"/>
      <w:numFmt w:val="lowerRoman"/>
      <w:start w:val="1"/>
    </w:lvl>
    <w:lvl w:ilvl="1">
      <w:lvlJc w:val="left"/>
      <w:lvlText w:val="(%2)"/>
      <w:numFmt w:val="lowerLetter"/>
      <w:start w:val="2"/>
    </w:lvl>
  </w:abstractNum>
  <w:abstractNum w:abstractNumId="14">
    <w:nsid w:val="37524CF0"/>
    <w:multiLevelType w:val="hybridMultilevel"/>
    <w:lvl w:ilvl="0">
      <w:lvlJc w:val="left"/>
      <w:lvlText w:val="(%1)"/>
      <w:numFmt w:val="lowerLetter"/>
      <w:start w:val="1"/>
    </w:lvl>
  </w:abstractNum>
  <w:abstractNum w:abstractNumId="15">
    <w:nsid w:val="70CC3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
    <w:nsid w:val="5661786E"/>
    <w:multiLevelType w:val="hybridMultilevel"/>
    <w:lvl w:ilvl="0">
      <w:lvlJc w:val="left"/>
      <w:lvlText w:val="(%1)"/>
      <w:numFmt w:val="lowerRoman"/>
      <w:start w:val="2"/>
    </w:lvl>
  </w:abstractNum>
  <w:abstractNum w:abstractNumId="17">
    <w:nsid w:val="3AF6A220"/>
    <w:multiLevelType w:val="hybridMultilevel"/>
    <w:lvl w:ilvl="0">
      <w:lvlJc w:val="left"/>
      <w:lvlText w:val="(%1)"/>
      <w:numFmt w:val="lowerLetter"/>
      <w:start w:val="1"/>
    </w:lvl>
  </w:abstractNum>
  <w:abstractNum w:abstractNumId="18">
    <w:nsid w:val="3C5EA902"/>
    <w:multiLevelType w:val="hybridMultilevel"/>
    <w:lvl w:ilvl="0">
      <w:lvlJc w:val="left"/>
      <w:lvlText w:val="(%1)"/>
      <w:numFmt w:val="lowerLetter"/>
      <w:start w:val="1"/>
    </w:lvl>
  </w:abstractNum>
  <w:abstractNum w:abstractNumId="19">
    <w:nsid w:val="256E6749"/>
    <w:multiLevelType w:val="hybridMultilevel"/>
    <w:lvl w:ilvl="0">
      <w:lvlJc w:val="left"/>
      <w:lvlText w:val="(%1)"/>
      <w:numFmt w:val="lowerLetter"/>
      <w:start w:val="1"/>
    </w:lvl>
  </w:abstractNum>
  <w:abstractNum w:abstractNumId="20">
    <w:nsid w:val="1CB9A581"/>
    <w:multiLevelType w:val="hybridMultilevel"/>
    <w:lvl w:ilvl="0">
      <w:lvlJc w:val="left"/>
      <w:lvlText w:val="(%1)"/>
      <w:numFmt w:val="lowerLetter"/>
      <w:start w:val="1"/>
    </w:lvl>
  </w:abstractNum>
  <w:abstractNum w:abstractNumId="21">
    <w:nsid w:val="1F7F42E2"/>
    <w:multiLevelType w:val="hybridMultilevel"/>
    <w:lvl w:ilvl="0">
      <w:lvlJc w:val="left"/>
      <w:lvlText w:val="(%1)"/>
      <w:numFmt w:val="lowerLetter"/>
      <w:start w:val="1"/>
    </w:lvl>
  </w:abstractNum>
  <w:abstractNum w:abstractNumId="22">
    <w:nsid w:val="49D1FEA0"/>
    <w:multiLevelType w:val="hybridMultilevel"/>
    <w:lvl w:ilvl="0">
      <w:lvlJc w:val="left"/>
      <w:lvlText w:val="(%1)"/>
      <w:numFmt w:val="lowerLetter"/>
      <w:start w:val="1"/>
    </w:lvl>
  </w:abstractNum>
  <w:abstractNum w:abstractNumId="23">
    <w:nsid w:val="268CB37F"/>
    <w:multiLevelType w:val="hybridMultilevel"/>
    <w:lvl w:ilvl="0">
      <w:lvlJc w:val="left"/>
      <w:lvlText w:val="(%1)"/>
      <w:numFmt w:val="lowerLetter"/>
      <w:start w:val="1"/>
    </w:lvl>
  </w:abstractNum>
  <w:abstractNum w:abstractNumId="24">
    <w:nsid w:val="102362F8"/>
    <w:multiLevelType w:val="hybridMultilevel"/>
    <w:lvl w:ilvl="0">
      <w:lvlJc w:val="left"/>
      <w:lvlText w:val="(%1)"/>
      <w:numFmt w:val="lowerLetter"/>
      <w:start w:val="7"/>
    </w:lvl>
  </w:abstractNum>
  <w:abstractNum w:abstractNumId="25">
    <w:nsid w:val="5FEDC0E3"/>
    <w:multiLevelType w:val="hybridMultilevel"/>
    <w:lvl w:ilvl="0">
      <w:lvlJc w:val="left"/>
      <w:lvlText w:val="(%1)"/>
      <w:numFmt w:val="lowerLetter"/>
      <w:start w:val="1"/>
    </w:lvl>
  </w:abstractNum>
  <w:abstractNum w:abstractNumId="26">
    <w:nsid w:val="3D75BC47"/>
    <w:multiLevelType w:val="hybridMultilevel"/>
    <w:lvl w:ilvl="0">
      <w:lvlJc w:val="left"/>
      <w:lvlText w:val="(%1)"/>
      <w:numFmt w:val="lowerRoman"/>
      <w:start w:val="1"/>
    </w:lvl>
    <w:lvl w:ilvl="1">
      <w:lvlJc w:val="left"/>
      <w:lvlText w:val="(%2)"/>
      <w:numFmt w:val="upperLetter"/>
      <w:start w:val="1"/>
    </w:lvl>
  </w:abstractNum>
  <w:abstractNum w:abstractNumId="27">
    <w:nsid w:val="3E30D969"/>
    <w:multiLevelType w:val="hybridMultilevel"/>
    <w:lvl w:ilvl="0">
      <w:lvlJc w:val="left"/>
      <w:lvlText w:val="(%1)"/>
      <w:numFmt w:val="lowerRoman"/>
      <w:start w:val="2"/>
    </w:lvl>
  </w:abstractNum>
  <w:abstractNum w:abstractNumId="28">
    <w:nsid w:val="18A35FE3"/>
    <w:multiLevelType w:val="hybridMultilevel"/>
    <w:lvl w:ilvl="0">
      <w:lvlJc w:val="left"/>
      <w:lvlText w:val="(%1)"/>
      <w:numFmt w:val="lowerLetter"/>
      <w:start w:val="1"/>
    </w:lvl>
  </w:abstractNum>
  <w:abstractNum w:abstractNumId="29">
    <w:nsid w:val="6DEF5211"/>
    <w:multiLevelType w:val="hybridMultilevel"/>
    <w:lvl w:ilvl="0">
      <w:lvlJc w:val="left"/>
      <w:lvlText w:val="(%1)"/>
      <w:numFmt w:val="lowerLetter"/>
      <w:start w:val="1"/>
    </w:lvl>
  </w:abstractNum>
  <w:abstractNum w:abstractNumId="30">
    <w:nsid w:val="1112DBB6"/>
    <w:multiLevelType w:val="hybridMultilevel"/>
    <w:lvl w:ilvl="0">
      <w:lvlJc w:val="left"/>
      <w:lvlText w:val="(%1)"/>
      <w:numFmt w:val="lowerLetter"/>
      <w:start w:val="4"/>
    </w:lvl>
    <w:lvl w:ilvl="1">
      <w:lvlJc w:val="left"/>
      <w:lvlText w:val="(%2)"/>
      <w:numFmt w:val="lowerRoman"/>
      <w:start w:val="1"/>
    </w:lvl>
  </w:abstractNum>
  <w:abstractNum w:abstractNumId="31">
    <w:nsid w:val="2586A498"/>
    <w:multiLevelType w:val="hybridMultilevel"/>
    <w:lvl w:ilvl="0">
      <w:lvlJc w:val="left"/>
      <w:lvlText w:val="(%1)"/>
      <w:numFmt w:val="lowerLetter"/>
      <w:start w:val="1"/>
    </w:lvl>
  </w:abstractNum>
  <w:abstractNum w:abstractNumId="32">
    <w:nsid w:val="17A03BB9"/>
    <w:multiLevelType w:val="hybridMultilevel"/>
    <w:lvl w:ilvl="0">
      <w:lvlJc w:val="left"/>
      <w:lvlText w:val="(%1)"/>
      <w:numFmt w:val="lowerLetter"/>
      <w:start w:val="1"/>
    </w:lvl>
  </w:abstractNum>
  <w:abstractNum w:abstractNumId="33">
    <w:nsid w:val="5CA941"/>
    <w:multiLevelType w:val="hybridMultilevel"/>
    <w:lvl w:ilvl="0">
      <w:lvlJc w:val="left"/>
      <w:lvlText w:val="(%1)"/>
      <w:numFmt w:val="lowerLetter"/>
      <w:start w:val="1"/>
    </w:lvl>
  </w:abstractNum>
  <w:abstractNum w:abstractNumId="34">
    <w:nsid w:val="734C7D9F"/>
    <w:multiLevelType w:val="hybridMultilevel"/>
    <w:lvl w:ilvl="0">
      <w:lvlJc w:val="left"/>
      <w:lvlText w:val="(%1)"/>
      <w:numFmt w:val="lowerLetter"/>
      <w:start w:val="1"/>
    </w:lvl>
  </w:abstractNum>
  <w:abstractNum w:abstractNumId="35">
    <w:nsid w:val="24F5D018"/>
    <w:multiLevelType w:val="hybridMultilevel"/>
    <w:lvl w:ilvl="0">
      <w:lvlJc w:val="left"/>
      <w:lvlText w:val="(%1)"/>
      <w:numFmt w:val="lowerLetter"/>
      <w:start w:val="1"/>
    </w:lvl>
  </w:abstractNum>
  <w:abstractNum w:abstractNumId="36">
    <w:nsid w:val="6780C122"/>
    <w:multiLevelType w:val="hybridMultilevel"/>
    <w:lvl w:ilvl="0">
      <w:lvlJc w:val="left"/>
      <w:lvlText w:val="(%1)"/>
      <w:numFmt w:val="lowerLetter"/>
      <w:start w:val="1"/>
    </w:lvl>
  </w:abstractNum>
  <w:abstractNum w:abstractNumId="37">
    <w:nsid w:val="534347A8"/>
    <w:multiLevelType w:val="hybridMultilevel"/>
    <w:lvl w:ilvl="0">
      <w:lvlJc w:val="left"/>
      <w:lvlText w:val="(%1)"/>
      <w:numFmt w:val="lowerLetter"/>
      <w:start w:val="1"/>
    </w:lvl>
  </w:abstractNum>
  <w:abstractNum w:abstractNumId="38">
    <w:nsid w:val="5800E34B"/>
    <w:multiLevelType w:val="hybridMultilevel"/>
    <w:lvl w:ilvl="0">
      <w:lvlJc w:val="left"/>
      <w:lvlText w:val="(%1)"/>
      <w:numFmt w:val="lowerLetter"/>
      <w:start w:val="1"/>
    </w:lvl>
  </w:abstractNum>
  <w:abstractNum w:abstractNumId="39">
    <w:nsid w:val="1673EFC8"/>
    <w:multiLevelType w:val="hybridMultilevel"/>
    <w:lvl w:ilvl="0">
      <w:lvlJc w:val="left"/>
      <w:lvlText w:val="(%1)"/>
      <w:numFmt w:val="lowerLetter"/>
      <w:start w:val="1"/>
    </w:lvl>
  </w:abstractNum>
  <w:abstractNum w:abstractNumId="40">
    <w:nsid w:val="5B9B1FD"/>
    <w:multiLevelType w:val="hybridMultilevel"/>
    <w:lvl w:ilvl="0">
      <w:lvlJc w:val="left"/>
      <w:lvlText w:val="(%1)"/>
      <w:numFmt w:val="lowerLetter"/>
      <w:start w:val="1"/>
    </w:lvl>
  </w:abstractNum>
  <w:abstractNum w:abstractNumId="41">
    <w:nsid w:val="7AD7FCA2"/>
    <w:multiLevelType w:val="hybridMultilevel"/>
    <w:lvl w:ilvl="0">
      <w:lvlJc w:val="left"/>
      <w:lvlText w:val="(%1)"/>
      <w:numFmt w:val="lowerLetter"/>
      <w:start w:val="1"/>
    </w:lvl>
    <w:lvl w:ilvl="1">
      <w:lvlJc w:val="left"/>
      <w:lvlText w:val="(%2)"/>
      <w:numFmt w:val="lowerRoman"/>
      <w:start w:val="1"/>
    </w:lvl>
  </w:abstractNum>
  <w:abstractNum w:abstractNumId="42">
    <w:nsid w:val="63351604"/>
    <w:multiLevelType w:val="hybridMultilevel"/>
    <w:lvl w:ilvl="0">
      <w:lvlJc w:val="left"/>
      <w:lvlText w:val="(%1)"/>
      <w:numFmt w:val="lowerLetter"/>
      <w:start w:val="1"/>
    </w:lvl>
  </w:abstractNum>
  <w:abstractNum w:abstractNumId="43">
    <w:nsid w:val="E759D1A"/>
    <w:multiLevelType w:val="hybridMultilevel"/>
    <w:lvl w:ilvl="0">
      <w:lvlJc w:val="left"/>
      <w:lvlText w:val="(%1)"/>
      <w:numFmt w:val="lowerLetter"/>
      <w:start w:val="1"/>
    </w:lvl>
  </w:abstractNum>
  <w:abstractNum w:abstractNumId="44">
    <w:nsid w:val="6E3DEE90"/>
    <w:multiLevelType w:val="hybridMultilevel"/>
    <w:lvl w:ilvl="0">
      <w:lvlJc w:val="left"/>
      <w:lvlText w:val="(%1)"/>
      <w:numFmt w:val="lowerLetter"/>
      <w:start w:val="1"/>
    </w:lvl>
  </w:abstractNum>
  <w:abstractNum w:abstractNumId="45">
    <w:nsid w:val="1A8762F4"/>
    <w:multiLevelType w:val="hybridMultilevel"/>
    <w:lvl w:ilvl="0">
      <w:lvlJc w:val="left"/>
      <w:lvlText w:val="(%1)"/>
      <w:numFmt w:val="lowerLetter"/>
      <w:start w:val="1"/>
    </w:lvl>
  </w:abstractNum>
  <w:abstractNum w:abstractNumId="46">
    <w:nsid w:val="7F41D049"/>
    <w:multiLevelType w:val="hybridMultilevel"/>
    <w:lvl w:ilvl="0">
      <w:lvlJc w:val="left"/>
      <w:lvlText w:val="(%1)"/>
      <w:numFmt w:val="lowerLetter"/>
      <w:start w:val="1"/>
    </w:lvl>
  </w:abstractNum>
  <w:abstractNum w:abstractNumId="47">
    <w:nsid w:val="449F66FE"/>
    <w:multiLevelType w:val="hybridMultilevel"/>
    <w:lvl w:ilvl="0">
      <w:lvlJc w:val="left"/>
      <w:lvlText w:val="(%1)"/>
      <w:numFmt w:val="lowerLetter"/>
      <w:start w:val="2"/>
    </w:lvl>
  </w:abstractNum>
  <w:abstractNum w:abstractNumId="48">
    <w:nsid w:val="557E0515"/>
    <w:multiLevelType w:val="hybridMultilevel"/>
    <w:lvl w:ilvl="0">
      <w:lvlJc w:val="left"/>
      <w:lvlText w:val="(%1)"/>
      <w:numFmt w:val="lowerLetter"/>
      <w:start w:val="1"/>
    </w:lvl>
  </w:abstractNum>
  <w:abstractNum w:abstractNumId="49">
    <w:nsid w:val="3BA0794B"/>
    <w:multiLevelType w:val="hybridMultilevel"/>
    <w:lvl w:ilvl="0">
      <w:lvlJc w:val="left"/>
      <w:lvlText w:val="(%1)"/>
      <w:numFmt w:val="lowerLetter"/>
      <w:start w:val="1"/>
    </w:lvl>
  </w:abstractNum>
  <w:abstractNum w:abstractNumId="50">
    <w:nsid w:val="6A0DCE48"/>
    <w:multiLevelType w:val="hybridMultilevel"/>
    <w:lvl w:ilvl="0">
      <w:lvlJc w:val="left"/>
      <w:lvlText w:val="(%1)"/>
      <w:numFmt w:val="lowerLetter"/>
      <w:start w:val="1"/>
    </w:lvl>
    <w:lvl w:ilvl="1">
      <w:lvlJc w:val="left"/>
      <w:lvlText w:val="(%2)"/>
      <w:numFmt w:val="lowerRoman"/>
      <w:start w:val="1"/>
    </w:lvl>
  </w:abstractNum>
  <w:abstractNum w:abstractNumId="51">
    <w:nsid w:val="7237AA96"/>
    <w:multiLevelType w:val="hybridMultilevel"/>
    <w:lvl w:ilvl="0">
      <w:lvlJc w:val="left"/>
      <w:lvlText w:val="(%1)"/>
      <w:numFmt w:val="lowerLetter"/>
      <w:start w:val="1"/>
    </w:lvl>
  </w:abstractNum>
  <w:abstractNum w:abstractNumId="52">
    <w:nsid w:val="5B1FBC2D"/>
    <w:multiLevelType w:val="hybridMultilevel"/>
    <w:lvl w:ilvl="0">
      <w:lvlJc w:val="left"/>
      <w:lvlText w:val="(%1)"/>
      <w:numFmt w:val="lowerLetter"/>
      <w:start w:val="1"/>
    </w:lvl>
  </w:abstractNum>
  <w:abstractNum w:abstractNumId="53">
    <w:nsid w:val="33DFCCE8"/>
    <w:multiLevelType w:val="hybridMultilevel"/>
    <w:lvl w:ilvl="0">
      <w:lvlJc w:val="left"/>
      <w:lvlText w:val="(%1)"/>
      <w:numFmt w:val="lowerLetter"/>
      <w:start w:val="1"/>
    </w:lvl>
  </w:abstractNum>
  <w:abstractNum w:abstractNumId="54">
    <w:nsid w:val="18C45E15"/>
    <w:multiLevelType w:val="hybridMultilevel"/>
    <w:lvl w:ilvl="0">
      <w:lvlJc w:val="left"/>
      <w:lvlText w:val="(%1)"/>
      <w:numFmt w:val="lowerLetter"/>
      <w:start w:val="1"/>
    </w:lvl>
  </w:abstractNum>
  <w:abstractNum w:abstractNumId="55">
    <w:nsid w:val="6B431F25"/>
    <w:multiLevelType w:val="hybridMultilevel"/>
    <w:lvl w:ilvl="0">
      <w:lvlJc w:val="left"/>
      <w:lvlText w:val="(%1)"/>
      <w:numFmt w:val="lowerLetter"/>
      <w:start w:val="1"/>
    </w:lvl>
  </w:abstractNum>
  <w:abstractNum w:abstractNumId="56">
    <w:nsid w:val="13CD8DCB"/>
    <w:multiLevelType w:val="hybridMultilevel"/>
    <w:lvl w:ilvl="0">
      <w:lvlJc w:val="left"/>
      <w:lvlText w:val="(%1)"/>
      <w:numFmt w:val="lowerLetter"/>
      <w:start w:val="1"/>
    </w:lvl>
  </w:abstractNum>
  <w:abstractNum w:abstractNumId="57">
    <w:nsid w:val="563A1A5C"/>
    <w:multiLevelType w:val="hybridMultilevel"/>
    <w:lvl w:ilvl="0">
      <w:lvlJc w:val="left"/>
      <w:lvlText w:val="(%1)"/>
      <w:numFmt w:val="lowerRoman"/>
      <w:start w:val="1"/>
    </w:lvl>
  </w:abstractNum>
  <w:abstractNum w:abstractNumId="58">
    <w:nsid w:val="2973F88F"/>
    <w:multiLevelType w:val="hybridMultilevel"/>
    <w:lvl w:ilvl="0">
      <w:lvlJc w:val="left"/>
      <w:lvlText w:val="(%1)"/>
      <w:numFmt w:val="lowerRoman"/>
      <w:start w:val="2"/>
    </w:lvl>
    <w:lvl w:ilvl="1">
      <w:lvlJc w:val="left"/>
      <w:lvlText w:val="(%2)"/>
      <w:numFmt w:val="upperLetter"/>
      <w:start w:val="1"/>
    </w:lvl>
  </w:abstractNum>
  <w:abstractNum w:abstractNumId="59">
    <w:nsid w:val="2C70EDAE"/>
    <w:multiLevelType w:val="hybridMultilevel"/>
    <w:lvl w:ilvl="0">
      <w:lvlJc w:val="left"/>
      <w:lvlText w:val="(%1)"/>
      <w:numFmt w:val="decimal"/>
      <w:start w:val="1"/>
    </w:lvl>
  </w:abstractNum>
  <w:abstractNum w:abstractNumId="60">
    <w:nsid w:val="44296C6D"/>
    <w:multiLevelType w:val="hybridMultilevel"/>
    <w:lvl w:ilvl="0">
      <w:lvlJc w:val="left"/>
      <w:lvlText w:val="%1"/>
      <w:numFmt w:val="upperLetter"/>
      <w:start w:val="1"/>
    </w:lvl>
    <w:lvl w:ilvl="1">
      <w:lvlJc w:val="left"/>
      <w:lvlText w:val="(%2)"/>
      <w:numFmt w:val="decimal"/>
      <w:start w:val="2"/>
    </w:lvl>
  </w:abstractNum>
  <w:abstractNum w:abstractNumId="61">
    <w:nsid w:val="3A86D445"/>
    <w:multiLevelType w:val="hybridMultilevel"/>
    <w:lvl w:ilvl="0">
      <w:lvlJc w:val="left"/>
      <w:lvlText w:val="(%1)"/>
      <w:numFmt w:val="upperLetter"/>
      <w:start w:val="2"/>
    </w:lvl>
    <w:lvl w:ilvl="1">
      <w:lvlJc w:val="left"/>
      <w:lvlText w:val="%2"/>
      <w:numFmt w:val="decimal"/>
      <w:start w:val="1"/>
    </w:lvl>
  </w:abstractNum>
  <w:abstractNum w:abstractNumId="62">
    <w:nsid w:val="51F79246"/>
    <w:multiLevelType w:val="hybridMultilevel"/>
    <w:lvl w:ilvl="0">
      <w:lvlJc w:val="left"/>
      <w:lvlText w:val="(%1)"/>
      <w:numFmt w:val="lowerRoman"/>
      <w:start w:val="14"/>
    </w:lvl>
    <w:lvl w:ilvl="1">
      <w:lvlJc w:val="left"/>
      <w:lvlText w:val="(%2)"/>
      <w:numFmt w:val="upperLetter"/>
      <w:start w:val="1"/>
    </w:lvl>
  </w:abstractNum>
  <w:abstractNum w:abstractNumId="63">
    <w:nsid w:val="5BC9A827"/>
    <w:multiLevelType w:val="hybridMultilevel"/>
    <w:lvl w:ilvl="0">
      <w:lvlJc w:val="left"/>
      <w:lvlText w:val="%1"/>
      <w:numFmt w:val="lowerLetter"/>
      <w:start w:val="1"/>
    </w:lvl>
    <w:lvl w:ilvl="1">
      <w:lvlJc w:val="left"/>
      <w:lvlText w:val="(%2)"/>
      <w:numFmt w:val="lowerRoman"/>
      <w:start w:val="22"/>
    </w:lvl>
  </w:abstractNum>
  <w:abstractNum w:abstractNumId="64">
    <w:nsid w:val="3AE37D86"/>
    <w:multiLevelType w:val="hybridMultilevel"/>
    <w:lvl w:ilvl="0">
      <w:lvlJc w:val="left"/>
      <w:lvlText w:val="(%1)"/>
      <w:numFmt w:val="lowerLetter"/>
      <w:start w:val="2"/>
    </w:lvl>
    <w:lvl w:ilvl="1">
      <w:lvlJc w:val="left"/>
      <w:lvlText w:val="%2"/>
      <w:numFmt w:val="lowerRoman"/>
      <w:start w:val="1"/>
    </w:lvl>
  </w:abstractNum>
  <w:abstractNum w:abstractNumId="65">
    <w:nsid w:val="45440FE5"/>
    <w:multiLevelType w:val="hybridMultilevel"/>
    <w:lvl w:ilvl="0">
      <w:lvlJc w:val="left"/>
      <w:lvlText w:val="(%1)"/>
      <w:numFmt w:val="lowerLetter"/>
      <w:start w:val="6"/>
    </w:lvl>
  </w:abstractNum>
  <w:abstractNum w:abstractNumId="66">
    <w:nsid w:val="BF783F"/>
    <w:multiLevelType w:val="hybridMultilevel"/>
    <w:lvl w:ilvl="0">
      <w:lvlJc w:val="left"/>
      <w:lvlText w:val="(%1)"/>
      <w:numFmt w:val="lowerLetter"/>
      <w:start w:val="1"/>
    </w:lvl>
  </w:abstractNum>
  <w:abstractNum w:abstractNumId="67">
    <w:nsid w:val="22643EA9"/>
    <w:multiLevelType w:val="hybridMultilevel"/>
    <w:lvl w:ilvl="0">
      <w:lvlJc w:val="left"/>
      <w:lvlText w:val="2"/>
      <w:numFmt w:val="bullet"/>
      <w:start w:val="1"/>
    </w:lvl>
  </w:abstractNum>
  <w:abstractNum w:abstractNumId="68">
    <w:nsid w:val="1887578D"/>
    <w:multiLevelType w:val="hybridMultilevel"/>
    <w:lvl w:ilvl="0">
      <w:lvlJc w:val="left"/>
      <w:lvlText w:val="(%1)"/>
      <w:numFmt w:val="lowerLetter"/>
      <w:start w:val="1"/>
    </w:lvl>
  </w:abstractNum>
  <w:abstractNum w:abstractNumId="69">
    <w:nsid w:val="58C05B8A"/>
    <w:multiLevelType w:val="hybridMultilevel"/>
    <w:lvl w:ilvl="0">
      <w:lvlJc w:val="left"/>
      <w:lvlText w:val="(%1)"/>
      <w:numFmt w:val="lowerLetter"/>
      <w:start w:val="3"/>
    </w:lvl>
  </w:abstractNum>
  <w:abstractNum w:abstractNumId="70">
    <w:nsid w:val="38D82E71"/>
    <w:multiLevelType w:val="hybridMultilevel"/>
    <w:lvl w:ilvl="0">
      <w:lvlJc w:val="left"/>
      <w:lvlText w:val="(%1)"/>
      <w:numFmt w:val="lowerLetter"/>
      <w:start w:val="1"/>
    </w:lvl>
    <w:lvl w:ilvl="1">
      <w:lvlJc w:val="left"/>
      <w:lvlText w:val="(%2)"/>
      <w:numFmt w:val="lowerRoman"/>
      <w:start w:val="1"/>
    </w:lvl>
  </w:abstractNum>
  <w:abstractNum w:abstractNumId="71">
    <w:nsid w:val="1E41098A"/>
    <w:multiLevelType w:val="hybridMultilevel"/>
    <w:lvl w:ilvl="0">
      <w:lvlJc w:val="left"/>
      <w:lvlText w:val="%1"/>
      <w:numFmt w:val="lowerLetter"/>
      <w:start w:val="1"/>
    </w:lvl>
    <w:lvl w:ilvl="1">
      <w:lvlJc w:val="left"/>
      <w:lvlText w:val="(%2)"/>
      <w:numFmt w:val="lowerRoman"/>
      <w:start w:val="5"/>
    </w:lvl>
  </w:abstractNum>
  <w:abstractNum w:abstractNumId="72">
    <w:nsid w:val="5398582C"/>
    <w:multiLevelType w:val="hybridMultilevel"/>
    <w:lvl w:ilvl="0">
      <w:lvlJc w:val="left"/>
      <w:lvlText w:val="(%1)"/>
      <w:numFmt w:val="lowerLetter"/>
      <w:start w:val="6"/>
    </w:lvl>
    <w:lvl w:ilvl="1">
      <w:lvlJc w:val="left"/>
      <w:lvlText w:val="(%2)"/>
      <w:numFmt w:val="lowerRoman"/>
      <w:start w:val="1"/>
    </w:lvl>
  </w:abstractNum>
  <w:abstractNum w:abstractNumId="73">
    <w:nsid w:val="1C0D4475"/>
    <w:multiLevelType w:val="hybridMultilevel"/>
    <w:lvl w:ilvl="0">
      <w:lvlJc w:val="left"/>
      <w:lvlText w:val="3"/>
      <w:numFmt w:val="bullet"/>
      <w:start w:val="1"/>
    </w:lvl>
  </w:abstractNum>
  <w:abstractNum w:abstractNumId="74">
    <w:nsid w:val="2CB6A6A4"/>
    <w:multiLevelType w:val="hybridMultilevel"/>
    <w:lvl w:ilvl="0">
      <w:lvlJc w:val="left"/>
      <w:lvlText w:val="(%1)"/>
      <w:numFmt w:val="lowerLetter"/>
      <w:start w:val="1"/>
    </w:lvl>
  </w:abstractNum>
  <w:abstractNum w:abstractNumId="75">
    <w:nsid w:val="41D646BC"/>
    <w:multiLevelType w:val="hybridMultilevel"/>
    <w:lvl w:ilvl="0">
      <w:lvlJc w:val="left"/>
      <w:lvlText w:val="4"/>
      <w:numFmt w:val="bullet"/>
      <w:start w:val="1"/>
    </w:lvl>
  </w:abstractNum>
  <w:abstractNum w:abstractNumId="76">
    <w:nsid w:val="3694A76A"/>
    <w:multiLevelType w:val="hybridMultilevel"/>
    <w:lvl w:ilvl="0">
      <w:lvlJc w:val="left"/>
      <w:lvlText w:val="(%1)"/>
      <w:numFmt w:val="lowerLetter"/>
      <w:start w:val="1"/>
    </w:lvl>
  </w:abstractNum>
  <w:abstractNum w:abstractNumId="77">
    <w:nsid w:val="2BF876EE"/>
    <w:multiLevelType w:val="hybridMultilevel"/>
    <w:lvl w:ilvl="0">
      <w:lvlJc w:val="left"/>
      <w:lvlText w:val="(%1)"/>
      <w:numFmt w:val="lowerLetter"/>
      <w:start w:val="4"/>
    </w:lvl>
  </w:abstractNum>
  <w:abstractNum w:abstractNumId="78">
    <w:nsid w:val="675ADBA"/>
    <w:multiLevelType w:val="hybridMultilevel"/>
    <w:lvl w:ilvl="0">
      <w:lvlJc w:val="left"/>
      <w:lvlText w:val="5"/>
      <w:numFmt w:val="bullet"/>
      <w:start w:val="1"/>
    </w:lvl>
  </w:abstractNum>
  <w:abstractNum w:abstractNumId="79">
    <w:nsid w:val="C12AC7F"/>
    <w:multiLevelType w:val="hybridMultilevel"/>
    <w:lvl w:ilvl="0">
      <w:lvlJc w:val="left"/>
      <w:lvlText w:val="(%1)"/>
      <w:numFmt w:val="lowerLetter"/>
      <w:start w:val="1"/>
    </w:lvl>
    <w:lvl w:ilvl="1">
      <w:lvlJc w:val="left"/>
      <w:lvlText w:val="(%2)"/>
      <w:numFmt w:val="lowerRoman"/>
      <w:start w:val="1"/>
    </w:lvl>
  </w:abstractNum>
  <w:abstractNum w:abstractNumId="80">
    <w:nsid w:val="6798F039"/>
    <w:multiLevelType w:val="hybridMultilevel"/>
    <w:lvl w:ilvl="0">
      <w:lvlJc w:val="left"/>
      <w:lvlText w:val="(%1)"/>
      <w:numFmt w:val="lowerLetter"/>
      <w:start w:val="1"/>
    </w:lvl>
  </w:abstractNum>
  <w:abstractNum w:abstractNumId="81">
    <w:nsid w:val="70837C02"/>
    <w:multiLevelType w:val="hybridMultilevel"/>
    <w:lvl w:ilvl="0">
      <w:lvlJc w:val="left"/>
      <w:lvlText w:val="(%1)"/>
      <w:numFmt w:val="lowerLetter"/>
      <w:start w:val="1"/>
    </w:lvl>
  </w:abstractNum>
  <w:abstractNum w:abstractNumId="82">
    <w:nsid w:val="7E4A5715"/>
    <w:multiLevelType w:val="hybridMultilevel"/>
    <w:lvl w:ilvl="0">
      <w:lvlJc w:val="left"/>
      <w:lvlText w:val="6"/>
      <w:numFmt w:val="bullet"/>
      <w:start w:val="1"/>
    </w:lvl>
  </w:abstractNum>
  <w:abstractNum w:abstractNumId="83">
    <w:nsid w:val="42B8AC67"/>
    <w:multiLevelType w:val="hybridMultilevel"/>
    <w:lvl w:ilvl="0">
      <w:lvlJc w:val="left"/>
      <w:lvlText w:val="(%1)"/>
      <w:numFmt w:val="lowerLetter"/>
      <w:start w:val="1"/>
    </w:lvl>
  </w:abstractNum>
  <w:abstractNum w:abstractNumId="84">
    <w:nsid w:val="246348EA"/>
    <w:multiLevelType w:val="hybridMultilevel"/>
    <w:lvl w:ilvl="0">
      <w:lvlJc w:val="left"/>
      <w:lvlText w:val="(%1)"/>
      <w:numFmt w:val="lowerLetter"/>
      <w:start w:val="1"/>
    </w:lvl>
  </w:abstractNum>
  <w:abstractNum w:abstractNumId="85">
    <w:nsid w:val="170EB52B"/>
    <w:multiLevelType w:val="hybridMultilevel"/>
    <w:lvl w:ilvl="0">
      <w:lvlJc w:val="left"/>
      <w:lvlText w:val="7"/>
      <w:numFmt w:val="bullet"/>
      <w:start w:val="1"/>
    </w:lvl>
  </w:abstractNum>
  <w:abstractNum w:abstractNumId="86">
    <w:nsid w:val="2DFBCB8C"/>
    <w:multiLevelType w:val="hybridMultilevel"/>
    <w:lvl w:ilvl="0">
      <w:lvlJc w:val="left"/>
      <w:lvlText w:val="(%1)"/>
      <w:numFmt w:val="lowerLetter"/>
      <w:start w:val="1"/>
    </w:lvl>
  </w:abstractNum>
  <w:abstractNum w:abstractNumId="87">
    <w:nsid w:val="3830D6B6"/>
    <w:multiLevelType w:val="hybridMultilevel"/>
    <w:lvl w:ilvl="0">
      <w:lvlJc w:val="left"/>
      <w:lvlText w:val="(%1)"/>
      <w:numFmt w:val="lowerLetter"/>
      <w:start w:val="3"/>
    </w:lvl>
  </w:abstractNum>
  <w:abstractNum w:abstractNumId="88">
    <w:nsid w:val="6D48CF87"/>
    <w:multiLevelType w:val="hybridMultilevel"/>
    <w:lvl w:ilvl="0">
      <w:lvlJc w:val="left"/>
      <w:lvlText w:val="(%1)"/>
      <w:numFmt w:val="lowerLetter"/>
      <w:start w:val="1"/>
    </w:lvl>
  </w:abstractNum>
  <w:abstractNum w:abstractNumId="89">
    <w:nsid w:val="576FC41B"/>
    <w:multiLevelType w:val="hybridMultilevel"/>
    <w:lvl w:ilvl="0">
      <w:lvlJc w:val="left"/>
      <w:lvlText w:val="(%1)"/>
      <w:numFmt w:val="lowerRoman"/>
      <w:start w:val="1"/>
    </w:lvl>
  </w:abstractNum>
  <w:abstractNum w:abstractNumId="90">
    <w:nsid w:val="64A1C464"/>
    <w:multiLevelType w:val="hybridMultilevel"/>
    <w:lvl w:ilvl="0">
      <w:lvlJc w:val="left"/>
      <w:lvlText w:val="%1"/>
      <w:numFmt w:val="lowerLetter"/>
      <w:start w:val="1"/>
    </w:lvl>
    <w:lvl w:ilvl="1">
      <w:lvlJc w:val="left"/>
      <w:lvlText w:val="(%2)"/>
      <w:numFmt w:val="lowerLetter"/>
      <w:start w:val="35"/>
    </w:lvl>
  </w:abstractNum>
  <w:abstractNum w:abstractNumId="91">
    <w:nsid w:val="31723BF5"/>
    <w:multiLevelType w:val="hybridMultilevel"/>
    <w:lvl w:ilvl="0">
      <w:lvlJc w:val="left"/>
      <w:lvlText w:val="(%1)"/>
      <w:numFmt w:val="lowerLetter"/>
      <w:start w:val="3"/>
    </w:lvl>
    <w:lvl w:ilvl="1">
      <w:lvlJc w:val="left"/>
      <w:lvlText w:val="%2"/>
      <w:numFmt w:val="lowerLetter"/>
      <w:start w:val="1"/>
    </w:lvl>
  </w:abstractNum>
  <w:abstractNum w:abstractNumId="92">
    <w:nsid w:val="11F69861"/>
    <w:multiLevelType w:val="hybridMultilevel"/>
    <w:lvl w:ilvl="0">
      <w:lvlJc w:val="left"/>
      <w:lvlText w:val="(%1)"/>
      <w:numFmt w:val="lowerLetter"/>
      <w:start w:val="1"/>
    </w:lvl>
  </w:abstractNum>
  <w:abstractNum w:abstractNumId="93">
    <w:nsid w:val="369956AB"/>
    <w:multiLevelType w:val="hybridMultilevel"/>
    <w:lvl w:ilvl="0">
      <w:lvlJc w:val="left"/>
      <w:lvlText w:val="(%1)"/>
      <w:numFmt w:val="lowerLetter"/>
      <w:start w:val="4"/>
    </w:lvl>
  </w:abstractNum>
  <w:abstractNum w:abstractNumId="94">
    <w:nsid w:val="D3BE41C"/>
    <w:multiLevelType w:val="hybridMultilevel"/>
    <w:lvl w:ilvl="0">
      <w:lvlJc w:val="left"/>
      <w:lvlText w:val="(%1)"/>
      <w:numFmt w:val="lowerLetter"/>
      <w:start w:val="1"/>
    </w:lvl>
    <w:lvl w:ilvl="1">
      <w:lvlJc w:val="left"/>
      <w:lvlText w:val="(%2)"/>
      <w:numFmt w:val="lowerRoman"/>
      <w:start w:val="1"/>
    </w:lvl>
  </w:abstractNum>
  <w:abstractNum w:abstractNumId="95">
    <w:nsid w:val="4CDA15E7"/>
    <w:multiLevelType w:val="hybridMultilevel"/>
    <w:lvl w:ilvl="0">
      <w:lvlJc w:val="left"/>
      <w:lvlText w:val="(%1)"/>
      <w:numFmt w:val="lowerLetter"/>
      <w:start w:val="2"/>
    </w:lvl>
    <w:lvl w:ilvl="1">
      <w:lvlJc w:val="left"/>
      <w:lvlText w:val="(%2)"/>
      <w:numFmt w:val="lowerRoman"/>
      <w:start w:val="1"/>
    </w:lvl>
  </w:abstractNum>
  <w:abstractNum w:abstractNumId="96">
    <w:nsid w:val="7BDD6690"/>
    <w:multiLevelType w:val="hybridMultilevel"/>
    <w:lvl w:ilvl="0">
      <w:lvlJc w:val="left"/>
      <w:lvlText w:val="%1"/>
      <w:numFmt w:val="lowerLetter"/>
      <w:start w:val="1"/>
    </w:lvl>
    <w:lvl w:ilvl="1">
      <w:lvlJc w:val="left"/>
      <w:lvlText w:val="(%2)"/>
      <w:numFmt w:val="lowerRoman"/>
      <w:start w:val="3"/>
    </w:lvl>
  </w:abstractNum>
  <w:abstractNum w:abstractNumId="97">
    <w:nsid w:val="DFB5C5B"/>
    <w:multiLevelType w:val="hybridMultilevel"/>
    <w:lvl w:ilvl="0">
      <w:lvlJc w:val="left"/>
      <w:lvlText w:val="(%1)"/>
      <w:numFmt w:val="lowerLetter"/>
      <w:start w:val="6"/>
    </w:lvl>
    <w:lvl w:ilvl="1">
      <w:lvlJc w:val="left"/>
      <w:lvlText w:val="%2"/>
      <w:numFmt w:val="lowerRoman"/>
      <w:start w:val="1"/>
    </w:lvl>
  </w:abstractNum>
  <w:abstractNum w:abstractNumId="98">
    <w:nsid w:val="6F3E54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1464BE1E"/>
    <w:multiLevelType w:val="hybridMultilevel"/>
    <w:lvl w:ilvl="0">
      <w:lvlJc w:val="left"/>
      <w:lvlText w:val="(%1)"/>
      <w:numFmt w:val="decimal"/>
      <w:start w:val="1"/>
    </w:lvl>
  </w:abstractNum>
  <w:abstractNum w:abstractNumId="100">
    <w:nsid w:val="66BBB7E5"/>
    <w:multiLevelType w:val="hybridMultilevel"/>
    <w:lvl w:ilvl="0">
      <w:lvlJc w:val="left"/>
      <w:lvlText w:val="(%1)"/>
      <w:numFmt w:val="decimal"/>
      <w:start w:val="2"/>
    </w:lvl>
  </w:abstractNum>
  <w:abstractNum w:abstractNumId="101">
    <w:nsid w:val="28168302"/>
    <w:multiLevelType w:val="hybridMultilevel"/>
    <w:lvl w:ilvl="0">
      <w:lvlJc w:val="left"/>
      <w:lvlText w:val="%1"/>
      <w:numFmt w:val="lowerLetter"/>
      <w:start w:val="1"/>
    </w:lvl>
    <w:lvl w:ilvl="1">
      <w:lvlJc w:val="left"/>
      <w:lvlText w:val="(%2)"/>
      <w:numFmt w:val="lowerLetter"/>
      <w:start w:val="61"/>
    </w:lvl>
  </w:abstractNum>
  <w:abstractNum w:abstractNumId="102">
    <w:nsid w:val="32A5C7A8"/>
    <w:multiLevelType w:val="hybridMultilevel"/>
    <w:lvl w:ilvl="0">
      <w:lvlJc w:val="left"/>
      <w:lvlText w:val="(%1)"/>
      <w:numFmt w:val="lowerLetter"/>
      <w:start w:val="2"/>
    </w:lvl>
    <w:lvl w:ilvl="1">
      <w:lvlJc w:val="left"/>
      <w:lvlText w:val="%2"/>
      <w:numFmt w:val="lowerLetter"/>
      <w:start w:val="1"/>
    </w:lvl>
  </w:abstractNum>
  <w:abstractNum w:abstractNumId="103">
    <w:nsid w:val="3A541011"/>
    <w:multiLevelType w:val="hybridMultilevel"/>
    <w:lvl w:ilvl="0">
      <w:lvlJc w:val="left"/>
      <w:lvlText w:val="(%1)"/>
      <w:numFmt w:val="lowerLetter"/>
      <w:start w:val="1"/>
    </w:lvl>
  </w:abstractNum>
  <w:abstractNum w:abstractNumId="104">
    <w:nsid w:val="4423C777"/>
    <w:multiLevelType w:val="hybridMultilevel"/>
    <w:lvl w:ilvl="0">
      <w:lvlJc w:val="left"/>
      <w:lvlText w:val="(%1)"/>
      <w:numFmt w:val="lowerLetter"/>
      <w:start w:val="9"/>
    </w:lvl>
  </w:abstractNum>
  <w:abstractNum w:abstractNumId="105">
    <w:nsid w:val="5F5C6E4D"/>
    <w:multiLevelType w:val="hybridMultilevel"/>
    <w:lvl w:ilvl="0">
      <w:lvlJc w:val="left"/>
      <w:lvlText w:val="(%1)"/>
      <w:numFmt w:val="lowerLetter"/>
      <w:start w:val="1"/>
    </w:lvl>
  </w:abstractNum>
  <w:abstractNum w:abstractNumId="106">
    <w:nsid w:val="7C2A56CD"/>
    <w:multiLevelType w:val="hybridMultilevel"/>
    <w:lvl w:ilvl="0">
      <w:lvlJc w:val="left"/>
      <w:lvlText w:val="(%1)"/>
      <w:numFmt w:val="lowerLetter"/>
      <w:start w:val="1"/>
    </w:lvl>
  </w:abstractNum>
  <w:abstractNum w:abstractNumId="107">
    <w:nsid w:val="7AB86EE1"/>
    <w:multiLevelType w:val="hybridMultilevel"/>
    <w:lvl w:ilvl="0">
      <w:lvlJc w:val="left"/>
      <w:lvlText w:val="8"/>
      <w:numFmt w:val="bullet"/>
      <w:start w:val="1"/>
    </w:lvl>
  </w:abstractNum>
  <w:abstractNum w:abstractNumId="108">
    <w:nsid w:val="B54E53B"/>
    <w:multiLevelType w:val="hybridMultilevel"/>
    <w:lvl w:ilvl="0">
      <w:lvlJc w:val="left"/>
      <w:lvlText w:val="(%1)"/>
      <w:numFmt w:val="lowerLetter"/>
      <w:start w:val="1"/>
    </w:lvl>
  </w:abstractNum>
  <w:abstractNum w:abstractNumId="109">
    <w:nsid w:val="2A00487"/>
    <w:multiLevelType w:val="hybridMultilevel"/>
    <w:lvl w:ilvl="0">
      <w:lvlJc w:val="left"/>
      <w:lvlText w:val="(%1)"/>
      <w:numFmt w:val="lowerLetter"/>
      <w:start w:val="1"/>
    </w:lvl>
    <w:lvl w:ilvl="1">
      <w:lvlJc w:val="left"/>
      <w:lvlText w:val="(%2)"/>
      <w:numFmt w:val="lowerRoman"/>
      <w:start w:val="1"/>
    </w:lvl>
  </w:abstractNum>
  <w:abstractNum w:abstractNumId="110">
    <w:nsid w:val="6CB1B60"/>
    <w:multiLevelType w:val="hybridMultilevel"/>
    <w:lvl w:ilvl="0">
      <w:lvlJc w:val="left"/>
      <w:lvlText w:val="9"/>
      <w:numFmt w:val="bullet"/>
      <w:start w:val="1"/>
    </w:lvl>
  </w:abstractNum>
  <w:abstractNum w:abstractNumId="111">
    <w:nsid w:val="72EDD574"/>
    <w:multiLevelType w:val="hybridMultilevel"/>
    <w:lvl w:ilvl="0">
      <w:lvlJc w:val="left"/>
      <w:lvlText w:val="(%1)"/>
      <w:numFmt w:val="lowerLetter"/>
      <w:start w:val="1"/>
    </w:lvl>
  </w:abstractNum>
  <w:abstractNum w:abstractNumId="112">
    <w:nsid w:val="7323808A"/>
    <w:multiLevelType w:val="hybridMultilevel"/>
    <w:lvl w:ilvl="0">
      <w:lvlJc w:val="left"/>
      <w:lvlText w:val="(%1)"/>
      <w:numFmt w:val="lowerLetter"/>
      <w:start w:val="3"/>
    </w:lvl>
  </w:abstractNum>
  <w:abstractNum w:abstractNumId="113">
    <w:nsid w:val="5157276"/>
    <w:multiLevelType w:val="hybridMultilevel"/>
    <w:lvl w:ilvl="0">
      <w:lvlJc w:val="left"/>
      <w:lvlText w:val="%1"/>
      <w:numFmt w:val="decimal"/>
      <w:start w:val="10"/>
    </w:lvl>
  </w:abstractNum>
  <w:abstractNum w:abstractNumId="114">
    <w:nsid w:val="35A681DB"/>
    <w:multiLevelType w:val="hybridMultilevel"/>
    <w:lvl w:ilvl="0">
      <w:lvlJc w:val="left"/>
      <w:lvlText w:val="(%1)"/>
      <w:numFmt w:val="lowerLetter"/>
      <w:start w:val="1"/>
    </w:lvl>
    <w:lvl w:ilvl="1">
      <w:lvlJc w:val="left"/>
      <w:lvlText w:val="(%2)"/>
      <w:numFmt w:val="lowerRoman"/>
      <w:start w:val="1"/>
    </w:lvl>
  </w:abstractNum>
  <w:abstractNum w:abstractNumId="115">
    <w:nsid w:val="1786C974"/>
    <w:multiLevelType w:val="hybridMultilevel"/>
    <w:lvl w:ilvl="0">
      <w:lvlJc w:val="left"/>
      <w:lvlText w:val="(%1)"/>
      <w:numFmt w:val="lowerLetter"/>
      <w:start w:val="1"/>
    </w:lvl>
    <w:lvl w:ilvl="1">
      <w:lvlJc w:val="left"/>
      <w:lvlText w:val="(%2)"/>
      <w:numFmt w:val="lowerRoman"/>
      <w:start w:val="1"/>
    </w:lvl>
  </w:abstractNum>
  <w:abstractNum w:abstractNumId="116">
    <w:nsid w:val="1C2427A1"/>
    <w:multiLevelType w:val="hybridMultilevel"/>
    <w:lvl w:ilvl="0">
      <w:lvlJc w:val="left"/>
      <w:lvlText w:val="(%1)"/>
      <w:numFmt w:val="lowerLetter"/>
      <w:start w:val="2"/>
    </w:lvl>
    <w:lvl w:ilvl="1">
      <w:lvlJc w:val="left"/>
      <w:lvlText w:val="(%2)"/>
      <w:numFmt w:val="lowerRoman"/>
      <w:start w:val="1"/>
    </w:lvl>
  </w:abstractNum>
  <w:abstractNum w:abstractNumId="117">
    <w:nsid w:val="63A24D68"/>
    <w:multiLevelType w:val="hybridMultilevel"/>
    <w:lvl w:ilvl="0">
      <w:lvlJc w:val="left"/>
      <w:lvlText w:val="(%1)"/>
      <w:numFmt w:val="lowerLetter"/>
      <w:start w:val="1"/>
    </w:lvl>
  </w:abstractNum>
  <w:abstractNum w:abstractNumId="118">
    <w:nsid w:val="4FB7A02A"/>
    <w:multiLevelType w:val="hybridMultilevel"/>
    <w:lvl w:ilvl="0">
      <w:lvlJc w:val="left"/>
      <w:lvlText w:val="%1"/>
      <w:numFmt w:val="decimal"/>
      <w:start w:val="11"/>
    </w:lvl>
  </w:abstractNum>
  <w:abstractNum w:abstractNumId="119">
    <w:nsid w:val="96CF728"/>
    <w:multiLevelType w:val="hybridMultilevel"/>
    <w:lvl w:ilvl="0">
      <w:lvlJc w:val="left"/>
      <w:lvlText w:val="(%1)"/>
      <w:numFmt w:val="lowerLetter"/>
      <w:start w:val="1"/>
    </w:lvl>
  </w:abstractNum>
  <w:abstractNum w:abstractNumId="120">
    <w:nsid w:val="3B121183"/>
    <w:multiLevelType w:val="hybridMultilevel"/>
    <w:lvl w:ilvl="0">
      <w:lvlJc w:val="left"/>
      <w:lvlText w:val="(%1)"/>
      <w:numFmt w:val="lowerLetter"/>
      <w:start w:val="1"/>
    </w:lvl>
  </w:abstractNum>
  <w:abstractNum w:abstractNumId="121">
    <w:nsid w:val="3459648F"/>
    <w:multiLevelType w:val="hybridMultilevel"/>
    <w:lvl w:ilvl="0">
      <w:lvlJc w:val="left"/>
      <w:lvlText w:val="(%1)"/>
      <w:numFmt w:val="lowerLetter"/>
      <w:start w:val="2"/>
    </w:lvl>
  </w:abstractNum>
  <w:abstractNum w:abstractNumId="122">
    <w:nsid w:val="3ADF331D"/>
    <w:multiLevelType w:val="hybridMultilevel"/>
    <w:lvl w:ilvl="0">
      <w:lvlJc w:val="left"/>
      <w:lvlText w:val="(%1)"/>
      <w:numFmt w:val="lowerLetter"/>
      <w:start w:val="1"/>
    </w:lvl>
  </w:abstractNum>
  <w:abstractNum w:abstractNumId="123">
    <w:nsid w:val="4D08A9E4"/>
    <w:multiLevelType w:val="hybridMultilevel"/>
    <w:lvl w:ilvl="0">
      <w:lvlJc w:val="left"/>
      <w:lvlText w:val="(%1)"/>
      <w:numFmt w:val="lowerLetter"/>
      <w:start w:val="1"/>
    </w:lvl>
  </w:abstractNum>
  <w:abstractNum w:abstractNumId="124">
    <w:nsid w:val="6AF2BB3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481B1739"/>
    <w:multiLevelType w:val="hybridMultilevel"/>
    <w:lvl w:ilvl="0">
      <w:lvlJc w:val="left"/>
      <w:lvlText w:val="%1"/>
      <w:numFmt w:val="lowerLetter"/>
      <w:start w:val="1"/>
    </w:lvl>
    <w:lvl w:ilvl="1">
      <w:lvlJc w:val="left"/>
      <w:lvlText w:val="(%2)"/>
      <w:numFmt w:val="lowerRoman"/>
      <w:start w:val="2"/>
    </w:lvl>
  </w:abstractNum>
  <w:abstractNum w:abstractNumId="126">
    <w:nsid w:val="19E2BFCC"/>
    <w:multiLevelType w:val="hybridMultilevel"/>
    <w:lvl w:ilvl="0">
      <w:lvlJc w:val="left"/>
      <w:lvlText w:val="(%1)"/>
      <w:numFmt w:val="lowerLetter"/>
      <w:start w:val="3"/>
    </w:lvl>
    <w:lvl w:ilvl="1">
      <w:lvlJc w:val="left"/>
      <w:lvlText w:val="%2"/>
      <w:numFmt w:val="lowerRoman"/>
      <w:start w:val="1"/>
    </w:lvl>
  </w:abstractNum>
  <w:abstractNum w:abstractNumId="127">
    <w:nsid w:val="66D021CA"/>
    <w:multiLevelType w:val="hybridMultilevel"/>
    <w:lvl w:ilvl="0">
      <w:lvlJc w:val="left"/>
      <w:lvlText w:val="(%1)"/>
      <w:numFmt w:val="lowerLetter"/>
      <w:start w:val="1"/>
    </w:lvl>
  </w:abstractNum>
  <w:abstractNum w:abstractNumId="128">
    <w:nsid w:val="561673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9">
    <w:nsid w:val="92114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0">
    <w:nsid w:val="7B34DFE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1">
    <w:nsid w:val="3CD22B7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2">
    <w:nsid w:val="3137975E"/>
    <w:multiLevelType w:val="hybridMultilevel"/>
    <w:lvl w:ilvl="0">
      <w:lvlJc w:val="left"/>
      <w:lvlText w:val="%1"/>
      <w:numFmt w:val="lowerLetter"/>
      <w:start w:val="1"/>
    </w:lvl>
    <w:lvl w:ilvl="1">
      <w:lvlJc w:val="left"/>
      <w:lvlText w:val="(%2)"/>
      <w:numFmt w:val="upperLetter"/>
      <w:start w:val="1"/>
    </w:lvl>
  </w:abstractNum>
  <w:abstractNum w:abstractNumId="133">
    <w:nsid w:val="2DDAA791"/>
    <w:multiLevelType w:val="hybridMultilevel"/>
    <w:lvl w:ilvl="0">
      <w:lvlJc w:val="left"/>
      <w:lvlText w:val="(%1)"/>
      <w:numFmt w:val="lowerLetter"/>
      <w:start w:val="6"/>
    </w:lvl>
    <w:lvl w:ilvl="1">
      <w:lvlJc w:val="left"/>
      <w:lvlText w:val="%2"/>
      <w:numFmt w:val="upperLetter"/>
      <w:start w:val="1"/>
    </w:lvl>
  </w:abstractNum>
  <w:abstractNum w:abstractNumId="134">
    <w:nsid w:val="77263B8A"/>
    <w:multiLevelType w:val="hybridMultilevel"/>
    <w:lvl w:ilvl="0">
      <w:lvlJc w:val="left"/>
      <w:lvlText w:val="(%1)"/>
      <w:numFmt w:val="lowerLetter"/>
      <w:start w:val="7"/>
    </w:lvl>
  </w:abstractNum>
  <w:abstractNum w:abstractNumId="135">
    <w:nsid w:val="755B5ED6"/>
    <w:multiLevelType w:val="hybridMultilevel"/>
    <w:lvl w:ilvl="0">
      <w:lvlJc w:val="left"/>
      <w:lvlText w:val="(%1)"/>
      <w:numFmt w:val="lowerLetter"/>
      <w:start w:val="1"/>
    </w:lvl>
  </w:abstractNum>
  <w:abstractNum w:abstractNumId="136">
    <w:nsid w:val="D3715DE"/>
    <w:multiLevelType w:val="hybridMultilevel"/>
    <w:lvl w:ilvl="0">
      <w:lvlJc w:val="left"/>
      <w:lvlText w:val="(%1)"/>
      <w:numFmt w:val="lowerLetter"/>
      <w:start w:val="1"/>
    </w:lvl>
  </w:abstractNum>
  <w:abstractNum w:abstractNumId="137">
    <w:nsid w:val="73509257"/>
    <w:multiLevelType w:val="hybridMultilevel"/>
    <w:lvl w:ilvl="0">
      <w:lvlJc w:val="left"/>
      <w:lvlText w:val="(%1)"/>
      <w:numFmt w:val="lowerRoman"/>
      <w:start w:val="1"/>
    </w:lvl>
  </w:abstractNum>
  <w:abstractNum w:abstractNumId="138">
    <w:nsid w:val="7013CDB7"/>
    <w:multiLevelType w:val="hybridMultilevel"/>
    <w:lvl w:ilvl="0">
      <w:lvlJc w:val="left"/>
      <w:lvlText w:val="%1"/>
      <w:numFmt w:val="lowerLetter"/>
      <w:start w:val="1"/>
    </w:lvl>
    <w:lvl w:ilvl="1">
      <w:lvlJc w:val="left"/>
      <w:lvlText w:val="(%2)"/>
      <w:numFmt w:val="lowerLetter"/>
      <w:start w:val="35"/>
    </w:lvl>
  </w:abstractNum>
  <w:abstractNum w:abstractNumId="139">
    <w:nsid w:val="188BFB19"/>
    <w:multiLevelType w:val="hybridMultilevel"/>
    <w:lvl w:ilvl="0">
      <w:lvlJc w:val="left"/>
      <w:lvlText w:val="(%1)"/>
      <w:numFmt w:val="lowerLetter"/>
      <w:start w:val="3"/>
    </w:lvl>
    <w:lvl w:ilvl="1">
      <w:lvlJc w:val="left"/>
      <w:lvlText w:val="%2"/>
      <w:numFmt w:val="lowerLetter"/>
      <w:start w:val="1"/>
    </w:lvl>
  </w:abstractNum>
  <w:abstractNum w:abstractNumId="140">
    <w:nsid w:val="75F096DF"/>
    <w:multiLevelType w:val="hybridMultilevel"/>
    <w:lvl w:ilvl="0">
      <w:lvlJc w:val="left"/>
      <w:lvlText w:val="(%1)"/>
      <w:numFmt w:val="lowerLetter"/>
      <w:start w:val="1"/>
    </w:lvl>
  </w:abstractNum>
  <w:abstractNum w:abstractNumId="141">
    <w:nsid w:val="76DEE918"/>
    <w:multiLevelType w:val="hybridMultilevel"/>
    <w:lvl w:ilvl="0">
      <w:lvlJc w:val="left"/>
      <w:lvlText w:val="%1"/>
      <w:numFmt w:val="decimal"/>
      <w:start w:val="13"/>
    </w:lvl>
  </w:abstractNum>
  <w:abstractNum w:abstractNumId="142">
    <w:nsid w:val="B79D08D"/>
    <w:multiLevelType w:val="hybridMultilevel"/>
    <w:lvl w:ilvl="0">
      <w:lvlJc w:val="left"/>
      <w:lvlText w:val="(%1)"/>
      <w:numFmt w:val="lowerLetter"/>
      <w:start w:val="1"/>
    </w:lvl>
    <w:lvl w:ilvl="1">
      <w:lvlJc w:val="left"/>
      <w:lvlText w:val="(%2)"/>
      <w:numFmt w:val="lowerRoman"/>
      <w:start w:val="1"/>
    </w:lvl>
  </w:abstractNum>
  <w:abstractNum w:abstractNumId="143">
    <w:nsid w:val="69141769"/>
    <w:multiLevelType w:val="hybridMultilevel"/>
    <w:lvl w:ilvl="0">
      <w:lvlJc w:val="left"/>
      <w:lvlText w:val="(%1)"/>
      <w:numFmt w:val="lowerRoman"/>
      <w:start w:val="1"/>
    </w:lvl>
  </w:abstractNum>
  <w:abstractNum w:abstractNumId="144">
    <w:nsid w:val="7BF45B8E"/>
    <w:multiLevelType w:val="hybridMultilevel"/>
    <w:lvl w:ilvl="0">
      <w:lvlJc w:val="left"/>
      <w:lvlText w:val="(%1)"/>
      <w:numFmt w:val="lowerLetter"/>
      <w:start w:val="1"/>
    </w:lvl>
  </w:abstractNum>
  <w:abstractNum w:abstractNumId="145">
    <w:nsid w:val="41205269"/>
    <w:multiLevelType w:val="hybridMultilevel"/>
    <w:lvl w:ilvl="0">
      <w:lvlJc w:val="left"/>
      <w:lvlText w:val="(%1)"/>
      <w:numFmt w:val="lowerLetter"/>
      <w:start w:val="1"/>
    </w:lvl>
    <w:lvl w:ilvl="1">
      <w:lvlJc w:val="left"/>
      <w:lvlText w:val="(%2)"/>
      <w:numFmt w:val="lowerRoman"/>
      <w:start w:val="1"/>
    </w:lvl>
  </w:abstractNum>
  <w:abstractNum w:abstractNumId="146">
    <w:nsid w:val="9AE0DD"/>
    <w:multiLevelType w:val="hybridMultilevel"/>
    <w:lvl w:ilvl="0">
      <w:lvlJc w:val="left"/>
      <w:lvlText w:val="%1"/>
      <w:numFmt w:val="decimal"/>
      <w:start w:val="14"/>
    </w:lvl>
  </w:abstractNum>
  <w:abstractNum w:abstractNumId="147">
    <w:nsid w:val="1818832F"/>
    <w:multiLevelType w:val="hybridMultilevel"/>
    <w:lvl w:ilvl="0">
      <w:lvlJc w:val="left"/>
      <w:lvlText w:val="(%1)"/>
      <w:numFmt w:val="lowerLetter"/>
      <w:start w:val="1"/>
    </w:lvl>
    <w:lvl w:ilvl="1">
      <w:lvlJc w:val="left"/>
      <w:lvlText w:val="(%2)"/>
      <w:numFmt w:val="lowerRoman"/>
      <w:start w:val="1"/>
    </w:lvl>
  </w:abstractNum>
  <w:abstractNum w:abstractNumId="148">
    <w:nsid w:val="24C29FD1"/>
    <w:multiLevelType w:val="hybridMultilevel"/>
    <w:lvl w:ilvl="0">
      <w:lvlJc w:val="left"/>
      <w:lvlText w:val="(%1)"/>
      <w:numFmt w:val="lowerRoman"/>
      <w:start w:val="2"/>
    </w:lvl>
  </w:abstractNum>
  <w:abstractNum w:abstractNumId="149">
    <w:nsid w:val="50528108"/>
    <w:multiLevelType w:val="hybridMultilevel"/>
    <w:lvl w:ilvl="0">
      <w:lvlJc w:val="left"/>
      <w:lvlText w:val="(%1)"/>
      <w:numFmt w:val="lowerLetter"/>
      <w:start w:val="2"/>
    </w:lvl>
  </w:abstractNum>
  <w:abstractNum w:abstractNumId="150">
    <w:nsid w:val="21857A57"/>
    <w:multiLevelType w:val="hybridMultilevel"/>
    <w:lvl w:ilvl="0">
      <w:lvlJc w:val="left"/>
      <w:lvlText w:val="(%1)"/>
      <w:numFmt w:val="lowerLetter"/>
      <w:start w:val="1"/>
    </w:lvl>
    <w:lvl w:ilvl="1">
      <w:lvlJc w:val="left"/>
      <w:lvlText w:val="(%2)"/>
      <w:numFmt w:val="lowerRoman"/>
      <w:start w:val="1"/>
    </w:lvl>
  </w:abstractNum>
  <w:abstractNum w:abstractNumId="151">
    <w:nsid w:val="5FD4B154"/>
    <w:multiLevelType w:val="hybridMultilevel"/>
    <w:lvl w:ilvl="0">
      <w:lvlJc w:val="left"/>
      <w:lvlText w:val="(%1)"/>
      <w:numFmt w:val="lowerLetter"/>
      <w:start w:val="1"/>
    </w:lvl>
    <w:lvl w:ilvl="1">
      <w:lvlJc w:val="left"/>
      <w:lvlText w:val="(%2)"/>
      <w:numFmt w:val="lowerRoman"/>
      <w:start w:val="1"/>
    </w:lvl>
  </w:abstractNum>
  <w:abstractNum w:abstractNumId="152">
    <w:nsid w:val="4ABE597"/>
    <w:multiLevelType w:val="hybridMultilevel"/>
    <w:lvl w:ilvl="0">
      <w:lvlJc w:val="left"/>
      <w:lvlText w:val="%1"/>
      <w:numFmt w:val="lowerLetter"/>
      <w:start w:val="1"/>
    </w:lvl>
    <w:lvl w:ilvl="1">
      <w:lvlJc w:val="left"/>
      <w:lvlText w:val="(%2)"/>
      <w:numFmt w:val="lowerRoman"/>
      <w:start w:val="3"/>
    </w:lvl>
  </w:abstractNum>
  <w:abstractNum w:abstractNumId="153">
    <w:nsid w:val="5C64AD75"/>
    <w:multiLevelType w:val="hybridMultilevel"/>
    <w:lvl w:ilvl="0">
      <w:lvlJc w:val="left"/>
      <w:lvlText w:val="(%1)"/>
      <w:numFmt w:val="lowerLetter"/>
      <w:start w:val="2"/>
    </w:lvl>
    <w:lvl w:ilvl="1">
      <w:lvlJc w:val="left"/>
      <w:lvlText w:val="%2"/>
      <w:numFmt w:val="lowerRoman"/>
      <w:start w:val="1"/>
    </w:lvl>
  </w:abstractNum>
  <w:abstractNum w:abstractNumId="154">
    <w:nsid w:val="2CDD5B39"/>
    <w:multiLevelType w:val="hybridMultilevel"/>
    <w:lvl w:ilvl="0">
      <w:lvlJc w:val="left"/>
      <w:lvlText w:val="(%1)"/>
      <w:numFmt w:val="lowerLetter"/>
      <w:start w:val="1"/>
    </w:lvl>
    <w:lvl w:ilvl="1">
      <w:lvlJc w:val="left"/>
      <w:lvlText w:val="(%2)"/>
      <w:numFmt w:val="lowerRoman"/>
      <w:start w:val="1"/>
    </w:lvl>
  </w:abstractNum>
  <w:abstractNum w:abstractNumId="155">
    <w:nsid w:val="6F9EA0D1"/>
    <w:multiLevelType w:val="hybridMultilevel"/>
    <w:lvl w:ilvl="0">
      <w:lvlJc w:val="left"/>
      <w:lvlText w:val="(%1)"/>
      <w:numFmt w:val="lowerLetter"/>
      <w:start w:val="1"/>
    </w:lvl>
  </w:abstractNum>
  <w:abstractNum w:abstractNumId="156">
    <w:nsid w:val="247FC4AE"/>
    <w:multiLevelType w:val="hybridMultilevel"/>
    <w:lvl w:ilvl="0">
      <w:lvlJc w:val="left"/>
      <w:lvlText w:val="(%1)"/>
      <w:numFmt w:val="lowerLetter"/>
      <w:start w:val="1"/>
    </w:lvl>
  </w:abstractNum>
  <w:abstractNum w:abstractNumId="157">
    <w:nsid w:val="46C01B05"/>
    <w:multiLevelType w:val="hybridMultilevel"/>
    <w:lvl w:ilvl="0">
      <w:lvlJc w:val="left"/>
      <w:lvlText w:val="(%1)"/>
      <w:numFmt w:val="lowerLetter"/>
      <w:start w:val="2"/>
    </w:lvl>
  </w:abstractNum>
  <w:abstractNum w:abstractNumId="158">
    <w:nsid w:val="566EC29B"/>
    <w:multiLevelType w:val="hybridMultilevel"/>
    <w:lvl w:ilvl="0">
      <w:lvlJc w:val="left"/>
      <w:lvlText w:val="(%1)"/>
      <w:numFmt w:val="lowerLetter"/>
      <w:start w:val="1"/>
    </w:lvl>
  </w:abstractNum>
  <w:abstractNum w:abstractNumId="159">
    <w:nsid w:val="7A963843"/>
    <w:multiLevelType w:val="hybridMultilevel"/>
    <w:lvl w:ilvl="0">
      <w:lvlJc w:val="left"/>
      <w:lvlText w:val="(%1)"/>
      <w:numFmt w:val="lowerLetter"/>
      <w:start w:val="1"/>
    </w:lvl>
  </w:abstractNum>
  <w:abstractNum w:abstractNumId="160">
    <w:nsid w:val="4FE12F61"/>
    <w:multiLevelType w:val="hybridMultilevel"/>
    <w:lvl w:ilvl="0">
      <w:lvlJc w:val="left"/>
      <w:lvlText w:val="%1"/>
      <w:numFmt w:val="decimal"/>
      <w:start w:val="17"/>
    </w:lvl>
  </w:abstractNum>
  <w:abstractNum w:abstractNumId="161">
    <w:nsid w:val="51A3A284"/>
    <w:multiLevelType w:val="hybridMultilevel"/>
    <w:lvl w:ilvl="0">
      <w:lvlJc w:val="left"/>
      <w:lvlText w:val="(%1)"/>
      <w:numFmt w:val="lowerLetter"/>
      <w:start w:val="1"/>
    </w:lvl>
    <w:lvl w:ilvl="1">
      <w:lvlJc w:val="left"/>
      <w:lvlText w:val="(%2)"/>
      <w:numFmt w:val="upperLetter"/>
      <w:start w:val="1"/>
    </w:lvl>
  </w:abstractNum>
  <w:abstractNum w:abstractNumId="162">
    <w:nsid w:val="376863BC"/>
    <w:multiLevelType w:val="hybridMultilevel"/>
    <w:lvl w:ilvl="0">
      <w:lvlJc w:val="left"/>
      <w:lvlText w:val="(%1)"/>
      <w:numFmt w:val="lowerRoman"/>
      <w:start w:val="2"/>
    </w:lvl>
  </w:abstractNum>
  <w:abstractNum w:abstractNumId="163">
    <w:nsid w:val="118C6C0"/>
    <w:multiLevelType w:val="hybridMultilevel"/>
    <w:lvl w:ilvl="0">
      <w:lvlJc w:val="left"/>
      <w:lvlText w:val="(%1)"/>
      <w:numFmt w:val="decimal"/>
      <w:start w:val="1"/>
    </w:lvl>
  </w:abstractNum>
  <w:abstractNum w:abstractNumId="164">
    <w:nsid w:val="7F7E4A15"/>
    <w:multiLevelType w:val="hybridMultilevel"/>
    <w:lvl w:ilvl="0">
      <w:lvlJc w:val="left"/>
      <w:lvlText w:val="(%1)"/>
      <w:numFmt w:val="lowerLetter"/>
      <w:start w:val="1"/>
    </w:lvl>
  </w:abstractNum>
  <w:abstractNum w:abstractNumId="165">
    <w:nsid w:val="2E8E9F47"/>
    <w:multiLevelType w:val="hybridMultilevel"/>
    <w:lvl w:ilvl="0">
      <w:lvlJc w:val="left"/>
      <w:lvlText w:val="(%1)"/>
      <w:numFmt w:val="lowerLetter"/>
      <w:start w:val="1"/>
    </w:lvl>
  </w:abstractNum>
  <w:abstractNum w:abstractNumId="166">
    <w:nsid w:val="76742596"/>
    <w:multiLevelType w:val="hybridMultilevel"/>
    <w:lvl w:ilvl="0">
      <w:lvlJc w:val="left"/>
      <w:lvlText w:val="(%1)"/>
      <w:numFmt w:val="lowerLetter"/>
      <w:start w:val="6"/>
    </w:lvl>
  </w:abstractNum>
  <w:abstractNum w:abstractNumId="167">
    <w:nsid w:val="CB55FF3"/>
    <w:multiLevelType w:val="hybridMultilevel"/>
    <w:lvl w:ilvl="0">
      <w:lvlJc w:val="left"/>
      <w:lvlText w:val="(%1)"/>
      <w:numFmt w:val="lowerLetter"/>
      <w:start w:val="1"/>
    </w:lvl>
  </w:abstractNum>
  <w:abstractNum w:abstractNumId="168">
    <w:nsid w:val="21DF319E"/>
    <w:multiLevelType w:val="hybridMultilevel"/>
    <w:lvl w:ilvl="0">
      <w:lvlJc w:val="left"/>
      <w:lvlText w:val="(%1)"/>
      <w:numFmt w:val="lowerLetter"/>
      <w:start w:val="1"/>
    </w:lvl>
  </w:abstractNum>
  <w:abstractNum w:abstractNumId="169">
    <w:nsid w:val="6687F34D"/>
    <w:multiLevelType w:val="hybridMultilevel"/>
    <w:lvl w:ilvl="0">
      <w:lvlJc w:val="left"/>
      <w:lvlText w:val="(%1)"/>
      <w:numFmt w:val="lowerLetter"/>
      <w:start w:val="5"/>
    </w:lvl>
  </w:abstractNum>
  <w:abstractNum w:abstractNumId="170">
    <w:nsid w:val="25415B0C"/>
    <w:multiLevelType w:val="hybridMultilevel"/>
    <w:lvl w:ilvl="0">
      <w:lvlJc w:val="left"/>
      <w:lvlText w:val="(%1)"/>
      <w:numFmt w:val="lowerLetter"/>
      <w:start w:val="1"/>
    </w:lvl>
    <w:lvl w:ilvl="1">
      <w:lvlJc w:val="left"/>
      <w:lvlText w:val="(%2)"/>
      <w:numFmt w:val="lowerRoman"/>
      <w:start w:val="1"/>
    </w:lvl>
  </w:abstractNum>
  <w:abstractNum w:abstractNumId="171">
    <w:nsid w:val="17CFC87D"/>
    <w:multiLevelType w:val="hybridMultilevel"/>
    <w:lvl w:ilvl="0">
      <w:lvlJc w:val="left"/>
      <w:lvlText w:val="(%1)"/>
      <w:numFmt w:val="lowerLetter"/>
      <w:start w:val="1"/>
    </w:lvl>
  </w:abstractNum>
  <w:abstractNum w:abstractNumId="172">
    <w:nsid w:val="5D66DC65"/>
    <w:multiLevelType w:val="hybridMultilevel"/>
    <w:lvl w:ilvl="0">
      <w:lvlJc w:val="left"/>
      <w:lvlText w:val="(%1)"/>
      <w:numFmt w:val="lowerLetter"/>
      <w:start w:val="1"/>
    </w:lvl>
  </w:abstractNum>
  <w:abstractNum w:abstractNumId="173">
    <w:nsid w:val="30BB2B99"/>
    <w:multiLevelType w:val="hybridMultilevel"/>
    <w:lvl w:ilvl="0">
      <w:lvlJc w:val="left"/>
      <w:lvlText w:val="(%1)"/>
      <w:numFmt w:val="lowerLetter"/>
      <w:start w:val="1"/>
    </w:lvl>
  </w:abstractNum>
  <w:abstractNum w:abstractNumId="174">
    <w:nsid w:val="E3DFE6"/>
    <w:multiLevelType w:val="hybridMultilevel"/>
    <w:lvl w:ilvl="0">
      <w:lvlJc w:val="left"/>
      <w:lvlText w:val="(%1)"/>
      <w:numFmt w:val="lowerLetter"/>
      <w:start w:val="1"/>
    </w:lvl>
  </w:abstractNum>
  <w:abstractNum w:abstractNumId="175">
    <w:nsid w:val="595B37F3"/>
    <w:multiLevelType w:val="hybridMultilevel"/>
    <w:lvl w:ilvl="0">
      <w:lvlJc w:val="left"/>
      <w:lvlText w:val="(%1)"/>
      <w:numFmt w:val="lowerRoman"/>
      <w:start w:val="1"/>
    </w:lvl>
  </w:abstractNum>
  <w:abstractNum w:abstractNumId="176">
    <w:nsid w:val="71DB7E02"/>
    <w:multiLevelType w:val="hybridMultilevel"/>
    <w:lvl w:ilvl="0">
      <w:lvlJc w:val="left"/>
      <w:lvlText w:val="(%1)"/>
      <w:numFmt w:val="lowerLetter"/>
      <w:start w:val="2"/>
    </w:lvl>
  </w:abstractNum>
  <w:abstractNum w:abstractNumId="177">
    <w:nsid w:val="17EC0C4"/>
    <w:multiLevelType w:val="hybridMultilevel"/>
    <w:lvl w:ilvl="0">
      <w:lvlJc w:val="left"/>
      <w:lvlText w:val="(%1)"/>
      <w:numFmt w:val="lowerLetter"/>
      <w:start w:val="1"/>
    </w:lvl>
  </w:abstractNum>
  <w:abstractNum w:abstractNumId="178">
    <w:nsid w:val="7173BB22"/>
    <w:multiLevelType w:val="hybridMultilevel"/>
    <w:lvl w:ilvl="0">
      <w:lvlJc w:val="left"/>
      <w:lvlText w:val="(%1)"/>
      <w:numFmt w:val="lowerLetter"/>
      <w:start w:val="1"/>
    </w:lvl>
  </w:abstractNum>
  <w:abstractNum w:abstractNumId="179">
    <w:nsid w:val="169E1DD3"/>
    <w:multiLevelType w:val="hybridMultilevel"/>
    <w:lvl w:ilvl="0">
      <w:lvlJc w:val="left"/>
      <w:lvlText w:val="(%1)"/>
      <w:numFmt w:val="lowerLetter"/>
      <w:start w:val="1"/>
    </w:lvl>
  </w:abstractNum>
  <w:abstractNum w:abstractNumId="180">
    <w:nsid w:val="51D141CC"/>
    <w:multiLevelType w:val="hybridMultilevel"/>
    <w:lvl w:ilvl="0">
      <w:lvlJc w:val="left"/>
      <w:lvlText w:val="(%1)"/>
      <w:numFmt w:val="lowerLetter"/>
      <w:start w:val="2"/>
    </w:lvl>
  </w:abstractNum>
  <w:abstractNum w:abstractNumId="181">
    <w:nsid w:val="12F9357A"/>
    <w:multiLevelType w:val="hybridMultilevel"/>
    <w:lvl w:ilvl="0">
      <w:lvlJc w:val="left"/>
      <w:lvlText w:val="(%1)"/>
      <w:numFmt w:val="lowerLetter"/>
      <w:start w:val="1"/>
    </w:lvl>
  </w:abstractNum>
  <w:abstractNum w:abstractNumId="182">
    <w:nsid w:val="7672CF28"/>
    <w:multiLevelType w:val="hybridMultilevel"/>
    <w:lvl w:ilvl="0">
      <w:lvlJc w:val="left"/>
      <w:lvlText w:val="(%1)"/>
      <w:numFmt w:val="lowerLetter"/>
      <w:start w:val="2"/>
    </w:lvl>
  </w:abstractNum>
  <w:abstractNum w:abstractNumId="183">
    <w:nsid w:val="567D2763"/>
    <w:multiLevelType w:val="hybridMultilevel"/>
    <w:lvl w:ilvl="0">
      <w:lvlJc w:val="left"/>
      <w:lvlText w:val="(%1)"/>
      <w:numFmt w:val="lowerLetter"/>
      <w:start w:val="1"/>
    </w:lvl>
  </w:abstractNum>
  <w:abstractNum w:abstractNumId="184">
    <w:nsid w:val="6F5DE2EF"/>
    <w:multiLevelType w:val="hybridMultilevel"/>
    <w:lvl w:ilvl="0">
      <w:lvlJc w:val="left"/>
      <w:lvlText w:val="(%1)"/>
      <w:numFmt w:val="lowerLetter"/>
      <w:start w:val="1"/>
    </w:lvl>
  </w:abstractNum>
  <w:abstractNum w:abstractNumId="185">
    <w:nsid w:val="23502A61"/>
    <w:multiLevelType w:val="hybridMultilevel"/>
    <w:lvl w:ilvl="0">
      <w:lvlJc w:val="left"/>
      <w:lvlText w:val="(%1)"/>
      <w:numFmt w:val="lowerLetter"/>
      <w:start w:val="1"/>
    </w:lvl>
  </w:abstractNum>
  <w:abstractNum w:abstractNumId="186">
    <w:nsid w:val="461BC834"/>
    <w:multiLevelType w:val="hybridMultilevel"/>
    <w:lvl w:ilvl="0">
      <w:lvlJc w:val="left"/>
      <w:lvlText w:val="(%1)"/>
      <w:numFmt w:val="lowerLetter"/>
      <w:start w:val="3"/>
    </w:lvl>
  </w:abstractNum>
  <w:abstractNum w:abstractNumId="187">
    <w:nsid w:val="13DDA79D"/>
    <w:multiLevelType w:val="hybridMultilevel"/>
    <w:lvl w:ilvl="0">
      <w:lvlJc w:val="left"/>
      <w:lvlText w:val="(%1)"/>
      <w:numFmt w:val="lowerLetter"/>
      <w:start w:val="1"/>
    </w:lvl>
  </w:abstractNum>
  <w:abstractNum w:abstractNumId="188">
    <w:nsid w:val="6A104566"/>
    <w:multiLevelType w:val="hybridMultilevel"/>
    <w:lvl w:ilvl="0">
      <w:lvlJc w:val="left"/>
      <w:lvlText w:val="(%1)"/>
      <w:numFmt w:val="lowerLetter"/>
      <w:start w:val="1"/>
    </w:lvl>
    <w:lvl w:ilvl="1">
      <w:lvlJc w:val="left"/>
      <w:lvlText w:val="(%2)"/>
      <w:numFmt w:val="lowerRoman"/>
      <w:start w:val="1"/>
    </w:lvl>
  </w:abstractNum>
  <w:abstractNum w:abstractNumId="189">
    <w:nsid w:val="1C8A8ACF"/>
    <w:multiLevelType w:val="hybridMultilevel"/>
    <w:lvl w:ilvl="0">
      <w:lvlJc w:val="left"/>
      <w:lvlText w:val="(%1)"/>
      <w:numFmt w:val="lowerLetter"/>
      <w:start w:val="2"/>
    </w:lvl>
  </w:abstractNum>
  <w:abstractNum w:abstractNumId="190">
    <w:nsid w:val="E73DFE0"/>
    <w:multiLevelType w:val="hybridMultilevel"/>
    <w:lvl w:ilvl="0">
      <w:lvlJc w:val="left"/>
      <w:lvlText w:val="(%1)"/>
      <w:numFmt w:val="lowerLetter"/>
      <w:start w:val="1"/>
    </w:lvl>
  </w:abstractNum>
  <w:abstractNum w:abstractNumId="191">
    <w:nsid w:val="39F174C7"/>
    <w:multiLevelType w:val="hybridMultilevel"/>
    <w:lvl w:ilvl="0">
      <w:lvlJc w:val="left"/>
      <w:lvlText w:val="(%1)"/>
      <w:numFmt w:val="lowerLetter"/>
      <w:start w:val="1"/>
    </w:lvl>
  </w:abstractNum>
  <w:abstractNum w:abstractNumId="192">
    <w:nsid w:val="6E2E2D53"/>
    <w:multiLevelType w:val="hybridMultilevel"/>
    <w:lvl w:ilvl="0">
      <w:lvlJc w:val="left"/>
      <w:lvlText w:val="(%1)"/>
      <w:numFmt w:val="lowerLetter"/>
      <w:start w:val="1"/>
    </w:lvl>
  </w:abstractNum>
  <w:abstractNum w:abstractNumId="193">
    <w:nsid w:val="45DC439D"/>
    <w:multiLevelType w:val="hybridMultilevel"/>
    <w:lvl w:ilvl="0">
      <w:lvlJc w:val="left"/>
      <w:lvlText w:val="(%1)"/>
      <w:numFmt w:val="lowerRoman"/>
      <w:start w:val="1"/>
    </w:lvl>
  </w:abstractNum>
  <w:abstractNum w:abstractNumId="194">
    <w:nsid w:val="3B0A3B87"/>
    <w:multiLevelType w:val="hybridMultilevel"/>
    <w:lvl w:ilvl="0">
      <w:lvlJc w:val="left"/>
      <w:lvlText w:val="(%1)"/>
      <w:numFmt w:val="lowerLetter"/>
      <w:start w:val="3"/>
    </w:lvl>
  </w:abstractNum>
  <w:abstractNum w:abstractNumId="195">
    <w:nsid w:val="6DAC7768"/>
    <w:multiLevelType w:val="hybridMultilevel"/>
    <w:lvl w:ilvl="0">
      <w:lvlJc w:val="left"/>
      <w:lvlText w:val="(%1)"/>
      <w:numFmt w:val="lowerLetter"/>
      <w:start w:val="1"/>
    </w:lvl>
  </w:abstractNum>
  <w:abstractNum w:abstractNumId="196">
    <w:nsid w:val="746AE2E4"/>
    <w:multiLevelType w:val="hybridMultilevel"/>
    <w:lvl w:ilvl="0">
      <w:lvlJc w:val="left"/>
      <w:lvlText w:val="(%1)"/>
      <w:numFmt w:val="lowerLetter"/>
      <w:start w:val="1"/>
    </w:lvl>
    <w:lvl w:ilvl="1">
      <w:lvlJc w:val="left"/>
      <w:lvlText w:val="(%2)"/>
      <w:numFmt w:val="lowerRoman"/>
      <w:start w:val="1"/>
    </w:lvl>
  </w:abstractNum>
  <w:abstractNum w:abstractNumId="197">
    <w:nsid w:val="317E611D"/>
    <w:multiLevelType w:val="hybridMultilevel"/>
    <w:lvl w:ilvl="0">
      <w:lvlJc w:val="left"/>
      <w:lvlText w:val="(%1)"/>
      <w:numFmt w:val="lowerLetter"/>
      <w:start w:val="1"/>
    </w:lvl>
    <w:lvl w:ilvl="1">
      <w:lvlJc w:val="left"/>
      <w:lvlText w:val="(%2)"/>
      <w:numFmt w:val="lowerRoman"/>
      <w:start w:val="1"/>
    </w:lvl>
  </w:abstractNum>
  <w:abstractNum w:abstractNumId="198">
    <w:nsid w:val="7A61D75B"/>
    <w:multiLevelType w:val="hybridMultilevel"/>
    <w:lvl w:ilvl="0">
      <w:lvlJc w:val="left"/>
      <w:lvlText w:val="(%1)"/>
      <w:numFmt w:val="lowerLetter"/>
      <w:start w:val="1"/>
    </w:lvl>
    <w:lvl w:ilvl="1">
      <w:lvlJc w:val="left"/>
      <w:lvlText w:val="(%2)"/>
      <w:numFmt w:val="lowerRoman"/>
      <w:start w:val="1"/>
    </w:lvl>
  </w:abstractNum>
  <w:abstractNum w:abstractNumId="199">
    <w:nsid w:val="164A1482"/>
    <w:multiLevelType w:val="hybridMultilevel"/>
    <w:lvl w:ilvl="0">
      <w:lvlJc w:val="left"/>
      <w:lvlText w:val="%1"/>
      <w:numFmt w:val="lowerLetter"/>
      <w:start w:val="1"/>
    </w:lvl>
    <w:lvl w:ilvl="1">
      <w:lvlJc w:val="left"/>
      <w:lvlText w:val="(%2)"/>
      <w:numFmt w:val="lowerLetter"/>
      <w:start w:val="61"/>
    </w:lvl>
  </w:abstractNum>
  <w:abstractNum w:abstractNumId="200">
    <w:nsid w:val="1806546B"/>
    <w:multiLevelType w:val="hybridMultilevel"/>
    <w:lvl w:ilvl="0">
      <w:lvlJc w:val="left"/>
      <w:lvlText w:val="(%1)"/>
      <w:numFmt w:val="lowerLetter"/>
      <w:start w:val="3"/>
    </w:lvl>
    <w:lvl w:ilvl="1">
      <w:lvlJc w:val="left"/>
      <w:lvlText w:val="(%2)"/>
      <w:numFmt w:val="lowerLetter"/>
      <w:start w:val="9"/>
    </w:lvl>
  </w:abstractNum>
  <w:abstractNum w:abstractNumId="201">
    <w:nsid w:val="1FA33267"/>
    <w:multiLevelType w:val="hybridMultilevel"/>
    <w:lvl w:ilvl="0">
      <w:lvlJc w:val="left"/>
      <w:lvlText w:val="(%1)"/>
      <w:numFmt w:val="lowerRoman"/>
      <w:start w:val="2"/>
    </w:lvl>
  </w:abstractNum>
  <w:abstractNum w:abstractNumId="202">
    <w:nsid w:val="2E19DD00"/>
    <w:multiLevelType w:val="hybridMultilevel"/>
    <w:lvl w:ilvl="0">
      <w:lvlJc w:val="left"/>
      <w:lvlText w:val="(%1)"/>
      <w:numFmt w:val="lowerLetter"/>
      <w:start w:val="1"/>
    </w:lvl>
  </w:abstractNum>
  <w:abstractNum w:abstractNumId="203">
    <w:nsid w:val="756D30D0"/>
    <w:multiLevelType w:val="hybridMultilevel"/>
    <w:lvl w:ilvl="0">
      <w:lvlJc w:val="left"/>
      <w:lvlText w:val="(%1)"/>
      <w:numFmt w:val="lowerLetter"/>
      <w:start w:val="1"/>
    </w:lvl>
  </w:abstractNum>
  <w:abstractNum w:abstractNumId="204">
    <w:nsid w:val="505E5E01"/>
    <w:multiLevelType w:val="hybridMultilevel"/>
    <w:lvl w:ilvl="0">
      <w:lvlJc w:val="left"/>
      <w:lvlText w:val="(%1)"/>
      <w:numFmt w:val="lowerLetter"/>
      <w:start w:val="1"/>
    </w:lvl>
    <w:lvl w:ilvl="1">
      <w:lvlJc w:val="left"/>
      <w:lvlText w:val="(%2)"/>
      <w:numFmt w:val="lowerRoman"/>
      <w:start w:val="1"/>
    </w:lvl>
  </w:abstractNum>
  <w:abstractNum w:abstractNumId="205">
    <w:nsid w:val="2EFDBCE6"/>
    <w:multiLevelType w:val="hybridMultilevel"/>
    <w:lvl w:ilvl="0">
      <w:lvlJc w:val="left"/>
      <w:lvlText w:val="(%1)"/>
      <w:numFmt w:val="lowerLetter"/>
      <w:start w:val="1"/>
    </w:lvl>
    <w:lvl w:ilvl="1">
      <w:lvlJc w:val="left"/>
      <w:lvlText w:val="(%2)"/>
      <w:numFmt w:val="lowerRoman"/>
      <w:start w:val="1"/>
    </w:lvl>
  </w:abstractNum>
  <w:abstractNum w:abstractNumId="206">
    <w:nsid w:val="4EC868C4"/>
    <w:multiLevelType w:val="hybridMultilevel"/>
    <w:lvl w:ilvl="0">
      <w:lvlJc w:val="left"/>
      <w:lvlText w:val="(%1)"/>
      <w:numFmt w:val="lowerLetter"/>
      <w:start w:val="2"/>
    </w:lvl>
  </w:abstractNum>
  <w:abstractNum w:abstractNumId="207">
    <w:nsid w:val="4239DC03"/>
    <w:multiLevelType w:val="hybridMultilevel"/>
    <w:lvl w:ilvl="0">
      <w:lvlJc w:val="left"/>
      <w:lvlText w:val="(%1)"/>
      <w:numFmt w:val="lowerLetter"/>
      <w:start w:val="1"/>
    </w:lvl>
  </w:abstractNum>
  <w:abstractNum w:abstractNumId="208">
    <w:nsid w:val="307C7DAA"/>
    <w:multiLevelType w:val="hybridMultilevel"/>
    <w:lvl w:ilvl="0">
      <w:lvlJc w:val="left"/>
      <w:lvlText w:val="(%1)"/>
      <w:numFmt w:val="lowerLetter"/>
      <w:start w:val="1"/>
    </w:lvl>
  </w:abstractNum>
  <w:abstractNum w:abstractNumId="209">
    <w:nsid w:val="403C23E6"/>
    <w:multiLevelType w:val="hybridMultilevel"/>
    <w:lvl w:ilvl="0">
      <w:lvlJc w:val="left"/>
      <w:lvlText w:val="(%1)"/>
      <w:numFmt w:val="lowerLetter"/>
      <w:start w:val="1"/>
    </w:lvl>
  </w:abstractNum>
  <w:abstractNum w:abstractNumId="210">
    <w:nsid w:val="58D7F9D7"/>
    <w:multiLevelType w:val="hybridMultilevel"/>
    <w:lvl w:ilvl="0">
      <w:lvlJc w:val="left"/>
      <w:lvlText w:val="(%1)"/>
      <w:numFmt w:val="lowerLetter"/>
      <w:start w:val="1"/>
    </w:lvl>
  </w:abstractNum>
  <w:abstractNum w:abstractNumId="211">
    <w:nsid w:val="24DBF76"/>
    <w:multiLevelType w:val="hybridMultilevel"/>
    <w:lvl w:ilvl="0">
      <w:lvlJc w:val="left"/>
      <w:lvlText w:val="(%1)"/>
      <w:numFmt w:val="lowerRoman"/>
      <w:start w:val="1"/>
    </w:lvl>
  </w:abstractNum>
  <w:abstractNum w:abstractNumId="212">
    <w:nsid w:val="53355960"/>
    <w:multiLevelType w:val="hybridMultilevel"/>
    <w:lvl w:ilvl="0">
      <w:lvlJc w:val="left"/>
      <w:lvlText w:val="(%1)"/>
      <w:numFmt w:val="lowerLetter"/>
      <w:start w:val="1"/>
    </w:lvl>
    <w:lvl w:ilvl="1">
      <w:lvlJc w:val="left"/>
      <w:lvlText w:val="(%2)"/>
      <w:numFmt w:val="lowerRoman"/>
      <w:start w:val="1"/>
    </w:lvl>
  </w:abstractNum>
  <w:abstractNum w:abstractNumId="213">
    <w:nsid w:val="4F4AC8FF"/>
    <w:multiLevelType w:val="hybridMultilevel"/>
    <w:lvl w:ilvl="0">
      <w:lvlJc w:val="left"/>
      <w:lvlText w:val="(%1)"/>
      <w:numFmt w:val="lowerLetter"/>
      <w:start w:val="1"/>
    </w:lvl>
    <w:lvl w:ilvl="1">
      <w:lvlJc w:val="left"/>
      <w:lvlText w:val="(%2)"/>
      <w:numFmt w:val="lowerRoman"/>
      <w:start w:val="1"/>
    </w:lvl>
  </w:abstractNum>
  <w:abstractNum w:abstractNumId="214">
    <w:nsid w:val="58CAE6D9"/>
    <w:multiLevelType w:val="hybridMultilevel"/>
    <w:lvl w:ilvl="0">
      <w:lvlJc w:val="left"/>
      <w:lvlText w:val="(%1)"/>
      <w:numFmt w:val="lowerLetter"/>
      <w:start w:val="1"/>
    </w:lvl>
  </w:abstractNum>
  <w:abstractNum w:abstractNumId="215">
    <w:nsid w:val="42933C4F"/>
    <w:multiLevelType w:val="hybridMultilevel"/>
    <w:lvl w:ilvl="0">
      <w:lvlJc w:val="left"/>
      <w:lvlText w:val="(%1)"/>
      <w:numFmt w:val="lowerLetter"/>
      <w:start w:val="1"/>
    </w:lvl>
  </w:abstractNum>
  <w:abstractNum w:abstractNumId="216">
    <w:nsid w:val="729AF360"/>
    <w:multiLevelType w:val="hybridMultilevel"/>
    <w:lvl w:ilvl="0">
      <w:lvlJc w:val="left"/>
      <w:lvlText w:val="(%1)"/>
      <w:numFmt w:val="lowerLetter"/>
      <w:start w:val="2"/>
    </w:lvl>
  </w:abstractNum>
  <w:abstractNum w:abstractNumId="217">
    <w:nsid w:val="1EE6AF0D"/>
    <w:multiLevelType w:val="hybridMultilevel"/>
    <w:lvl w:ilvl="0">
      <w:lvlJc w:val="left"/>
      <w:lvlText w:val="(%1)"/>
      <w:numFmt w:val="lowerLetter"/>
      <w:start w:val="1"/>
    </w:lvl>
    <w:lvl w:ilvl="1">
      <w:lvlJc w:val="left"/>
      <w:lvlText w:val="(%2)"/>
      <w:numFmt w:val="lowerRoman"/>
      <w:start w:val="1"/>
    </w:lvl>
  </w:abstractNum>
  <w:abstractNum w:abstractNumId="218">
    <w:nsid w:val="5670E3ED"/>
    <w:multiLevelType w:val="hybridMultilevel"/>
    <w:lvl w:ilvl="0">
      <w:lvlJc w:val="left"/>
      <w:lvlText w:val="%1"/>
      <w:numFmt w:val="lowerLetter"/>
      <w:start w:val="1"/>
    </w:lvl>
    <w:lvl w:ilvl="1">
      <w:lvlJc w:val="left"/>
      <w:lvlText w:val="(%2)"/>
      <w:numFmt w:val="lowerRoman"/>
      <w:start w:val="2"/>
    </w:lvl>
  </w:abstractNum>
  <w:abstractNum w:abstractNumId="219">
    <w:nsid w:val="5CAB38C6"/>
    <w:multiLevelType w:val="hybridMultilevel"/>
    <w:lvl w:ilvl="0">
      <w:lvlJc w:val="left"/>
      <w:lvlText w:val="(%1)"/>
      <w:numFmt w:val="lowerLetter"/>
      <w:start w:val="4"/>
    </w:lvl>
    <w:lvl w:ilvl="1">
      <w:lvlJc w:val="left"/>
      <w:lvlText w:val="%2"/>
      <w:numFmt w:val="lowerRoman"/>
      <w:start w:val="1"/>
    </w:lvl>
  </w:abstractNum>
  <w:abstractNum w:abstractNumId="220">
    <w:nsid w:val="3B7139DD"/>
    <w:multiLevelType w:val="hybridMultilevel"/>
    <w:lvl w:ilvl="0">
      <w:lvlJc w:val="left"/>
      <w:lvlText w:val="(%1)"/>
      <w:numFmt w:val="lowerLetter"/>
      <w:start w:val="1"/>
    </w:lvl>
  </w:abstractNum>
  <w:abstractNum w:abstractNumId="221">
    <w:nsid w:val="64E4C3CD"/>
    <w:multiLevelType w:val="hybridMultilevel"/>
    <w:lvl w:ilvl="0">
      <w:lvlJc w:val="left"/>
      <w:lvlText w:val="(%1)"/>
      <w:numFmt w:val="lowerLetter"/>
      <w:start w:val="4"/>
    </w:lvl>
  </w:abstractNum>
  <w:abstractNum w:abstractNumId="222">
    <w:nsid w:val="169CAD8D"/>
    <w:multiLevelType w:val="hybridMultilevel"/>
    <w:lvl w:ilvl="0">
      <w:lvlJc w:val="left"/>
      <w:lvlText w:val="(%1)"/>
      <w:numFmt w:val="lowerLetter"/>
      <w:start w:val="6"/>
    </w:lvl>
  </w:abstractNum>
  <w:abstractNum w:abstractNumId="223">
    <w:nsid w:val="299F6730"/>
    <w:multiLevelType w:val="hybridMultilevel"/>
    <w:lvl w:ilvl="0">
      <w:lvlJc w:val="left"/>
      <w:lvlText w:val="(%1)"/>
      <w:numFmt w:val="lowerLetter"/>
      <w:start w:val="1"/>
    </w:lvl>
  </w:abstractNum>
  <w:abstractNum w:abstractNumId="224">
    <w:nsid w:val="2AC1076A"/>
    <w:multiLevelType w:val="hybridMultilevel"/>
    <w:lvl w:ilvl="0">
      <w:lvlJc w:val="left"/>
      <w:lvlText w:val="(%1)"/>
      <w:numFmt w:val="lowerLetter"/>
      <w:start w:val="1"/>
    </w:lvl>
    <w:lvl w:ilvl="1">
      <w:lvlJc w:val="left"/>
      <w:lvlText w:val="(%2)"/>
      <w:numFmt w:val="lowerRoman"/>
      <w:start w:val="1"/>
    </w:lvl>
  </w:abstractNum>
  <w:abstractNum w:abstractNumId="225">
    <w:nsid w:val="51A6E915"/>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226">
    <w:nsid w:val="174BDE9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227">
    <w:nsid w:val="1F2BEA4E"/>
    <w:multiLevelType w:val="hybridMultilevel"/>
    <w:lvl w:ilvl="0">
      <w:lvlJc w:val="left"/>
      <w:lvlText w:val="(%1)"/>
      <w:numFmt w:val="lowerLetter"/>
      <w:start w:val="1"/>
    </w:lvl>
  </w:abstractNum>
  <w:abstractNum w:abstractNumId="228">
    <w:nsid w:val="3254A32"/>
    <w:multiLevelType w:val="hybridMultilevel"/>
    <w:lvl w:ilvl="0">
      <w:lvlJc w:val="left"/>
      <w:lvlText w:val="(%1)"/>
      <w:numFmt w:val="lowerLetter"/>
      <w:start w:val="3"/>
    </w:lvl>
  </w:abstractNum>
  <w:abstractNum w:abstractNumId="229">
    <w:nsid w:val="11ADB5F4"/>
    <w:multiLevelType w:val="hybridMultilevel"/>
    <w:lvl w:ilvl="0">
      <w:lvlJc w:val="left"/>
      <w:lvlText w:val="(%1)"/>
      <w:numFmt w:val="lowerLetter"/>
      <w:start w:val="1"/>
    </w:lvl>
  </w:abstractNum>
  <w:abstractNum w:abstractNumId="230">
    <w:nsid w:val="3575FED1"/>
    <w:multiLevelType w:val="hybridMultilevel"/>
    <w:lvl w:ilvl="0">
      <w:lvlJc w:val="left"/>
      <w:lvlText w:val="(%1)"/>
      <w:numFmt w:val="lowerLetter"/>
      <w:start w:val="1"/>
    </w:lvl>
  </w:abstractNum>
  <w:abstractNum w:abstractNumId="231">
    <w:nsid w:val="1B2B9E9D"/>
    <w:multiLevelType w:val="hybridMultilevel"/>
    <w:lvl w:ilvl="0">
      <w:lvlJc w:val="left"/>
      <w:lvlText w:val="(%1)"/>
      <w:numFmt w:val="lowerLetter"/>
      <w:start w:val="1"/>
    </w:lvl>
    <w:lvl w:ilvl="1">
      <w:lvlJc w:val="left"/>
      <w:lvlText w:val="(%2)"/>
      <w:numFmt w:val="lowerRoman"/>
      <w:start w:val="1"/>
    </w:lvl>
  </w:abstractNum>
  <w:abstractNum w:abstractNumId="232">
    <w:nsid w:val="3150E85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33">
    <w:nsid w:val="638FDBD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34">
    <w:nsid w:val="1098CF6E"/>
    <w:multiLevelType w:val="hybridMultilevel"/>
    <w:lvl w:ilvl="0">
      <w:lvlJc w:val="left"/>
      <w:lvlText w:val="(%1)"/>
      <w:numFmt w:val="lowerLetter"/>
      <w:start w:val="1"/>
    </w:lvl>
  </w:abstractNum>
  <w:abstractNum w:abstractNumId="235">
    <w:nsid w:val="1AF465D"/>
    <w:multiLevelType w:val="hybridMultilevel"/>
    <w:lvl w:ilvl="0">
      <w:lvlJc w:val="left"/>
      <w:lvlText w:val="(%1)"/>
      <w:numFmt w:val="lowerLetter"/>
      <w:start w:val="1"/>
    </w:lvl>
  </w:abstractNum>
  <w:abstractNum w:abstractNumId="236">
    <w:nsid w:val="128D98B7"/>
    <w:multiLevelType w:val="hybridMultilevel"/>
    <w:lvl w:ilvl="0">
      <w:lvlJc w:val="left"/>
      <w:lvlText w:val="(%1)"/>
      <w:numFmt w:val="lowerLetter"/>
      <w:start w:val="1"/>
    </w:lvl>
  </w:abstractNum>
  <w:abstractNum w:abstractNumId="237">
    <w:nsid w:val="5F613832"/>
    <w:multiLevelType w:val="hybridMultilevel"/>
    <w:lvl w:ilvl="0">
      <w:lvlJc w:val="left"/>
      <w:lvlText w:val="(%1)"/>
      <w:numFmt w:val="lowerLetter"/>
      <w:start w:val="1"/>
    </w:lvl>
  </w:abstractNum>
  <w:abstractNum w:abstractNumId="238">
    <w:nsid w:val="43E92260"/>
    <w:multiLevelType w:val="hybridMultilevel"/>
    <w:lvl w:ilvl="0">
      <w:lvlJc w:val="left"/>
      <w:lvlText w:val="(%1)"/>
      <w:numFmt w:val="lowerLetter"/>
      <w:start w:val="1"/>
    </w:lvl>
  </w:abstractNum>
  <w:abstractNum w:abstractNumId="239">
    <w:nsid w:val="430A1662"/>
    <w:multiLevelType w:val="hybridMultilevel"/>
    <w:lvl w:ilvl="0">
      <w:lvlJc w:val="left"/>
      <w:lvlText w:val="(%1)"/>
      <w:numFmt w:val="lowerLetter"/>
      <w:start w:val="1"/>
    </w:lvl>
  </w:abstractNum>
  <w:abstractNum w:abstractNumId="240">
    <w:nsid w:val="1F9D5C18"/>
    <w:multiLevelType w:val="hybridMultilevel"/>
    <w:lvl w:ilvl="0">
      <w:lvlJc w:val="left"/>
      <w:lvlText w:val="(%1)"/>
      <w:numFmt w:val="lowerLetter"/>
      <w:start w:val="1"/>
    </w:lvl>
  </w:abstractNum>
  <w:abstractNum w:abstractNumId="241">
    <w:nsid w:val="1CC11C37"/>
    <w:multiLevelType w:val="hybridMultilevel"/>
    <w:lvl w:ilvl="0">
      <w:lvlJc w:val="left"/>
      <w:lvlText w:val="(%1)"/>
      <w:numFmt w:val="lowerLetter"/>
      <w:start w:val="1"/>
    </w:lvl>
  </w:abstractNum>
  <w:abstractNum w:abstractNumId="242">
    <w:nsid w:val="4557D5D8"/>
    <w:multiLevelType w:val="hybridMultilevel"/>
    <w:lvl w:ilvl="0">
      <w:lvlJc w:val="left"/>
      <w:lvlText w:val="(%1)"/>
      <w:numFmt w:val="lowerLetter"/>
      <w:start w:val="1"/>
    </w:lvl>
    <w:lvl w:ilvl="1">
      <w:lvlJc w:val="left"/>
      <w:lvlText w:val="(%2)"/>
      <w:numFmt w:val="lowerRoman"/>
      <w:start w:val="1"/>
    </w:lvl>
  </w:abstractNum>
  <w:abstractNum w:abstractNumId="243">
    <w:nsid w:val="72D2B579"/>
    <w:multiLevelType w:val="hybridMultilevel"/>
    <w:lvl w:ilvl="0">
      <w:lvlJc w:val="left"/>
      <w:lvlText w:val="(%1)"/>
      <w:numFmt w:val="lowerLetter"/>
      <w:start w:val="1"/>
    </w:lvl>
  </w:abstractNum>
  <w:abstractNum w:abstractNumId="244">
    <w:nsid w:val="6C0BE536"/>
    <w:multiLevelType w:val="hybridMultilevel"/>
    <w:lvl w:ilvl="0">
      <w:lvlJc w:val="left"/>
      <w:lvlText w:val="(%1)"/>
      <w:numFmt w:val="lowerLetter"/>
      <w:start w:val="1"/>
    </w:lvl>
  </w:abstractNum>
  <w:abstractNum w:abstractNumId="245">
    <w:nsid w:val="1E22BCB2"/>
    <w:multiLevelType w:val="hybridMultilevel"/>
    <w:lvl w:ilvl="0">
      <w:lvlJc w:val="left"/>
      <w:lvlText w:val="(%1)"/>
      <w:numFmt w:val="lowerLetter"/>
      <w:start w:val="1"/>
    </w:lvl>
  </w:abstractNum>
  <w:abstractNum w:abstractNumId="246">
    <w:nsid w:val="3565F1C8"/>
    <w:multiLevelType w:val="hybridMultilevel"/>
    <w:lvl w:ilvl="0">
      <w:lvlJc w:val="left"/>
      <w:lvlText w:val="(%1)"/>
      <w:numFmt w:val="lowerLetter"/>
      <w:start w:val="1"/>
    </w:lvl>
  </w:abstractNum>
  <w:abstractNum w:abstractNumId="247">
    <w:nsid w:val="5EA6D896"/>
    <w:multiLevelType w:val="hybridMultilevel"/>
    <w:lvl w:ilvl="0">
      <w:lvlJc w:val="left"/>
      <w:lvlText w:val="(%1)"/>
      <w:numFmt w:val="lowerLetter"/>
      <w:start w:val="1"/>
    </w:lvl>
  </w:abstractNum>
  <w:abstractNum w:abstractNumId="248">
    <w:nsid w:val="3D096BBF"/>
    <w:multiLevelType w:val="hybridMultilevel"/>
    <w:lvl w:ilvl="0">
      <w:lvlJc w:val="left"/>
      <w:lvlText w:val="(%1)"/>
      <w:numFmt w:val="lowerRoman"/>
      <w:start w:val="1"/>
    </w:lvl>
  </w:abstractNum>
  <w:abstractNum w:abstractNumId="249">
    <w:nsid w:val="BD6D5B5"/>
    <w:multiLevelType w:val="hybridMultilevel"/>
    <w:lvl w:ilvl="0">
      <w:lvlJc w:val="left"/>
      <w:lvlText w:val="(%1)"/>
      <w:numFmt w:val="lowerLetter"/>
      <w:start w:val="2"/>
    </w:lvl>
  </w:abstractNum>
  <w:abstractNum w:abstractNumId="250">
    <w:nsid w:val="3B52115C"/>
    <w:multiLevelType w:val="hybridMultilevel"/>
    <w:lvl w:ilvl="0">
      <w:lvlJc w:val="left"/>
      <w:lvlText w:val="(%1)"/>
      <w:numFmt w:val="lowerLetter"/>
      <w:start w:val="1"/>
    </w:lvl>
  </w:abstractNum>
  <w:abstractNum w:abstractNumId="251">
    <w:nsid w:val="787AA59C"/>
    <w:multiLevelType w:val="hybridMultilevel"/>
    <w:lvl w:ilvl="0">
      <w:lvlJc w:val="left"/>
      <w:lvlText w:val="(%1)"/>
      <w:numFmt w:val="lowerLetter"/>
      <w:start w:val="1"/>
    </w:lvl>
    <w:lvl w:ilvl="1">
      <w:lvlJc w:val="left"/>
      <w:lvlText w:val="(%2)"/>
      <w:numFmt w:val="decimal"/>
      <w:start w:val="3"/>
    </w:lvl>
  </w:abstractNum>
  <w:abstractNum w:abstractNumId="252">
    <w:nsid w:val="70BB9983"/>
    <w:multiLevelType w:val="hybridMultilevel"/>
    <w:lvl w:ilvl="0">
      <w:lvlJc w:val="left"/>
      <w:lvlText w:val="(%1)"/>
      <w:numFmt w:val="lowerLetter"/>
      <w:start w:val="1"/>
    </w:lvl>
  </w:abstractNum>
  <w:abstractNum w:abstractNumId="253">
    <w:nsid w:val="51EEBEEA"/>
    <w:multiLevelType w:val="hybridMultilevel"/>
    <w:lvl w:ilvl="0">
      <w:lvlJc w:val="left"/>
      <w:lvlText w:val="(%1)"/>
      <w:numFmt w:val="lowerLetter"/>
      <w:start w:val="1"/>
    </w:lvl>
    <w:lvl w:ilvl="1">
      <w:lvlJc w:val="left"/>
      <w:lvlText w:val="(%2)"/>
      <w:numFmt w:val="lowerRoman"/>
      <w:start w:val="1"/>
    </w:lvl>
  </w:abstractNum>
  <w:abstractNum w:abstractNumId="254">
    <w:nsid w:val="221A0CCD"/>
    <w:multiLevelType w:val="hybridMultilevel"/>
    <w:lvl w:ilvl="0">
      <w:lvlJc w:val="left"/>
      <w:lvlText w:val="%1"/>
      <w:numFmt w:val="lowerLetter"/>
      <w:start w:val="1"/>
    </w:lvl>
    <w:lvl w:ilvl="1">
      <w:lvlJc w:val="left"/>
      <w:lvlText w:val="(%2)"/>
      <w:numFmt w:val="lowerRoman"/>
      <w:start w:val="4"/>
    </w:lvl>
  </w:abstractNum>
  <w:abstractNum w:abstractNumId="255">
    <w:nsid w:val="1B7CA0ED"/>
    <w:multiLevelType w:val="hybridMultilevel"/>
    <w:lvl w:ilvl="0">
      <w:lvlJc w:val="left"/>
      <w:lvlText w:val="(%1)"/>
      <w:numFmt w:val="lowerLetter"/>
      <w:start w:val="2"/>
    </w:lvl>
    <w:lvl w:ilvl="1">
      <w:lvlJc w:val="left"/>
      <w:lvlText w:val="%2"/>
      <w:numFmt w:val="lowerRoman"/>
      <w:start w:val="1"/>
    </w:lvl>
  </w:abstractNum>
  <w:abstractNum w:abstractNumId="256">
    <w:nsid w:val="2395A7FF"/>
    <w:multiLevelType w:val="hybridMultilevel"/>
    <w:lvl w:ilvl="0">
      <w:lvlJc w:val="left"/>
      <w:lvlText w:val="(%1)"/>
      <w:numFmt w:val="lowerLetter"/>
      <w:start w:val="1"/>
    </w:lvl>
    <w:lvl w:ilvl="1">
      <w:lvlJc w:val="left"/>
      <w:lvlText w:val="(%2)"/>
      <w:numFmt w:val="lowerRoman"/>
      <w:start w:val="1"/>
    </w:lvl>
  </w:abstractNum>
  <w:abstractNum w:abstractNumId="257">
    <w:nsid w:val="3965EB66"/>
    <w:multiLevelType w:val="hybridMultilevel"/>
    <w:lvl w:ilvl="0">
      <w:lvlJc w:val="left"/>
      <w:lvlText w:val="(%1)"/>
      <w:numFmt w:val="lowerRoman"/>
      <w:start w:val="4"/>
    </w:lvl>
  </w:abstractNum>
  <w:abstractNum w:abstractNumId="258">
    <w:nsid w:val="3AA88B3C"/>
    <w:multiLevelType w:val="hybridMultilevel"/>
    <w:lvl w:ilvl="0">
      <w:lvlJc w:val="left"/>
      <w:lvlText w:val="(%1)"/>
      <w:numFmt w:val="lowerLetter"/>
      <w:start w:val="4"/>
    </w:lvl>
    <w:lvl w:ilvl="1">
      <w:lvlJc w:val="left"/>
      <w:lvlText w:val="(%2)"/>
      <w:numFmt w:val="lowerRoman"/>
      <w:start w:val="1"/>
    </w:lvl>
  </w:abstractNum>
  <w:abstractNum w:abstractNumId="259">
    <w:nsid w:val="26BAF231"/>
    <w:multiLevelType w:val="hybridMultilevel"/>
    <w:lvl w:ilvl="0">
      <w:lvlJc w:val="left"/>
      <w:lvlText w:val="(%1)"/>
      <w:numFmt w:val="lowerLetter"/>
      <w:start w:val="1"/>
    </w:lvl>
  </w:abstractNum>
  <w:abstractNum w:abstractNumId="260">
    <w:nsid w:val="4B13A15A"/>
    <w:multiLevelType w:val="hybridMultilevel"/>
    <w:lvl w:ilvl="0">
      <w:lvlJc w:val="left"/>
      <w:lvlText w:val="(%1)"/>
      <w:numFmt w:val="lowerLetter"/>
      <w:start w:val="1"/>
    </w:lvl>
  </w:abstractNum>
  <w:abstractNum w:abstractNumId="261">
    <w:nsid w:val="701E8A0D"/>
    <w:multiLevelType w:val="hybridMultilevel"/>
    <w:lvl w:ilvl="0">
      <w:lvlJc w:val="left"/>
      <w:lvlText w:val="(%1)"/>
      <w:numFmt w:val="lowerLetter"/>
      <w:start w:val="1"/>
    </w:lvl>
  </w:abstractNum>
  <w:abstractNum w:abstractNumId="262">
    <w:nsid w:val="41E690CF"/>
    <w:multiLevelType w:val="hybridMultilevel"/>
    <w:lvl w:ilvl="0">
      <w:lvlJc w:val="left"/>
      <w:lvlText w:val="(%1)"/>
      <w:numFmt w:val="lowerLetter"/>
      <w:start w:val="1"/>
    </w:lvl>
  </w:abstractNum>
  <w:abstractNum w:abstractNumId="263">
    <w:nsid w:val="7C6489B6"/>
    <w:multiLevelType w:val="hybridMultilevel"/>
    <w:lvl w:ilvl="0">
      <w:lvlJc w:val="left"/>
      <w:lvlText w:val="(%1)"/>
      <w:numFmt w:val="lowerLetter"/>
      <w:start w:val="1"/>
    </w:lvl>
  </w:abstractNum>
  <w:abstractNum w:abstractNumId="264">
    <w:nsid w:val="53AE65DE"/>
    <w:multiLevelType w:val="hybridMultilevel"/>
    <w:lvl w:ilvl="0">
      <w:lvlJc w:val="left"/>
      <w:lvlText w:val="(%1)"/>
      <w:numFmt w:val="lowerLetter"/>
      <w:start w:val="1"/>
    </w:lvl>
  </w:abstractNum>
  <w:abstractNum w:abstractNumId="265">
    <w:nsid w:val="527F603D"/>
    <w:multiLevelType w:val="hybridMultilevel"/>
    <w:lvl w:ilvl="0">
      <w:lvlJc w:val="left"/>
      <w:lvlText w:val="(%1)"/>
      <w:numFmt w:val="lowerLetter"/>
      <w:start w:val="4"/>
    </w:lvl>
  </w:abstractNum>
  <w:abstractNum w:abstractNumId="266">
    <w:nsid w:val="7E13D013"/>
    <w:multiLevelType w:val="hybridMultilevel"/>
    <w:lvl w:ilvl="0">
      <w:lvlJc w:val="left"/>
      <w:lvlText w:val="(%1)"/>
      <w:numFmt w:val="lowerLetter"/>
      <w:start w:val="1"/>
    </w:lvl>
  </w:abstractNum>
  <w:abstractNum w:abstractNumId="267">
    <w:nsid w:val="663BFE95"/>
    <w:multiLevelType w:val="hybridMultilevel"/>
    <w:lvl w:ilvl="0">
      <w:lvlJc w:val="left"/>
      <w:lvlText w:val="(%1)"/>
      <w:numFmt w:val="lowerLetter"/>
      <w:start w:val="1"/>
    </w:lvl>
  </w:abstractNum>
  <w:abstractNum w:abstractNumId="268">
    <w:nsid w:val="31E0986F"/>
    <w:multiLevelType w:val="hybridMultilevel"/>
    <w:lvl w:ilvl="0">
      <w:lvlJc w:val="left"/>
      <w:lvlText w:val="(%1)"/>
      <w:numFmt w:val="lowerLetter"/>
      <w:start w:val="1"/>
    </w:lvl>
  </w:abstractNum>
  <w:abstractNum w:abstractNumId="269">
    <w:nsid w:val="41FCF274"/>
    <w:multiLevelType w:val="hybridMultilevel"/>
    <w:lvl w:ilvl="0">
      <w:lvlJc w:val="left"/>
      <w:lvlText w:val="(%1)"/>
      <w:numFmt w:val="lowerRoman"/>
      <w:start w:val="1"/>
    </w:lvl>
  </w:abstractNum>
  <w:abstractNum w:abstractNumId="270">
    <w:nsid w:val="294614F7"/>
    <w:multiLevelType w:val="hybridMultilevel"/>
    <w:lvl w:ilvl="0">
      <w:lvlJc w:val="left"/>
      <w:lvlText w:val="(%1)"/>
      <w:numFmt w:val="lowerLetter"/>
      <w:start w:val="1"/>
    </w:lvl>
    <w:lvl w:ilvl="1">
      <w:lvlJc w:val="left"/>
      <w:lvlText w:val="(%2)"/>
      <w:numFmt w:val="upperLetter"/>
      <w:start w:val="1"/>
    </w:lvl>
  </w:abstractNum>
  <w:abstractNum w:abstractNumId="271">
    <w:nsid w:val="517DF487"/>
    <w:multiLevelType w:val="hybridMultilevel"/>
    <w:lvl w:ilvl="0">
      <w:lvlJc w:val="left"/>
      <w:lvlText w:val="(%1)"/>
      <w:numFmt w:val="lowerLetter"/>
      <w:start w:val="1"/>
    </w:lvl>
    <w:lvl w:ilvl="1">
      <w:lvlJc w:val="left"/>
      <w:lvlText w:val="(%2)"/>
      <w:numFmt w:val="lowerRoman"/>
      <w:start w:val="1"/>
    </w:lvl>
  </w:abstractNum>
  <w:abstractNum w:abstractNumId="272">
    <w:nsid w:val="5EBE0EAB"/>
    <w:multiLevelType w:val="hybridMultilevel"/>
    <w:lvl w:ilvl="0">
      <w:lvlJc w:val="left"/>
      <w:lvlText w:val="(%1)"/>
      <w:numFmt w:val="lowerLetter"/>
      <w:start w:val="1"/>
    </w:lvl>
  </w:abstractNum>
  <w:abstractNum w:abstractNumId="273">
    <w:nsid w:val="6E9DEAD0"/>
    <w:multiLevelType w:val="hybridMultilevel"/>
    <w:lvl w:ilvl="0">
      <w:lvlJc w:val="left"/>
      <w:lvlText w:val="(%1)"/>
      <w:numFmt w:val="lowerLetter"/>
      <w:start w:val="1"/>
    </w:lvl>
    <w:lvl w:ilvl="1">
      <w:lvlJc w:val="left"/>
      <w:lvlText w:val="(%2)"/>
      <w:numFmt w:val="lowerRoman"/>
      <w:start w:val="1"/>
    </w:lvl>
  </w:abstractNum>
  <w:abstractNum w:abstractNumId="274">
    <w:nsid w:val="4450AA00"/>
    <w:multiLevelType w:val="hybridMultilevel"/>
    <w:lvl w:ilvl="0">
      <w:lvlJc w:val="left"/>
      <w:lvlText w:val="(%1)"/>
      <w:numFmt w:val="lowerLetter"/>
      <w:start w:val="2"/>
    </w:lvl>
  </w:abstractNum>
  <w:abstractNum w:abstractNumId="275">
    <w:nsid w:val="4AC9F3E2"/>
    <w:multiLevelType w:val="hybridMultilevel"/>
    <w:lvl w:ilvl="0">
      <w:lvlJc w:val="left"/>
      <w:lvlText w:val="(%1)"/>
      <w:numFmt w:val="lowerLetter"/>
      <w:start w:val="1"/>
    </w:lvl>
  </w:abstractNum>
  <w:abstractNum w:abstractNumId="276">
    <w:nsid w:val="CC0A782"/>
    <w:multiLevelType w:val="hybridMultilevel"/>
    <w:lvl w:ilvl="0">
      <w:lvlJc w:val="left"/>
      <w:lvlText w:val="(%1)"/>
      <w:numFmt w:val="lowerLetter"/>
      <w:start w:val="1"/>
    </w:lvl>
    <w:lvl w:ilvl="1">
      <w:lvlJc w:val="left"/>
      <w:lvlText w:val="(%2)"/>
      <w:numFmt w:val="lowerRoman"/>
      <w:start w:val="1"/>
    </w:lvl>
  </w:abstractNum>
  <w:abstractNum w:abstractNumId="277">
    <w:nsid w:val="79B69BC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8">
    <w:nsid w:val="2970CC78"/>
    <w:multiLevelType w:val="hybridMultilevel"/>
    <w:lvl w:ilvl="0">
      <w:lvlJc w:val="left"/>
      <w:lvlText w:val="(%1)"/>
      <w:numFmt w:val="lowerRoman"/>
      <w:start w:val="2"/>
    </w:lvl>
  </w:abstractNum>
  <w:abstractNum w:abstractNumId="279">
    <w:nsid w:val="49CA1341"/>
    <w:multiLevelType w:val="hybridMultilevel"/>
    <w:lvl w:ilvl="0">
      <w:lvlJc w:val="left"/>
      <w:lvlText w:val="(%1)"/>
      <w:numFmt w:val="lowerLetter"/>
      <w:start w:val="1"/>
    </w:lvl>
  </w:abstractNum>
  <w:abstractNum w:abstractNumId="280">
    <w:nsid w:val="58D717E"/>
    <w:multiLevelType w:val="hybridMultilevel"/>
    <w:lvl w:ilvl="0">
      <w:lvlJc w:val="left"/>
      <w:lvlText w:val="%1"/>
      <w:numFmt w:val="decimal"/>
      <w:start w:val="30"/>
    </w:lvl>
  </w:abstractNum>
  <w:abstractNum w:abstractNumId="281">
    <w:nsid w:val="64C2DDD5"/>
    <w:multiLevelType w:val="hybridMultilevel"/>
    <w:lvl w:ilvl="0">
      <w:lvlJc w:val="left"/>
      <w:lvlText w:val="(%1)"/>
      <w:numFmt w:val="lowerLetter"/>
      <w:start w:val="1"/>
    </w:lvl>
    <w:lvl w:ilvl="1">
      <w:lvlJc w:val="left"/>
      <w:lvlText w:val="(%2)"/>
      <w:numFmt w:val="lowerRoman"/>
      <w:start w:val="1"/>
    </w:lvl>
  </w:abstractNum>
  <w:abstractNum w:abstractNumId="282">
    <w:nsid w:val="4244B8DE"/>
    <w:multiLevelType w:val="hybridMultilevel"/>
    <w:lvl w:ilvl="0">
      <w:lvlJc w:val="left"/>
      <w:lvlText w:val="%1"/>
      <w:numFmt w:val="lowerLetter"/>
      <w:start w:val="1"/>
    </w:lvl>
    <w:lvl w:ilvl="1">
      <w:lvlJc w:val="left"/>
      <w:lvlText w:val="(%2)"/>
      <w:numFmt w:val="lowerRoman"/>
      <w:start w:val="4"/>
    </w:lvl>
  </w:abstractNum>
  <w:abstractNum w:abstractNumId="283">
    <w:nsid w:val="76490B01"/>
    <w:multiLevelType w:val="hybridMultilevel"/>
    <w:lvl w:ilvl="0">
      <w:lvlJc w:val="left"/>
      <w:lvlText w:val="(%1)"/>
      <w:numFmt w:val="lowerLetter"/>
      <w:start w:val="4"/>
    </w:lvl>
    <w:lvl w:ilvl="1">
      <w:lvlJc w:val="left"/>
      <w:lvlText w:val="(%2)"/>
      <w:numFmt w:val="lowerRoman"/>
      <w:start w:val="1"/>
    </w:lvl>
  </w:abstractNum>
  <w:abstractNum w:abstractNumId="284">
    <w:nsid w:val="36B19CBF"/>
    <w:multiLevelType w:val="hybridMultilevel"/>
    <w:lvl w:ilvl="0">
      <w:lvlJc w:val="left"/>
      <w:lvlText w:val="(%1)"/>
      <w:numFmt w:val="lowerLetter"/>
      <w:start w:val="1"/>
    </w:lvl>
    <w:lvl w:ilvl="1">
      <w:lvlJc w:val="left"/>
      <w:lvlText w:val="(%2)"/>
      <w:numFmt w:val="lowerRoman"/>
      <w:start w:val="1"/>
    </w:lvl>
  </w:abstractNum>
  <w:abstractNum w:abstractNumId="285">
    <w:nsid w:val="645EC5AB"/>
    <w:multiLevelType w:val="hybridMultilevel"/>
    <w:lvl w:ilvl="0">
      <w:lvlJc w:val="left"/>
      <w:lvlText w:val="(%1)"/>
      <w:numFmt w:val="lowerRoman"/>
      <w:start w:val="5"/>
    </w:lvl>
  </w:abstractNum>
  <w:abstractNum w:abstractNumId="286">
    <w:nsid w:val="11C5ABE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7">
    <w:nsid w:val="5A4744BE"/>
    <w:multiLevelType w:val="hybridMultilevel"/>
    <w:lvl w:ilvl="0">
      <w:lvlJc w:val="left"/>
      <w:lvlText w:val="%1"/>
      <w:numFmt w:val="lowerLetter"/>
      <w:start w:val="1"/>
    </w:lvl>
    <w:lvl w:ilvl="1">
      <w:lvlJc w:val="left"/>
      <w:lvlText w:val="(%2)"/>
      <w:numFmt w:val="lowerRoman"/>
      <w:start w:val="2"/>
    </w:lvl>
  </w:abstractNum>
  <w:abstractNum w:abstractNumId="288">
    <w:nsid w:val="1DC4B111"/>
    <w:multiLevelType w:val="hybridMultilevel"/>
    <w:lvl w:ilvl="0">
      <w:lvlJc w:val="left"/>
      <w:lvlText w:val="(%1)"/>
      <w:numFmt w:val="lowerLetter"/>
      <w:start w:val="3"/>
    </w:lvl>
    <w:lvl w:ilvl="1">
      <w:lvlJc w:val="left"/>
      <w:lvlText w:val="(%2)"/>
      <w:numFmt w:val="lowerRoman"/>
      <w:start w:val="1"/>
    </w:lvl>
  </w:abstractNum>
  <w:abstractNum w:abstractNumId="289">
    <w:nsid w:val="4C6E372B"/>
    <w:multiLevelType w:val="hybridMultilevel"/>
    <w:lvl w:ilvl="0">
      <w:lvlJc w:val="left"/>
      <w:lvlText w:val="(%1)"/>
      <w:numFmt w:val="lowerLetter"/>
      <w:start w:val="1"/>
    </w:lvl>
  </w:abstractNum>
  <w:abstractNum w:abstractNumId="290">
    <w:nsid w:val="10236EF"/>
    <w:multiLevelType w:val="hybridMultilevel"/>
    <w:lvl w:ilvl="0">
      <w:lvlJc w:val="left"/>
      <w:lvlText w:val="(%1)"/>
      <w:numFmt w:val="lowerLetter"/>
      <w:start w:val="3"/>
    </w:lvl>
    <w:lvl w:ilvl="1">
      <w:lvlJc w:val="left"/>
      <w:lvlText w:val="(%2)"/>
      <w:numFmt w:val="lowerRoman"/>
      <w:start w:val="1"/>
    </w:lvl>
  </w:abstractNum>
  <w:abstractNum w:abstractNumId="291">
    <w:nsid w:val="68D8526B"/>
    <w:multiLevelType w:val="hybridMultilevel"/>
    <w:lvl w:ilvl="0">
      <w:lvlJc w:val="left"/>
      <w:lvlText w:val="(%1)"/>
      <w:numFmt w:val="lowerLetter"/>
      <w:start w:val="1"/>
    </w:lvl>
  </w:abstractNum>
  <w:abstractNum w:abstractNumId="292">
    <w:nsid w:val="3C8CC138"/>
    <w:multiLevelType w:val="hybridMultilevel"/>
    <w:lvl w:ilvl="0">
      <w:lvlJc w:val="left"/>
      <w:lvlText w:val="(%1)"/>
      <w:numFmt w:val="lowerRoman"/>
      <w:start w:val="1"/>
    </w:lvl>
  </w:abstractNum>
  <w:abstractNum w:abstractNumId="293">
    <w:nsid w:val="42E8C7BE"/>
    <w:multiLevelType w:val="hybridMultilevel"/>
    <w:lvl w:ilvl="0">
      <w:lvlJc w:val="left"/>
      <w:lvlText w:val="(%1)"/>
      <w:numFmt w:val="lowerLetter"/>
      <w:start w:val="1"/>
    </w:lvl>
    <w:lvl w:ilvl="1">
      <w:lvlJc w:val="left"/>
      <w:lvlText w:val="(%2)"/>
      <w:numFmt w:val="lowerRoman"/>
      <w:start w:val="1"/>
    </w:lvl>
  </w:abstractNum>
  <w:abstractNum w:abstractNumId="294">
    <w:nsid w:val="653CDC22"/>
    <w:multiLevelType w:val="hybridMultilevel"/>
    <w:lvl w:ilvl="0">
      <w:lvlJc w:val="left"/>
      <w:lvlText w:val="(%1)"/>
      <w:numFmt w:val="lowerLetter"/>
      <w:start w:val="1"/>
    </w:lvl>
    <w:lvl w:ilvl="1">
      <w:lvlJc w:val="left"/>
      <w:lvlText w:val="(%2)"/>
      <w:numFmt w:val="lowerRoman"/>
      <w:start w:val="1"/>
    </w:lvl>
  </w:abstractNum>
  <w:abstractNum w:abstractNumId="295">
    <w:nsid w:val="103B2716"/>
    <w:multiLevelType w:val="hybridMultilevel"/>
    <w:lvl w:ilvl="0">
      <w:lvlJc w:val="left"/>
      <w:lvlText w:val="(%1)"/>
      <w:numFmt w:val="lowerLetter"/>
      <w:start w:val="3"/>
    </w:lvl>
    <w:lvl w:ilvl="1">
      <w:lvlJc w:val="left"/>
      <w:lvlText w:val="(%2)"/>
      <w:numFmt w:val="lowerRoman"/>
      <w:start w:val="1"/>
    </w:lvl>
  </w:abstractNum>
  <w:abstractNum w:abstractNumId="296">
    <w:nsid w:val="156827FB"/>
    <w:multiLevelType w:val="hybridMultilevel"/>
    <w:lvl w:ilvl="0">
      <w:lvlJc w:val="left"/>
      <w:lvlText w:val="(%1)"/>
      <w:numFmt w:val="lowerLetter"/>
      <w:start w:val="5"/>
    </w:lvl>
    <w:lvl w:ilvl="1">
      <w:lvlJc w:val="left"/>
      <w:lvlText w:val="(%2)"/>
      <w:numFmt w:val="lowerRoman"/>
      <w:start w:val="1"/>
    </w:lvl>
  </w:abstractNum>
  <w:abstractNum w:abstractNumId="297">
    <w:nsid w:val="6350AC35"/>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298">
    <w:nsid w:val="767725AB"/>
    <w:multiLevelType w:val="hybridMultilevel"/>
    <w:lvl w:ilvl="0">
      <w:lvlJc w:val="left"/>
      <w:lvlText w:val="(%1)"/>
      <w:numFmt w:val="lowerLetter"/>
      <w:start w:val="1"/>
    </w:lvl>
  </w:abstractNum>
  <w:abstractNum w:abstractNumId="299">
    <w:nsid w:val="4748C0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0">
    <w:nsid w:val="254D9EA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1">
    <w:nsid w:val="1FBD3AA3"/>
    <w:multiLevelType w:val="hybridMultilevel"/>
    <w:lvl w:ilvl="0">
      <w:lvlJc w:val="left"/>
      <w:lvlText w:val="(%1)"/>
      <w:numFmt w:val="lowerLetter"/>
      <w:start w:val="1"/>
    </w:lvl>
  </w:abstractNum>
  <w:abstractNum w:abstractNumId="302">
    <w:nsid w:val="18C6B4F2"/>
    <w:multiLevelType w:val="hybridMultilevel"/>
    <w:lvl w:ilvl="0">
      <w:lvlJc w:val="left"/>
      <w:lvlText w:val="(%1)"/>
      <w:numFmt w:val="lowerLetter"/>
      <w:start w:val="6"/>
    </w:lvl>
  </w:abstractNum>
  <w:abstractNum w:abstractNumId="303">
    <w:nsid w:val="40BAD55"/>
    <w:multiLevelType w:val="hybridMultilevel"/>
    <w:lvl w:ilvl="0">
      <w:lvlJc w:val="left"/>
      <w:lvlText w:val="(%1)"/>
      <w:numFmt w:val="lowerLetter"/>
      <w:start w:val="1"/>
    </w:lvl>
  </w:abstractNum>
  <w:abstractNum w:abstractNumId="304">
    <w:nsid w:val="E5B25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5">
    <w:nsid w:val="5D175EF2"/>
    <w:multiLevelType w:val="hybridMultilevel"/>
    <w:lvl w:ilvl="0">
      <w:lvlJc w:val="left"/>
      <w:lvlText w:val="(%1)"/>
      <w:numFmt w:val="upperLetter"/>
      <w:start w:val="2"/>
    </w:lvl>
  </w:abstractNum>
  <w:abstractNum w:abstractNumId="306">
    <w:nsid w:val="4ED5A13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7">
    <w:nsid w:val="1B1BCCF5"/>
    <w:multiLevelType w:val="hybridMultilevel"/>
    <w:lvl w:ilvl="0">
      <w:lvlJc w:val="left"/>
      <w:lvlText w:val="(%1)"/>
      <w:numFmt w:val="lowerLetter"/>
      <w:start w:val="9"/>
    </w:lvl>
  </w:abstractNum>
  <w:abstractNum w:abstractNumId="308">
    <w:nsid w:val="56CDFABB"/>
    <w:multiLevelType w:val="hybridMultilevel"/>
    <w:lvl w:ilvl="0">
      <w:lvlJc w:val="left"/>
      <w:lvlText w:val="(%1)"/>
      <w:numFmt w:val="lowerLetter"/>
      <w:start w:val="1"/>
    </w:lvl>
  </w:abstractNum>
  <w:abstractNum w:abstractNumId="309">
    <w:nsid w:val="78466DAF"/>
    <w:multiLevelType w:val="hybridMultilevel"/>
    <w:lvl w:ilvl="0">
      <w:lvlJc w:val="left"/>
      <w:lvlText w:val="(%1)"/>
      <w:numFmt w:val="lowerLetter"/>
      <w:start w:val="11"/>
    </w:lvl>
  </w:abstractNum>
  <w:abstractNum w:abstractNumId="310">
    <w:nsid w:val="64E5E036"/>
    <w:multiLevelType w:val="hybridMultilevel"/>
    <w:lvl w:ilvl="0">
      <w:lvlJc w:val="left"/>
      <w:lvlText w:val="(%1)"/>
      <w:numFmt w:val="lowerLetter"/>
      <w:start w:val="1"/>
    </w:lvl>
  </w:abstractNum>
  <w:abstractNum w:abstractNumId="311">
    <w:nsid w:val="5C5B6C3A"/>
    <w:multiLevelType w:val="hybridMultilevel"/>
    <w:lvl w:ilvl="0">
      <w:lvlJc w:val="left"/>
      <w:lvlText w:val="(%1)"/>
      <w:numFmt w:val="lowerLetter"/>
      <w:start w:val="1"/>
    </w:lvl>
    <w:lvl w:ilvl="1">
      <w:lvlJc w:val="left"/>
      <w:lvlText w:val="(%2)"/>
      <w:numFmt w:val="lowerRoman"/>
      <w:start w:val="1"/>
    </w:lvl>
  </w:abstractNum>
  <w:abstractNum w:abstractNumId="312">
    <w:nsid w:val="5D094B84"/>
    <w:multiLevelType w:val="hybridMultilevel"/>
    <w:lvl w:ilvl="0">
      <w:lvlJc w:val="left"/>
      <w:lvlText w:val="(%1)"/>
      <w:numFmt w:val="lowerRoman"/>
      <w:start w:val="3"/>
    </w:lvl>
    <w:lvl w:ilvl="1">
      <w:lvlJc w:val="left"/>
      <w:lvlText w:val="(%2)"/>
      <w:numFmt w:val="upperLetter"/>
      <w:start w:val="1"/>
    </w:lvl>
  </w:abstractNum>
  <w:abstractNum w:abstractNumId="313">
    <w:nsid w:val="272A9914"/>
    <w:multiLevelType w:val="hybridMultilevel"/>
    <w:lvl w:ilvl="0">
      <w:lvlJc w:val="left"/>
      <w:lvlText w:val="(%1)"/>
      <w:numFmt w:val="lowerLetter"/>
      <w:start w:val="2"/>
    </w:lvl>
    <w:lvl w:ilvl="1">
      <w:lvlJc w:val="left"/>
      <w:lvlText w:val="(%2)"/>
      <w:numFmt w:val="lowerRoman"/>
      <w:start w:val="1"/>
    </w:lvl>
  </w:abstractNum>
  <w:abstractNum w:abstractNumId="314">
    <w:nsid w:val="52A4773B"/>
    <w:multiLevelType w:val="hybridMultilevel"/>
    <w:lvl w:ilvl="0">
      <w:lvlJc w:val="left"/>
      <w:lvlText w:val="(%1)"/>
      <w:numFmt w:val="lowerLetter"/>
      <w:start w:val="5"/>
    </w:lvl>
  </w:abstractNum>
  <w:abstractNum w:abstractNumId="315">
    <w:nsid w:val="13BAE843"/>
    <w:multiLevelType w:val="hybridMultilevel"/>
    <w:lvl w:ilvl="0">
      <w:lvlJc w:val="left"/>
      <w:lvlText w:val="(%1)"/>
      <w:numFmt w:val="lowerLetter"/>
      <w:start w:val="1"/>
    </w:lvl>
  </w:abstractNum>
  <w:abstractNum w:abstractNumId="316">
    <w:nsid w:val="B895EBF"/>
    <w:multiLevelType w:val="hybridMultilevel"/>
    <w:lvl w:ilvl="0">
      <w:lvlJc w:val="left"/>
      <w:lvlText w:val="(%1)"/>
      <w:numFmt w:val="lowerRoman"/>
      <w:start w:val="1"/>
    </w:lvl>
  </w:abstractNum>
  <w:abstractNum w:abstractNumId="317">
    <w:nsid w:val="646A232A"/>
    <w:multiLevelType w:val="hybridMultilevel"/>
    <w:lvl w:ilvl="0">
      <w:lvlJc w:val="left"/>
      <w:lvlText w:val="(%1)"/>
      <w:numFmt w:val="lowerLetter"/>
      <w:start w:val="2"/>
    </w:lvl>
  </w:abstractNum>
  <w:abstractNum w:abstractNumId="318">
    <w:nsid w:val="6E022D01"/>
    <w:multiLevelType w:val="hybridMultilevel"/>
    <w:lvl w:ilvl="0">
      <w:lvlJc w:val="left"/>
      <w:lvlText w:val="(%1)"/>
      <w:numFmt w:val="lowerLetter"/>
      <w:start w:val="1"/>
    </w:lvl>
  </w:abstractNum>
  <w:abstractNum w:abstractNumId="319">
    <w:nsid w:val="294E0FD0"/>
    <w:multiLevelType w:val="hybridMultilevel"/>
    <w:lvl w:ilvl="0">
      <w:lvlJc w:val="left"/>
      <w:lvlText w:val="(%1)"/>
      <w:numFmt w:val="lowerLetter"/>
      <w:start w:val="6"/>
    </w:lvl>
    <w:lvl w:ilvl="1">
      <w:lvlJc w:val="left"/>
      <w:lvlText w:val="(%2)"/>
      <w:numFmt w:val="lowerRoman"/>
      <w:start w:val="1"/>
    </w:lvl>
  </w:abstractNum>
  <w:abstractNum w:abstractNumId="320">
    <w:nsid w:val="30D85A55"/>
    <w:multiLevelType w:val="hybridMultilevel"/>
    <w:lvl w:ilvl="0">
      <w:lvlJc w:val="left"/>
      <w:lvlText w:val="(%1)"/>
      <w:numFmt w:val="lowerLetter"/>
      <w:start w:val="1"/>
    </w:lvl>
  </w:abstractNum>
  <w:abstractNum w:abstractNumId="321">
    <w:nsid w:val="6F0463F1"/>
    <w:multiLevelType w:val="hybridMultilevel"/>
    <w:lvl w:ilvl="0">
      <w:lvlJc w:val="left"/>
      <w:lvlText w:val="(%1)"/>
      <w:numFmt w:val="lowerLetter"/>
      <w:start w:val="1"/>
    </w:lvl>
  </w:abstractNum>
  <w:abstractNum w:abstractNumId="322">
    <w:nsid w:val="1226623C"/>
    <w:multiLevelType w:val="hybridMultilevel"/>
    <w:lvl w:ilvl="0">
      <w:lvlJc w:val="left"/>
      <w:lvlText w:val="(%1)"/>
      <w:numFmt w:val="lowerLetter"/>
      <w:start w:val="2"/>
    </w:lvl>
  </w:abstractNum>
  <w:abstractNum w:abstractNumId="323">
    <w:nsid w:val="6D651B8D"/>
    <w:multiLevelType w:val="hybridMultilevel"/>
    <w:lvl w:ilvl="0">
      <w:lvlJc w:val="left"/>
      <w:lvlText w:val="(%1)"/>
      <w:numFmt w:val="lowerLetter"/>
      <w:start w:val="1"/>
    </w:lvl>
    <w:lvl w:ilvl="1">
      <w:lvlJc w:val="left"/>
      <w:lvlText w:val="(%2)"/>
      <w:numFmt w:val="lowerRoman"/>
      <w:start w:val="1"/>
    </w:lvl>
  </w:abstractNum>
  <w:abstractNum w:abstractNumId="324">
    <w:nsid w:val="31ED2BAF"/>
    <w:multiLevelType w:val="hybridMultilevel"/>
    <w:lvl w:ilvl="0">
      <w:lvlJc w:val="left"/>
      <w:lvlText w:val="(%1)"/>
      <w:numFmt w:val="lowerLetter"/>
      <w:start w:val="2"/>
    </w:lvl>
  </w:abstractNum>
  <w:abstractNum w:abstractNumId="325">
    <w:nsid w:val="77633E5E"/>
    <w:multiLevelType w:val="hybridMultilevel"/>
    <w:lvl w:ilvl="0">
      <w:lvlJc w:val="left"/>
      <w:lvlText w:val="(%1)"/>
      <w:numFmt w:val="lowerLetter"/>
      <w:start w:val="1"/>
    </w:lvl>
  </w:abstractNum>
  <w:abstractNum w:abstractNumId="326">
    <w:nsid w:val="7DA042A3"/>
    <w:multiLevelType w:val="hybridMultilevel"/>
    <w:lvl w:ilvl="0">
      <w:lvlJc w:val="left"/>
      <w:lvlText w:val="(%1)"/>
      <w:numFmt w:val="lowerLetter"/>
      <w:start w:val="3"/>
    </w:lvl>
  </w:abstractNum>
  <w:abstractNum w:abstractNumId="327">
    <w:nsid w:val="475553AB"/>
    <w:multiLevelType w:val="hybridMultilevel"/>
    <w:lvl w:ilvl="0">
      <w:lvlJc w:val="left"/>
      <w:lvlText w:val="(%1)"/>
      <w:numFmt w:val="lowerLetter"/>
      <w:start w:val="1"/>
    </w:lvl>
    <w:lvl w:ilvl="1">
      <w:lvlJc w:val="left"/>
      <w:lvlText w:val="(%2)"/>
      <w:numFmt w:val="lowerRoman"/>
      <w:start w:val="1"/>
    </w:lvl>
  </w:abstractNum>
  <w:abstractNum w:abstractNumId="328">
    <w:nsid w:val="5AB3EA93"/>
    <w:multiLevelType w:val="hybridMultilevel"/>
    <w:lvl w:ilvl="0">
      <w:lvlJc w:val="left"/>
      <w:lvlText w:val="(%1)"/>
      <w:numFmt w:val="lowerLetter"/>
      <w:start w:val="3"/>
    </w:lvl>
  </w:abstractNum>
  <w:abstractNum w:abstractNumId="329">
    <w:nsid w:val="7417684F"/>
    <w:multiLevelType w:val="hybridMultilevel"/>
    <w:lvl w:ilvl="0">
      <w:lvlJc w:val="left"/>
      <w:lvlText w:val="(%1)"/>
      <w:numFmt w:val="lowerLetter"/>
      <w:start w:val="1"/>
    </w:lvl>
    <w:lvl w:ilvl="1">
      <w:lvlJc w:val="left"/>
      <w:lvlText w:val="(%2)"/>
      <w:numFmt w:val="lowerRoman"/>
      <w:start w:val="1"/>
    </w:lvl>
  </w:abstractNum>
  <w:abstractNum w:abstractNumId="330">
    <w:nsid w:val="E9E1415"/>
    <w:multiLevelType w:val="hybridMultilevel"/>
    <w:lvl w:ilvl="0">
      <w:lvlJc w:val="left"/>
      <w:lvlText w:val="(%1)"/>
      <w:numFmt w:val="lowerLetter"/>
      <w:start w:val="1"/>
    </w:lvl>
  </w:abstractNum>
  <w:abstractNum w:abstractNumId="331">
    <w:nsid w:val="1893D"/>
    <w:multiLevelType w:val="hybridMultilevel"/>
    <w:lvl w:ilvl="0">
      <w:lvlJc w:val="left"/>
      <w:lvlText w:val="(%1)"/>
      <w:numFmt w:val="lowerLetter"/>
      <w:start w:val="3"/>
    </w:lvl>
  </w:abstractNum>
  <w:abstractNum w:abstractNumId="332">
    <w:nsid w:val="13D4A2F2"/>
    <w:multiLevelType w:val="hybridMultilevel"/>
    <w:lvl w:ilvl="0">
      <w:lvlJc w:val="left"/>
      <w:lvlText w:val="(%1)"/>
      <w:numFmt w:val="lowerLetter"/>
      <w:start w:val="5"/>
    </w:lvl>
  </w:abstractNum>
  <w:abstractNum w:abstractNumId="333">
    <w:nsid w:val="2764C907"/>
    <w:multiLevelType w:val="hybridMultilevel"/>
    <w:lvl w:ilvl="0">
      <w:lvlJc w:val="left"/>
      <w:lvlText w:val="(%1)"/>
      <w:numFmt w:val="lowerLetter"/>
      <w:start w:val="1"/>
    </w:lvl>
    <w:lvl w:ilvl="1">
      <w:lvlJc w:val="left"/>
      <w:lvlText w:val="(%2)"/>
      <w:numFmt w:val="lowerRoman"/>
      <w:start w:val="1"/>
    </w:lvl>
  </w:abstractNum>
  <w:abstractNum w:abstractNumId="334">
    <w:nsid w:val="40D3692"/>
    <w:multiLevelType w:val="hybridMultilevel"/>
    <w:lvl w:ilvl="0">
      <w:lvlJc w:val="left"/>
      <w:lvlText w:val="(%1)"/>
      <w:numFmt w:val="lowerLetter"/>
      <w:start w:val="2"/>
    </w:lvl>
  </w:abstractNum>
  <w:abstractNum w:abstractNumId="335">
    <w:nsid w:val="222FC865"/>
    <w:multiLevelType w:val="hybridMultilevel"/>
    <w:lvl w:ilvl="0">
      <w:lvlJc w:val="left"/>
      <w:lvlText w:val="(%1)"/>
      <w:numFmt w:val="lowerLetter"/>
      <w:start w:val="1"/>
    </w:lvl>
  </w:abstractNum>
  <w:abstractNum w:abstractNumId="336">
    <w:nsid w:val="47C27FA"/>
    <w:multiLevelType w:val="hybridMultilevel"/>
    <w:lvl w:ilvl="0">
      <w:lvlJc w:val="left"/>
      <w:lvlText w:val="(%1)"/>
      <w:numFmt w:val="lowerRoman"/>
      <w:start w:val="1"/>
    </w:lvl>
  </w:abstractNum>
  <w:abstractNum w:abstractNumId="337">
    <w:nsid w:val="52E2D7C9"/>
    <w:multiLevelType w:val="hybridMultilevel"/>
    <w:lvl w:ilvl="0">
      <w:lvlJc w:val="left"/>
      <w:lvlText w:val="%1"/>
      <w:numFmt w:val="lowerLetter"/>
      <w:start w:val="1"/>
    </w:lvl>
    <w:lvl w:ilvl="1">
      <w:lvlJc w:val="left"/>
      <w:lvlText w:val="(%2)"/>
      <w:numFmt w:val="lowerRoman"/>
      <w:start w:val="2"/>
    </w:lvl>
  </w:abstractNum>
  <w:abstractNum w:abstractNumId="338">
    <w:nsid w:val="3D4B955A"/>
    <w:multiLevelType w:val="hybridMultilevel"/>
    <w:lvl w:ilvl="0">
      <w:lvlJc w:val="left"/>
      <w:lvlText w:val="(%1)"/>
      <w:numFmt w:val="lowerLetter"/>
      <w:start w:val="2"/>
    </w:lvl>
    <w:lvl w:ilvl="1">
      <w:lvlJc w:val="left"/>
      <w:lvlText w:val="%2"/>
      <w:numFmt w:val="lowerRoman"/>
      <w:start w:val="1"/>
    </w:lvl>
  </w:abstractNum>
  <w:abstractNum w:abstractNumId="339">
    <w:nsid w:val="5B4A22B5"/>
    <w:multiLevelType w:val="hybridMultilevel"/>
    <w:lvl w:ilvl="0">
      <w:lvlJc w:val="left"/>
      <w:lvlText w:val="(%1)"/>
      <w:numFmt w:val="lowerLetter"/>
      <w:start w:val="1"/>
    </w:lvl>
  </w:abstractNum>
  <w:abstractNum w:abstractNumId="340">
    <w:nsid w:val="4B294578"/>
    <w:multiLevelType w:val="hybridMultilevel"/>
    <w:lvl w:ilvl="0">
      <w:lvlJc w:val="left"/>
      <w:lvlText w:val="(%1)"/>
      <w:numFmt w:val="lowerLetter"/>
      <w:start w:val="3"/>
    </w:lvl>
  </w:abstractNum>
  <w:abstractNum w:abstractNumId="341">
    <w:nsid w:val="22317590"/>
    <w:multiLevelType w:val="hybridMultilevel"/>
    <w:lvl w:ilvl="0">
      <w:lvlJc w:val="left"/>
      <w:lvlText w:val="(%1)"/>
      <w:numFmt w:val="lowerLetter"/>
      <w:start w:val="1"/>
    </w:lvl>
  </w:abstractNum>
  <w:abstractNum w:abstractNumId="342">
    <w:nsid w:val="37A58EEF"/>
    <w:multiLevelType w:val="hybridMultilevel"/>
    <w:lvl w:ilvl="0">
      <w:lvlJc w:val="left"/>
      <w:lvlText w:val="(%1)"/>
      <w:numFmt w:val="lowerLetter"/>
      <w:start w:val="1"/>
    </w:lvl>
    <w:lvl w:ilvl="1">
      <w:lvlJc w:val="left"/>
      <w:lvlText w:val="(%2)"/>
      <w:numFmt w:val="lowerRoman"/>
      <w:start w:val="1"/>
    </w:lvl>
  </w:abstractNum>
  <w:abstractNum w:abstractNumId="343">
    <w:nsid w:val="283290FD"/>
    <w:multiLevelType w:val="hybridMultilevel"/>
    <w:lvl w:ilvl="0">
      <w:lvlJc w:val="left"/>
      <w:lvlText w:val="(%1)"/>
      <w:numFmt w:val="lowerLetter"/>
      <w:start w:val="1"/>
    </w:lvl>
  </w:abstractNum>
  <w:abstractNum w:abstractNumId="344">
    <w:nsid w:val="495C0EA5"/>
    <w:multiLevelType w:val="hybridMultilevel"/>
    <w:lvl w:ilvl="0">
      <w:lvlJc w:val="left"/>
      <w:lvlText w:val="(%1)"/>
      <w:numFmt w:val="lowerLetter"/>
      <w:start w:val="1"/>
    </w:lvl>
  </w:abstractNum>
  <w:abstractNum w:abstractNumId="345">
    <w:nsid w:val="A4A062B"/>
    <w:multiLevelType w:val="hybridMultilevel"/>
    <w:lvl w:ilvl="0">
      <w:lvlJc w:val="left"/>
      <w:lvlText w:val="(%1)"/>
      <w:numFmt w:val="lowerLetter"/>
      <w:start w:val="1"/>
    </w:lvl>
  </w:abstractNum>
  <w:abstractNum w:abstractNumId="346">
    <w:nsid w:val="3BED7940"/>
    <w:multiLevelType w:val="hybridMultilevel"/>
    <w:lvl w:ilvl="0">
      <w:lvlJc w:val="left"/>
      <w:lvlText w:val="(%1)"/>
      <w:numFmt w:val="lowerLetter"/>
      <w:start w:val="1"/>
    </w:lvl>
    <w:lvl w:ilvl="1">
      <w:lvlJc w:val="left"/>
      <w:lvlText w:val="(%2)"/>
      <w:numFmt w:val="lowerRoman"/>
      <w:start w:val="1"/>
    </w:lvl>
  </w:abstractNum>
  <w:abstractNum w:abstractNumId="347">
    <w:nsid w:val="54E56D64"/>
    <w:multiLevelType w:val="hybridMultilevel"/>
    <w:lvl w:ilvl="0">
      <w:lvlJc w:val="left"/>
      <w:lvlText w:val="(%1)"/>
      <w:numFmt w:val="lowerLetter"/>
      <w:start w:val="1"/>
    </w:lvl>
  </w:abstractNum>
  <w:abstractNum w:abstractNumId="348">
    <w:nsid w:val="6EB42955"/>
    <w:multiLevelType w:val="hybridMultilevel"/>
    <w:lvl w:ilvl="0">
      <w:lvlJc w:val="left"/>
      <w:lvlText w:val="(%1)"/>
      <w:numFmt w:val="lowerLetter"/>
      <w:start w:val="1"/>
    </w:lvl>
  </w:abstractNum>
  <w:abstractNum w:abstractNumId="349">
    <w:nsid w:val="29EFA642"/>
    <w:multiLevelType w:val="hybridMultilevel"/>
    <w:lvl w:ilvl="0">
      <w:lvlJc w:val="left"/>
      <w:lvlText w:val="(%1)"/>
      <w:numFmt w:val="lowerLetter"/>
      <w:start w:val="1"/>
    </w:lvl>
  </w:abstractNum>
  <w:abstractNum w:abstractNumId="350">
    <w:nsid w:val="7E337D35"/>
    <w:multiLevelType w:val="hybridMultilevel"/>
    <w:lvl w:ilvl="0">
      <w:lvlJc w:val="left"/>
      <w:lvlText w:val="(%1)"/>
      <w:numFmt w:val="lowerLetter"/>
      <w:start w:val="3"/>
    </w:lvl>
  </w:abstractNum>
  <w:abstractNum w:abstractNumId="351">
    <w:nsid w:val="1F8C83AB"/>
    <w:multiLevelType w:val="hybridMultilevel"/>
    <w:lvl w:ilvl="0">
      <w:lvlJc w:val="left"/>
      <w:lvlText w:val="(%1)"/>
      <w:numFmt w:val="lowerLetter"/>
      <w:start w:val="1"/>
    </w:lvl>
  </w:abstractNum>
  <w:abstractNum w:abstractNumId="352">
    <w:nsid w:val="18F40A33"/>
    <w:multiLevelType w:val="hybridMultilevel"/>
    <w:lvl w:ilvl="0">
      <w:lvlJc w:val="left"/>
      <w:lvlText w:val="(%1)"/>
      <w:numFmt w:val="lowerLetter"/>
      <w:start w:val="1"/>
    </w:lvl>
    <w:lvl w:ilvl="1">
      <w:lvlJc w:val="left"/>
      <w:lvlText w:val="(%2)"/>
      <w:numFmt w:val="lowerRoman"/>
      <w:start w:val="1"/>
    </w:lvl>
  </w:abstractNum>
  <w:abstractNum w:abstractNumId="353">
    <w:nsid w:val="1059DF71"/>
    <w:multiLevelType w:val="hybridMultilevel"/>
    <w:lvl w:ilvl="0">
      <w:lvlJc w:val="left"/>
      <w:lvlText w:val="(%1)"/>
      <w:numFmt w:val="lowerLetter"/>
      <w:start w:val="1"/>
    </w:lvl>
  </w:abstractNum>
  <w:abstractNum w:abstractNumId="354">
    <w:nsid w:val="CF19F38"/>
    <w:multiLevelType w:val="hybridMultilevel"/>
    <w:lvl w:ilvl="0">
      <w:lvlJc w:val="left"/>
      <w:lvlText w:val="(%1)"/>
      <w:numFmt w:val="lowerLetter"/>
      <w:start w:val="1"/>
    </w:lvl>
    <w:lvl w:ilvl="1">
      <w:lvlJc w:val="left"/>
      <w:lvlText w:val="(%2)"/>
      <w:numFmt w:val="lowerRoman"/>
      <w:start w:val="1"/>
    </w:lvl>
  </w:abstractNum>
  <w:abstractNum w:abstractNumId="355">
    <w:nsid w:val="4AE135E2"/>
    <w:multiLevelType w:val="hybridMultilevel"/>
    <w:lvl w:ilvl="0">
      <w:lvlJc w:val="left"/>
      <w:lvlText w:val="(%1)"/>
      <w:numFmt w:val="lowerLetter"/>
      <w:start w:val="1"/>
    </w:lvl>
    <w:lvl w:ilvl="1">
      <w:lvlJc w:val="left"/>
      <w:lvlText w:val="(%2)"/>
      <w:numFmt w:val="lowerRoman"/>
      <w:start w:val="1"/>
    </w:lvl>
  </w:abstractNum>
  <w:abstractNum w:abstractNumId="356">
    <w:nsid w:val="7BD1DCF"/>
    <w:multiLevelType w:val="hybridMultilevel"/>
    <w:lvl w:ilvl="0">
      <w:lvlJc w:val="left"/>
      <w:lvlText w:val="(%1)"/>
      <w:numFmt w:val="lowerLetter"/>
      <w:start w:val="1"/>
    </w:lvl>
  </w:abstractNum>
  <w:abstractNum w:abstractNumId="357">
    <w:nsid w:val="A91E1DC"/>
    <w:multiLevelType w:val="hybridMultilevel"/>
    <w:lvl w:ilvl="0">
      <w:lvlJc w:val="left"/>
      <w:lvlText w:val="(%1)"/>
      <w:numFmt w:val="lowerLetter"/>
      <w:start w:val="1"/>
    </w:lvl>
  </w:abstractNum>
  <w:abstractNum w:abstractNumId="358">
    <w:nsid w:val="1236898D"/>
    <w:multiLevelType w:val="hybridMultilevel"/>
    <w:lvl w:ilvl="0">
      <w:lvlJc w:val="left"/>
      <w:lvlText w:val="(%1)"/>
      <w:numFmt w:val="lowerLetter"/>
      <w:start w:val="4"/>
    </w:lvl>
  </w:abstractNum>
  <w:abstractNum w:abstractNumId="359">
    <w:nsid w:val="62710862"/>
    <w:multiLevelType w:val="hybridMultilevel"/>
    <w:lvl w:ilvl="0">
      <w:lvlJc w:val="left"/>
      <w:lvlText w:val="(%1)"/>
      <w:numFmt w:val="lowerLetter"/>
      <w:start w:val="1"/>
    </w:lvl>
    <w:lvl w:ilvl="1">
      <w:lvlJc w:val="left"/>
      <w:lvlText w:val="(%2)"/>
      <w:numFmt w:val="lowerRoman"/>
      <w:start w:val="1"/>
    </w:lvl>
  </w:abstractNum>
  <w:abstractNum w:abstractNumId="360">
    <w:nsid w:val="7EA94A2B"/>
    <w:multiLevelType w:val="hybridMultilevel"/>
    <w:lvl w:ilvl="0">
      <w:lvlJc w:val="left"/>
      <w:lvlText w:val="(%1)"/>
      <w:numFmt w:val="lowerLetter"/>
      <w:start w:val="1"/>
    </w:lvl>
  </w:abstractNum>
  <w:abstractNum w:abstractNumId="361">
    <w:nsid w:val="20D49DA3"/>
    <w:multiLevelType w:val="hybridMultilevel"/>
    <w:lvl w:ilvl="0">
      <w:lvlJc w:val="left"/>
      <w:lvlText w:val="(%1)"/>
      <w:numFmt w:val="lowerLetter"/>
      <w:start w:val="6"/>
    </w:lvl>
  </w:abstractNum>
  <w:abstractNum w:abstractNumId="362">
    <w:nsid w:val="6272919F"/>
    <w:multiLevelType w:val="hybridMultilevel"/>
    <w:lvl w:ilvl="0">
      <w:lvlJc w:val="left"/>
      <w:lvlText w:val="(%1)"/>
      <w:numFmt w:val="lowerLetter"/>
      <w:start w:val="1"/>
    </w:lvl>
  </w:abstractNum>
  <w:abstractNum w:abstractNumId="363">
    <w:nsid w:val="127DED1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4">
    <w:nsid w:val="483966AA"/>
    <w:multiLevelType w:val="hybridMultilevel"/>
    <w:lvl w:ilvl="0">
      <w:lvlJc w:val="left"/>
      <w:lvlText w:val="(%1)"/>
      <w:numFmt w:val="lowerLetter"/>
      <w:start w:val="1"/>
    </w:lvl>
  </w:abstractNum>
  <w:abstractNum w:abstractNumId="365">
    <w:nsid w:val="667FC831"/>
    <w:multiLevelType w:val="hybridMultilevel"/>
    <w:lvl w:ilvl="0">
      <w:lvlJc w:val="left"/>
      <w:lvlText w:val="(%1)"/>
      <w:numFmt w:val="lowerLetter"/>
      <w:start w:val="1"/>
    </w:lvl>
    <w:lvl w:ilvl="1">
      <w:lvlJc w:val="left"/>
      <w:lvlText w:val="(%2)"/>
      <w:numFmt w:val="lowerRoman"/>
      <w:start w:val="1"/>
    </w:lvl>
  </w:abstractNum>
  <w:abstractNum w:abstractNumId="366">
    <w:nsid w:val="34ADB582"/>
    <w:multiLevelType w:val="hybridMultilevel"/>
    <w:lvl w:ilvl="0">
      <w:lvlJc w:val="left"/>
      <w:lvlText w:val="(%1)"/>
      <w:numFmt w:val="lowerLetter"/>
      <w:start w:val="1"/>
    </w:lvl>
  </w:abstractNum>
  <w:abstractNum w:abstractNumId="367">
    <w:nsid w:val="4CB58EA4"/>
    <w:multiLevelType w:val="hybridMultilevel"/>
    <w:lvl w:ilvl="0">
      <w:lvlJc w:val="left"/>
      <w:lvlText w:val="(%1)"/>
      <w:numFmt w:val="lowerLetter"/>
      <w:start w:val="1"/>
    </w:lvl>
  </w:abstractNum>
  <w:abstractNum w:abstractNumId="368">
    <w:nsid w:val="39629FFA"/>
    <w:multiLevelType w:val="hybridMultilevel"/>
    <w:lvl w:ilvl="0">
      <w:lvlJc w:val="left"/>
      <w:lvlText w:val="(%1)"/>
      <w:numFmt w:val="lowerLetter"/>
      <w:start w:val="1"/>
    </w:lvl>
  </w:abstractNum>
  <w:abstractNum w:abstractNumId="369">
    <w:nsid w:val="71F94ADC"/>
    <w:multiLevelType w:val="hybridMultilevel"/>
    <w:lvl w:ilvl="0">
      <w:lvlJc w:val="left"/>
      <w:lvlText w:val="%1"/>
      <w:numFmt w:val="lowerLetter"/>
      <w:start w:val="1"/>
    </w:lvl>
    <w:lvl w:ilvl="1">
      <w:lvlJc w:val="left"/>
      <w:lvlText w:val="(%2)"/>
      <w:numFmt w:val="lowerRoman"/>
      <w:start w:val="1"/>
    </w:lvl>
  </w:abstractNum>
  <w:abstractNum w:abstractNumId="370">
    <w:nsid w:val="27FFB15A"/>
    <w:multiLevelType w:val="hybridMultilevel"/>
    <w:lvl w:ilvl="0">
      <w:lvlJc w:val="left"/>
      <w:lvlText w:val="(%1)"/>
      <w:numFmt w:val="lowerLetter"/>
      <w:start w:val="2"/>
    </w:lvl>
    <w:lvl w:ilvl="1">
      <w:lvlJc w:val="left"/>
      <w:lvlText w:val="(%2)"/>
      <w:numFmt w:val="lowerRoman"/>
      <w:start w:val="1"/>
    </w:lvl>
  </w:abstractNum>
  <w:abstractNum w:abstractNumId="371">
    <w:nsid w:val="48BE573"/>
    <w:multiLevelType w:val="hybridMultilevel"/>
    <w:lvl w:ilvl="0">
      <w:lvlJc w:val="left"/>
      <w:lvlText w:val="(%1)"/>
      <w:numFmt w:val="lowerLetter"/>
      <w:start w:val="1"/>
    </w:lvl>
    <w:lvl w:ilvl="1">
      <w:lvlJc w:val="left"/>
      <w:lvlText w:val="(%2)"/>
      <w:numFmt w:val="lowerRoman"/>
      <w:start w:val="1"/>
    </w:lvl>
  </w:abstractNum>
  <w:abstractNum w:abstractNumId="372">
    <w:nsid w:val="142AC06C"/>
    <w:multiLevelType w:val="hybridMultilevel"/>
    <w:lvl w:ilvl="0">
      <w:lvlJc w:val="left"/>
      <w:lvlText w:val="(%1)"/>
      <w:numFmt w:val="lowerLetter"/>
      <w:start w:val="1"/>
    </w:lvl>
  </w:abstractNum>
  <w:abstractNum w:abstractNumId="373">
    <w:nsid w:val="5FA54049"/>
    <w:multiLevelType w:val="hybridMultilevel"/>
    <w:lvl w:ilvl="0">
      <w:lvlJc w:val="left"/>
      <w:lvlText w:val="(%1)"/>
      <w:numFmt w:val="lowerLetter"/>
      <w:start w:val="2"/>
    </w:lvl>
  </w:abstractNum>
  <w:abstractNum w:abstractNumId="374">
    <w:nsid w:val="2CBE7670"/>
    <w:multiLevelType w:val="hybridMultilevel"/>
    <w:lvl w:ilvl="0">
      <w:lvlJc w:val="left"/>
      <w:lvlText w:val="(%1)"/>
      <w:numFmt w:val="lowerLetter"/>
      <w:start w:val="1"/>
    </w:lvl>
  </w:abstractNum>
  <w:abstractNum w:abstractNumId="375">
    <w:nsid w:val="5D86CF11"/>
    <w:multiLevelType w:val="hybridMultilevel"/>
    <w:lvl w:ilvl="0">
      <w:lvlJc w:val="left"/>
      <w:lvlText w:val="(%1)"/>
      <w:numFmt w:val="lowerLetter"/>
      <w:start w:val="1"/>
    </w:lvl>
  </w:abstractNum>
  <w:abstractNum w:abstractNumId="376">
    <w:nsid w:val="69EF467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377">
    <w:nsid w:val="68ABEFB0"/>
    <w:multiLevelType w:val="hybridMultilevel"/>
    <w:lvl w:ilvl="0">
      <w:lvlJc w:val="left"/>
      <w:lvlText w:val="(%1)"/>
      <w:numFmt w:val="lowerLetter"/>
      <w:start w:val="1"/>
    </w:lvl>
  </w:abstractNum>
  <w:abstractNum w:abstractNumId="378">
    <w:nsid w:val="326C3C76"/>
    <w:multiLevelType w:val="hybridMultilevel"/>
    <w:lvl w:ilvl="0">
      <w:lvlJc w:val="left"/>
      <w:lvlText w:val="(%1)"/>
      <w:numFmt w:val="lowerLetter"/>
      <w:start w:val="2"/>
    </w:lvl>
    <w:lvl w:ilvl="1">
      <w:lvlJc w:val="left"/>
      <w:lvlText w:val="(%2)"/>
      <w:numFmt w:val="lowerRoman"/>
      <w:start w:val="1"/>
    </w:lvl>
  </w:abstractNum>
  <w:abstractNum w:abstractNumId="379">
    <w:nsid w:val="58A36FCA"/>
    <w:multiLevelType w:val="hybridMultilevel"/>
    <w:lvl w:ilvl="0">
      <w:lvlJc w:val="left"/>
      <w:lvlText w:val="(%1)"/>
      <w:numFmt w:val="lowerLetter"/>
      <w:start w:val="1"/>
    </w:lvl>
    <w:lvl w:ilvl="1">
      <w:lvlJc w:val="left"/>
      <w:lvlText w:val="(%2)"/>
      <w:numFmt w:val="lowerRoman"/>
      <w:start w:val="1"/>
    </w:lvl>
  </w:abstractNum>
  <w:abstractNum w:abstractNumId="380">
    <w:nsid w:val="129B95F2"/>
    <w:multiLevelType w:val="hybridMultilevel"/>
    <w:lvl w:ilvl="0">
      <w:lvlJc w:val="left"/>
      <w:lvlText w:val="(%1)"/>
      <w:numFmt w:val="lowerRoman"/>
      <w:start w:val="1"/>
    </w:lvl>
  </w:abstractNum>
  <w:abstractNum w:abstractNumId="381">
    <w:nsid w:val="309FB9AB"/>
    <w:multiLevelType w:val="hybridMultilevel"/>
    <w:lvl w:ilvl="0">
      <w:lvlJc w:val="left"/>
      <w:lvlText w:val="(%1)"/>
      <w:numFmt w:val="lowerLetter"/>
      <w:start w:val="1"/>
    </w:lvl>
  </w:abstractNum>
  <w:abstractNum w:abstractNumId="382">
    <w:nsid w:val="782FF375"/>
    <w:multiLevelType w:val="hybridMultilevel"/>
    <w:lvl w:ilvl="0">
      <w:lvlJc w:val="left"/>
      <w:lvlText w:val="(%1)"/>
      <w:numFmt w:val="lowerLetter"/>
      <w:start w:val="1"/>
    </w:lvl>
    <w:lvl w:ilvl="1">
      <w:lvlJc w:val="left"/>
      <w:lvlText w:val="(%2)"/>
      <w:numFmt w:val="lowerRoman"/>
      <w:start w:val="1"/>
    </w:lvl>
  </w:abstractNum>
  <w:abstractNum w:abstractNumId="383">
    <w:nsid w:val="2B8FA025"/>
    <w:multiLevelType w:val="hybridMultilevel"/>
    <w:lvl w:ilvl="0">
      <w:lvlJc w:val="left"/>
      <w:lvlText w:val="(%1)"/>
      <w:numFmt w:val="lowerLetter"/>
      <w:start w:val="1"/>
    </w:lvl>
  </w:abstractNum>
  <w:abstractNum w:abstractNumId="384">
    <w:nsid w:val="40F9991C"/>
    <w:multiLevelType w:val="hybridMultilevel"/>
    <w:lvl w:ilvl="0">
      <w:lvlJc w:val="left"/>
      <w:lvlText w:val="(%1)"/>
      <w:numFmt w:val="lowerRoman"/>
      <w:start w:val="1"/>
    </w:lvl>
  </w:abstractNum>
  <w:abstractNum w:abstractNumId="385">
    <w:nsid w:val="52192AD"/>
    <w:multiLevelType w:val="hybridMultilevel"/>
    <w:lvl w:ilvl="0">
      <w:lvlJc w:val="left"/>
      <w:lvlText w:val="(%1)"/>
      <w:numFmt w:val="lowerLetter"/>
      <w:start w:val="2"/>
    </w:lvl>
  </w:abstractNum>
  <w:abstractNum w:abstractNumId="386">
    <w:nsid w:val="7670D608"/>
    <w:multiLevelType w:val="hybridMultilevel"/>
    <w:lvl w:ilvl="0">
      <w:lvlJc w:val="left"/>
      <w:lvlText w:val="(%1)"/>
      <w:numFmt w:val="lowerLetter"/>
      <w:start w:val="1"/>
    </w:lvl>
  </w:abstractNum>
  <w:abstractNum w:abstractNumId="387">
    <w:nsid w:val="48B6B6EB"/>
    <w:multiLevelType w:val="hybridMultilevel"/>
    <w:lvl w:ilvl="0">
      <w:lvlJc w:val="left"/>
      <w:lvlText w:val="(%1)"/>
      <w:numFmt w:val="upperLetter"/>
      <w:start w:val="1"/>
    </w:lvl>
  </w:abstractNum>
  <w:abstractNum w:abstractNumId="388">
    <w:nsid w:val="FB37489"/>
    <w:multiLevelType w:val="hybridMultilevel"/>
    <w:lvl w:ilvl="0">
      <w:lvlJc w:val="left"/>
      <w:lvlText w:val="%1"/>
      <w:numFmt w:val="lowerLetter"/>
      <w:start w:val="1"/>
    </w:lvl>
    <w:lvl w:ilvl="1">
      <w:lvlJc w:val="left"/>
      <w:lvlText w:val="(%2)"/>
      <w:numFmt w:val="lowerRoman"/>
      <w:start w:val="2"/>
    </w:lvl>
  </w:abstractNum>
  <w:abstractNum w:abstractNumId="389">
    <w:nsid w:val="8A75F95"/>
    <w:multiLevelType w:val="hybridMultilevel"/>
    <w:lvl w:ilvl="0">
      <w:lvlJc w:val="left"/>
      <w:lvlText w:val="(%1)"/>
      <w:numFmt w:val="lowerLetter"/>
      <w:start w:val="3"/>
    </w:lvl>
    <w:lvl w:ilvl="1">
      <w:lvlJc w:val="left"/>
      <w:lvlText w:val="(%2)"/>
      <w:numFmt w:val="lowerRoman"/>
      <w:start w:val="1"/>
    </w:lvl>
  </w:abstractNum>
  <w:abstractNum w:abstractNumId="390">
    <w:nsid w:val="2B27BF4D"/>
    <w:multiLevelType w:val="hybridMultilevel"/>
    <w:lvl w:ilvl="0">
      <w:lvlJc w:val="left"/>
      <w:lvlText w:val="(%1)"/>
      <w:numFmt w:val="lowerLetter"/>
      <w:start w:val="1"/>
    </w:lvl>
  </w:abstractNum>
  <w:abstractNum w:abstractNumId="391">
    <w:nsid w:val="E5CBEB4"/>
    <w:multiLevelType w:val="hybridMultilevel"/>
    <w:lvl w:ilvl="0">
      <w:lvlJc w:val="left"/>
      <w:lvlText w:val="(%1)"/>
      <w:numFmt w:val="lowerLetter"/>
      <w:start w:val="1"/>
    </w:lvl>
    <w:lvl w:ilvl="1">
      <w:lvlJc w:val="left"/>
      <w:lvlText w:val="(%2)"/>
      <w:numFmt w:val="lowerRoman"/>
      <w:start w:val="1"/>
    </w:lvl>
  </w:abstractNum>
  <w:abstractNum w:abstractNumId="392">
    <w:nsid w:val="297BFD38"/>
    <w:multiLevelType w:val="hybridMultilevel"/>
    <w:lvl w:ilvl="0">
      <w:lvlJc w:val="left"/>
      <w:lvlText w:val="(%1)"/>
      <w:numFmt w:val="lowerLetter"/>
      <w:start w:val="2"/>
    </w:lvl>
  </w:abstractNum>
  <w:abstractNum w:abstractNumId="393">
    <w:nsid w:val="D9A50ED"/>
    <w:multiLevelType w:val="hybridMultilevel"/>
    <w:lvl w:ilvl="0">
      <w:lvlJc w:val="left"/>
      <w:lvlText w:val="(%1)"/>
      <w:numFmt w:val="lowerRoman"/>
      <w:start w:val="1"/>
    </w:lvl>
  </w:abstractNum>
  <w:abstractNum w:abstractNumId="394">
    <w:nsid w:val="20DAABD1"/>
    <w:multiLevelType w:val="hybridMultilevel"/>
    <w:lvl w:ilvl="0">
      <w:lvlJc w:val="left"/>
      <w:lvlText w:val="(%1)"/>
      <w:numFmt w:val="lowerRoman"/>
      <w:start w:val="2"/>
    </w:lvl>
  </w:abstractNum>
  <w:abstractNum w:abstractNumId="395">
    <w:nsid w:val="71B563E3"/>
    <w:multiLevelType w:val="hybridMultilevel"/>
    <w:lvl w:ilvl="0">
      <w:lvlJc w:val="left"/>
      <w:lvlText w:val="(%1)"/>
      <w:numFmt w:val="lowerLetter"/>
      <w:start w:val="1"/>
    </w:lvl>
  </w:abstractNum>
  <w:abstractNum w:abstractNumId="396">
    <w:nsid w:val="741A191E"/>
    <w:multiLevelType w:val="hybridMultilevel"/>
    <w:lvl w:ilvl="0">
      <w:lvlJc w:val="left"/>
      <w:lvlText w:val="(%1)"/>
      <w:numFmt w:val="lowerLetter"/>
      <w:start w:val="1"/>
    </w:lvl>
  </w:abstractNum>
  <w:abstractNum w:abstractNumId="397">
    <w:nsid w:val="55886153"/>
    <w:multiLevelType w:val="hybridMultilevel"/>
    <w:lvl w:ilvl="0">
      <w:lvlJc w:val="left"/>
      <w:lvlText w:val="(%1)"/>
      <w:numFmt w:val="lowerLetter"/>
      <w:start w:val="1"/>
    </w:lvl>
  </w:abstractNum>
  <w:abstractNum w:abstractNumId="398">
    <w:nsid w:val="3E6AF287"/>
    <w:multiLevelType w:val="hybridMultilevel"/>
    <w:lvl w:ilvl="0">
      <w:lvlJc w:val="left"/>
      <w:lvlText w:val="(%1)"/>
      <w:numFmt w:val="lowerLetter"/>
      <w:start w:val="2"/>
    </w:lvl>
  </w:abstractNum>
  <w:abstractNum w:abstractNumId="399">
    <w:nsid w:val="2D7CB919"/>
    <w:multiLevelType w:val="hybridMultilevel"/>
    <w:lvl w:ilvl="0">
      <w:lvlJc w:val="left"/>
      <w:lvlText w:val="(%1)"/>
      <w:numFmt w:val="lowerLetter"/>
      <w:start w:val="1"/>
    </w:lvl>
  </w:abstractNum>
  <w:abstractNum w:abstractNumId="400">
    <w:nsid w:val="4781AC2F"/>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401">
    <w:nsid w:val="666AA3E1"/>
    <w:multiLevelType w:val="hybridMultilevel"/>
    <w:lvl w:ilvl="0">
      <w:lvlJc w:val="left"/>
      <w:lvlText w:val="2"/>
      <w:numFmt w:val="bullet"/>
      <w:start w:val="1"/>
    </w:lvl>
    <w:lvl w:ilvl="1">
      <w:lvlJc w:val="left"/>
      <w:lvlText w:val="(%2)"/>
      <w:numFmt w:val="lowerLetter"/>
      <w:start w:val="1"/>
    </w:lvl>
  </w:abstractNum>
  <w:abstractNum w:abstractNumId="402">
    <w:nsid w:val="32089E8C"/>
    <w:multiLevelType w:val="hybridMultilevel"/>
    <w:lvl w:ilvl="0">
      <w:lvlJc w:val="left"/>
      <w:lvlText w:val="3"/>
      <w:numFmt w:val="bullet"/>
      <w:start w:val="1"/>
    </w:lvl>
    <w:lvl w:ilvl="1">
      <w:lvlJc w:val="left"/>
      <w:lvlText w:val="(%2)"/>
      <w:numFmt w:val="lowerLetter"/>
      <w:start w:val="1"/>
    </w:lvl>
  </w:abstractNum>
  <w:abstractNum w:abstractNumId="403">
    <w:nsid w:val="5BAC6C9C"/>
    <w:multiLevelType w:val="hybridMultilevel"/>
    <w:lvl w:ilvl="0">
      <w:lvlJc w:val="left"/>
      <w:lvlText w:val="4"/>
      <w:numFmt w:val="bullet"/>
      <w:start w:val="1"/>
    </w:lvl>
  </w:abstractNum>
  <w:abstractNum w:abstractNumId="404">
    <w:nsid w:val="460FE42B"/>
    <w:multiLevelType w:val="hybridMultilevel"/>
    <w:lvl w:ilvl="0">
      <w:lvlJc w:val="left"/>
      <w:lvlText w:val="5"/>
      <w:numFmt w:val="bullet"/>
      <w:start w:val="1"/>
    </w:lvl>
  </w:abstractNum>
  <w:abstractNum w:abstractNumId="405">
    <w:nsid w:val="5EC714FC"/>
    <w:multiLevelType w:val="hybridMultilevel"/>
    <w:lvl w:ilvl="0">
      <w:lvlJc w:val="left"/>
      <w:lvlText w:val="6"/>
      <w:numFmt w:val="bullet"/>
      <w:start w:val="1"/>
    </w:lvl>
  </w:abstractNum>
  <w:abstractNum w:abstractNumId="406">
    <w:nsid w:val="39333BAD"/>
    <w:multiLevelType w:val="hybridMultilevel"/>
    <w:lvl w:ilvl="0">
      <w:lvlJc w:val="left"/>
      <w:lvlText w:val="1"/>
      <w:numFmt w:val="bullet"/>
      <w:start w:val="1"/>
    </w:lvl>
    <w:lvl w:ilvl="1">
      <w:lvlJc w:val="left"/>
      <w:lvlText w:val="(%2)"/>
      <w:numFmt w:val="lowerLetter"/>
      <w:start w:val="1"/>
    </w:lvl>
  </w:abstractNum>
  <w:abstractNum w:abstractNumId="407">
    <w:nsid w:val="2FFF2A9F"/>
    <w:multiLevelType w:val="hybridMultilevel"/>
    <w:lvl w:ilvl="0">
      <w:lvlJc w:val="left"/>
      <w:lvlText w:val="2"/>
      <w:numFmt w:val="bullet"/>
      <w:start w:val="1"/>
    </w:lvl>
    <w:lvl w:ilvl="1">
      <w:lvlJc w:val="left"/>
      <w:lvlText w:val="(%2)"/>
      <w:numFmt w:val="lowerLetter"/>
      <w:start w:val="1"/>
    </w:lvl>
  </w:abstractNum>
  <w:abstractNum w:abstractNumId="408">
    <w:nsid w:val="477304AC"/>
    <w:multiLevelType w:val="hybridMultilevel"/>
    <w:lvl w:ilvl="0">
      <w:lvlJc w:val="left"/>
      <w:lvlText w:val="3"/>
      <w:numFmt w:val="bullet"/>
      <w:start w:val="1"/>
    </w:lvl>
  </w:abstractNum>
  <w:abstractNum w:abstractNumId="409">
    <w:nsid w:val="6B9F7823"/>
    <w:multiLevelType w:val="hybridMultilevel"/>
    <w:lvl w:ilvl="0">
      <w:lvlJc w:val="left"/>
      <w:lvlText w:val="(%1)"/>
      <w:numFmt w:val="lowerLetter"/>
      <w:start w:val="1"/>
    </w:lvl>
  </w:abstractNum>
  <w:abstractNum w:abstractNumId="410">
    <w:nsid w:val="8A29A69"/>
    <w:multiLevelType w:val="hybridMultilevel"/>
    <w:lvl w:ilvl="0">
      <w:lvlJc w:val="left"/>
      <w:lvlText w:val="4"/>
      <w:numFmt w:val="bullet"/>
      <w:start w:val="1"/>
    </w:lvl>
  </w:abstractNum>
  <w:abstractNum w:abstractNumId="411">
    <w:nsid w:val="5A0E9A9F"/>
    <w:multiLevelType w:val="hybridMultilevel"/>
    <w:lvl w:ilvl="0">
      <w:lvlJc w:val="left"/>
      <w:lvlText w:val="5"/>
      <w:numFmt w:val="bullet"/>
      <w:start w:val="1"/>
    </w:lvl>
    <w:lvl w:ilvl="1">
      <w:lvlJc w:val="left"/>
      <w:lvlText w:val="(%2)"/>
      <w:numFmt w:val="lowerLetter"/>
      <w:start w:val="1"/>
    </w:lvl>
  </w:abstractNum>
  <w:abstractNum w:abstractNumId="412">
    <w:nsid w:val="1C3F31CE"/>
    <w:multiLevelType w:val="hybridMultilevel"/>
    <w:lvl w:ilvl="0">
      <w:lvlJc w:val="left"/>
      <w:lvlText w:val="6"/>
      <w:numFmt w:val="bullet"/>
      <w:start w:val="1"/>
    </w:lvl>
  </w:abstractNum>
  <w:abstractNum w:abstractNumId="413">
    <w:nsid w:val="D28DDE"/>
    <w:multiLevelType w:val="hybridMultilevel"/>
    <w:lvl w:ilvl="0">
      <w:lvlJc w:val="left"/>
      <w:lvlText w:val="(%1)"/>
      <w:numFmt w:val="lowerLetter"/>
      <w:start w:val="1"/>
    </w:lvl>
  </w:abstractNum>
  <w:abstractNum w:abstractNumId="414">
    <w:nsid w:val="59E3AC4"/>
    <w:multiLevelType w:val="hybridMultilevel"/>
    <w:lvl w:ilvl="0">
      <w:lvlJc w:val="left"/>
      <w:lvlText w:val="7"/>
      <w:numFmt w:val="bullet"/>
      <w:start w:val="1"/>
    </w:lvl>
    <w:lvl w:ilvl="1">
      <w:lvlJc w:val="left"/>
      <w:lvlText w:val="(%2)"/>
      <w:numFmt w:val="lowerLetter"/>
      <w:start w:val="1"/>
    </w:lvl>
  </w:abstractNum>
  <w:abstractNum w:abstractNumId="415">
    <w:nsid w:val="5D38CAEA"/>
    <w:multiLevelType w:val="hybridMultilevel"/>
    <w:lvl w:ilvl="0">
      <w:lvlJc w:val="left"/>
      <w:lvlText w:val="8"/>
      <w:numFmt w:val="bullet"/>
      <w:start w:val="1"/>
    </w:lvl>
  </w:abstractNum>
  <w:abstractNum w:abstractNumId="416">
    <w:nsid w:val="5F4208C"/>
    <w:multiLevelType w:val="hybridMultilevel"/>
    <w:lvl w:ilvl="0">
      <w:lvlJc w:val="left"/>
      <w:lvlText w:val="9"/>
      <w:numFmt w:val="bullet"/>
      <w:start w:val="1"/>
    </w:lvl>
  </w:abstractNum>
  <w:abstractNum w:abstractNumId="417">
    <w:nsid w:val="7C0F10CC"/>
    <w:multiLevelType w:val="hybridMultilevel"/>
    <w:lvl w:ilvl="0">
      <w:lvlJc w:val="left"/>
      <w:lvlText w:val="%1"/>
      <w:numFmt w:val="decimal"/>
      <w:start w:val="10"/>
    </w:lvl>
    <w:lvl w:ilvl="1">
      <w:lvlJc w:val="left"/>
      <w:lvlText w:val="(%2)"/>
      <w:numFmt w:val="lowerLetter"/>
      <w:start w:val="1"/>
    </w:lvl>
  </w:abstractNum>
  <w:abstractNum w:abstractNumId="418">
    <w:nsid w:val="25EF81D5"/>
    <w:multiLevelType w:val="hybridMultilevel"/>
    <w:lvl w:ilvl="0">
      <w:lvlJc w:val="left"/>
      <w:lvlText w:val="(%1)"/>
      <w:numFmt w:val="lowerLetter"/>
      <w:start w:val="1"/>
    </w:lvl>
  </w:abstractNum>
  <w:abstractNum w:abstractNumId="419">
    <w:nsid w:val="15A79515"/>
    <w:multiLevelType w:val="hybridMultilevel"/>
    <w:lvl w:ilvl="0">
      <w:lvlJc w:val="left"/>
      <w:lvlText w:val="(%1)"/>
      <w:numFmt w:val="lowerLetter"/>
      <w:start w:val="3"/>
    </w:lvl>
  </w:abstractNum>
  <w:abstractNum w:abstractNumId="420">
    <w:nsid w:val="4B67062"/>
    <w:multiLevelType w:val="hybridMultilevel"/>
    <w:lvl w:ilvl="0">
      <w:lvlJc w:val="left"/>
      <w:lvlText w:val="1"/>
      <w:numFmt w:val="bullet"/>
      <w:start w:val="1"/>
    </w:lvl>
  </w:abstractNum>
  <w:abstractNum w:abstractNumId="421">
    <w:nsid w:val="51174123"/>
    <w:multiLevelType w:val="hybridMultilevel"/>
    <w:lvl w:ilvl="0">
      <w:lvlJc w:val="left"/>
      <w:lvlText w:val="2"/>
      <w:numFmt w:val="bullet"/>
      <w:start w:val="1"/>
    </w:lvl>
    <w:lvl w:ilvl="1">
      <w:lvlJc w:val="left"/>
      <w:lvlText w:val="(%2)"/>
      <w:numFmt w:val="lowerLetter"/>
      <w:start w:val="1"/>
    </w:lvl>
  </w:abstractNum>
  <w:abstractNum w:abstractNumId="422">
    <w:nsid w:val="240453CA"/>
    <w:multiLevelType w:val="hybridMultilevel"/>
    <w:lvl w:ilvl="0">
      <w:lvlJc w:val="left"/>
      <w:lvlText w:val="3"/>
      <w:numFmt w:val="bullet"/>
      <w:start w:val="1"/>
    </w:lvl>
    <w:lvl w:ilvl="1">
      <w:lvlJc w:val="left"/>
      <w:lvlText w:val="(%2)"/>
      <w:numFmt w:val="lowerLetter"/>
      <w:start w:val="1"/>
    </w:lvl>
  </w:abstractNum>
  <w:abstractNum w:abstractNumId="423">
    <w:nsid w:val="2E326D9A"/>
    <w:multiLevelType w:val="hybridMultilevel"/>
    <w:lvl w:ilvl="0">
      <w:lvlJc w:val="left"/>
      <w:lvlText w:val="4"/>
      <w:numFmt w:val="bullet"/>
      <w:start w:val="1"/>
    </w:lvl>
  </w:abstractNum>
  <w:abstractNum w:abstractNumId="424">
    <w:nsid w:val="5EB19210"/>
    <w:multiLevelType w:val="hybridMultilevel"/>
    <w:lvl w:ilvl="0">
      <w:lvlJc w:val="left"/>
      <w:lvlText w:val="1"/>
      <w:numFmt w:val="bullet"/>
      <w:start w:val="1"/>
    </w:lvl>
  </w:abstractNum>
  <w:abstractNum w:abstractNumId="425">
    <w:nsid w:val="44DEFF9B"/>
    <w:multiLevelType w:val="hybridMultilevel"/>
    <w:lvl w:ilvl="0">
      <w:lvlJc w:val="left"/>
      <w:lvlText w:val="2"/>
      <w:numFmt w:val="bullet"/>
      <w:start w:val="1"/>
    </w:lvl>
    <w:lvl w:ilvl="1">
      <w:lvlJc w:val="left"/>
      <w:lvlText w:val="(%2)"/>
      <w:numFmt w:val="lowerLetter"/>
      <w:start w:val="1"/>
    </w:lvl>
  </w:abstractNum>
  <w:abstractNum w:abstractNumId="426">
    <w:nsid w:val="1FE7D17D"/>
    <w:multiLevelType w:val="hybridMultilevel"/>
    <w:lvl w:ilvl="0">
      <w:lvlJc w:val="left"/>
      <w:lvlText w:val="3"/>
      <w:numFmt w:val="bullet"/>
      <w:start w:val="1"/>
    </w:lvl>
  </w:abstractNum>
  <w:abstractNum w:abstractNumId="427">
    <w:nsid w:val="52CBAB2E"/>
    <w:multiLevelType w:val="hybridMultilevel"/>
    <w:lvl w:ilvl="0">
      <w:lvlJc w:val="left"/>
      <w:lvlText w:val="4"/>
      <w:numFmt w:val="bullet"/>
      <w:start w:val="1"/>
    </w:lvl>
  </w:abstractNum>
  <w:abstractNum w:abstractNumId="428">
    <w:nsid w:val="1A6760EF"/>
    <w:multiLevelType w:val="hybridMultilevel"/>
    <w:lvl w:ilvl="0">
      <w:lvlJc w:val="left"/>
      <w:lvlText w:val="5"/>
      <w:numFmt w:val="bullet"/>
      <w:start w:val="1"/>
    </w:lvl>
  </w:abstractNum>
  <w:abstractNum w:abstractNumId="429">
    <w:nsid w:val="5E52C405"/>
    <w:multiLevelType w:val="hybridMultilevel"/>
    <w:lvl w:ilvl="0">
      <w:lvlJc w:val="left"/>
      <w:lvlText w:val="6"/>
      <w:numFmt w:val="bullet"/>
      <w:start w:val="1"/>
    </w:lvl>
  </w:abstractNum>
  <w:abstractNum w:abstractNumId="430">
    <w:nsid w:val="486447"/>
    <w:multiLevelType w:val="hybridMultilevel"/>
    <w:lvl w:ilvl="0">
      <w:lvlJc w:val="left"/>
      <w:lvlText w:val="7"/>
      <w:numFmt w:val="bullet"/>
      <w:start w:val="1"/>
    </w:lvl>
  </w:abstractNum>
  <w:abstractNum w:abstractNumId="431">
    <w:nsid w:val="61E90D1E"/>
    <w:multiLevelType w:val="hybridMultilevel"/>
    <w:lvl w:ilvl="0">
      <w:lvlJc w:val="left"/>
      <w:lvlText w:val="1"/>
      <w:numFmt w:val="bullet"/>
      <w:start w:val="1"/>
    </w:lvl>
  </w:abstractNum>
  <w:abstractNum w:abstractNumId="432">
    <w:nsid w:val="44BD67E6"/>
    <w:multiLevelType w:val="hybridMultilevel"/>
    <w:lvl w:ilvl="0">
      <w:lvlJc w:val="left"/>
      <w:lvlText w:val="2"/>
      <w:numFmt w:val="bullet"/>
      <w:start w:val="1"/>
    </w:lvl>
  </w:abstractNum>
  <w:abstractNum w:abstractNumId="433">
    <w:nsid w:val="325102D3"/>
    <w:multiLevelType w:val="hybridMultilevel"/>
    <w:lvl w:ilvl="0">
      <w:lvlJc w:val="left"/>
      <w:lvlText w:val="3"/>
      <w:numFmt w:val="bullet"/>
      <w:start w:val="1"/>
    </w:lvl>
  </w:abstractNum>
  <w:abstractNum w:abstractNumId="434">
    <w:nsid w:val="3D9579BA"/>
    <w:multiLevelType w:val="hybridMultilevel"/>
    <w:lvl w:ilvl="0">
      <w:lvlJc w:val="left"/>
      <w:lvlText w:val="1"/>
      <w:numFmt w:val="bullet"/>
      <w:start w:val="1"/>
    </w:lvl>
  </w:abstractNum>
  <w:abstractNum w:abstractNumId="435">
    <w:nsid w:val="ACD4C11"/>
    <w:multiLevelType w:val="hybridMultilevel"/>
    <w:lvl w:ilvl="0">
      <w:lvlJc w:val="left"/>
      <w:lvlText w:val="2"/>
      <w:numFmt w:val="bullet"/>
      <w:start w:val="1"/>
    </w:lvl>
  </w:abstractNum>
  <w:abstractNum w:abstractNumId="436">
    <w:nsid w:val="111817CF"/>
    <w:multiLevelType w:val="hybridMultilevel"/>
    <w:lvl w:ilvl="0">
      <w:lvlJc w:val="left"/>
      <w:lvlText w:val="3"/>
      <w:numFmt w:val="bullet"/>
      <w:start w:val="1"/>
    </w:lvl>
  </w:abstractNum>
  <w:abstractNum w:abstractNumId="437">
    <w:nsid w:val="76C8B568"/>
    <w:multiLevelType w:val="hybridMultilevel"/>
    <w:lvl w:ilvl="0">
      <w:lvlJc w:val="left"/>
      <w:lvlText w:val="(%1)"/>
      <w:numFmt w:val="decimal"/>
      <w:start w:val="1"/>
    </w:lvl>
  </w:abstractNum>
  <w:abstractNum w:abstractNumId="438">
    <w:nsid w:val="3ACC76B1"/>
    <w:multiLevelType w:val="hybridMultilevel"/>
    <w:lvl w:ilvl="0">
      <w:lvlJc w:val="left"/>
      <w:lvlText w:val="1"/>
      <w:numFmt w:val="bullet"/>
      <w:start w:val="1"/>
    </w:lvl>
  </w:abstractNum>
  <w:abstractNum w:abstractNumId="439">
    <w:nsid w:val="588B1C7C"/>
    <w:multiLevelType w:val="hybridMultilevel"/>
    <w:lvl w:ilvl="0">
      <w:lvlJc w:val="left"/>
      <w:lvlText w:val="(%1)"/>
      <w:numFmt w:val="lowerLetter"/>
      <w:start w:val="1"/>
    </w:lvl>
  </w:abstractNum>
  <w:abstractNum w:abstractNumId="440">
    <w:nsid w:val="62682D8B"/>
    <w:multiLevelType w:val="hybridMultilevel"/>
    <w:lvl w:ilvl="0">
      <w:lvlJc w:val="left"/>
      <w:lvlText w:val="(%1)"/>
      <w:numFmt w:val="lowerLetter"/>
      <w:start w:val="1"/>
    </w:lvl>
  </w:abstractNum>
  <w:abstractNum w:abstractNumId="441">
    <w:nsid w:val="436F111A"/>
    <w:multiLevelType w:val="hybridMultilevel"/>
    <w:lvl w:ilvl="0">
      <w:lvlJc w:val="left"/>
      <w:lvlText w:val="(%1)"/>
      <w:numFmt w:val="lowerLetter"/>
      <w:start w:val="1"/>
    </w:lvl>
  </w:abstractNum>
  <w:abstractNum w:abstractNumId="442">
    <w:nsid w:val="3299B71B"/>
    <w:multiLevelType w:val="hybridMultilevel"/>
    <w:lvl w:ilvl="0">
      <w:lvlJc w:val="left"/>
      <w:lvlText w:val="(%1)"/>
      <w:numFmt w:val="lowerLetter"/>
      <w:start w:val="1"/>
    </w:lvl>
  </w:abstractNum>
  <w:abstractNum w:abstractNumId="443">
    <w:nsid w:val="7EA75F5A"/>
    <w:multiLevelType w:val="hybridMultilevel"/>
    <w:lvl w:ilvl="0">
      <w:lvlJc w:val="left"/>
      <w:lvlText w:val="(%1)"/>
      <w:numFmt w:val="lowerLetter"/>
      <w:start w:val="2"/>
    </w:lvl>
  </w:abstractNum>
  <w:abstractNum w:abstractNumId="444">
    <w:nsid w:val="44419EF9"/>
    <w:multiLevelType w:val="hybridMultilevel"/>
    <w:lvl w:ilvl="0">
      <w:lvlJc w:val="left"/>
      <w:lvlText w:val="(%1)"/>
      <w:numFmt w:val="lowerLetter"/>
      <w:start w:val="1"/>
    </w:lvl>
  </w:abstractNum>
  <w:abstractNum w:abstractNumId="445">
    <w:nsid w:val="3837F1DF"/>
    <w:multiLevelType w:val="hybridMultilevel"/>
    <w:lvl w:ilvl="0">
      <w:lvlJc w:val="left"/>
      <w:lvlText w:val="(%1)"/>
      <w:numFmt w:val="lowerLetter"/>
      <w:start w:val="1"/>
    </w:lvl>
  </w:abstractNum>
  <w:abstractNum w:abstractNumId="446">
    <w:nsid w:val="5BE02A44"/>
    <w:multiLevelType w:val="hybridMultilevel"/>
    <w:lvl w:ilvl="0">
      <w:lvlJc w:val="left"/>
      <w:lvlText w:val="(%1)"/>
      <w:numFmt w:val="lowerLetter"/>
      <w:start w:val="1"/>
    </w:lvl>
  </w:abstractNum>
  <w:abstractNum w:abstractNumId="447">
    <w:nsid w:val="4A35BF85"/>
    <w:multiLevelType w:val="hybridMultilevel"/>
    <w:lvl w:ilvl="0">
      <w:lvlJc w:val="left"/>
      <w:lvlText w:val="(%1)"/>
      <w:numFmt w:val="lowerRoman"/>
      <w:start w:val="1"/>
    </w:lvl>
    <w:lvl w:ilvl="1">
      <w:lvlJc w:val="left"/>
      <w:lvlText w:val="(%2)"/>
      <w:numFmt w:val="lowerLetter"/>
      <w:start w:val="2"/>
    </w:lvl>
  </w:abstractNum>
  <w:abstractNum w:abstractNumId="448">
    <w:nsid w:val="344702AC"/>
    <w:multiLevelType w:val="hybridMultilevel"/>
    <w:lvl w:ilvl="0">
      <w:lvlJc w:val="left"/>
      <w:lvlText w:val="(%1)"/>
      <w:numFmt w:val="lowerLetter"/>
      <w:start w:val="1"/>
    </w:lvl>
  </w:abstractNum>
  <w:abstractNum w:abstractNumId="449">
    <w:nsid w:val="1CFAC1A"/>
    <w:multiLevelType w:val="hybridMultilevel"/>
    <w:lvl w:ilvl="0">
      <w:lvlJc w:val="left"/>
      <w:lvlText w:val="(%1)"/>
      <w:numFmt w:val="lowerLetter"/>
      <w:start w:val="1"/>
    </w:lvl>
  </w:abstractNum>
  <w:abstractNum w:abstractNumId="450">
    <w:nsid w:val="5FDD549A"/>
    <w:multiLevelType w:val="hybridMultilevel"/>
    <w:lvl w:ilvl="0">
      <w:lvlJc w:val="left"/>
      <w:lvlText w:val="(%1)"/>
      <w:numFmt w:val="lowerRoman"/>
      <w:start w:val="1"/>
    </w:lvl>
    <w:lvl w:ilvl="1">
      <w:lvlJc w:val="left"/>
      <w:lvlText w:val="(%2)"/>
      <w:numFmt w:val="upperLetter"/>
      <w:start w:val="1"/>
    </w:lvl>
  </w:abstractNum>
  <w:abstractNum w:abstractNumId="451">
    <w:nsid w:val="38FD730E"/>
    <w:multiLevelType w:val="hybridMultilevel"/>
    <w:lvl w:ilvl="0">
      <w:lvlJc w:val="left"/>
      <w:lvlText w:val="(%1)"/>
      <w:numFmt w:val="lowerRoman"/>
      <w:start w:val="2"/>
    </w:lvl>
  </w:abstractNum>
  <w:abstractNum w:abstractNumId="452">
    <w:nsid w:val="52E6ED3D"/>
    <w:multiLevelType w:val="hybridMultilevel"/>
    <w:lvl w:ilvl="0">
      <w:lvlJc w:val="left"/>
      <w:lvlText w:val="(%1)"/>
      <w:numFmt w:val="lowerLetter"/>
      <w:start w:val="1"/>
    </w:lvl>
  </w:abstractNum>
  <w:abstractNum w:abstractNumId="453">
    <w:nsid w:val="3E1A864"/>
    <w:multiLevelType w:val="hybridMultilevel"/>
    <w:lvl w:ilvl="0">
      <w:lvlJc w:val="left"/>
      <w:lvlText w:val="(%1)"/>
      <w:numFmt w:val="lowerLetter"/>
      <w:start w:val="1"/>
    </w:lvl>
  </w:abstractNum>
  <w:abstractNum w:abstractNumId="454">
    <w:nsid w:val="672FE0A8"/>
    <w:multiLevelType w:val="hybridMultilevel"/>
    <w:lvl w:ilvl="0">
      <w:lvlJc w:val="left"/>
      <w:lvlText w:val="(%1)"/>
      <w:numFmt w:val="lowerLetter"/>
      <w:start w:val="1"/>
    </w:lvl>
  </w:abstractNum>
  <w:abstractNum w:abstractNumId="455">
    <w:nsid w:val="31987F4D"/>
    <w:multiLevelType w:val="hybridMultilevel"/>
    <w:lvl w:ilvl="0">
      <w:lvlJc w:val="left"/>
      <w:lvlText w:val="(%1)"/>
      <w:numFmt w:val="lowerLetter"/>
      <w:start w:val="1"/>
    </w:lvl>
  </w:abstractNum>
  <w:abstractNum w:abstractNumId="456">
    <w:nsid w:val="48C0A800"/>
    <w:multiLevelType w:val="hybridMultilevel"/>
    <w:lvl w:ilvl="0">
      <w:lvlJc w:val="left"/>
      <w:lvlText w:val="(%1)"/>
      <w:numFmt w:val="lowerLetter"/>
      <w:start w:val="1"/>
    </w:lvl>
  </w:abstractNum>
  <w:abstractNum w:abstractNumId="457">
    <w:nsid w:val="717B226"/>
    <w:multiLevelType w:val="hybridMultilevel"/>
    <w:lvl w:ilvl="0">
      <w:lvlJc w:val="left"/>
      <w:lvlText w:val="(%1)"/>
      <w:numFmt w:val="lowerLetter"/>
      <w:start w:val="1"/>
    </w:lvl>
  </w:abstractNum>
  <w:abstractNum w:abstractNumId="458">
    <w:nsid w:val="4642A7B"/>
    <w:multiLevelType w:val="hybridMultilevel"/>
    <w:lvl w:ilvl="0">
      <w:lvlJc w:val="left"/>
      <w:lvlText w:val="(%1)"/>
      <w:numFmt w:val="lowerLetter"/>
      <w:start w:val="1"/>
    </w:lvl>
  </w:abstractNum>
  <w:abstractNum w:abstractNumId="459">
    <w:nsid w:val="632808EF"/>
    <w:multiLevelType w:val="hybridMultilevel"/>
    <w:lvl w:ilvl="0">
      <w:lvlJc w:val="left"/>
      <w:lvlText w:val="(%1)"/>
      <w:numFmt w:val="lowerLetter"/>
      <w:start w:val="1"/>
    </w:lvl>
  </w:abstractNum>
  <w:abstractNum w:abstractNumId="460">
    <w:nsid w:val="656A762B"/>
    <w:multiLevelType w:val="hybridMultilevel"/>
    <w:lvl w:ilvl="0">
      <w:lvlJc w:val="left"/>
      <w:lvlText w:val="(%1)"/>
      <w:numFmt w:val="lowerLetter"/>
      <w:start w:val="1"/>
    </w:lvl>
  </w:abstractNum>
  <w:abstractNum w:abstractNumId="461">
    <w:nsid w:val="4AC8EC3"/>
    <w:multiLevelType w:val="hybridMultilevel"/>
    <w:lvl w:ilvl="0">
      <w:lvlJc w:val="left"/>
      <w:lvlText w:val="(%1)"/>
      <w:numFmt w:val="lowerLetter"/>
      <w:start w:val="1"/>
    </w:lvl>
  </w:abstractNum>
  <w:abstractNum w:abstractNumId="462">
    <w:nsid w:val="4511160D"/>
    <w:multiLevelType w:val="hybridMultilevel"/>
    <w:lvl w:ilvl="0">
      <w:lvlJc w:val="left"/>
      <w:lvlText w:val="(%1)"/>
      <w:numFmt w:val="lowerRoman"/>
      <w:start w:val="1"/>
    </w:lvl>
    <w:lvl w:ilvl="1">
      <w:lvlJc w:val="left"/>
      <w:lvlText w:val="(%2)"/>
      <w:numFmt w:val="upperLetter"/>
      <w:start w:val="1"/>
    </w:lvl>
  </w:abstractNum>
  <w:abstractNum w:abstractNumId="463">
    <w:nsid w:val="2A27DE11"/>
    <w:multiLevelType w:val="hybridMultilevel"/>
    <w:lvl w:ilvl="0">
      <w:lvlJc w:val="left"/>
      <w:lvlText w:val="(%1)"/>
      <w:numFmt w:val="lowerRoman"/>
      <w:start w:val="2"/>
    </w:lvl>
  </w:abstractNum>
  <w:abstractNum w:abstractNumId="464">
    <w:nsid w:val="36FD9196"/>
    <w:multiLevelType w:val="hybridMultilevel"/>
    <w:lvl w:ilvl="0">
      <w:lvlJc w:val="left"/>
      <w:lvlText w:val="(%1)"/>
      <w:numFmt w:val="lowerLetter"/>
      <w:start w:val="1"/>
    </w:lvl>
  </w:abstractNum>
  <w:abstractNum w:abstractNumId="465">
    <w:nsid w:val="2A68FC8"/>
    <w:multiLevelType w:val="hybridMultilevel"/>
    <w:lvl w:ilvl="0">
      <w:lvlJc w:val="left"/>
      <w:lvlText w:val="(%1)"/>
      <w:numFmt w:val="lowerLetter"/>
      <w:start w:val="1"/>
    </w:lvl>
  </w:abstractNum>
  <w:abstractNum w:abstractNumId="466">
    <w:nsid w:val="34F52A23"/>
    <w:multiLevelType w:val="hybridMultilevel"/>
    <w:lvl w:ilvl="0">
      <w:lvlJc w:val="left"/>
      <w:lvlText w:val="(%1)"/>
      <w:numFmt w:val="lowerLetter"/>
      <w:start w:val="4"/>
    </w:lvl>
    <w:lvl w:ilvl="1">
      <w:lvlJc w:val="left"/>
      <w:lvlText w:val="(%2)"/>
      <w:numFmt w:val="lowerRoman"/>
      <w:start w:val="1"/>
    </w:lvl>
  </w:abstractNum>
  <w:abstractNum w:abstractNumId="467">
    <w:nsid w:val="4815A966"/>
    <w:multiLevelType w:val="hybridMultilevel"/>
    <w:lvl w:ilvl="0">
      <w:lvlJc w:val="left"/>
      <w:lvlText w:val="(%1)"/>
      <w:numFmt w:val="lowerLetter"/>
      <w:start w:val="1"/>
    </w:lvl>
  </w:abstractNum>
  <w:abstractNum w:abstractNumId="468">
    <w:nsid w:val="796F4530"/>
    <w:multiLevelType w:val="hybridMultilevel"/>
    <w:lvl w:ilvl="0">
      <w:lvlJc w:val="left"/>
      <w:lvlText w:val="(%1)"/>
      <w:numFmt w:val="lowerLetter"/>
      <w:start w:val="1"/>
    </w:lvl>
  </w:abstractNum>
  <w:abstractNum w:abstractNumId="469">
    <w:nsid w:val="6FC1A0D4"/>
    <w:multiLevelType w:val="hybridMultilevel"/>
    <w:lvl w:ilvl="0">
      <w:lvlJc w:val="left"/>
      <w:lvlText w:val="(%1)"/>
      <w:numFmt w:val="lowerLetter"/>
      <w:start w:val="1"/>
    </w:lvl>
  </w:abstractNum>
  <w:abstractNum w:abstractNumId="470">
    <w:nsid w:val="20A0C5E2"/>
    <w:multiLevelType w:val="hybridMultilevel"/>
    <w:lvl w:ilvl="0">
      <w:lvlJc w:val="left"/>
      <w:lvlText w:val="(%1)"/>
      <w:numFmt w:val="lowerLetter"/>
      <w:start w:val="1"/>
    </w:lvl>
  </w:abstractNum>
  <w:abstractNum w:abstractNumId="471">
    <w:nsid w:val="5BD772BB"/>
    <w:multiLevelType w:val="hybridMultilevel"/>
    <w:lvl w:ilvl="0">
      <w:lvlJc w:val="left"/>
      <w:lvlText w:val="(%1)"/>
      <w:numFmt w:val="lowerLetter"/>
      <w:start w:val="1"/>
    </w:lvl>
  </w:abstractNum>
  <w:abstractNum w:abstractNumId="472">
    <w:nsid w:val="3330B1EE"/>
    <w:multiLevelType w:val="hybridMultilevel"/>
    <w:lvl w:ilvl="0">
      <w:lvlJc w:val="left"/>
      <w:lvlText w:val="(%1)"/>
      <w:numFmt w:val="lowerLetter"/>
      <w:start w:val="1"/>
    </w:lvl>
  </w:abstractNum>
  <w:abstractNum w:abstractNumId="473">
    <w:nsid w:val="533A7CFD"/>
    <w:multiLevelType w:val="hybridMultilevel"/>
    <w:lvl w:ilvl="0">
      <w:lvlJc w:val="left"/>
      <w:lvlText w:val="(%1)"/>
      <w:numFmt w:val="lowerLetter"/>
      <w:start w:val="1"/>
    </w:lvl>
  </w:abstractNum>
  <w:abstractNum w:abstractNumId="474">
    <w:nsid w:val="5A7ED215"/>
    <w:multiLevelType w:val="hybridMultilevel"/>
    <w:lvl w:ilvl="0">
      <w:lvlJc w:val="left"/>
      <w:lvlText w:val="(%1)"/>
      <w:numFmt w:val="lowerLetter"/>
      <w:start w:val="1"/>
    </w:lvl>
    <w:lvl w:ilvl="1">
      <w:lvlJc w:val="left"/>
      <w:lvlText w:val="(%2)"/>
      <w:numFmt w:val="lowerRoman"/>
      <w:start w:val="1"/>
    </w:lvl>
  </w:abstractNum>
  <w:abstractNum w:abstractNumId="475">
    <w:nsid w:val="777250E7"/>
    <w:multiLevelType w:val="hybridMultilevel"/>
    <w:lvl w:ilvl="0">
      <w:lvlJc w:val="left"/>
      <w:lvlText w:val="%1"/>
      <w:numFmt w:val="lowerLetter"/>
      <w:start w:val="1"/>
    </w:lvl>
    <w:lvl w:ilvl="1">
      <w:lvlJc w:val="left"/>
      <w:lvlText w:val="(%2)"/>
      <w:numFmt w:val="lowerLetter"/>
      <w:start w:val="61"/>
    </w:lvl>
  </w:abstractNum>
  <w:abstractNum w:abstractNumId="476">
    <w:nsid w:val="B726EDC"/>
    <w:multiLevelType w:val="hybridMultilevel"/>
    <w:lvl w:ilvl="0">
      <w:lvlJc w:val="left"/>
      <w:lvlText w:val="(%1)"/>
      <w:numFmt w:val="lowerLetter"/>
      <w:start w:val="2"/>
    </w:lvl>
    <w:lvl w:ilvl="1">
      <w:lvlJc w:val="left"/>
      <w:lvlText w:val="%2"/>
      <w:numFmt w:val="lowerLetter"/>
      <w:start w:val="1"/>
    </w:lvl>
  </w:abstractNum>
  <w:abstractNum w:abstractNumId="477">
    <w:nsid w:val="365EFC5A"/>
    <w:multiLevelType w:val="hybridMultilevel"/>
    <w:lvl w:ilvl="0">
      <w:lvlJc w:val="left"/>
      <w:lvlText w:val="(%1)"/>
      <w:numFmt w:val="lowerLetter"/>
      <w:start w:val="1"/>
    </w:lvl>
  </w:abstractNum>
  <w:abstractNum w:abstractNumId="478">
    <w:nsid w:val="41A8106C"/>
    <w:multiLevelType w:val="hybridMultilevel"/>
    <w:lvl w:ilvl="0">
      <w:lvlJc w:val="left"/>
      <w:lvlText w:val="(%1)"/>
      <w:numFmt w:val="lowerLetter"/>
      <w:start w:val="1"/>
    </w:lvl>
  </w:abstractNum>
  <w:abstractNum w:abstractNumId="479">
    <w:nsid w:val="3FB97188"/>
    <w:multiLevelType w:val="hybridMultilevel"/>
    <w:lvl w:ilvl="0">
      <w:lvlJc w:val="left"/>
      <w:lvlText w:val="(%1)"/>
      <w:numFmt w:val="lowerLetter"/>
      <w:start w:val="4"/>
    </w:lvl>
  </w:abstractNum>
  <w:abstractNum w:abstractNumId="480">
    <w:nsid w:val="382EA874"/>
    <w:multiLevelType w:val="hybridMultilevel"/>
    <w:lvl w:ilvl="0">
      <w:lvlJc w:val="left"/>
      <w:lvlText w:val="(%1)"/>
      <w:numFmt w:val="lowerLetter"/>
      <w:start w:val="1"/>
    </w:lvl>
  </w:abstractNum>
  <w:abstractNum w:abstractNumId="481">
    <w:nsid w:val="21856507"/>
    <w:multiLevelType w:val="hybridMultilevel"/>
    <w:lvl w:ilvl="0">
      <w:lvlJc w:val="left"/>
      <w:lvlText w:val="(%1)"/>
      <w:numFmt w:val="lowerLetter"/>
      <w:start w:val="1"/>
    </w:lvl>
  </w:abstractNum>
  <w:abstractNum w:abstractNumId="482">
    <w:nsid w:val="78B6E496"/>
    <w:multiLevelType w:val="hybridMultilevel"/>
    <w:lvl w:ilvl="0">
      <w:lvlJc w:val="left"/>
      <w:lvlText w:val="(%1)"/>
      <w:numFmt w:val="lowerLetter"/>
      <w:start w:val="1"/>
    </w:lvl>
    <w:lvl w:ilvl="1">
      <w:lvlJc w:val="left"/>
      <w:lvlText w:val="(%2)"/>
      <w:numFmt w:val="lowerRoman"/>
      <w:start w:val="1"/>
    </w:lvl>
  </w:abstractNum>
  <w:abstractNum w:abstractNumId="483">
    <w:nsid w:val="B1595B1"/>
    <w:multiLevelType w:val="hybridMultilevel"/>
    <w:lvl w:ilvl="0">
      <w:lvlJc w:val="left"/>
      <w:lvlText w:val="(%1)"/>
      <w:numFmt w:val="lowerLetter"/>
      <w:start w:val="1"/>
    </w:lvl>
  </w:abstractNum>
  <w:abstractNum w:abstractNumId="484">
    <w:nsid w:val="25670D6B"/>
    <w:multiLevelType w:val="hybridMultilevel"/>
    <w:lvl w:ilvl="0">
      <w:lvlJc w:val="left"/>
      <w:lvlText w:val="(%1)"/>
      <w:numFmt w:val="lowerLetter"/>
      <w:start w:val="1"/>
    </w:lvl>
  </w:abstractNum>
  <w:abstractNum w:abstractNumId="485">
    <w:nsid w:val="5FE6C53F"/>
    <w:multiLevelType w:val="hybridMultilevel"/>
    <w:lvl w:ilvl="0">
      <w:lvlJc w:val="left"/>
      <w:lvlText w:val="(%1)"/>
      <w:numFmt w:val="lowerLetter"/>
      <w:start w:val="1"/>
    </w:lvl>
  </w:abstractNum>
  <w:abstractNum w:abstractNumId="486">
    <w:nsid w:val="3CAE14FE"/>
    <w:multiLevelType w:val="hybridMultilevel"/>
    <w:lvl w:ilvl="0">
      <w:lvlJc w:val="left"/>
      <w:lvlText w:val="(%1)"/>
      <w:numFmt w:val="lowerLetter"/>
      <w:start w:val="1"/>
    </w:lvl>
  </w:abstractNum>
  <w:abstractNum w:abstractNumId="487">
    <w:nsid w:val="6E27B56B"/>
    <w:multiLevelType w:val="hybridMultilevel"/>
    <w:lvl w:ilvl="0">
      <w:lvlJc w:val="left"/>
      <w:lvlText w:val="(%1)"/>
      <w:numFmt w:val="lowerLetter"/>
      <w:start w:val="1"/>
    </w:lvl>
  </w:abstractNum>
  <w:abstractNum w:abstractNumId="488">
    <w:nsid w:val="66FE7765"/>
    <w:multiLevelType w:val="hybridMultilevel"/>
    <w:lvl w:ilvl="0">
      <w:lvlJc w:val="left"/>
      <w:lvlText w:val="(%1)"/>
      <w:numFmt w:val="lowerLetter"/>
      <w:start w:val="1"/>
    </w:lvl>
  </w:abstractNum>
  <w:abstractNum w:abstractNumId="489">
    <w:nsid w:val="41123F79"/>
    <w:multiLevelType w:val="hybridMultilevel"/>
    <w:lvl w:ilvl="0">
      <w:lvlJc w:val="left"/>
      <w:lvlText w:val="(%1)"/>
      <w:numFmt w:val="lowerLetter"/>
      <w:start w:val="1"/>
    </w:lvl>
  </w:abstractNum>
  <w:abstractNum w:abstractNumId="490">
    <w:nsid w:val="514FBE5A"/>
    <w:multiLevelType w:val="hybridMultilevel"/>
    <w:lvl w:ilvl="0">
      <w:lvlJc w:val="left"/>
      <w:lvlText w:val="(%1)"/>
      <w:numFmt w:val="lowerLetter"/>
      <w:start w:val="4"/>
    </w:lvl>
  </w:abstractNum>
  <w:abstractNum w:abstractNumId="491">
    <w:nsid w:val="4C68ED90"/>
    <w:multiLevelType w:val="hybridMultilevel"/>
    <w:lvl w:ilvl="0">
      <w:lvlJc w:val="left"/>
      <w:lvlText w:val="(%1)"/>
      <w:numFmt w:val="lowerLetter"/>
      <w:start w:val="1"/>
    </w:lvl>
    <w:lvl w:ilvl="1">
      <w:lvlJc w:val="left"/>
      <w:lvlText w:val="(%2)"/>
      <w:numFmt w:val="lowerRoman"/>
      <w:start w:val="1"/>
    </w:lvl>
  </w:abstractNum>
  <w:abstractNum w:abstractNumId="492">
    <w:nsid w:val="45BECE3C"/>
    <w:multiLevelType w:val="hybridMultilevel"/>
    <w:lvl w:ilvl="0">
      <w:lvlJc w:val="left"/>
      <w:lvlText w:val="(%1)"/>
      <w:numFmt w:val="lowerLetter"/>
      <w:start w:val="1"/>
    </w:lvl>
  </w:abstractNum>
  <w:abstractNum w:abstractNumId="493">
    <w:nsid w:val="1660D468"/>
    <w:multiLevelType w:val="hybridMultilevel"/>
    <w:lvl w:ilvl="0">
      <w:lvlJc w:val="left"/>
      <w:lvlText w:val="(%1)"/>
      <w:numFmt w:val="lowerLetter"/>
      <w:start w:val="1"/>
    </w:lvl>
  </w:abstractNum>
  <w:abstractNum w:abstractNumId="494">
    <w:nsid w:val="7690CBA1"/>
    <w:multiLevelType w:val="hybridMultilevel"/>
    <w:lvl w:ilvl="0">
      <w:lvlJc w:val="left"/>
      <w:lvlText w:val="(%1)"/>
      <w:numFmt w:val="lowerLetter"/>
      <w:start w:val="1"/>
    </w:lvl>
  </w:abstractNum>
  <w:abstractNum w:abstractNumId="495">
    <w:nsid w:val="7CBC5FD3"/>
    <w:multiLevelType w:val="hybridMultilevel"/>
    <w:lvl w:ilvl="0">
      <w:lvlJc w:val="left"/>
      <w:lvlText w:val="(%1)"/>
      <w:numFmt w:val="lowerLetter"/>
      <w:start w:val="4"/>
    </w:lvl>
  </w:abstractNum>
  <w:abstractNum w:abstractNumId="496">
    <w:nsid w:val="19076430"/>
    <w:multiLevelType w:val="hybridMultilevel"/>
    <w:lvl w:ilvl="0">
      <w:lvlJc w:val="left"/>
      <w:lvlText w:val="(%1)"/>
      <w:numFmt w:val="lowerLetter"/>
      <w:start w:val="1"/>
    </w:lvl>
  </w:abstractNum>
  <w:abstractNum w:abstractNumId="497">
    <w:nsid w:val="2B85F5C4"/>
    <w:multiLevelType w:val="hybridMultilevel"/>
    <w:lvl w:ilvl="0">
      <w:lvlJc w:val="left"/>
      <w:lvlText w:val="(%1)"/>
      <w:numFmt w:val="lowerLetter"/>
      <w:start w:val="1"/>
    </w:lvl>
  </w:abstractNum>
  <w:abstractNum w:abstractNumId="498">
    <w:nsid w:val="44D20939"/>
    <w:multiLevelType w:val="hybridMultilevel"/>
    <w:lvl w:ilvl="0">
      <w:lvlJc w:val="left"/>
      <w:lvlText w:val="(%1)"/>
      <w:numFmt w:val="lowerLetter"/>
      <w:start w:val="1"/>
    </w:lvl>
    <w:lvl w:ilvl="1">
      <w:lvlJc w:val="left"/>
      <w:lvlText w:val="(%2)"/>
      <w:numFmt w:val="lowerLetter"/>
      <w:start w:val="9"/>
    </w:lvl>
  </w:abstractNum>
  <w:abstractNum w:abstractNumId="499">
    <w:nsid w:val="1276A960"/>
    <w:multiLevelType w:val="hybridMultilevel"/>
    <w:lvl w:ilvl="0">
      <w:lvlJc w:val="left"/>
      <w:lvlText w:val="(%1)"/>
      <w:numFmt w:val="lowerRoman"/>
      <w:start w:val="2"/>
    </w:lvl>
  </w:abstractNum>
  <w:abstractNum w:abstractNumId="500">
    <w:nsid w:val="1B479698"/>
    <w:multiLevelType w:val="hybridMultilevel"/>
    <w:lvl w:ilvl="0">
      <w:lvlJc w:val="left"/>
      <w:lvlText w:val="(%1)"/>
      <w:numFmt w:val="lowerRoman"/>
      <w:start w:val="3"/>
    </w:lvl>
  </w:abstractNum>
  <w:abstractNum w:abstractNumId="501">
    <w:nsid w:val="6572CF1B"/>
    <w:multiLevelType w:val="hybridMultilevel"/>
    <w:lvl w:ilvl="0">
      <w:lvlJc w:val="left"/>
      <w:lvlText w:val="(%1)"/>
      <w:numFmt w:val="lowerRoman"/>
      <w:start w:val="7"/>
    </w:lvl>
    <w:lvl w:ilvl="1">
      <w:lvlJc w:val="left"/>
      <w:lvlText w:val="(%2)"/>
      <w:numFmt w:val="upperLetter"/>
      <w:start w:val="1"/>
    </w:lvl>
    <w:lvl w:ilvl="2">
      <w:lvlJc w:val="left"/>
      <w:lvlText w:val="(%3)"/>
      <w:numFmt w:val="decimal"/>
      <w:start w:val="1"/>
    </w:lvl>
  </w:abstractNum>
  <w:abstractNum w:abstractNumId="502">
    <w:nsid w:val="6E4E1C1B"/>
    <w:multiLevelType w:val="hybridMultilevel"/>
    <w:lvl w:ilvl="0">
      <w:lvlJc w:val="left"/>
      <w:lvlText w:val="(%1)"/>
      <w:numFmt w:val="lowerRoman"/>
      <w:start w:val="14"/>
    </w:lvl>
    <w:lvl w:ilvl="1">
      <w:lvlJc w:val="left"/>
      <w:lvlText w:val="(%2)"/>
      <w:numFmt w:val="upperLetter"/>
      <w:start w:val="1"/>
    </w:lvl>
  </w:abstractNum>
  <w:abstractNum w:abstractNumId="503">
    <w:nsid w:val="4E784887"/>
    <w:multiLevelType w:val="hybridMultilevel"/>
    <w:lvl w:ilvl="0">
      <w:lvlJc w:val="left"/>
      <w:lvlText w:val="(%1)"/>
      <w:numFmt w:val="lowerRoman"/>
      <w:start w:val="22"/>
    </w:lvl>
  </w:abstractNum>
  <w:abstractNum w:abstractNumId="504">
    <w:nsid w:val="38AD4C18"/>
    <w:multiLevelType w:val="hybridMultilevel"/>
    <w:lvl w:ilvl="0">
      <w:lvlJc w:val="left"/>
      <w:lvlText w:val="%1"/>
      <w:numFmt w:val="lowerLetter"/>
      <w:start w:val="1"/>
    </w:lvl>
    <w:lvl w:ilvl="1">
      <w:lvlJc w:val="left"/>
      <w:lvlText w:val="(%2)"/>
      <w:numFmt w:val="lowerRoman"/>
      <w:start w:val="25"/>
    </w:lvl>
  </w:abstractNum>
  <w:abstractNum w:abstractNumId="505">
    <w:nsid w:val="48CCEE31"/>
    <w:multiLevelType w:val="hybridMultilevel"/>
    <w:lvl w:ilvl="0">
      <w:lvlJc w:val="left"/>
      <w:lvlText w:val="(%1)"/>
      <w:numFmt w:val="lowerLetter"/>
      <w:start w:val="2"/>
    </w:lvl>
    <w:lvl w:ilvl="1">
      <w:lvlJc w:val="left"/>
      <w:lvlText w:val="%2"/>
      <w:numFmt w:val="lowerRoman"/>
      <w:start w:val="1"/>
    </w:lvl>
  </w:abstractNum>
  <w:abstractNum w:abstractNumId="506">
    <w:nsid w:val="45EA996E"/>
    <w:multiLevelType w:val="hybridMultilevel"/>
    <w:lvl w:ilvl="0">
      <w:lvlJc w:val="left"/>
      <w:lvlText w:val="(%1)"/>
      <w:numFmt w:val="lowerLetter"/>
      <w:start w:val="1"/>
    </w:lvl>
  </w:abstractNum>
  <w:abstractNum w:abstractNumId="507">
    <w:nsid w:val="441FBAF4"/>
    <w:multiLevelType w:val="hybridMultilevel"/>
    <w:lvl w:ilvl="0">
      <w:lvlJc w:val="left"/>
      <w:lvlText w:val="(%1)"/>
      <w:numFmt w:val="lowerLetter"/>
      <w:start w:val="2"/>
    </w:lvl>
  </w:abstractNum>
  <w:abstractNum w:abstractNumId="508">
    <w:nsid w:val="7F2BEA8B"/>
    <w:multiLevelType w:val="hybridMultilevel"/>
    <w:lvl w:ilvl="0">
      <w:lvlJc w:val="left"/>
      <w:lvlText w:val="2"/>
      <w:numFmt w:val="bullet"/>
      <w:start w:val="1"/>
    </w:lvl>
  </w:abstractNum>
  <w:abstractNum w:abstractNumId="509">
    <w:nsid w:val="792A9DB"/>
    <w:multiLevelType w:val="hybridMultilevel"/>
    <w:lvl w:ilvl="0">
      <w:lvlJc w:val="left"/>
      <w:lvlText w:val="(%1)"/>
      <w:numFmt w:val="lowerLetter"/>
      <w:start w:val="1"/>
    </w:lvl>
  </w:abstractNum>
  <w:abstractNum w:abstractNumId="510">
    <w:nsid w:val="3D92C7D"/>
    <w:multiLevelType w:val="hybridMultilevel"/>
    <w:lvl w:ilvl="0">
      <w:lvlJc w:val="left"/>
      <w:lvlText w:val="(%1)"/>
      <w:numFmt w:val="lowerLetter"/>
      <w:start w:val="1"/>
    </w:lvl>
    <w:lvl w:ilvl="1">
      <w:lvlJc w:val="left"/>
      <w:lvlText w:val="(%2)"/>
      <w:numFmt w:val="lowerLetter"/>
      <w:start w:val="9"/>
    </w:lvl>
  </w:abstractNum>
  <w:abstractNum w:abstractNumId="511">
    <w:nsid w:val="375A92FF"/>
    <w:multiLevelType w:val="hybridMultilevel"/>
    <w:lvl w:ilvl="0">
      <w:lvlJc w:val="left"/>
      <w:lvlText w:val="%1"/>
      <w:numFmt w:val="lowerLetter"/>
      <w:start w:val="1"/>
    </w:lvl>
    <w:lvl w:ilvl="1">
      <w:lvlJc w:val="left"/>
      <w:lvlText w:val="(%2)"/>
      <w:numFmt w:val="lowerRoman"/>
      <w:start w:val="2"/>
    </w:lvl>
  </w:abstractNum>
  <w:abstractNum w:abstractNumId="512">
    <w:nsid w:val="29180EE2"/>
    <w:multiLevelType w:val="hybridMultilevel"/>
    <w:lvl w:ilvl="0">
      <w:lvlJc w:val="left"/>
      <w:lvlText w:val="(%1)"/>
      <w:numFmt w:val="lowerLetter"/>
      <w:start w:val="3"/>
    </w:lvl>
    <w:lvl w:ilvl="1">
      <w:lvlJc w:val="left"/>
      <w:lvlText w:val="(%2)"/>
      <w:numFmt w:val="lowerRoman"/>
      <w:start w:val="1"/>
    </w:lvl>
  </w:abstractNum>
  <w:abstractNum w:abstractNumId="513">
    <w:nsid w:val="7C901113"/>
    <w:multiLevelType w:val="hybridMultilevel"/>
    <w:lvl w:ilvl="0">
      <w:lvlJc w:val="left"/>
      <w:lvlText w:val="(%1)"/>
      <w:numFmt w:val="lowerLetter"/>
      <w:start w:val="7"/>
    </w:lvl>
    <w:lvl w:ilvl="1">
      <w:lvlJc w:val="left"/>
      <w:lvlText w:val="(%2)"/>
      <w:numFmt w:val="lowerRoman"/>
      <w:start w:val="1"/>
    </w:lvl>
  </w:abstractNum>
  <w:abstractNum w:abstractNumId="514">
    <w:nsid w:val="427028B0"/>
    <w:multiLevelType w:val="hybridMultilevel"/>
    <w:lvl w:ilvl="0">
      <w:lvlJc w:val="left"/>
      <w:lvlText w:val="3"/>
      <w:numFmt w:val="bullet"/>
      <w:start w:val="1"/>
    </w:lvl>
  </w:abstractNum>
  <w:abstractNum w:abstractNumId="515">
    <w:nsid w:val="4E7F1C4D"/>
    <w:multiLevelType w:val="hybridMultilevel"/>
    <w:lvl w:ilvl="0">
      <w:lvlJc w:val="left"/>
      <w:lvlText w:val="4"/>
      <w:numFmt w:val="bullet"/>
      <w:start w:val="1"/>
    </w:lvl>
  </w:abstractNum>
  <w:abstractNum w:abstractNumId="516">
    <w:nsid w:val="5C76D652"/>
    <w:multiLevelType w:val="hybridMultilevel"/>
    <w:lvl w:ilvl="0">
      <w:lvlJc w:val="left"/>
      <w:lvlText w:val="(%1)"/>
      <w:numFmt w:val="lowerLetter"/>
      <w:start w:val="1"/>
    </w:lvl>
  </w:abstractNum>
  <w:abstractNum w:abstractNumId="517">
    <w:nsid w:val="7F1E3DAE"/>
    <w:multiLevelType w:val="hybridMultilevel"/>
    <w:lvl w:ilvl="0">
      <w:lvlJc w:val="left"/>
      <w:lvlText w:val="5"/>
      <w:numFmt w:val="bullet"/>
      <w:start w:val="1"/>
    </w:lvl>
  </w:abstractNum>
  <w:abstractNum w:abstractNumId="518">
    <w:nsid w:val="3CA6D1B9"/>
    <w:multiLevelType w:val="hybridMultilevel"/>
    <w:lvl w:ilvl="0">
      <w:lvlJc w:val="left"/>
      <w:lvlText w:val="(%1)"/>
      <w:numFmt w:val="lowerLetter"/>
      <w:start w:val="1"/>
    </w:lvl>
    <w:lvl w:ilvl="1">
      <w:lvlJc w:val="left"/>
      <w:lvlText w:val="(%2)"/>
      <w:numFmt w:val="lowerRoman"/>
      <w:start w:val="1"/>
    </w:lvl>
  </w:abstractNum>
  <w:abstractNum w:abstractNumId="519">
    <w:nsid w:val="43754DB7"/>
    <w:multiLevelType w:val="hybridMultilevel"/>
    <w:lvl w:ilvl="0">
      <w:lvlJc w:val="left"/>
      <w:lvlText w:val="(%1)"/>
      <w:numFmt w:val="lowerLetter"/>
      <w:start w:val="1"/>
    </w:lvl>
  </w:abstractNum>
  <w:abstractNum w:abstractNumId="520">
    <w:nsid w:val="40307D27"/>
    <w:multiLevelType w:val="hybridMultilevel"/>
    <w:lvl w:ilvl="0">
      <w:lvlJc w:val="left"/>
      <w:lvlText w:val="(%1)"/>
      <w:numFmt w:val="lowerLetter"/>
      <w:start w:val="1"/>
    </w:lvl>
  </w:abstractNum>
  <w:abstractNum w:abstractNumId="521">
    <w:nsid w:val="DF69013"/>
    <w:multiLevelType w:val="hybridMultilevel"/>
    <w:lvl w:ilvl="0">
      <w:lvlJc w:val="left"/>
      <w:lvlText w:val="6"/>
      <w:numFmt w:val="bullet"/>
      <w:start w:val="1"/>
    </w:lvl>
  </w:abstractNum>
  <w:abstractNum w:abstractNumId="522">
    <w:nsid w:val="FDE3B47"/>
    <w:multiLevelType w:val="hybridMultilevel"/>
    <w:lvl w:ilvl="0">
      <w:lvlJc w:val="left"/>
      <w:lvlText w:val="(%1)"/>
      <w:numFmt w:val="lowerLetter"/>
      <w:start w:val="1"/>
    </w:lvl>
  </w:abstractNum>
  <w:abstractNum w:abstractNumId="523">
    <w:nsid w:val="5EF4B64"/>
    <w:multiLevelType w:val="hybridMultilevel"/>
    <w:lvl w:ilvl="0">
      <w:lvlJc w:val="left"/>
      <w:lvlText w:val="(%1)"/>
      <w:numFmt w:val="lowerLetter"/>
      <w:start w:val="1"/>
    </w:lvl>
  </w:abstractNum>
  <w:abstractNum w:abstractNumId="524">
    <w:nsid w:val="2457647B"/>
    <w:multiLevelType w:val="hybridMultilevel"/>
    <w:lvl w:ilvl="0">
      <w:lvlJc w:val="left"/>
      <w:lvlText w:val="7"/>
      <w:numFmt w:val="bullet"/>
      <w:start w:val="1"/>
    </w:lvl>
  </w:abstractNum>
  <w:abstractNum w:abstractNumId="525">
    <w:nsid w:val="66F06E9"/>
    <w:multiLevelType w:val="hybridMultilevel"/>
    <w:lvl w:ilvl="0">
      <w:lvlJc w:val="left"/>
      <w:lvlText w:val="(%1)"/>
      <w:numFmt w:val="lowerLetter"/>
      <w:start w:val="1"/>
    </w:lvl>
  </w:abstractNum>
  <w:abstractNum w:abstractNumId="526">
    <w:nsid w:val="2ABAB37"/>
    <w:multiLevelType w:val="hybridMultilevel"/>
    <w:lvl w:ilvl="0">
      <w:lvlJc w:val="left"/>
      <w:lvlText w:val="(%1)"/>
      <w:numFmt w:val="lowerLetter"/>
      <w:start w:val="1"/>
    </w:lvl>
  </w:abstractNum>
  <w:abstractNum w:abstractNumId="527">
    <w:nsid w:val="3D5EC8AB"/>
    <w:multiLevelType w:val="hybridMultilevel"/>
    <w:lvl w:ilvl="0">
      <w:lvlJc w:val="left"/>
      <w:lvlText w:val="(%1)"/>
      <w:numFmt w:val="lowerRoman"/>
      <w:start w:val="1"/>
    </w:lvl>
  </w:abstractNum>
  <w:abstractNum w:abstractNumId="528">
    <w:nsid w:val="31F4FCAD"/>
    <w:multiLevelType w:val="hybridMultilevel"/>
    <w:lvl w:ilvl="0">
      <w:lvlJc w:val="left"/>
      <w:lvlText w:val="%1"/>
      <w:numFmt w:val="lowerLetter"/>
      <w:start w:val="1"/>
    </w:lvl>
    <w:lvl w:ilvl="1">
      <w:lvlJc w:val="left"/>
      <w:lvlText w:val="(%2)"/>
      <w:numFmt w:val="lowerLetter"/>
      <w:start w:val="35"/>
    </w:lvl>
  </w:abstractNum>
  <w:abstractNum w:abstractNumId="529">
    <w:nsid w:val="477DB470"/>
    <w:multiLevelType w:val="hybridMultilevel"/>
    <w:lvl w:ilvl="0">
      <w:lvlJc w:val="left"/>
      <w:lvlText w:val="(%1)"/>
      <w:numFmt w:val="lowerLetter"/>
      <w:start w:val="3"/>
    </w:lvl>
    <w:lvl w:ilvl="1">
      <w:lvlJc w:val="left"/>
      <w:lvlText w:val="%2"/>
      <w:numFmt w:val="lowerLetter"/>
      <w:start w:val="1"/>
    </w:lvl>
  </w:abstractNum>
  <w:abstractNum w:abstractNumId="530">
    <w:nsid w:val="4FD5720B"/>
    <w:multiLevelType w:val="hybridMultilevel"/>
    <w:lvl w:ilvl="0">
      <w:lvlJc w:val="left"/>
      <w:lvlText w:val="(%1)"/>
      <w:numFmt w:val="lowerLetter"/>
      <w:start w:val="1"/>
    </w:lvl>
    <w:lvl w:ilvl="1">
      <w:lvlJc w:val="left"/>
      <w:lvlText w:val="(%2)"/>
      <w:numFmt w:val="lowerRoman"/>
      <w:start w:val="1"/>
    </w:lvl>
  </w:abstractNum>
  <w:abstractNum w:abstractNumId="531">
    <w:nsid w:val="4D3C9346"/>
    <w:multiLevelType w:val="hybridMultilevel"/>
    <w:lvl w:ilvl="0">
      <w:lvlJc w:val="left"/>
      <w:lvlText w:val="(%1)"/>
      <w:numFmt w:val="lowerLetter"/>
      <w:start w:val="1"/>
    </w:lvl>
    <w:lvl w:ilvl="1">
      <w:lvlJc w:val="left"/>
      <w:lvlText w:val="(%2)"/>
      <w:numFmt w:val="lowerRoman"/>
      <w:start w:val="1"/>
    </w:lvl>
  </w:abstractNum>
  <w:abstractNum w:abstractNumId="532">
    <w:nsid w:val="2CF0838B"/>
    <w:multiLevelType w:val="hybridMultilevel"/>
    <w:lvl w:ilvl="0">
      <w:lvlJc w:val="left"/>
      <w:lvlText w:val="(%1)"/>
      <w:numFmt w:val="lowerLetter"/>
      <w:start w:val="2"/>
    </w:lvl>
  </w:abstractNum>
  <w:abstractNum w:abstractNumId="533">
    <w:nsid w:val="3E238E27"/>
    <w:multiLevelType w:val="hybridMultilevel"/>
    <w:lvl w:ilvl="0">
      <w:lvlJc w:val="left"/>
      <w:lvlText w:val="%1"/>
      <w:numFmt w:val="lowerLetter"/>
      <w:start w:val="1"/>
    </w:lvl>
    <w:lvl w:ilvl="1">
      <w:lvlJc w:val="left"/>
      <w:lvlText w:val="(%2)"/>
      <w:numFmt w:val="lowerRoman"/>
      <w:start w:val="1"/>
    </w:lvl>
  </w:abstractNum>
  <w:abstractNum w:abstractNumId="534">
    <w:nsid w:val="1BB4DBCD"/>
    <w:multiLevelType w:val="hybridMultilevel"/>
    <w:lvl w:ilvl="0">
      <w:lvlJc w:val="left"/>
      <w:lvlText w:val="(%1)"/>
      <w:numFmt w:val="lowerLetter"/>
      <w:start w:val="5"/>
    </w:lvl>
    <w:lvl w:ilvl="1">
      <w:lvlJc w:val="left"/>
      <w:lvlText w:val="(%2)"/>
      <w:numFmt w:val="lowerRoman"/>
      <w:start w:val="1"/>
    </w:lvl>
  </w:abstractNum>
  <w:abstractNum w:abstractNumId="535">
    <w:nsid w:val="659DCFA3"/>
    <w:multiLevelType w:val="hybridMultilevel"/>
    <w:lvl w:ilvl="0">
      <w:lvlJc w:val="left"/>
      <w:lvlText w:val="(%1)"/>
      <w:numFmt w:val="lowerLetter"/>
      <w:start w:val="1"/>
    </w:lvl>
    <w:lvl w:ilvl="1">
      <w:lvlJc w:val="left"/>
      <w:lvlText w:val="(%2)"/>
      <w:numFmt w:val="lowerRoman"/>
      <w:start w:val="1"/>
    </w:lvl>
  </w:abstractNum>
  <w:abstractNum w:abstractNumId="536">
    <w:nsid w:val="6F07C58"/>
    <w:multiLevelType w:val="hybridMultilevel"/>
    <w:lvl w:ilvl="0">
      <w:lvlJc w:val="left"/>
      <w:lvlText w:val="%1"/>
      <w:numFmt w:val="lowerLetter"/>
      <w:start w:val="1"/>
    </w:lvl>
    <w:lvl w:ilvl="1">
      <w:lvlJc w:val="left"/>
      <w:lvlText w:val="(%2)"/>
      <w:numFmt w:val="lowerLetter"/>
      <w:start w:val="61"/>
    </w:lvl>
  </w:abstractNum>
  <w:abstractNum w:abstractNumId="537">
    <w:nsid w:val="619F753B"/>
    <w:multiLevelType w:val="hybridMultilevel"/>
    <w:lvl w:ilvl="0">
      <w:lvlJc w:val="left"/>
      <w:lvlText w:val="(%1)"/>
      <w:numFmt w:val="lowerLetter"/>
      <w:start w:val="2"/>
    </w:lvl>
    <w:lvl w:ilvl="1">
      <w:lvlJc w:val="left"/>
      <w:lvlText w:val="(%2)"/>
      <w:numFmt w:val="lowerLetter"/>
      <w:start w:val="9"/>
    </w:lvl>
  </w:abstractNum>
  <w:abstractNum w:abstractNumId="538">
    <w:nsid w:val="29BD8A97"/>
    <w:multiLevelType w:val="hybridMultilevel"/>
    <w:lvl w:ilvl="0">
      <w:lvlJc w:val="left"/>
      <w:lvlText w:val="(%1)"/>
      <w:numFmt w:val="lowerRoman"/>
      <w:start w:val="2"/>
    </w:lvl>
  </w:abstractNum>
  <w:abstractNum w:abstractNumId="539">
    <w:nsid w:val="61C66E3"/>
    <w:multiLevelType w:val="hybridMultilevel"/>
    <w:lvl w:ilvl="0">
      <w:lvlJc w:val="left"/>
      <w:lvlText w:val="(%1)"/>
      <w:numFmt w:val="lowerLetter"/>
      <w:start w:val="1"/>
    </w:lvl>
  </w:abstractNum>
  <w:abstractNum w:abstractNumId="540">
    <w:nsid w:val="69321F16"/>
    <w:multiLevelType w:val="hybridMultilevel"/>
    <w:lvl w:ilvl="0">
      <w:lvlJc w:val="left"/>
      <w:lvlText w:val="(%1)"/>
      <w:numFmt w:val="lowerLetter"/>
      <w:start w:val="9"/>
    </w:lvl>
  </w:abstractNum>
  <w:abstractNum w:abstractNumId="541">
    <w:nsid w:val="2D96B714"/>
    <w:multiLevelType w:val="hybridMultilevel"/>
    <w:lvl w:ilvl="0">
      <w:lvlJc w:val="left"/>
      <w:lvlText w:val="(%1)"/>
      <w:numFmt w:val="lowerLetter"/>
      <w:start w:val="1"/>
    </w:lvl>
  </w:abstractNum>
  <w:abstractNum w:abstractNumId="542">
    <w:nsid w:val="3D76F9E2"/>
    <w:multiLevelType w:val="hybridMultilevel"/>
    <w:lvl w:ilvl="0">
      <w:lvlJc w:val="left"/>
      <w:lvlText w:val="(%1)"/>
      <w:numFmt w:val="lowerLetter"/>
      <w:start w:val="1"/>
    </w:lvl>
  </w:abstractNum>
  <w:abstractNum w:abstractNumId="543">
    <w:nsid w:val="124A2DF8"/>
    <w:multiLevelType w:val="hybridMultilevel"/>
    <w:lvl w:ilvl="0">
      <w:lvlJc w:val="left"/>
      <w:lvlText w:val="8"/>
      <w:numFmt w:val="bullet"/>
      <w:start w:val="1"/>
    </w:lvl>
  </w:abstractNum>
  <w:abstractNum w:abstractNumId="544">
    <w:nsid w:val="2A26C828"/>
    <w:multiLevelType w:val="hybridMultilevel"/>
    <w:lvl w:ilvl="0">
      <w:lvlJc w:val="left"/>
      <w:lvlText w:val="(%1)"/>
      <w:numFmt w:val="lowerLetter"/>
      <w:start w:val="1"/>
    </w:lvl>
  </w:abstractNum>
  <w:abstractNum w:abstractNumId="545">
    <w:nsid w:val="7FE72292"/>
    <w:multiLevelType w:val="hybridMultilevel"/>
    <w:lvl w:ilvl="0">
      <w:lvlJc w:val="left"/>
      <w:lvlText w:val="(%1)"/>
      <w:numFmt w:val="lowerLetter"/>
      <w:start w:val="1"/>
    </w:lvl>
    <w:lvl w:ilvl="1">
      <w:lvlJc w:val="left"/>
      <w:lvlText w:val="(%2)"/>
      <w:numFmt w:val="lowerRoman"/>
      <w:start w:val="1"/>
    </w:lvl>
  </w:abstractNum>
  <w:abstractNum w:abstractNumId="546">
    <w:nsid w:val="60C94A46"/>
    <w:multiLevelType w:val="hybridMultilevel"/>
    <w:lvl w:ilvl="0">
      <w:lvlJc w:val="left"/>
      <w:lvlText w:val="9"/>
      <w:numFmt w:val="bullet"/>
      <w:start w:val="1"/>
    </w:lvl>
  </w:abstractNum>
  <w:abstractNum w:abstractNumId="547">
    <w:nsid w:val="69D9E7A"/>
    <w:multiLevelType w:val="hybridMultilevel"/>
    <w:lvl w:ilvl="0">
      <w:lvlJc w:val="left"/>
      <w:lvlText w:val="(%1)"/>
      <w:numFmt w:val="lowerLetter"/>
      <w:start w:val="1"/>
    </w:lvl>
  </w:abstractNum>
  <w:abstractNum w:abstractNumId="548">
    <w:nsid w:val="7F056040"/>
    <w:multiLevelType w:val="hybridMultilevel"/>
    <w:lvl w:ilvl="0">
      <w:lvlJc w:val="left"/>
      <w:lvlText w:val="(%1)"/>
      <w:numFmt w:val="lowerLetter"/>
      <w:start w:val="3"/>
    </w:lvl>
  </w:abstractNum>
  <w:abstractNum w:abstractNumId="549">
    <w:nsid w:val="1D701BFF"/>
    <w:multiLevelType w:val="hybridMultilevel"/>
    <w:lvl w:ilvl="0">
      <w:lvlJc w:val="left"/>
      <w:lvlText w:val="(%1)"/>
      <w:numFmt w:val="lowerLetter"/>
      <w:start w:val="1"/>
    </w:lvl>
    <w:lvl w:ilvl="1">
      <w:lvlJc w:val="left"/>
      <w:lvlText w:val="(%2)"/>
      <w:numFmt w:val="lowerRoman"/>
      <w:start w:val="1"/>
    </w:lvl>
  </w:abstractNum>
  <w:abstractNum w:abstractNumId="550">
    <w:nsid w:val="4A12EC32"/>
    <w:multiLevelType w:val="hybridMultilevel"/>
    <w:lvl w:ilvl="0">
      <w:lvlJc w:val="left"/>
      <w:lvlText w:val="(%1)"/>
      <w:numFmt w:val="lowerLetter"/>
      <w:start w:val="1"/>
    </w:lvl>
    <w:lvl w:ilvl="1">
      <w:lvlJc w:val="left"/>
      <w:lvlText w:val="(%2)"/>
      <w:numFmt w:val="lowerRoman"/>
      <w:start w:val="1"/>
    </w:lvl>
  </w:abstractNum>
  <w:abstractNum w:abstractNumId="551">
    <w:nsid w:val="3F35DD67"/>
    <w:multiLevelType w:val="hybridMultilevel"/>
    <w:lvl w:ilvl="0">
      <w:lvlJc w:val="left"/>
      <w:lvlText w:val="(%1)"/>
      <w:numFmt w:val="lowerLetter"/>
      <w:start w:val="4"/>
    </w:lvl>
    <w:lvl w:ilvl="1">
      <w:lvlJc w:val="left"/>
      <w:lvlText w:val="(%2)"/>
      <w:numFmt w:val="lowerRoman"/>
      <w:start w:val="1"/>
    </w:lvl>
  </w:abstractNum>
  <w:abstractNum w:abstractNumId="552">
    <w:nsid w:val="2B66AC12"/>
    <w:multiLevelType w:val="hybridMultilevel"/>
    <w:lvl w:ilvl="0">
      <w:lvlJc w:val="left"/>
      <w:lvlText w:val="(%1)"/>
      <w:numFmt w:val="lowerLetter"/>
      <w:start w:val="1"/>
    </w:lvl>
  </w:abstractNum>
  <w:abstractNum w:abstractNumId="553">
    <w:nsid w:val="59F12779"/>
    <w:multiLevelType w:val="hybridMultilevel"/>
    <w:lvl w:ilvl="0">
      <w:lvlJc w:val="left"/>
      <w:lvlText w:val="(%1)"/>
      <w:numFmt w:val="lowerLetter"/>
      <w:start w:val="1"/>
    </w:lvl>
  </w:abstractNum>
  <w:abstractNum w:abstractNumId="554">
    <w:nsid w:val="452528CB"/>
    <w:multiLevelType w:val="hybridMultilevel"/>
    <w:lvl w:ilvl="0">
      <w:lvlJc w:val="left"/>
      <w:lvlText w:val="(%1)"/>
      <w:numFmt w:val="lowerLetter"/>
      <w:start w:val="1"/>
    </w:lvl>
  </w:abstractNum>
  <w:abstractNum w:abstractNumId="555">
    <w:nsid w:val="4FBE108E"/>
    <w:multiLevelType w:val="hybridMultilevel"/>
    <w:lvl w:ilvl="0">
      <w:lvlJc w:val="left"/>
      <w:lvlText w:val="(%1)"/>
      <w:numFmt w:val="lowerLetter"/>
      <w:start w:val="2"/>
    </w:lvl>
  </w:abstractNum>
  <w:abstractNum w:abstractNumId="556">
    <w:nsid w:val="60602E62"/>
    <w:multiLevelType w:val="hybridMultilevel"/>
    <w:lvl w:ilvl="0">
      <w:lvlJc w:val="left"/>
      <w:lvlText w:val="(%1)"/>
      <w:numFmt w:val="lowerLetter"/>
      <w:start w:val="1"/>
    </w:lvl>
  </w:abstractNum>
  <w:abstractNum w:abstractNumId="557">
    <w:nsid w:val="47D0D402"/>
    <w:multiLevelType w:val="hybridMultilevel"/>
    <w:lvl w:ilvl="0">
      <w:lvlJc w:val="left"/>
      <w:lvlText w:val="(%1)"/>
      <w:numFmt w:val="lowerLetter"/>
      <w:start w:val="1"/>
    </w:lvl>
    <w:lvl w:ilvl="1">
      <w:lvlJc w:val="left"/>
      <w:lvlText w:val="(%2)"/>
      <w:numFmt w:val="lowerLetter"/>
      <w:start w:val="9"/>
    </w:lvl>
  </w:abstractNum>
  <w:abstractNum w:abstractNumId="558">
    <w:nsid w:val="D1CD939"/>
    <w:multiLevelType w:val="hybridMultilevel"/>
    <w:lvl w:ilvl="0">
      <w:lvlJc w:val="left"/>
      <w:lvlText w:val="(%1)"/>
      <w:numFmt w:val="upperLetter"/>
      <w:start w:val="1"/>
    </w:lvl>
  </w:abstractNum>
  <w:abstractNum w:abstractNumId="559">
    <w:nsid w:val="12552B10"/>
    <w:multiLevelType w:val="hybridMultilevel"/>
    <w:lvl w:ilvl="0">
      <w:lvlJc w:val="left"/>
      <w:lvlText w:val="(%1)"/>
      <w:numFmt w:val="upperLetter"/>
      <w:start w:val="2"/>
    </w:lvl>
  </w:abstractNum>
  <w:abstractNum w:abstractNumId="560">
    <w:nsid w:val="F4E8872"/>
    <w:multiLevelType w:val="hybridMultilevel"/>
    <w:lvl w:ilvl="0">
      <w:lvlJc w:val="left"/>
      <w:lvlText w:val="%1"/>
      <w:numFmt w:val="lowerLetter"/>
      <w:start w:val="1"/>
    </w:lvl>
    <w:lvl w:ilvl="1">
      <w:lvlJc w:val="left"/>
      <w:lvlText w:val="(%2)"/>
      <w:numFmt w:val="lowerRoman"/>
      <w:start w:val="2"/>
    </w:lvl>
  </w:abstractNum>
  <w:abstractNum w:abstractNumId="561">
    <w:nsid w:val="5CF24B45"/>
    <w:multiLevelType w:val="hybridMultilevel"/>
    <w:lvl w:ilvl="0">
      <w:lvlJc w:val="left"/>
      <w:lvlText w:val="(%1)"/>
      <w:numFmt w:val="lowerLetter"/>
      <w:start w:val="3"/>
    </w:lvl>
    <w:lvl w:ilvl="1">
      <w:lvlJc w:val="left"/>
      <w:lvlText w:val="%2"/>
      <w:numFmt w:val="lowerRoman"/>
      <w:start w:val="1"/>
    </w:lvl>
  </w:abstractNum>
  <w:abstractNum w:abstractNumId="562">
    <w:nsid w:val="5F91BE56"/>
    <w:multiLevelType w:val="hybridMultilevel"/>
    <w:lvl w:ilvl="0">
      <w:lvlJc w:val="left"/>
      <w:lvlText w:val="(%1)"/>
      <w:numFmt w:val="lowerLetter"/>
      <w:start w:val="1"/>
    </w:lvl>
  </w:abstractNum>
  <w:abstractNum w:abstractNumId="563">
    <w:nsid w:val="3C3F0B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4">
    <w:nsid w:val="1B15D96C"/>
    <w:multiLevelType w:val="hybridMultilevel"/>
    <w:lvl w:ilvl="0">
      <w:lvlJc w:val="left"/>
      <w:lvlText w:val="%1"/>
      <w:numFmt w:val="lowerLetter"/>
      <w:start w:val="1"/>
    </w:lvl>
    <w:lvl w:ilvl="1">
      <w:lvlJc w:val="left"/>
      <w:lvlText w:val="(%2)"/>
      <w:numFmt w:val="lowerLetter"/>
      <w:start w:val="61"/>
    </w:lvl>
  </w:abstractNum>
  <w:abstractNum w:abstractNumId="565">
    <w:nsid w:val="7B469A23"/>
    <w:multiLevelType w:val="hybridMultilevel"/>
    <w:lvl w:ilvl="0">
      <w:lvlJc w:val="left"/>
      <w:lvlText w:val="(%1)"/>
      <w:numFmt w:val="lowerLetter"/>
      <w:start w:val="2"/>
    </w:lvl>
    <w:lvl w:ilvl="1">
      <w:lvlJc w:val="left"/>
      <w:lvlText w:val="(%2)"/>
      <w:numFmt w:val="lowerLetter"/>
      <w:start w:val="9"/>
    </w:lvl>
  </w:abstractNum>
  <w:abstractNum w:abstractNumId="566">
    <w:nsid w:val="21DCDBA0"/>
    <w:multiLevelType w:val="hybridMultilevel"/>
    <w:lvl w:ilvl="0">
      <w:lvlJc w:val="left"/>
      <w:lvlText w:val="%1"/>
      <w:numFmt w:val="lowerLetter"/>
      <w:start w:val="1"/>
    </w:lvl>
    <w:lvl w:ilvl="1">
      <w:lvlJc w:val="left"/>
      <w:lvlText w:val="(%2)"/>
      <w:numFmt w:val="lowerRoman"/>
      <w:start w:val="2"/>
    </w:lvl>
  </w:abstractNum>
  <w:abstractNum w:abstractNumId="567">
    <w:nsid w:val="220655C4"/>
    <w:multiLevelType w:val="hybridMultilevel"/>
    <w:lvl w:ilvl="0">
      <w:lvlJc w:val="left"/>
      <w:lvlText w:val="(%1)"/>
      <w:numFmt w:val="lowerLetter"/>
      <w:start w:val="4"/>
    </w:lvl>
    <w:lvl w:ilvl="1">
      <w:lvlJc w:val="left"/>
      <w:lvlText w:val="(%2)"/>
      <w:numFmt w:val="lowerRoman"/>
      <w:start w:val="1"/>
    </w:lvl>
  </w:abstractNum>
  <w:abstractNum w:abstractNumId="568">
    <w:nsid w:val="5CE60F5E"/>
    <w:multiLevelType w:val="hybridMultilevel"/>
    <w:lvl w:ilvl="0">
      <w:lvlJc w:val="left"/>
      <w:lvlText w:val="%1"/>
      <w:numFmt w:val="lowerLetter"/>
      <w:start w:val="1"/>
    </w:lvl>
    <w:lvl w:ilvl="1">
      <w:lvlJc w:val="left"/>
      <w:lvlText w:val="(%2)"/>
      <w:numFmt w:val="upperLetter"/>
      <w:start w:val="1"/>
    </w:lvl>
  </w:abstractNum>
  <w:abstractNum w:abstractNumId="569">
    <w:nsid w:val="4B9A6638"/>
    <w:multiLevelType w:val="hybridMultilevel"/>
    <w:lvl w:ilvl="0">
      <w:lvlJc w:val="left"/>
      <w:lvlText w:val="(%1)"/>
      <w:numFmt w:val="lowerLetter"/>
      <w:start w:val="6"/>
    </w:lvl>
    <w:lvl w:ilvl="1">
      <w:lvlJc w:val="left"/>
      <w:lvlText w:val="%2"/>
      <w:numFmt w:val="upperLetter"/>
      <w:start w:val="1"/>
    </w:lvl>
  </w:abstractNum>
  <w:abstractNum w:abstractNumId="570">
    <w:nsid w:val="2822BCA7"/>
    <w:multiLevelType w:val="hybridMultilevel"/>
    <w:lvl w:ilvl="0">
      <w:lvlJc w:val="left"/>
      <w:lvlText w:val="(%1)"/>
      <w:numFmt w:val="lowerLetter"/>
      <w:start w:val="8"/>
    </w:lvl>
  </w:abstractNum>
  <w:abstractNum w:abstractNumId="571">
    <w:nsid w:val="46182E75"/>
    <w:multiLevelType w:val="hybridMultilevel"/>
    <w:lvl w:ilvl="0">
      <w:lvlJc w:val="left"/>
      <w:lvlText w:val="(%1)"/>
      <w:numFmt w:val="lowerLetter"/>
      <w:start w:val="1"/>
    </w:lvl>
  </w:abstractNum>
  <w:abstractNum w:abstractNumId="572">
    <w:nsid w:val="79311D4C"/>
    <w:multiLevelType w:val="hybridMultilevel"/>
    <w:lvl w:ilvl="0">
      <w:lvlJc w:val="left"/>
      <w:lvlText w:val="(%1)"/>
      <w:numFmt w:val="lowerLetter"/>
      <w:start w:val="1"/>
    </w:lvl>
    <w:lvl w:ilvl="1">
      <w:lvlJc w:val="left"/>
      <w:lvlText w:val="(%2)"/>
      <w:numFmt w:val="lowerRoman"/>
      <w:start w:val="1"/>
    </w:lvl>
  </w:abstractNum>
  <w:abstractNum w:abstractNumId="573">
    <w:nsid w:val="6599B689"/>
    <w:multiLevelType w:val="hybridMultilevel"/>
    <w:lvl w:ilvl="0">
      <w:lvlJc w:val="left"/>
      <w:lvlText w:val="(%1)"/>
      <w:numFmt w:val="lowerLetter"/>
      <w:start w:val="3"/>
    </w:lvl>
  </w:abstractNum>
  <w:abstractNum w:abstractNumId="574">
    <w:nsid w:val="58625C6D"/>
    <w:multiLevelType w:val="hybridMultilevel"/>
    <w:lvl w:ilvl="0">
      <w:lvlJc w:val="left"/>
      <w:lvlText w:val="(%1)"/>
      <w:numFmt w:val="lowerLetter"/>
      <w:start w:val="1"/>
    </w:lvl>
  </w:abstractNum>
  <w:abstractNum w:abstractNumId="575">
    <w:nsid w:val="2357E574"/>
    <w:multiLevelType w:val="hybridMultilevel"/>
    <w:lvl w:ilvl="0">
      <w:lvlJc w:val="left"/>
      <w:lvlText w:val="(%1)"/>
      <w:numFmt w:val="lowerLetter"/>
      <w:start w:val="1"/>
    </w:lvl>
    <w:lvl w:ilvl="1">
      <w:lvlJc w:val="left"/>
      <w:lvlText w:val="(%2)"/>
      <w:numFmt w:val="lowerRoman"/>
      <w:start w:val="1"/>
    </w:lvl>
  </w:abstractNum>
  <w:abstractNum w:abstractNumId="576">
    <w:nsid w:val="6580D91B"/>
    <w:multiLevelType w:val="hybridMultilevel"/>
    <w:lvl w:ilvl="0">
      <w:lvlJc w:val="left"/>
      <w:lvlText w:val="(%1)"/>
      <w:numFmt w:val="lowerLetter"/>
      <w:start w:val="1"/>
    </w:lvl>
  </w:abstractNum>
  <w:abstractNum w:abstractNumId="577">
    <w:nsid w:val="392BA6B3"/>
    <w:multiLevelType w:val="hybridMultilevel"/>
    <w:lvl w:ilvl="0">
      <w:lvlJc w:val="left"/>
      <w:lvlText w:val="(%1)"/>
      <w:numFmt w:val="lowerLetter"/>
      <w:start w:val="1"/>
    </w:lvl>
    <w:lvl w:ilvl="1">
      <w:lvlJc w:val="left"/>
      <w:lvlText w:val="(%2)"/>
      <w:numFmt w:val="lowerRoman"/>
      <w:start w:val="1"/>
    </w:lvl>
  </w:abstractNum>
  <w:abstractNum w:abstractNumId="578">
    <w:nsid w:val="29F583EF"/>
    <w:multiLevelType w:val="hybridMultilevel"/>
    <w:lvl w:ilvl="0">
      <w:lvlJc w:val="left"/>
      <w:lvlText w:val="(%1)"/>
      <w:numFmt w:val="lowerLetter"/>
      <w:start w:val="1"/>
    </w:lvl>
    <w:lvl w:ilvl="1">
      <w:lvlJc w:val="left"/>
      <w:lvlText w:val="(%2)"/>
      <w:numFmt w:val="lowerRoman"/>
      <w:start w:val="1"/>
    </w:lvl>
  </w:abstractNum>
  <w:abstractNum w:abstractNumId="579">
    <w:nsid w:val="6486395B"/>
    <w:multiLevelType w:val="hybridMultilevel"/>
    <w:lvl w:ilvl="0">
      <w:lvlJc w:val="left"/>
      <w:lvlText w:val="(%1)"/>
      <w:numFmt w:val="lowerLetter"/>
      <w:start w:val="2"/>
    </w:lvl>
  </w:abstractNum>
  <w:abstractNum w:abstractNumId="580">
    <w:nsid w:val="569BC2B2"/>
    <w:multiLevelType w:val="hybridMultilevel"/>
    <w:lvl w:ilvl="0">
      <w:lvlJc w:val="left"/>
      <w:lvlText w:val="(%1)"/>
      <w:numFmt w:val="lowerLetter"/>
      <w:start w:val="1"/>
    </w:lvl>
    <w:lvl w:ilvl="1">
      <w:lvlJc w:val="left"/>
      <w:lvlText w:val="(%2)"/>
      <w:numFmt w:val="lowerRoman"/>
      <w:start w:val="1"/>
    </w:lvl>
  </w:abstractNum>
  <w:abstractNum w:abstractNumId="581">
    <w:nsid w:val="74087021"/>
    <w:multiLevelType w:val="hybridMultilevel"/>
    <w:lvl w:ilvl="0">
      <w:lvlJc w:val="left"/>
      <w:lvlText w:val="(%1)"/>
      <w:numFmt w:val="lowerLetter"/>
      <w:start w:val="1"/>
    </w:lvl>
    <w:lvl w:ilvl="1">
      <w:lvlJc w:val="left"/>
      <w:lvlText w:val="(%2)"/>
      <w:numFmt w:val="lowerRoman"/>
      <w:start w:val="1"/>
    </w:lvl>
  </w:abstractNum>
  <w:abstractNum w:abstractNumId="582">
    <w:nsid w:val="23BC16C2"/>
    <w:multiLevelType w:val="hybridMultilevel"/>
    <w:lvl w:ilvl="0">
      <w:lvlJc w:val="left"/>
      <w:lvlText w:val="(%1)"/>
      <w:numFmt w:val="lowerLetter"/>
      <w:start w:val="2"/>
    </w:lvl>
  </w:abstractNum>
  <w:abstractNum w:abstractNumId="583">
    <w:nsid w:val="2026EC5"/>
    <w:multiLevelType w:val="hybridMultilevel"/>
    <w:lvl w:ilvl="0">
      <w:lvlJc w:val="left"/>
      <w:lvlText w:val="(%1)"/>
      <w:numFmt w:val="lowerLetter"/>
      <w:start w:val="1"/>
    </w:lvl>
    <w:lvl w:ilvl="1">
      <w:lvlJc w:val="left"/>
      <w:lvlText w:val="(%2)"/>
      <w:numFmt w:val="lowerRoman"/>
      <w:start w:val="1"/>
    </w:lvl>
  </w:abstractNum>
  <w:abstractNum w:abstractNumId="584">
    <w:nsid w:val="4DF9979A"/>
    <w:multiLevelType w:val="hybridMultilevel"/>
    <w:lvl w:ilvl="0">
      <w:lvlJc w:val="left"/>
      <w:lvlText w:val="%1"/>
      <w:numFmt w:val="decimal"/>
      <w:start w:val="15"/>
    </w:lvl>
  </w:abstractNum>
  <w:abstractNum w:abstractNumId="585">
    <w:nsid w:val="68E13F8E"/>
    <w:multiLevelType w:val="hybridMultilevel"/>
    <w:lvl w:ilvl="0">
      <w:lvlJc w:val="left"/>
      <w:lvlText w:val="(%1)"/>
      <w:numFmt w:val="lowerLetter"/>
      <w:start w:val="1"/>
    </w:lvl>
  </w:abstractNum>
  <w:abstractNum w:abstractNumId="586">
    <w:nsid w:val="51C07F53"/>
    <w:multiLevelType w:val="hybridMultilevel"/>
    <w:lvl w:ilvl="0">
      <w:lvlJc w:val="left"/>
      <w:lvlText w:val="(%1)"/>
      <w:numFmt w:val="lowerLetter"/>
      <w:start w:val="1"/>
    </w:lvl>
  </w:abstractNum>
  <w:abstractNum w:abstractNumId="587">
    <w:nsid w:val="2E59C5FD"/>
    <w:multiLevelType w:val="hybridMultilevel"/>
    <w:lvl w:ilvl="0">
      <w:lvlJc w:val="left"/>
      <w:lvlText w:val="%1"/>
      <w:numFmt w:val="decimal"/>
      <w:start w:val="16"/>
    </w:lvl>
  </w:abstractNum>
  <w:abstractNum w:abstractNumId="588">
    <w:nsid w:val="30B21390"/>
    <w:multiLevelType w:val="hybridMultilevel"/>
    <w:lvl w:ilvl="0">
      <w:lvlJc w:val="left"/>
      <w:lvlText w:val="(%1)"/>
      <w:numFmt w:val="lowerLetter"/>
      <w:start w:val="1"/>
    </w:lvl>
  </w:abstractNum>
  <w:abstractNum w:abstractNumId="589">
    <w:nsid w:val="5EDD588C"/>
    <w:multiLevelType w:val="hybridMultilevel"/>
    <w:lvl w:ilvl="0">
      <w:lvlJc w:val="left"/>
      <w:lvlText w:val="(%1)"/>
      <w:numFmt w:val="lowerLetter"/>
      <w:start w:val="1"/>
    </w:lvl>
  </w:abstractNum>
  <w:abstractNum w:abstractNumId="590">
    <w:nsid w:val="40AEF10D"/>
    <w:multiLevelType w:val="hybridMultilevel"/>
    <w:lvl w:ilvl="0">
      <w:lvlJc w:val="left"/>
      <w:lvlText w:val="%1"/>
      <w:numFmt w:val="decimal"/>
      <w:start w:val="17"/>
    </w:lvl>
  </w:abstractNum>
  <w:abstractNum w:abstractNumId="591">
    <w:nsid w:val="40009C03"/>
    <w:multiLevelType w:val="hybridMultilevel"/>
    <w:lvl w:ilvl="0">
      <w:lvlJc w:val="left"/>
      <w:lvlText w:val="(%1)"/>
      <w:numFmt w:val="lowerLetter"/>
      <w:start w:val="1"/>
    </w:lvl>
  </w:abstractNum>
  <w:abstractNum w:abstractNumId="592">
    <w:nsid w:val="3BCFA3D1"/>
    <w:multiLevelType w:val="hybridMultilevel"/>
    <w:lvl w:ilvl="0">
      <w:lvlJc w:val="left"/>
      <w:lvlText w:val="(%1)"/>
      <w:numFmt w:val="upperLetter"/>
      <w:start w:val="1"/>
    </w:lvl>
  </w:abstractNum>
  <w:abstractNum w:abstractNumId="593">
    <w:nsid w:val="2040AF63"/>
    <w:multiLevelType w:val="hybridMultilevel"/>
    <w:lvl w:ilvl="0">
      <w:lvlJc w:val="left"/>
      <w:lvlText w:val="(%1)"/>
      <w:numFmt w:val="lowerRoman"/>
      <w:start w:val="2"/>
    </w:lvl>
  </w:abstractNum>
  <w:abstractNum w:abstractNumId="594">
    <w:nsid w:val="7C3FA800"/>
    <w:multiLevelType w:val="hybridMultilevel"/>
    <w:lvl w:ilvl="0">
      <w:lvlJc w:val="left"/>
      <w:lvlText w:val="(%1)"/>
      <w:numFmt w:val="decimal"/>
      <w:start w:val="1"/>
    </w:lvl>
  </w:abstractNum>
  <w:abstractNum w:abstractNumId="595">
    <w:nsid w:val="56E57D3D"/>
    <w:multiLevelType w:val="hybridMultilevel"/>
    <w:lvl w:ilvl="0">
      <w:lvlJc w:val="left"/>
      <w:lvlText w:val="(%1)"/>
      <w:numFmt w:val="lowerLetter"/>
      <w:start w:val="1"/>
    </w:lvl>
  </w:abstractNum>
  <w:abstractNum w:abstractNumId="596">
    <w:nsid w:val="1B874986"/>
    <w:multiLevelType w:val="hybridMultilevel"/>
    <w:lvl w:ilvl="0">
      <w:lvlJc w:val="left"/>
      <w:lvlText w:val="(%1)"/>
      <w:numFmt w:val="lowerLetter"/>
      <w:start w:val="1"/>
    </w:lvl>
  </w:abstractNum>
  <w:abstractNum w:abstractNumId="597">
    <w:nsid w:val="1E1C83A1"/>
    <w:multiLevelType w:val="hybridMultilevel"/>
    <w:lvl w:ilvl="0">
      <w:lvlJc w:val="left"/>
      <w:lvlText w:val="(%1)"/>
      <w:numFmt w:val="lowerLetter"/>
      <w:start w:val="8"/>
    </w:lvl>
  </w:abstractNum>
  <w:abstractNum w:abstractNumId="598">
    <w:nsid w:val="78EBD301"/>
    <w:multiLevelType w:val="hybridMultilevel"/>
    <w:lvl w:ilvl="0">
      <w:lvlJc w:val="left"/>
      <w:lvlText w:val="(%1)"/>
      <w:numFmt w:val="lowerLetter"/>
      <w:start w:val="1"/>
    </w:lvl>
  </w:abstractNum>
  <w:abstractNum w:abstractNumId="599">
    <w:nsid w:val="786D58E4"/>
    <w:multiLevelType w:val="hybridMultilevel"/>
    <w:lvl w:ilvl="0">
      <w:lvlJc w:val="left"/>
      <w:lvlText w:val="(%1)"/>
      <w:numFmt w:val="lowerLetter"/>
      <w:start w:val="1"/>
    </w:lvl>
  </w:abstractNum>
  <w:abstractNum w:abstractNumId="600">
    <w:nsid w:val="69B6E9D9"/>
    <w:multiLevelType w:val="hybridMultilevel"/>
    <w:lvl w:ilvl="0">
      <w:lvlJc w:val="left"/>
      <w:lvlText w:val="(%1)"/>
      <w:numFmt w:val="lowerLetter"/>
      <w:start w:val="1"/>
    </w:lvl>
    <w:lvl w:ilvl="1">
      <w:lvlJc w:val="left"/>
      <w:lvlText w:val="(%2)"/>
      <w:numFmt w:val="lowerRoman"/>
      <w:start w:val="1"/>
    </w:lvl>
  </w:abstractNum>
  <w:abstractNum w:abstractNumId="601">
    <w:nsid w:val="210E8FA8"/>
    <w:multiLevelType w:val="hybridMultilevel"/>
    <w:lvl w:ilvl="0">
      <w:lvlJc w:val="left"/>
      <w:lvlText w:val="(%1)"/>
      <w:numFmt w:val="lowerLetter"/>
      <w:start w:val="1"/>
    </w:lvl>
    <w:lvl w:ilvl="1">
      <w:lvlJc w:val="left"/>
      <w:lvlText w:val="(%2)"/>
      <w:numFmt w:val="lowerRoman"/>
      <w:start w:val="1"/>
    </w:lvl>
  </w:abstractNum>
  <w:abstractNum w:abstractNumId="602">
    <w:nsid w:val="3E858759"/>
    <w:multiLevelType w:val="hybridMultilevel"/>
    <w:lvl w:ilvl="0">
      <w:lvlJc w:val="left"/>
      <w:lvlText w:val="(%1)"/>
      <w:numFmt w:val="lowerLetter"/>
      <w:start w:val="3"/>
    </w:lvl>
    <w:lvl w:ilvl="1">
      <w:lvlJc w:val="left"/>
      <w:lvlText w:val="(%2)"/>
      <w:numFmt w:val="lowerRoman"/>
      <w:start w:val="1"/>
    </w:lvl>
  </w:abstractNum>
  <w:abstractNum w:abstractNumId="603">
    <w:nsid w:val="62E80725"/>
    <w:multiLevelType w:val="hybridMultilevel"/>
    <w:lvl w:ilvl="0">
      <w:lvlJc w:val="left"/>
      <w:lvlText w:val="%1"/>
      <w:numFmt w:val="lowerLetter"/>
      <w:start w:val="1"/>
    </w:lvl>
    <w:lvl w:ilvl="1">
      <w:lvlJc w:val="left"/>
      <w:lvlText w:val="(%2)"/>
      <w:numFmt w:val="lowerLetter"/>
      <w:start w:val="2"/>
    </w:lvl>
  </w:abstractNum>
  <w:abstractNum w:abstractNumId="604">
    <w:nsid w:val="6A84631"/>
    <w:multiLevelType w:val="hybridMultilevel"/>
    <w:lvl w:ilvl="0">
      <w:lvlJc w:val="left"/>
      <w:lvlText w:val="(%1)"/>
      <w:numFmt w:val="lowerLetter"/>
      <w:start w:val="4"/>
    </w:lvl>
    <w:lvl w:ilvl="1">
      <w:lvlJc w:val="left"/>
      <w:lvlText w:val="(%2)"/>
      <w:numFmt w:val="lowerLetter"/>
      <w:start w:val="9"/>
    </w:lvl>
  </w:abstractNum>
  <w:abstractNum w:abstractNumId="605">
    <w:nsid w:val="16E7E3C7"/>
    <w:multiLevelType w:val="hybridMultilevel"/>
    <w:lvl w:ilvl="0">
      <w:lvlJc w:val="left"/>
      <w:lvlText w:val="(%1)"/>
      <w:numFmt w:val="lowerRoman"/>
      <w:start w:val="2"/>
    </w:lvl>
  </w:abstractNum>
  <w:abstractNum w:abstractNumId="606">
    <w:nsid w:val="63FEC9A"/>
    <w:multiLevelType w:val="hybridMultilevel"/>
    <w:lvl w:ilvl="0">
      <w:lvlJc w:val="left"/>
      <w:lvlText w:val="(%1)"/>
      <w:numFmt w:val="lowerLetter"/>
      <w:start w:val="5"/>
    </w:lvl>
  </w:abstractNum>
  <w:abstractNum w:abstractNumId="607">
    <w:nsid w:val="6C291F4C"/>
    <w:multiLevelType w:val="hybridMultilevel"/>
    <w:lvl w:ilvl="0">
      <w:lvlJc w:val="left"/>
      <w:lvlText w:val="(%1)"/>
      <w:numFmt w:val="lowerLetter"/>
      <w:start w:val="1"/>
    </w:lvl>
  </w:abstractNum>
  <w:abstractNum w:abstractNumId="608">
    <w:nsid w:val="50138A7A"/>
    <w:multiLevelType w:val="hybridMultilevel"/>
    <w:lvl w:ilvl="0">
      <w:lvlJc w:val="left"/>
      <w:lvlText w:val="(%1)"/>
      <w:numFmt w:val="lowerLetter"/>
      <w:start w:val="1"/>
    </w:lvl>
  </w:abstractNum>
  <w:abstractNum w:abstractNumId="609">
    <w:nsid w:val="30357089"/>
    <w:multiLevelType w:val="hybridMultilevel"/>
    <w:lvl w:ilvl="0">
      <w:lvlJc w:val="left"/>
      <w:lvlText w:val="(%1)"/>
      <w:numFmt w:val="lowerLetter"/>
      <w:start w:val="1"/>
    </w:lvl>
  </w:abstractNum>
  <w:abstractNum w:abstractNumId="610">
    <w:nsid w:val="50AF58A7"/>
    <w:multiLevelType w:val="hybridMultilevel"/>
    <w:lvl w:ilvl="0">
      <w:lvlJc w:val="left"/>
      <w:lvlText w:val="(%1)"/>
      <w:numFmt w:val="lowerLetter"/>
      <w:start w:val="1"/>
    </w:lvl>
    <w:lvl w:ilvl="1">
      <w:lvlJc w:val="left"/>
      <w:lvlText w:val="(%2)"/>
      <w:numFmt w:val="lowerRoman"/>
      <w:start w:val="1"/>
    </w:lvl>
  </w:abstractNum>
  <w:abstractNum w:abstractNumId="611">
    <w:nsid w:val="26AF4D2D"/>
    <w:multiLevelType w:val="hybridMultilevel"/>
    <w:lvl w:ilvl="0">
      <w:lvlJc w:val="left"/>
      <w:lvlText w:val="(%1)"/>
      <w:numFmt w:val="lowerLetter"/>
      <w:start w:val="2"/>
    </w:lvl>
  </w:abstractNum>
  <w:abstractNum w:abstractNumId="612">
    <w:nsid w:val="243DE0AA"/>
    <w:multiLevelType w:val="hybridMultilevel"/>
    <w:lvl w:ilvl="0">
      <w:lvlJc w:val="left"/>
      <w:lvlText w:val="(%1)"/>
      <w:numFmt w:val="lowerLetter"/>
      <w:start w:val="1"/>
    </w:lvl>
  </w:abstractNum>
  <w:abstractNum w:abstractNumId="613">
    <w:nsid w:val="746B6F6A"/>
    <w:multiLevelType w:val="hybridMultilevel"/>
    <w:lvl w:ilvl="0">
      <w:lvlJc w:val="left"/>
      <w:lvlText w:val="(%1)"/>
      <w:numFmt w:val="lowerLetter"/>
      <w:start w:val="1"/>
    </w:lvl>
  </w:abstractNum>
  <w:abstractNum w:abstractNumId="614">
    <w:nsid w:val="28B1BBF2"/>
    <w:multiLevelType w:val="hybridMultilevel"/>
    <w:lvl w:ilvl="0">
      <w:lvlJc w:val="left"/>
      <w:lvlText w:val="(%1)"/>
      <w:numFmt w:val="lowerLetter"/>
      <w:start w:val="1"/>
    </w:lvl>
  </w:abstractNum>
  <w:abstractNum w:abstractNumId="615">
    <w:nsid w:val="72377844"/>
    <w:multiLevelType w:val="hybridMultilevel"/>
    <w:lvl w:ilvl="0">
      <w:lvlJc w:val="left"/>
      <w:lvlText w:val="(%1)"/>
      <w:numFmt w:val="lowerLetter"/>
      <w:start w:val="1"/>
    </w:lvl>
  </w:abstractNum>
  <w:abstractNum w:abstractNumId="616">
    <w:nsid w:val="5D4CAEF8"/>
    <w:multiLevelType w:val="hybridMultilevel"/>
    <w:lvl w:ilvl="0">
      <w:lvlJc w:val="left"/>
      <w:lvlText w:val="(%1)"/>
      <w:numFmt w:val="lowerLetter"/>
      <w:start w:val="1"/>
    </w:lvl>
  </w:abstractNum>
  <w:abstractNum w:abstractNumId="617">
    <w:nsid w:val="7A723B45"/>
    <w:multiLevelType w:val="hybridMultilevel"/>
    <w:lvl w:ilvl="0">
      <w:lvlJc w:val="left"/>
      <w:lvlText w:val="(%1)"/>
      <w:numFmt w:val="lowerLetter"/>
      <w:start w:val="2"/>
    </w:lvl>
  </w:abstractNum>
  <w:abstractNum w:abstractNumId="618">
    <w:nsid w:val="20913E41"/>
    <w:multiLevelType w:val="hybridMultilevel"/>
    <w:lvl w:ilvl="0">
      <w:lvlJc w:val="left"/>
      <w:lvlText w:val="(%1)"/>
      <w:numFmt w:val="lowerLetter"/>
      <w:start w:val="1"/>
    </w:lvl>
  </w:abstractNum>
  <w:abstractNum w:abstractNumId="619">
    <w:nsid w:val="DFEC288"/>
    <w:multiLevelType w:val="hybridMultilevel"/>
    <w:lvl w:ilvl="0">
      <w:lvlJc w:val="left"/>
      <w:lvlText w:val="(%1)"/>
      <w:numFmt w:val="lowerLetter"/>
      <w:start w:val="1"/>
    </w:lvl>
  </w:abstractNum>
  <w:abstractNum w:abstractNumId="620">
    <w:nsid w:val="594F93D1"/>
    <w:multiLevelType w:val="hybridMultilevel"/>
    <w:lvl w:ilvl="0">
      <w:lvlJc w:val="left"/>
      <w:lvlText w:val="(%1)"/>
      <w:numFmt w:val="lowerLetter"/>
      <w:start w:val="1"/>
    </w:lvl>
  </w:abstractNum>
  <w:abstractNum w:abstractNumId="621">
    <w:nsid w:val="61402F4E"/>
    <w:multiLevelType w:val="hybridMultilevel"/>
    <w:lvl w:ilvl="0">
      <w:lvlJc w:val="left"/>
      <w:lvlText w:val="(%1)"/>
      <w:numFmt w:val="lowerLetter"/>
      <w:start w:val="1"/>
    </w:lvl>
  </w:abstractNum>
  <w:abstractNum w:abstractNumId="622">
    <w:nsid w:val="4DFF5E8B"/>
    <w:multiLevelType w:val="hybridMultilevel"/>
    <w:lvl w:ilvl="0">
      <w:lvlJc w:val="left"/>
      <w:lvlText w:val="(%1)"/>
      <w:numFmt w:val="lowerLetter"/>
      <w:start w:val="2"/>
    </w:lvl>
  </w:abstractNum>
  <w:abstractNum w:abstractNumId="623">
    <w:nsid w:val="151F37A3"/>
    <w:multiLevelType w:val="hybridMultilevel"/>
    <w:lvl w:ilvl="0">
      <w:lvlJc w:val="left"/>
      <w:lvlText w:val="(%1)"/>
      <w:numFmt w:val="lowerRoman"/>
      <w:start w:val="1"/>
    </w:lvl>
  </w:abstractNum>
  <w:abstractNum w:abstractNumId="624">
    <w:nsid w:val="180DEB1"/>
    <w:multiLevelType w:val="hybridMultilevel"/>
    <w:lvl w:ilvl="0">
      <w:lvlJc w:val="left"/>
      <w:lvlText w:val="(%1)"/>
      <w:numFmt w:val="lowerLetter"/>
      <w:start w:val="1"/>
    </w:lvl>
    <w:lvl w:ilvl="1">
      <w:lvlJc w:val="left"/>
      <w:lvlText w:val="(%2)"/>
      <w:numFmt w:val="lowerRoman"/>
      <w:start w:val="1"/>
    </w:lvl>
  </w:abstractNum>
  <w:abstractNum w:abstractNumId="625">
    <w:nsid w:val="4A3F068C"/>
    <w:multiLevelType w:val="hybridMultilevel"/>
    <w:lvl w:ilvl="0">
      <w:lvlJc w:val="left"/>
      <w:lvlText w:val="(%1)"/>
      <w:numFmt w:val="lowerLetter"/>
      <w:start w:val="2"/>
    </w:lvl>
  </w:abstractNum>
  <w:abstractNum w:abstractNumId="626">
    <w:nsid w:val="6C04B4E0"/>
    <w:multiLevelType w:val="hybridMultilevel"/>
    <w:lvl w:ilvl="0">
      <w:lvlJc w:val="left"/>
      <w:lvlText w:val="(%1)"/>
      <w:numFmt w:val="lowerLetter"/>
      <w:start w:val="1"/>
    </w:lvl>
  </w:abstractNum>
  <w:abstractNum w:abstractNumId="627">
    <w:nsid w:val="1D082837"/>
    <w:multiLevelType w:val="hybridMultilevel"/>
    <w:lvl w:ilvl="0">
      <w:lvlJc w:val="left"/>
      <w:lvlText w:val="(%1)"/>
      <w:numFmt w:val="lowerLetter"/>
      <w:start w:val="1"/>
    </w:lvl>
  </w:abstractNum>
  <w:abstractNum w:abstractNumId="628">
    <w:nsid w:val="685B8A2D"/>
    <w:multiLevelType w:val="hybridMultilevel"/>
    <w:lvl w:ilvl="0">
      <w:lvlJc w:val="left"/>
      <w:lvlText w:val="(%1)"/>
      <w:numFmt w:val="lowerLetter"/>
      <w:start w:val="1"/>
    </w:lvl>
    <w:lvl w:ilvl="1">
      <w:lvlJc w:val="left"/>
      <w:lvlText w:val="(%2)"/>
      <w:numFmt w:val="lowerRoman"/>
      <w:start w:val="1"/>
    </w:lvl>
  </w:abstractNum>
  <w:abstractNum w:abstractNumId="629">
    <w:nsid w:val="64F087E2"/>
    <w:multiLevelType w:val="hybridMultilevel"/>
    <w:lvl w:ilvl="0">
      <w:lvlJc w:val="left"/>
      <w:lvlText w:val="(%1)"/>
      <w:numFmt w:val="lowerRoman"/>
      <w:start w:val="3"/>
    </w:lvl>
  </w:abstractNum>
  <w:abstractNum w:abstractNumId="630">
    <w:nsid w:val="1575811C"/>
    <w:multiLevelType w:val="hybridMultilevel"/>
    <w:lvl w:ilvl="0">
      <w:lvlJc w:val="left"/>
      <w:lvlText w:val="(%1)"/>
      <w:numFmt w:val="lowerLetter"/>
      <w:start w:val="3"/>
    </w:lvl>
  </w:abstractNum>
  <w:abstractNum w:abstractNumId="631">
    <w:nsid w:val="52127406"/>
    <w:multiLevelType w:val="hybridMultilevel"/>
    <w:lvl w:ilvl="0">
      <w:lvlJc w:val="left"/>
      <w:lvlText w:val="(%1)"/>
      <w:numFmt w:val="lowerLetter"/>
      <w:start w:val="1"/>
    </w:lvl>
  </w:abstractNum>
  <w:abstractNum w:abstractNumId="632">
    <w:nsid w:val="5FF178A"/>
    <w:multiLevelType w:val="hybridMultilevel"/>
    <w:lvl w:ilvl="0">
      <w:lvlJc w:val="left"/>
      <w:lvlText w:val="(%1)"/>
      <w:numFmt w:val="lowerLetter"/>
      <w:start w:val="1"/>
    </w:lvl>
    <w:lvl w:ilvl="1">
      <w:lvlJc w:val="left"/>
      <w:lvlText w:val="(%2)"/>
      <w:numFmt w:val="lowerRoman"/>
      <w:start w:val="1"/>
    </w:lvl>
  </w:abstractNum>
  <w:abstractNum w:abstractNumId="633">
    <w:nsid w:val="53FB0875"/>
    <w:multiLevelType w:val="hybridMultilevel"/>
    <w:lvl w:ilvl="0">
      <w:lvlJc w:val="left"/>
      <w:lvlText w:val="%1"/>
      <w:numFmt w:val="lowerLetter"/>
      <w:start w:val="1"/>
    </w:lvl>
    <w:lvl w:ilvl="1">
      <w:lvlJc w:val="left"/>
      <w:lvlText w:val="(%2)"/>
      <w:numFmt w:val="lowerRoman"/>
      <w:start w:val="3"/>
    </w:lvl>
  </w:abstractNum>
  <w:abstractNum w:abstractNumId="634">
    <w:nsid w:val="34FA7B2B"/>
    <w:multiLevelType w:val="hybridMultilevel"/>
    <w:lvl w:ilvl="0">
      <w:lvlJc w:val="left"/>
      <w:lvlText w:val="(%1)"/>
      <w:numFmt w:val="lowerLetter"/>
      <w:start w:val="2"/>
    </w:lvl>
    <w:lvl w:ilvl="1">
      <w:lvlJc w:val="left"/>
      <w:lvlText w:val="%2"/>
      <w:numFmt w:val="lowerRoman"/>
      <w:start w:val="1"/>
    </w:lvl>
  </w:abstractNum>
  <w:abstractNum w:abstractNumId="635">
    <w:nsid w:val="CA75DBC"/>
    <w:multiLevelType w:val="hybridMultilevel"/>
    <w:lvl w:ilvl="0">
      <w:lvlJc w:val="left"/>
      <w:lvlText w:val="(%1)"/>
      <w:numFmt w:val="lowerLetter"/>
      <w:start w:val="1"/>
    </w:lvl>
    <w:lvl w:ilvl="1">
      <w:lvlJc w:val="left"/>
      <w:lvlText w:val="(%2)"/>
      <w:numFmt w:val="lowerRoman"/>
      <w:start w:val="1"/>
    </w:lvl>
  </w:abstractNum>
  <w:abstractNum w:abstractNumId="636">
    <w:nsid w:val="6AE2EC3C"/>
    <w:multiLevelType w:val="hybridMultilevel"/>
    <w:lvl w:ilvl="0">
      <w:lvlJc w:val="left"/>
      <w:lvlText w:val="(%1)"/>
      <w:numFmt w:val="lowerLetter"/>
      <w:start w:val="1"/>
    </w:lvl>
    <w:lvl w:ilvl="1">
      <w:lvlJc w:val="left"/>
      <w:lvlText w:val="(%2)"/>
      <w:numFmt w:val="lowerRoman"/>
      <w:start w:val="1"/>
    </w:lvl>
  </w:abstractNum>
  <w:abstractNum w:abstractNumId="637">
    <w:nsid w:val="3B3A67C5"/>
    <w:multiLevelType w:val="hybridMultilevel"/>
    <w:lvl w:ilvl="0">
      <w:lvlJc w:val="left"/>
      <w:lvlText w:val="%1"/>
      <w:numFmt w:val="lowerLetter"/>
      <w:start w:val="1"/>
    </w:lvl>
    <w:lvl w:ilvl="1">
      <w:lvlJc w:val="left"/>
      <w:lvlText w:val="(%2)"/>
      <w:numFmt w:val="lowerLetter"/>
      <w:start w:val="61"/>
    </w:lvl>
  </w:abstractNum>
  <w:abstractNum w:abstractNumId="638">
    <w:nsid w:val="78D07D08"/>
    <w:multiLevelType w:val="hybridMultilevel"/>
    <w:lvl w:ilvl="0">
      <w:lvlJc w:val="left"/>
      <w:lvlText w:val="(%1)"/>
      <w:numFmt w:val="lowerLetter"/>
      <w:start w:val="3"/>
    </w:lvl>
    <w:lvl w:ilvl="1">
      <w:lvlJc w:val="left"/>
      <w:lvlText w:val="(%2)"/>
      <w:numFmt w:val="lowerLetter"/>
      <w:start w:val="9"/>
    </w:lvl>
  </w:abstractNum>
  <w:abstractNum w:abstractNumId="639">
    <w:nsid w:val="3AF676B7"/>
    <w:multiLevelType w:val="hybridMultilevel"/>
    <w:lvl w:ilvl="0">
      <w:lvlJc w:val="left"/>
      <w:lvlText w:val="(%1)"/>
      <w:numFmt w:val="lowerRoman"/>
      <w:start w:val="2"/>
    </w:lvl>
  </w:abstractNum>
  <w:abstractNum w:abstractNumId="640">
    <w:nsid w:val="6B6FD84E"/>
    <w:multiLevelType w:val="hybridMultilevel"/>
    <w:lvl w:ilvl="0">
      <w:lvlJc w:val="left"/>
      <w:lvlText w:val="(%1)"/>
      <w:numFmt w:val="lowerLetter"/>
      <w:start w:val="1"/>
    </w:lvl>
  </w:abstractNum>
  <w:abstractNum w:abstractNumId="641">
    <w:nsid w:val="497FD5B0"/>
    <w:multiLevelType w:val="hybridMultilevel"/>
    <w:lvl w:ilvl="0">
      <w:lvlJc w:val="left"/>
      <w:lvlText w:val="(%1)"/>
      <w:numFmt w:val="lowerLetter"/>
      <w:start w:val="1"/>
    </w:lvl>
  </w:abstractNum>
  <w:abstractNum w:abstractNumId="642">
    <w:nsid w:val="61A5C3E4"/>
    <w:multiLevelType w:val="hybridMultilevel"/>
    <w:lvl w:ilvl="0">
      <w:lvlJc w:val="left"/>
      <w:lvlText w:val="(%1)"/>
      <w:numFmt w:val="lowerLetter"/>
      <w:start w:val="1"/>
    </w:lvl>
    <w:lvl w:ilvl="1">
      <w:lvlJc w:val="left"/>
      <w:lvlText w:val="(%2)"/>
      <w:numFmt w:val="lowerRoman"/>
      <w:start w:val="1"/>
    </w:lvl>
  </w:abstractNum>
  <w:abstractNum w:abstractNumId="643">
    <w:nsid w:val="FADB8F8"/>
    <w:multiLevelType w:val="hybridMultilevel"/>
    <w:lvl w:ilvl="0">
      <w:lvlJc w:val="left"/>
      <w:lvlText w:val="(%1)"/>
      <w:numFmt w:val="lowerLetter"/>
      <w:start w:val="2"/>
    </w:lvl>
    <w:lvl w:ilvl="1">
      <w:lvlJc w:val="left"/>
      <w:lvlText w:val="(%2)"/>
      <w:numFmt w:val="lowerRoman"/>
      <w:start w:val="1"/>
    </w:lvl>
  </w:abstractNum>
  <w:abstractNum w:abstractNumId="644">
    <w:nsid w:val="3DEB451A"/>
    <w:multiLevelType w:val="hybridMultilevel"/>
    <w:lvl w:ilvl="0">
      <w:lvlJc w:val="left"/>
      <w:lvlText w:val="(%1)"/>
      <w:numFmt w:val="lowerLetter"/>
      <w:start w:val="4"/>
    </w:lvl>
  </w:abstractNum>
  <w:abstractNum w:abstractNumId="645">
    <w:nsid w:val="A577FD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646">
    <w:nsid w:val="1E5313D"/>
    <w:multiLevelType w:val="hybridMultilevel"/>
    <w:lvl w:ilvl="0">
      <w:lvlJc w:val="left"/>
      <w:lvlText w:val="(%1)"/>
      <w:numFmt w:val="lowerLetter"/>
      <w:start w:val="1"/>
    </w:lvl>
  </w:abstractNum>
  <w:abstractNum w:abstractNumId="647">
    <w:nsid w:val="1B37F412"/>
    <w:multiLevelType w:val="hybridMultilevel"/>
    <w:lvl w:ilvl="0">
      <w:lvlJc w:val="left"/>
      <w:lvlText w:val="(%1)"/>
      <w:numFmt w:val="lowerLetter"/>
      <w:start w:val="1"/>
    </w:lvl>
  </w:abstractNum>
  <w:abstractNum w:abstractNumId="648">
    <w:nsid w:val="4C9BB1B"/>
    <w:multiLevelType w:val="hybridMultilevel"/>
    <w:lvl w:ilvl="0">
      <w:lvlJc w:val="left"/>
      <w:lvlText w:val="(%1)"/>
      <w:numFmt w:val="lowerLetter"/>
      <w:start w:val="1"/>
    </w:lvl>
  </w:abstractNum>
  <w:abstractNum w:abstractNumId="649">
    <w:nsid w:val="22766F7E"/>
    <w:multiLevelType w:val="hybridMultilevel"/>
    <w:lvl w:ilvl="0">
      <w:lvlJc w:val="left"/>
      <w:lvlText w:val="(%1)"/>
      <w:numFmt w:val="lowerLetter"/>
      <w:start w:val="1"/>
    </w:lvl>
  </w:abstractNum>
  <w:abstractNum w:abstractNumId="650">
    <w:nsid w:val="2936B69A"/>
    <w:multiLevelType w:val="hybridMultilevel"/>
    <w:lvl w:ilvl="0">
      <w:lvlJc w:val="left"/>
      <w:lvlText w:val="(%1)"/>
      <w:numFmt w:val="lowerLetter"/>
      <w:start w:val="1"/>
    </w:lvl>
  </w:abstractNum>
  <w:abstractNum w:abstractNumId="651">
    <w:nsid w:val="5E194EEC"/>
    <w:multiLevelType w:val="hybridMultilevel"/>
    <w:lvl w:ilvl="0">
      <w:lvlJc w:val="left"/>
      <w:lvlText w:val="(%1)"/>
      <w:numFmt w:val="lowerLetter"/>
      <w:start w:val="1"/>
    </w:lvl>
  </w:abstractNum>
  <w:abstractNum w:abstractNumId="652">
    <w:nsid w:val="3B69ECD"/>
    <w:multiLevelType w:val="hybridMultilevel"/>
    <w:lvl w:ilvl="0">
      <w:lvlJc w:val="left"/>
      <w:lvlText w:val="(%1)"/>
      <w:numFmt w:val="lowerLetter"/>
      <w:start w:val="1"/>
    </w:lvl>
  </w:abstractNum>
  <w:abstractNum w:abstractNumId="653">
    <w:nsid w:val="77361526"/>
    <w:multiLevelType w:val="hybridMultilevel"/>
    <w:lvl w:ilvl="0">
      <w:lvlJc w:val="left"/>
      <w:lvlText w:val="(%1)"/>
      <w:numFmt w:val="lowerLetter"/>
      <w:start w:val="1"/>
    </w:lvl>
  </w:abstractNum>
  <w:abstractNum w:abstractNumId="654">
    <w:nsid w:val="7338868F"/>
    <w:multiLevelType w:val="hybridMultilevel"/>
    <w:lvl w:ilvl="0">
      <w:lvlJc w:val="left"/>
      <w:lvlText w:val="(%1)"/>
      <w:numFmt w:val="lowerLetter"/>
      <w:start w:val="1"/>
    </w:lvl>
  </w:abstractNum>
  <w:abstractNum w:abstractNumId="655">
    <w:nsid w:val="5377D7E"/>
    <w:multiLevelType w:val="hybridMultilevel"/>
    <w:lvl w:ilvl="0">
      <w:lvlJc w:val="left"/>
      <w:lvlText w:val="(%1)"/>
      <w:numFmt w:val="lowerRoman"/>
      <w:start w:val="1"/>
    </w:lvl>
  </w:abstractNum>
  <w:abstractNum w:abstractNumId="656">
    <w:nsid w:val="41751BB2"/>
    <w:multiLevelType w:val="hybridMultilevel"/>
    <w:lvl w:ilvl="0">
      <w:lvlJc w:val="left"/>
      <w:lvlText w:val="(%1)"/>
      <w:numFmt w:val="lowerRoman"/>
      <w:start w:val="2"/>
    </w:lvl>
  </w:abstractNum>
  <w:abstractNum w:abstractNumId="657">
    <w:nsid w:val="5F3D3B70"/>
    <w:multiLevelType w:val="hybridMultilevel"/>
    <w:lvl w:ilvl="0">
      <w:lvlJc w:val="left"/>
      <w:lvlText w:val="(%1)"/>
      <w:numFmt w:val="lowerLetter"/>
      <w:start w:val="1"/>
    </w:lvl>
    <w:lvl w:ilvl="1">
      <w:lvlJc w:val="left"/>
      <w:lvlText w:val="(%2)"/>
      <w:numFmt w:val="lowerRoman"/>
      <w:start w:val="1"/>
    </w:lvl>
  </w:abstractNum>
  <w:abstractNum w:abstractNumId="658">
    <w:nsid w:val="223FA5B6"/>
    <w:multiLevelType w:val="hybridMultilevel"/>
    <w:lvl w:ilvl="0">
      <w:lvlJc w:val="left"/>
      <w:lvlText w:val="(%1)"/>
      <w:numFmt w:val="lowerLetter"/>
      <w:start w:val="1"/>
    </w:lvl>
    <w:lvl w:ilvl="1">
      <w:lvlJc w:val="left"/>
      <w:lvlText w:val="(%2)"/>
      <w:numFmt w:val="lowerRoman"/>
      <w:start w:val="1"/>
    </w:lvl>
  </w:abstractNum>
  <w:abstractNum w:abstractNumId="659">
    <w:nsid w:val="29D0A5DF"/>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660">
    <w:nsid w:val="442DC35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61">
    <w:nsid w:val="37B526D2"/>
    <w:multiLevelType w:val="hybridMultilevel"/>
    <w:lvl w:ilvl="0">
      <w:lvlJc w:val="left"/>
      <w:lvlText w:val="%1"/>
      <w:numFmt w:val="lowerLetter"/>
      <w:start w:val="1"/>
    </w:lvl>
    <w:lvl w:ilvl="1">
      <w:lvlJc w:val="left"/>
      <w:lvlText w:val="(%2)"/>
      <w:numFmt w:val="upperLetter"/>
      <w:start w:val="3"/>
    </w:lvl>
  </w:abstractNum>
  <w:abstractNum w:abstractNumId="662">
    <w:nsid w:val="7BE319E5"/>
    <w:multiLevelType w:val="hybridMultilevel"/>
    <w:lvl w:ilvl="0">
      <w:lvlJc w:val="left"/>
      <w:lvlText w:val="(%1)"/>
      <w:numFmt w:val="lowerLetter"/>
      <w:start w:val="4"/>
    </w:lvl>
    <w:lvl w:ilvl="1">
      <w:lvlJc w:val="left"/>
      <w:lvlText w:val="%2"/>
      <w:numFmt w:val="upperLetter"/>
      <w:start w:val="1"/>
    </w:lvl>
  </w:abstractNum>
  <w:abstractNum w:abstractNumId="663">
    <w:nsid w:val="4A2CDADC"/>
    <w:multiLevelType w:val="hybridMultilevel"/>
    <w:lvl w:ilvl="0">
      <w:lvlJc w:val="left"/>
      <w:lvlText w:val="(%1)"/>
      <w:numFmt w:val="lowerLetter"/>
      <w:start w:val="1"/>
    </w:lvl>
    <w:lvl w:ilvl="1">
      <w:lvlJc w:val="left"/>
      <w:lvlText w:val="(%2)"/>
      <w:numFmt w:val="lowerRoman"/>
      <w:start w:val="1"/>
    </w:lvl>
  </w:abstractNum>
  <w:abstractNum w:abstractNumId="664">
    <w:nsid w:val="BB02F47"/>
    <w:multiLevelType w:val="hybridMultilevel"/>
    <w:lvl w:ilvl="0">
      <w:lvlJc w:val="left"/>
      <w:lvlText w:val="(%1)"/>
      <w:numFmt w:val="lowerLetter"/>
      <w:start w:val="1"/>
    </w:lvl>
  </w:abstractNum>
  <w:abstractNum w:abstractNumId="665">
    <w:nsid w:val="30DD9510"/>
    <w:multiLevelType w:val="hybridMultilevel"/>
    <w:lvl w:ilvl="0">
      <w:lvlJc w:val="left"/>
      <w:lvlText w:val="(%1)"/>
      <w:numFmt w:val="lowerLetter"/>
      <w:start w:val="3"/>
    </w:lvl>
  </w:abstractNum>
  <w:abstractNum w:abstractNumId="666">
    <w:nsid w:val="56D43898"/>
    <w:multiLevelType w:val="hybridMultilevel"/>
    <w:lvl w:ilvl="0">
      <w:lvlJc w:val="left"/>
      <w:lvlText w:val="(%1)"/>
      <w:numFmt w:val="lowerLetter"/>
      <w:start w:val="1"/>
    </w:lvl>
  </w:abstractNum>
  <w:abstractNum w:abstractNumId="667">
    <w:nsid w:val="76931B84"/>
    <w:multiLevelType w:val="hybridMultilevel"/>
    <w:lvl w:ilvl="0">
      <w:lvlJc w:val="left"/>
      <w:lvlText w:val="(%1)"/>
      <w:numFmt w:val="lowerLetter"/>
      <w:start w:val="2"/>
    </w:lvl>
  </w:abstractNum>
  <w:abstractNum w:abstractNumId="668">
    <w:nsid w:val="6C17FCD6"/>
    <w:multiLevelType w:val="hybridMultilevel"/>
    <w:lvl w:ilvl="0">
      <w:lvlJc w:val="left"/>
      <w:lvlText w:val="(%1)"/>
      <w:numFmt w:val="lowerLetter"/>
      <w:start w:val="1"/>
    </w:lvl>
    <w:lvl w:ilvl="1">
      <w:lvlJc w:val="left"/>
      <w:lvlText w:val="(%2)"/>
      <w:numFmt w:val="lowerRoman"/>
      <w:start w:val="1"/>
    </w:lvl>
  </w:abstractNum>
  <w:abstractNum w:abstractNumId="669">
    <w:nsid w:val="4FA4B5A1"/>
    <w:multiLevelType w:val="hybridMultilevel"/>
    <w:lvl w:ilvl="0">
      <w:lvlJc w:val="left"/>
      <w:lvlText w:val="%1"/>
      <w:numFmt w:val="lowerLetter"/>
      <w:start w:val="1"/>
    </w:lvl>
    <w:lvl w:ilvl="1">
      <w:lvlJc w:val="left"/>
      <w:lvlText w:val="(%2)"/>
      <w:numFmt w:val="lowerLetter"/>
      <w:start w:val="22"/>
    </w:lvl>
  </w:abstractNum>
  <w:abstractNum w:abstractNumId="670">
    <w:nsid w:val="3189923B"/>
    <w:multiLevelType w:val="hybridMultilevel"/>
    <w:lvl w:ilvl="0">
      <w:lvlJc w:val="left"/>
      <w:lvlText w:val="(%1)"/>
      <w:numFmt w:val="lowerLetter"/>
      <w:start w:val="3"/>
    </w:lvl>
    <w:lvl w:ilvl="1">
      <w:lvlJc w:val="left"/>
      <w:lvlText w:val="(%2)"/>
      <w:numFmt w:val="lowerLetter"/>
      <w:start w:val="9"/>
    </w:lvl>
  </w:abstractNum>
  <w:abstractNum w:abstractNumId="671">
    <w:nsid w:val="5787D524"/>
    <w:multiLevelType w:val="hybridMultilevel"/>
    <w:lvl w:ilvl="0">
      <w:lvlJc w:val="left"/>
      <w:lvlText w:val="%1"/>
      <w:numFmt w:val="lowerLetter"/>
      <w:start w:val="1"/>
    </w:lvl>
    <w:lvl w:ilvl="1">
      <w:lvlJc w:val="left"/>
      <w:lvlText w:val="(%2)"/>
      <w:numFmt w:val="lowerRoman"/>
      <w:start w:val="2"/>
    </w:lvl>
  </w:abstractNum>
  <w:abstractNum w:abstractNumId="672">
    <w:nsid w:val="19248B51"/>
    <w:multiLevelType w:val="hybridMultilevel"/>
    <w:lvl w:ilvl="0">
      <w:lvlJc w:val="left"/>
      <w:lvlText w:val="(%1)"/>
      <w:numFmt w:val="lowerLetter"/>
      <w:start w:val="4"/>
    </w:lvl>
    <w:lvl w:ilvl="1">
      <w:lvlJc w:val="left"/>
      <w:lvlText w:val="%2"/>
      <w:numFmt w:val="lowerRoman"/>
      <w:start w:val="1"/>
    </w:lvl>
  </w:abstractNum>
  <w:abstractNum w:abstractNumId="673">
    <w:nsid w:val="132F561F"/>
    <w:multiLevelType w:val="hybridMultilevel"/>
    <w:lvl w:ilvl="0">
      <w:lvlJc w:val="left"/>
      <w:lvlText w:val="(%1)"/>
      <w:numFmt w:val="lowerLetter"/>
      <w:start w:val="1"/>
    </w:lvl>
  </w:abstractNum>
  <w:abstractNum w:abstractNumId="674">
    <w:nsid w:val="67358E1D"/>
    <w:multiLevelType w:val="hybridMultilevel"/>
    <w:lvl w:ilvl="0">
      <w:lvlJc w:val="left"/>
      <w:lvlText w:val="(%1)"/>
      <w:numFmt w:val="lowerLetter"/>
      <w:start w:val="4"/>
    </w:lvl>
  </w:abstractNum>
  <w:abstractNum w:abstractNumId="675">
    <w:nsid w:val="570FD06B"/>
    <w:multiLevelType w:val="hybridMultilevel"/>
    <w:lvl w:ilvl="0">
      <w:lvlJc w:val="left"/>
      <w:lvlText w:val="(%1)"/>
      <w:numFmt w:val="lowerLetter"/>
      <w:start w:val="5"/>
    </w:lvl>
  </w:abstractNum>
  <w:abstractNum w:abstractNumId="676">
    <w:nsid w:val="1D86D5F5"/>
    <w:multiLevelType w:val="hybridMultilevel"/>
    <w:lvl w:ilvl="0">
      <w:lvlJc w:val="left"/>
      <w:lvlText w:val="(%1)"/>
      <w:numFmt w:val="lowerLetter"/>
      <w:start w:val="1"/>
    </w:lvl>
  </w:abstractNum>
  <w:abstractNum w:abstractNumId="677">
    <w:nsid w:val="691ABF5A"/>
    <w:multiLevelType w:val="hybridMultilevel"/>
    <w:lvl w:ilvl="0">
      <w:lvlJc w:val="left"/>
      <w:lvlText w:val="(%1)"/>
      <w:numFmt w:val="lowerLetter"/>
      <w:start w:val="1"/>
    </w:lvl>
    <w:lvl w:ilvl="1">
      <w:lvlJc w:val="left"/>
      <w:lvlText w:val="(%2)"/>
      <w:numFmt w:val="lowerRoman"/>
      <w:start w:val="1"/>
    </w:lvl>
  </w:abstractNum>
  <w:abstractNum w:abstractNumId="678">
    <w:nsid w:val="7247C47D"/>
    <w:multiLevelType w:val="hybridMultilevel"/>
    <w:lvl w:ilvl="0">
      <w:lvlJc w:val="left"/>
      <w:lvlText w:val="(%1)"/>
      <w:numFmt w:val="lowerLetter"/>
      <w:start w:val="2"/>
    </w:lvl>
    <w:lvl w:ilvl="1">
      <w:lvlJc w:val="left"/>
      <w:lvlText w:val="(%2)"/>
      <w:numFmt w:val="lowerLetter"/>
      <w:start w:val="1"/>
    </w:lvl>
  </w:abstractNum>
  <w:abstractNum w:abstractNumId="679">
    <w:nsid w:val="22509110"/>
    <w:multiLevelType w:val="hybridMultilevel"/>
    <w:lvl w:ilvl="0">
      <w:lvlJc w:val="left"/>
      <w:lvlText w:val="(%1)"/>
      <w:numFmt w:val="lowerLetter"/>
      <w:start w:val="1"/>
    </w:lvl>
  </w:abstractNum>
  <w:abstractNum w:abstractNumId="680">
    <w:nsid w:val="B912ED8"/>
    <w:multiLevelType w:val="hybridMultilevel"/>
    <w:lvl w:ilvl="0">
      <w:lvlJc w:val="left"/>
      <w:lvlText w:val="(%1)"/>
      <w:numFmt w:val="lowerLetter"/>
      <w:start w:val="3"/>
    </w:lvl>
  </w:abstractNum>
  <w:abstractNum w:abstractNumId="681">
    <w:nsid w:val="1B7E7B17"/>
    <w:multiLevelType w:val="hybridMultilevel"/>
    <w:lvl w:ilvl="0">
      <w:lvlJc w:val="left"/>
      <w:lvlText w:val="(%1)"/>
      <w:numFmt w:val="lowerLetter"/>
      <w:start w:val="1"/>
    </w:lvl>
  </w:abstractNum>
  <w:abstractNum w:abstractNumId="682">
    <w:nsid w:val="69DFFC"/>
    <w:multiLevelType w:val="hybridMultilevel"/>
    <w:lvl w:ilvl="0">
      <w:lvlJc w:val="left"/>
      <w:lvlText w:val="(%1)"/>
      <w:numFmt w:val="lowerLetter"/>
      <w:start w:val="1"/>
    </w:lvl>
  </w:abstractNum>
  <w:abstractNum w:abstractNumId="683">
    <w:nsid w:val="F47CDA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4">
    <w:nsid w:val="12B4903D"/>
    <w:multiLevelType w:val="hybridMultilevel"/>
    <w:lvl w:ilvl="0">
      <w:lvlJc w:val="left"/>
      <w:lvlText w:val="(%1)"/>
      <w:numFmt w:val="decimal"/>
      <w:start w:val="1"/>
    </w:lvl>
  </w:abstractNum>
  <w:abstractNum w:abstractNumId="685">
    <w:nsid w:val="73A2668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686">
    <w:nsid w:val="147F4B24"/>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687">
    <w:nsid w:val="5429ABEF"/>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88">
    <w:nsid w:val="52DFA1FC"/>
    <w:multiLevelType w:val="hybridMultilevel"/>
    <w:lvl w:ilvl="0">
      <w:lvlJc w:val="left"/>
      <w:lvlText w:val="(%1)"/>
      <w:numFmt w:val="lowerLetter"/>
      <w:start w:val="1"/>
    </w:lvl>
  </w:abstractNum>
  <w:abstractNum w:abstractNumId="689">
    <w:nsid w:val="36BEF0DA"/>
    <w:multiLevelType w:val="hybridMultilevel"/>
    <w:lvl w:ilvl="0">
      <w:lvlJc w:val="left"/>
      <w:lvlText w:val="(%1)"/>
      <w:numFmt w:val="lowerLetter"/>
      <w:start w:val="1"/>
    </w:lvl>
  </w:abstractNum>
  <w:abstractNum w:abstractNumId="690">
    <w:nsid w:val="7DFA51CE"/>
    <w:multiLevelType w:val="hybridMultilevel"/>
    <w:lvl w:ilvl="0">
      <w:lvlJc w:val="left"/>
      <w:lvlText w:val="(%1)"/>
      <w:numFmt w:val="lowerLetter"/>
      <w:start w:val="1"/>
    </w:lvl>
  </w:abstractNum>
  <w:abstractNum w:abstractNumId="691">
    <w:nsid w:val="170D654E"/>
    <w:multiLevelType w:val="hybridMultilevel"/>
    <w:lvl w:ilvl="0">
      <w:lvlJc w:val="left"/>
      <w:lvlText w:val="(%1)"/>
      <w:numFmt w:val="lowerLetter"/>
      <w:start w:val="1"/>
    </w:lvl>
  </w:abstractNum>
  <w:abstractNum w:abstractNumId="692">
    <w:nsid w:val="6E7417AC"/>
    <w:multiLevelType w:val="hybridMultilevel"/>
    <w:lvl w:ilvl="0">
      <w:lvlJc w:val="left"/>
      <w:lvlText w:val="(%1)"/>
      <w:numFmt w:val="lowerLetter"/>
      <w:start w:val="1"/>
    </w:lvl>
  </w:abstractNum>
  <w:abstractNum w:abstractNumId="693">
    <w:nsid w:val="79DD6BB3"/>
    <w:multiLevelType w:val="hybridMultilevel"/>
    <w:lvl w:ilvl="0">
      <w:lvlJc w:val="left"/>
      <w:lvlText w:val="(%1)"/>
      <w:numFmt w:val="lowerLetter"/>
      <w:start w:val="1"/>
    </w:lvl>
  </w:abstractNum>
  <w:abstractNum w:abstractNumId="694">
    <w:nsid w:val="613A402A"/>
    <w:multiLevelType w:val="hybridMultilevel"/>
    <w:lvl w:ilvl="0">
      <w:lvlJc w:val="left"/>
      <w:lvlText w:val="(%1)"/>
      <w:numFmt w:val="lowerLetter"/>
      <w:start w:val="1"/>
    </w:lvl>
  </w:abstractNum>
  <w:abstractNum w:abstractNumId="695">
    <w:nsid w:val="7A2446F3"/>
    <w:multiLevelType w:val="hybridMultilevel"/>
    <w:lvl w:ilvl="0">
      <w:lvlJc w:val="left"/>
      <w:lvlText w:val="(%1)"/>
      <w:numFmt w:val="lowerLetter"/>
      <w:start w:val="1"/>
    </w:lvl>
  </w:abstractNum>
  <w:abstractNum w:abstractNumId="696">
    <w:nsid w:val="2ABB00C4"/>
    <w:multiLevelType w:val="hybridMultilevel"/>
    <w:lvl w:ilvl="0">
      <w:lvlJc w:val="left"/>
      <w:lvlText w:val="(%1)"/>
      <w:numFmt w:val="lowerLetter"/>
      <w:start w:val="1"/>
    </w:lvl>
  </w:abstractNum>
  <w:abstractNum w:abstractNumId="697">
    <w:nsid w:val="380E78C3"/>
    <w:multiLevelType w:val="hybridMultilevel"/>
    <w:lvl w:ilvl="0">
      <w:lvlJc w:val="left"/>
      <w:lvlText w:val="(%1)"/>
      <w:numFmt w:val="lowerLetter"/>
      <w:start w:val="1"/>
    </w:lvl>
    <w:lvl w:ilvl="1">
      <w:lvlJc w:val="left"/>
      <w:lvlText w:val="(%2)"/>
      <w:numFmt w:val="lowerRoman"/>
      <w:start w:val="1"/>
    </w:lvl>
  </w:abstractNum>
  <w:abstractNum w:abstractNumId="698">
    <w:nsid w:val="70B76277"/>
    <w:multiLevelType w:val="hybridMultilevel"/>
    <w:lvl w:ilvl="0">
      <w:lvlJc w:val="left"/>
      <w:lvlText w:val="(%1)"/>
      <w:numFmt w:val="lowerLetter"/>
      <w:start w:val="1"/>
    </w:lvl>
  </w:abstractNum>
  <w:abstractNum w:abstractNumId="699">
    <w:nsid w:val="16D2FD9A"/>
    <w:multiLevelType w:val="hybridMultilevel"/>
    <w:lvl w:ilvl="0">
      <w:lvlJc w:val="left"/>
      <w:lvlText w:val="(%1)"/>
      <w:numFmt w:val="lowerLetter"/>
      <w:start w:val="1"/>
    </w:lvl>
  </w:abstractNum>
  <w:abstractNum w:abstractNumId="700">
    <w:nsid w:val="7B32E64"/>
    <w:multiLevelType w:val="hybridMultilevel"/>
    <w:lvl w:ilvl="0">
      <w:lvlJc w:val="left"/>
      <w:lvlText w:val="(%1)"/>
      <w:numFmt w:val="lowerLetter"/>
      <w:start w:val="1"/>
    </w:lvl>
  </w:abstractNum>
  <w:abstractNum w:abstractNumId="701">
    <w:nsid w:val="2240F4B2"/>
    <w:multiLevelType w:val="hybridMultilevel"/>
    <w:lvl w:ilvl="0">
      <w:lvlJc w:val="left"/>
      <w:lvlText w:val="(%1)"/>
      <w:numFmt w:val="lowerLetter"/>
      <w:start w:val="1"/>
    </w:lvl>
  </w:abstractNum>
  <w:abstractNum w:abstractNumId="702">
    <w:nsid w:val="6E5AD2BE"/>
    <w:multiLevelType w:val="hybridMultilevel"/>
    <w:lvl w:ilvl="0">
      <w:lvlJc w:val="left"/>
      <w:lvlText w:val="(%1)"/>
      <w:numFmt w:val="lowerLetter"/>
      <w:start w:val="1"/>
    </w:lvl>
  </w:abstractNum>
  <w:abstractNum w:abstractNumId="703">
    <w:nsid w:val="20D7B9B5"/>
    <w:multiLevelType w:val="hybridMultilevel"/>
    <w:lvl w:ilvl="0">
      <w:lvlJc w:val="left"/>
      <w:lvlText w:val="(%1)"/>
      <w:numFmt w:val="lowerLetter"/>
      <w:start w:val="1"/>
    </w:lvl>
  </w:abstractNum>
  <w:abstractNum w:abstractNumId="704">
    <w:nsid w:val="35704AD1"/>
    <w:multiLevelType w:val="hybridMultilevel"/>
    <w:lvl w:ilvl="0">
      <w:lvlJc w:val="left"/>
      <w:lvlText w:val="(%1)"/>
      <w:numFmt w:val="lowerRoman"/>
      <w:start w:val="1"/>
    </w:lvl>
  </w:abstractNum>
  <w:abstractNum w:abstractNumId="705">
    <w:nsid w:val="559060DB"/>
    <w:multiLevelType w:val="hybridMultilevel"/>
    <w:lvl w:ilvl="0">
      <w:lvlJc w:val="left"/>
      <w:lvlText w:val="(%1)"/>
      <w:numFmt w:val="lowerLetter"/>
      <w:start w:val="2"/>
    </w:lvl>
  </w:abstractNum>
  <w:abstractNum w:abstractNumId="706">
    <w:nsid w:val="77E78A20"/>
    <w:multiLevelType w:val="hybridMultilevel"/>
    <w:lvl w:ilvl="0">
      <w:lvlJc w:val="left"/>
      <w:lvlText w:val="(%1)"/>
      <w:numFmt w:val="lowerLetter"/>
      <w:start w:val="1"/>
    </w:lvl>
  </w:abstractNum>
  <w:abstractNum w:abstractNumId="707">
    <w:nsid w:val="52F720C6"/>
    <w:multiLevelType w:val="hybridMultilevel"/>
    <w:lvl w:ilvl="0">
      <w:lvlJc w:val="left"/>
      <w:lvlText w:val="(%1)"/>
      <w:numFmt w:val="lowerLetter"/>
      <w:start w:val="1"/>
    </w:lvl>
    <w:lvl w:ilvl="1">
      <w:lvlJc w:val="left"/>
      <w:lvlText w:val="(%2)"/>
      <w:numFmt w:val="decimal"/>
      <w:start w:val="3"/>
    </w:lvl>
  </w:abstractNum>
  <w:abstractNum w:abstractNumId="708">
    <w:nsid w:val="3EAB2035"/>
    <w:multiLevelType w:val="hybridMultilevel"/>
    <w:lvl w:ilvl="0">
      <w:lvlJc w:val="left"/>
      <w:lvlText w:val="(%1)"/>
      <w:numFmt w:val="lowerLetter"/>
      <w:start w:val="1"/>
    </w:lvl>
    <w:lvl w:ilvl="1">
      <w:lvlJc w:val="left"/>
      <w:lvlText w:val="(%2)"/>
      <w:numFmt w:val="lowerRoman"/>
      <w:start w:val="1"/>
    </w:lvl>
  </w:abstractNum>
  <w:abstractNum w:abstractNumId="709">
    <w:nsid w:val="6A2F4E9D"/>
    <w:multiLevelType w:val="hybridMultilevel"/>
    <w:lvl w:ilvl="0">
      <w:lvlJc w:val="left"/>
      <w:lvlText w:val="(%1)"/>
      <w:numFmt w:val="lowerLetter"/>
      <w:start w:val="3"/>
    </w:lvl>
  </w:abstractNum>
  <w:abstractNum w:abstractNumId="710">
    <w:nsid w:val="7547B1D6"/>
    <w:multiLevelType w:val="hybridMultilevel"/>
    <w:lvl w:ilvl="0">
      <w:lvlJc w:val="left"/>
      <w:lvlText w:val="(%1)"/>
      <w:numFmt w:val="lowerLetter"/>
      <w:start w:val="1"/>
    </w:lvl>
    <w:lvl w:ilvl="1">
      <w:lvlJc w:val="left"/>
      <w:lvlText w:val="(%2)"/>
      <w:numFmt w:val="lowerRoman"/>
      <w:start w:val="1"/>
    </w:lvl>
  </w:abstractNum>
  <w:abstractNum w:abstractNumId="711">
    <w:nsid w:val="4A3C4F0E"/>
    <w:multiLevelType w:val="hybridMultilevel"/>
    <w:lvl w:ilvl="0">
      <w:lvlJc w:val="left"/>
      <w:lvlText w:val="(%1)"/>
      <w:numFmt w:val="lowerLetter"/>
      <w:start w:val="4"/>
    </w:lvl>
    <w:lvl w:ilvl="1">
      <w:lvlJc w:val="left"/>
      <w:lvlText w:val="(%2)"/>
      <w:numFmt w:val="lowerRoman"/>
      <w:start w:val="1"/>
    </w:lvl>
  </w:abstractNum>
  <w:abstractNum w:abstractNumId="712">
    <w:nsid w:val="5ADC9B4"/>
    <w:multiLevelType w:val="hybridMultilevel"/>
    <w:lvl w:ilvl="0">
      <w:lvlJc w:val="left"/>
      <w:lvlText w:val="(%1)"/>
      <w:numFmt w:val="lowerLetter"/>
      <w:start w:val="1"/>
    </w:lvl>
  </w:abstractNum>
  <w:abstractNum w:abstractNumId="713">
    <w:nsid w:val="75B191D3"/>
    <w:multiLevelType w:val="hybridMultilevel"/>
    <w:lvl w:ilvl="0">
      <w:lvlJc w:val="left"/>
      <w:lvlText w:val="(%1)"/>
      <w:numFmt w:val="lowerLetter"/>
      <w:start w:val="1"/>
    </w:lvl>
  </w:abstractNum>
  <w:abstractNum w:abstractNumId="714">
    <w:nsid w:val="59841CB3"/>
    <w:multiLevelType w:val="hybridMultilevel"/>
    <w:lvl w:ilvl="0">
      <w:lvlJc w:val="left"/>
      <w:lvlText w:val="(%1)"/>
      <w:numFmt w:val="lowerLetter"/>
      <w:start w:val="1"/>
    </w:lvl>
  </w:abstractNum>
  <w:abstractNum w:abstractNumId="715">
    <w:nsid w:val="186259F2"/>
    <w:multiLevelType w:val="hybridMultilevel"/>
    <w:lvl w:ilvl="0">
      <w:lvlJc w:val="left"/>
      <w:lvlText w:val="(%1)"/>
      <w:numFmt w:val="lowerLetter"/>
      <w:start w:val="1"/>
    </w:lvl>
  </w:abstractNum>
  <w:abstractNum w:abstractNumId="716">
    <w:nsid w:val="6953F85F"/>
    <w:multiLevelType w:val="hybridMultilevel"/>
    <w:lvl w:ilvl="0">
      <w:lvlJc w:val="left"/>
      <w:lvlText w:val="(%1)"/>
      <w:numFmt w:val="lowerLetter"/>
      <w:start w:val="4"/>
    </w:lvl>
  </w:abstractNum>
  <w:abstractNum w:abstractNumId="717">
    <w:nsid w:val="6E0367D7"/>
    <w:multiLevelType w:val="hybridMultilevel"/>
    <w:lvl w:ilvl="0">
      <w:lvlJc w:val="left"/>
      <w:lvlText w:val="(%1)"/>
      <w:numFmt w:val="lowerLetter"/>
      <w:start w:val="1"/>
    </w:lvl>
  </w:abstractNum>
  <w:abstractNum w:abstractNumId="718">
    <w:nsid w:val="6C8C05E1"/>
    <w:multiLevelType w:val="hybridMultilevel"/>
    <w:lvl w:ilvl="0">
      <w:lvlJc w:val="left"/>
      <w:lvlText w:val="(%1)"/>
      <w:numFmt w:val="lowerLetter"/>
      <w:start w:val="1"/>
    </w:lvl>
  </w:abstractNum>
  <w:abstractNum w:abstractNumId="719">
    <w:nsid w:val="3C339A5B"/>
    <w:multiLevelType w:val="hybridMultilevel"/>
    <w:lvl w:ilvl="0">
      <w:lvlJc w:val="left"/>
      <w:lvlText w:val="(%1)"/>
      <w:numFmt w:val="lowerLetter"/>
      <w:start w:val="1"/>
    </w:lvl>
  </w:abstractNum>
  <w:abstractNum w:abstractNumId="720">
    <w:nsid w:val="24C258B1"/>
    <w:multiLevelType w:val="hybridMultilevel"/>
    <w:lvl w:ilvl="0">
      <w:lvlJc w:val="left"/>
      <w:lvlText w:val="(%1)"/>
      <w:numFmt w:val="lowerRoman"/>
      <w:start w:val="1"/>
    </w:lvl>
  </w:abstractNum>
  <w:abstractNum w:abstractNumId="721">
    <w:nsid w:val="6A8657B0"/>
    <w:multiLevelType w:val="hybridMultilevel"/>
    <w:lvl w:ilvl="0">
      <w:lvlJc w:val="left"/>
      <w:lvlText w:val="(%1)"/>
      <w:numFmt w:val="lowerLetter"/>
      <w:start w:val="1"/>
    </w:lvl>
    <w:lvl w:ilvl="1">
      <w:lvlJc w:val="left"/>
      <w:lvlText w:val="(%2)"/>
      <w:numFmt w:val="lowerRoman"/>
      <w:start w:val="1"/>
    </w:lvl>
  </w:abstractNum>
  <w:abstractNum w:abstractNumId="722">
    <w:nsid w:val="5340FFA9"/>
    <w:multiLevelType w:val="hybridMultilevel"/>
    <w:lvl w:ilvl="0">
      <w:lvlJc w:val="left"/>
      <w:lvlText w:val="(%1)"/>
      <w:numFmt w:val="lowerLetter"/>
      <w:start w:val="1"/>
    </w:lvl>
  </w:abstractNum>
  <w:abstractNum w:abstractNumId="723">
    <w:nsid w:val="1336705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24">
    <w:nsid w:val="6463C363"/>
    <w:multiLevelType w:val="hybridMultilevel"/>
    <w:lvl w:ilvl="0">
      <w:lvlJc w:val="left"/>
      <w:lvlText w:val="(%1)"/>
      <w:numFmt w:val="lowerRoman"/>
      <w:start w:val="2"/>
    </w:lvl>
    <w:lvl w:ilvl="1">
      <w:lvlJc w:val="left"/>
      <w:lvlText w:val="(%2)"/>
      <w:numFmt w:val="upperLetter"/>
      <w:start w:val="1"/>
    </w:lvl>
  </w:abstractNum>
  <w:abstractNum w:abstractNumId="725">
    <w:nsid w:val="347B3FD3"/>
    <w:multiLevelType w:val="hybridMultilevel"/>
    <w:lvl w:ilvl="0">
      <w:lvlJc w:val="left"/>
      <w:lvlText w:val="(%1)"/>
      <w:numFmt w:val="lowerLetter"/>
      <w:start w:val="1"/>
    </w:lvl>
  </w:abstractNum>
  <w:abstractNum w:abstractNumId="726">
    <w:nsid w:val="D5AB751"/>
    <w:multiLevelType w:val="hybridMultilevel"/>
    <w:lvl w:ilvl="0">
      <w:lvlJc w:val="left"/>
      <w:lvlText w:val="(%1)"/>
      <w:numFmt w:val="lowerLetter"/>
      <w:start w:val="1"/>
    </w:lvl>
  </w:abstractNum>
  <w:abstractNum w:abstractNumId="727">
    <w:nsid w:val="F1EC427"/>
    <w:multiLevelType w:val="hybridMultilevel"/>
    <w:lvl w:ilvl="0">
      <w:lvlJc w:val="left"/>
      <w:lvlText w:val="(%1)"/>
      <w:numFmt w:val="lowerLetter"/>
      <w:start w:val="1"/>
    </w:lvl>
    <w:lvl w:ilvl="1">
      <w:lvlJc w:val="left"/>
      <w:lvlText w:val="(%2)"/>
      <w:numFmt w:val="lowerRoman"/>
      <w:start w:val="1"/>
    </w:lvl>
  </w:abstractNum>
  <w:abstractNum w:abstractNumId="728">
    <w:nsid w:val="6C89B896"/>
    <w:multiLevelType w:val="hybridMultilevel"/>
    <w:lvl w:ilvl="0">
      <w:lvlJc w:val="left"/>
      <w:lvlText w:val="(%1)"/>
      <w:numFmt w:val="lowerLetter"/>
      <w:start w:val="1"/>
    </w:lvl>
    <w:lvl w:ilvl="1">
      <w:lvlJc w:val="left"/>
      <w:lvlText w:val="(%2)"/>
      <w:numFmt w:val="upperLetter"/>
      <w:start w:val="1"/>
    </w:lvl>
  </w:abstractNum>
  <w:abstractNum w:abstractNumId="729">
    <w:nsid w:val="7E1219C8"/>
    <w:multiLevelType w:val="hybridMultilevel"/>
    <w:lvl w:ilvl="0">
      <w:lvlJc w:val="left"/>
      <w:lvlText w:val="(%1)"/>
      <w:numFmt w:val="lowerLetter"/>
      <w:start w:val="1"/>
    </w:lvl>
  </w:abstractNum>
  <w:abstractNum w:abstractNumId="730">
    <w:nsid w:val="25F1C1C1"/>
    <w:multiLevelType w:val="hybridMultilevel"/>
    <w:lvl w:ilvl="0">
      <w:lvlJc w:val="left"/>
      <w:lvlText w:val="(%1)"/>
      <w:numFmt w:val="lowerLetter"/>
      <w:start w:val="4"/>
    </w:lvl>
    <w:lvl w:ilvl="1">
      <w:lvlJc w:val="left"/>
      <w:lvlText w:val="(%2)"/>
      <w:numFmt w:val="lowerRoman"/>
      <w:start w:val="1"/>
    </w:lvl>
  </w:abstractNum>
  <w:abstractNum w:abstractNumId="731">
    <w:nsid w:val="743CE6FA"/>
    <w:multiLevelType w:val="hybridMultilevel"/>
    <w:lvl w:ilvl="0">
      <w:lvlJc w:val="left"/>
      <w:lvlText w:val="(%1)"/>
      <w:numFmt w:val="lowerLetter"/>
      <w:start w:val="1"/>
    </w:lvl>
  </w:abstractNum>
  <w:abstractNum w:abstractNumId="732">
    <w:nsid w:val="20530E7B"/>
    <w:multiLevelType w:val="hybridMultilevel"/>
    <w:lvl w:ilvl="0">
      <w:lvlJc w:val="left"/>
      <w:lvlText w:val="(%1)"/>
      <w:numFmt w:val="lowerLetter"/>
      <w:start w:val="1"/>
    </w:lvl>
    <w:lvl w:ilvl="1">
      <w:lvlJc w:val="left"/>
      <w:lvlText w:val="(%2)"/>
      <w:numFmt w:val="lowerRoman"/>
      <w:start w:val="1"/>
    </w:lvl>
  </w:abstractNum>
  <w:abstractNum w:abstractNumId="733">
    <w:nsid w:val="144C9480"/>
    <w:multiLevelType w:val="hybridMultilevel"/>
    <w:lvl w:ilvl="0">
      <w:lvlJc w:val="left"/>
      <w:lvlText w:val="(%1)"/>
      <w:numFmt w:val="lowerLetter"/>
      <w:start w:val="2"/>
    </w:lvl>
  </w:abstractNum>
  <w:abstractNum w:abstractNumId="734">
    <w:nsid w:val="1514A0AF"/>
    <w:multiLevelType w:val="hybridMultilevel"/>
    <w:lvl w:ilvl="0">
      <w:lvlJc w:val="left"/>
      <w:lvlText w:val="(%1)"/>
      <w:numFmt w:val="lowerLetter"/>
      <w:start w:val="1"/>
    </w:lvl>
  </w:abstractNum>
  <w:abstractNum w:abstractNumId="735">
    <w:nsid w:val="55C3594C"/>
    <w:multiLevelType w:val="hybridMultilevel"/>
    <w:lvl w:ilvl="0">
      <w:lvlJc w:val="left"/>
      <w:lvlText w:val="(%1)"/>
      <w:numFmt w:val="lowerLetter"/>
      <w:start w:val="1"/>
    </w:lvl>
  </w:abstractNum>
  <w:abstractNum w:abstractNumId="736">
    <w:nsid w:val="69DCF55B"/>
    <w:multiLevelType w:val="hybridMultilevel"/>
    <w:lvl w:ilvl="0">
      <w:lvlJc w:val="left"/>
      <w:lvlText w:val="(%1)"/>
      <w:numFmt w:val="lowerLetter"/>
      <w:start w:val="1"/>
    </w:lvl>
    <w:lvl w:ilvl="1">
      <w:lvlJc w:val="left"/>
      <w:lvlText w:val="(%2)"/>
      <w:numFmt w:val="lowerRoman"/>
      <w:start w:val="1"/>
    </w:lvl>
  </w:abstractNum>
  <w:abstractNum w:abstractNumId="737">
    <w:nsid w:val="CFC2ACF"/>
    <w:multiLevelType w:val="hybridMultilevel"/>
    <w:lvl w:ilvl="0">
      <w:lvlJc w:val="left"/>
      <w:lvlText w:val="(%1)"/>
      <w:numFmt w:val="lowerLetter"/>
      <w:start w:val="1"/>
    </w:lvl>
  </w:abstractNum>
  <w:abstractNum w:abstractNumId="738">
    <w:nsid w:val="28BA7A13"/>
    <w:multiLevelType w:val="hybridMultilevel"/>
    <w:lvl w:ilvl="0">
      <w:lvlJc w:val="left"/>
      <w:lvlText w:val="(%1)"/>
      <w:numFmt w:val="lowerLetter"/>
      <w:start w:val="1"/>
    </w:lvl>
  </w:abstractNum>
  <w:abstractNum w:abstractNumId="739">
    <w:nsid w:val="28881591"/>
    <w:multiLevelType w:val="hybridMultilevel"/>
    <w:lvl w:ilvl="0">
      <w:lvlJc w:val="left"/>
      <w:lvlText w:val="(%1)"/>
      <w:numFmt w:val="lowerLetter"/>
      <w:start w:val="1"/>
    </w:lvl>
  </w:abstractNum>
  <w:abstractNum w:abstractNumId="740">
    <w:nsid w:val="772B796C"/>
    <w:multiLevelType w:val="hybridMultilevel"/>
    <w:lvl w:ilvl="0">
      <w:lvlJc w:val="left"/>
      <w:lvlText w:val="(%1)"/>
      <w:numFmt w:val="lowerLetter"/>
      <w:start w:val="1"/>
    </w:lvl>
    <w:lvl w:ilvl="1">
      <w:lvlJc w:val="left"/>
      <w:lvlText w:val="(%2)"/>
      <w:numFmt w:val="lowerRoman"/>
      <w:start w:val="1"/>
    </w:lvl>
  </w:abstractNum>
  <w:abstractNum w:abstractNumId="741">
    <w:nsid w:val="1E022BE9"/>
    <w:multiLevelType w:val="hybridMultilevel"/>
    <w:lvl w:ilvl="0">
      <w:lvlJc w:val="left"/>
      <w:lvlText w:val="(%1)"/>
      <w:numFmt w:val="lowerLetter"/>
      <w:start w:val="2"/>
    </w:lvl>
    <w:lvl w:ilvl="1">
      <w:lvlJc w:val="left"/>
      <w:lvlText w:val="(%2)"/>
      <w:numFmt w:val="lowerRoman"/>
      <w:start w:val="1"/>
    </w:lvl>
  </w:abstractNum>
  <w:abstractNum w:abstractNumId="742">
    <w:nsid w:val="72C4649F"/>
    <w:multiLevelType w:val="hybridMultilevel"/>
    <w:lvl w:ilvl="0">
      <w:lvlJc w:val="left"/>
      <w:lvlText w:val="(%1)"/>
      <w:numFmt w:val="lowerLetter"/>
      <w:start w:val="5"/>
    </w:lvl>
    <w:lvl w:ilvl="1">
      <w:lvlJc w:val="left"/>
      <w:lvlText w:val="(%2)"/>
      <w:numFmt w:val="lowerRoman"/>
      <w:start w:val="1"/>
    </w:lvl>
  </w:abstractNum>
  <w:abstractNum w:abstractNumId="743">
    <w:nsid w:val="7CD94321"/>
    <w:multiLevelType w:val="hybridMultilevel"/>
    <w:lvl w:ilvl="0">
      <w:lvlJc w:val="left"/>
      <w:lvlText w:val="(%1)"/>
      <w:numFmt w:val="lowerLetter"/>
      <w:start w:val="1"/>
    </w:lvl>
    <w:lvl w:ilvl="1">
      <w:lvlJc w:val="left"/>
      <w:lvlText w:val="(%2)"/>
      <w:numFmt w:val="lowerRoman"/>
      <w:start w:val="1"/>
    </w:lvl>
  </w:abstractNum>
  <w:abstractNum w:abstractNumId="744">
    <w:nsid w:val="13B3BDBC"/>
    <w:multiLevelType w:val="hybridMultilevel"/>
    <w:lvl w:ilvl="0">
      <w:lvlJc w:val="left"/>
      <w:lvlText w:val="(%1)"/>
      <w:numFmt w:val="lowerLetter"/>
      <w:start w:val="2"/>
    </w:lvl>
    <w:lvl w:ilvl="1">
      <w:lvlJc w:val="left"/>
      <w:lvlText w:val="(%2)"/>
      <w:numFmt w:val="lowerLetter"/>
      <w:start w:val="9"/>
    </w:lvl>
  </w:abstractNum>
  <w:abstractNum w:abstractNumId="745">
    <w:nsid w:val="4C488152"/>
    <w:multiLevelType w:val="hybridMultilevel"/>
    <w:lvl w:ilvl="0">
      <w:lvlJc w:val="left"/>
      <w:lvlText w:val="(%1)"/>
      <w:numFmt w:val="upperLetter"/>
      <w:start w:val="1"/>
    </w:lvl>
  </w:abstractNum>
  <w:abstractNum w:abstractNumId="746">
    <w:nsid w:val="153B9D13"/>
    <w:multiLevelType w:val="hybridMultilevel"/>
    <w:lvl w:ilvl="0">
      <w:lvlJc w:val="left"/>
      <w:lvlText w:val="(%1)"/>
      <w:numFmt w:val="upperLetter"/>
      <w:start w:val="2"/>
    </w:lvl>
  </w:abstractNum>
  <w:abstractNum w:abstractNumId="747">
    <w:nsid w:val="7D07B61B"/>
    <w:multiLevelType w:val="hybridMultilevel"/>
    <w:lvl w:ilvl="0">
      <w:lvlJc w:val="left"/>
      <w:lvlText w:val="%1"/>
      <w:numFmt w:val="lowerLetter"/>
      <w:start w:val="1"/>
    </w:lvl>
    <w:lvl w:ilvl="1">
      <w:lvlJc w:val="left"/>
      <w:lvlText w:val="(%2)"/>
      <w:numFmt w:val="lowerRoman"/>
      <w:start w:val="2"/>
    </w:lvl>
  </w:abstractNum>
  <w:abstractNum w:abstractNumId="748">
    <w:nsid w:val="3A4BE92A"/>
    <w:multiLevelType w:val="hybridMultilevel"/>
    <w:lvl w:ilvl="0">
      <w:lvlJc w:val="left"/>
      <w:lvlText w:val="(%1)"/>
      <w:numFmt w:val="lowerLetter"/>
      <w:start w:val="3"/>
    </w:lvl>
    <w:lvl w:ilvl="1">
      <w:lvlJc w:val="left"/>
      <w:lvlText w:val="(%2)"/>
      <w:numFmt w:val="lowerRoman"/>
      <w:start w:val="1"/>
    </w:lvl>
  </w:abstractNum>
  <w:abstractNum w:abstractNumId="749">
    <w:nsid w:val="1C7A2F4"/>
    <w:multiLevelType w:val="hybridMultilevel"/>
    <w:lvl w:ilvl="0">
      <w:lvlJc w:val="left"/>
      <w:lvlText w:val="(%1)"/>
      <w:numFmt w:val="lowerLetter"/>
      <w:start w:val="1"/>
    </w:lvl>
    <w:lvl w:ilvl="1">
      <w:lvlJc w:val="left"/>
      <w:lvlText w:val="(%2)"/>
      <w:numFmt w:val="lowerRoman"/>
      <w:start w:val="1"/>
    </w:lvl>
  </w:abstractNum>
  <w:abstractNum w:abstractNumId="750">
    <w:nsid w:val="393B5076"/>
    <w:multiLevelType w:val="hybridMultilevel"/>
    <w:lvl w:ilvl="0">
      <w:lvlJc w:val="left"/>
      <w:lvlText w:val="%1"/>
      <w:numFmt w:val="lowerLetter"/>
      <w:start w:val="1"/>
    </w:lvl>
    <w:lvl w:ilvl="1">
      <w:lvlJc w:val="left"/>
      <w:lvlText w:val="(%2)"/>
      <w:numFmt w:val="lowerLetter"/>
      <w:start w:val="61"/>
    </w:lvl>
  </w:abstractNum>
  <w:abstractNum w:abstractNumId="751">
    <w:nsid w:val="5F0E41DB"/>
    <w:multiLevelType w:val="hybridMultilevel"/>
    <w:lvl w:ilvl="0">
      <w:lvlJc w:val="left"/>
      <w:lvlText w:val="(%1)"/>
      <w:numFmt w:val="lowerLetter"/>
      <w:start w:val="5"/>
    </w:lvl>
    <w:lvl w:ilvl="1">
      <w:lvlJc w:val="left"/>
      <w:lvlText w:val="%2"/>
      <w:numFmt w:val="lowerLetter"/>
      <w:start w:val="1"/>
    </w:lvl>
  </w:abstractNum>
  <w:abstractNum w:abstractNumId="752">
    <w:nsid w:val="6C4DFAA4"/>
    <w:multiLevelType w:val="hybridMultilevel"/>
    <w:lvl w:ilvl="0">
      <w:lvlJc w:val="left"/>
      <w:lvlText w:val="(%1)"/>
      <w:numFmt w:val="lowerLetter"/>
      <w:start w:val="1"/>
    </w:lvl>
  </w:abstractNum>
  <w:abstractNum w:abstractNumId="753">
    <w:nsid w:val="C7C501F"/>
    <w:multiLevelType w:val="hybridMultilevel"/>
    <w:lvl w:ilvl="0">
      <w:lvlJc w:val="left"/>
      <w:lvlText w:val="(%1)"/>
      <w:numFmt w:val="lowerRoman"/>
      <w:start w:val="1"/>
    </w:lvl>
  </w:abstractNum>
  <w:abstractNum w:abstractNumId="754">
    <w:nsid w:val="7244B239"/>
    <w:multiLevelType w:val="hybridMultilevel"/>
    <w:lvl w:ilvl="0">
      <w:lvlJc w:val="left"/>
      <w:lvlText w:val="(%1)"/>
      <w:numFmt w:val="lowerLetter"/>
      <w:start w:val="1"/>
    </w:lvl>
  </w:abstractNum>
  <w:abstractNum w:abstractNumId="755">
    <w:nsid w:val="50B1BE08"/>
    <w:multiLevelType w:val="hybridMultilevel"/>
    <w:lvl w:ilvl="0">
      <w:lvlJc w:val="left"/>
      <w:lvlText w:val="(%1)"/>
      <w:numFmt w:val="lowerRoman"/>
      <w:start w:val="1"/>
    </w:lvl>
  </w:abstractNum>
  <w:abstractNum w:abstractNumId="756">
    <w:nsid w:val="40F78FF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757">
    <w:nsid w:val="7F9F698A"/>
    <w:multiLevelType w:val="hybridMultilevel"/>
    <w:lvl w:ilvl="0">
      <w:lvlJc w:val="left"/>
      <w:lvlText w:val="(%1)"/>
      <w:numFmt w:val="lowerLetter"/>
      <w:start w:val="5"/>
    </w:lvl>
    <w:lvl w:ilvl="1">
      <w:lvlJc w:val="left"/>
      <w:lvlText w:val="(%2)"/>
      <w:numFmt w:val="lowerRoman"/>
      <w:start w:val="1"/>
    </w:lvl>
  </w:abstractNum>
  <w:abstractNum w:abstractNumId="758">
    <w:nsid w:val="5FD0822F"/>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759">
    <w:nsid w:val="2D81488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0">
    <w:nsid w:val="7DB18352"/>
    <w:multiLevelType w:val="hybridMultilevel"/>
    <w:lvl w:ilvl="0">
      <w:lvlJc w:val="left"/>
      <w:lvlText w:val="%1"/>
      <w:numFmt w:val="lowerLetter"/>
      <w:start w:val="1"/>
    </w:lvl>
    <w:lvl w:ilvl="1">
      <w:lvlJc w:val="left"/>
      <w:lvlText w:val="(%2)"/>
      <w:numFmt w:val="lowerLetter"/>
      <w:start w:val="35"/>
    </w:lvl>
  </w:abstractNum>
  <w:abstractNum w:abstractNumId="761">
    <w:nsid w:val="5C243F1"/>
    <w:multiLevelType w:val="hybridMultilevel"/>
    <w:lvl w:ilvl="0">
      <w:lvlJc w:val="left"/>
      <w:lvlText w:val="(%1)"/>
      <w:numFmt w:val="lowerLetter"/>
      <w:start w:val="2"/>
    </w:lvl>
    <w:lvl w:ilvl="1">
      <w:lvlJc w:val="left"/>
      <w:lvlText w:val="%2"/>
      <w:numFmt w:val="lowerLetter"/>
      <w:start w:val="1"/>
    </w:lvl>
  </w:abstractNum>
  <w:abstractNum w:abstractNumId="762">
    <w:nsid w:val="21BE2F84"/>
    <w:multiLevelType w:val="hybridMultilevel"/>
    <w:lvl w:ilvl="0">
      <w:lvlJc w:val="left"/>
      <w:lvlText w:val="(%1)"/>
      <w:numFmt w:val="lowerLetter"/>
      <w:start w:val="1"/>
    </w:lvl>
  </w:abstractNum>
  <w:abstractNum w:abstractNumId="763">
    <w:nsid w:val="1E0491CD"/>
    <w:multiLevelType w:val="hybridMultilevel"/>
    <w:lvl w:ilvl="0">
      <w:lvlJc w:val="left"/>
      <w:lvlText w:val="(%1)"/>
      <w:numFmt w:val="lowerLetter"/>
      <w:start w:val="1"/>
    </w:lvl>
  </w:abstractNum>
  <w:abstractNum w:abstractNumId="764">
    <w:nsid w:val="1A0ED8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5">
    <w:nsid w:val="36D2D033"/>
    <w:multiLevelType w:val="hybridMultilevel"/>
    <w:lvl w:ilvl="0">
      <w:lvlJc w:val="left"/>
      <w:lvlText w:val="(%1)"/>
      <w:numFmt w:val="lowerLetter"/>
      <w:start w:val="2"/>
    </w:lvl>
    <w:lvl w:ilvl="1">
      <w:lvlJc w:val="left"/>
      <w:lvlText w:val="(%2)"/>
      <w:numFmt w:val="lowerLetter"/>
      <w:start w:val="9"/>
    </w:lvl>
  </w:abstractNum>
  <w:abstractNum w:abstractNumId="766">
    <w:nsid w:val="73C7EB1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67">
    <w:nsid w:val="3EBCDC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68">
    <w:nsid w:val="43CEFB03"/>
    <w:multiLevelType w:val="hybridMultilevel"/>
    <w:lvl w:ilvl="0">
      <w:lvlJc w:val="left"/>
      <w:lvlText w:val="(%1)"/>
      <w:numFmt w:val="lowerLetter"/>
      <w:start w:val="1"/>
    </w:lvl>
  </w:abstractNum>
  <w:abstractNum w:abstractNumId="769">
    <w:nsid w:val="1C82652D"/>
    <w:multiLevelType w:val="hybridMultilevel"/>
    <w:lvl w:ilvl="0">
      <w:lvlJc w:val="left"/>
      <w:lvlText w:val="(%1)"/>
      <w:numFmt w:val="lowerLetter"/>
      <w:start w:val="15"/>
    </w:lvl>
  </w:abstractNum>
  <w:abstractNum w:abstractNumId="770">
    <w:nsid w:val="2C73E35D"/>
    <w:multiLevelType w:val="hybridMultilevel"/>
    <w:lvl w:ilvl="0">
      <w:lvlJc w:val="left"/>
      <w:lvlText w:val="(%1)"/>
      <w:numFmt w:val="lowerLetter"/>
      <w:start w:val="1"/>
    </w:lvl>
  </w:abstractNum>
  <w:abstractNum w:abstractNumId="771">
    <w:nsid w:val="3AFA746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2">
    <w:nsid w:val="3A849116"/>
    <w:multiLevelType w:val="hybridMultilevel"/>
    <w:lvl w:ilvl="0">
      <w:lvlJc w:val="left"/>
      <w:lvlText w:val="(%1)"/>
      <w:numFmt w:val="lowerLetter"/>
      <w:start w:val="2"/>
    </w:lvl>
    <w:lvl w:ilvl="1">
      <w:lvlJc w:val="left"/>
      <w:lvlText w:val="(%2)"/>
      <w:numFmt w:val="lowerRoman"/>
      <w:start w:val="1"/>
    </w:lvl>
  </w:abstractNum>
  <w:abstractNum w:abstractNumId="773">
    <w:nsid w:val="1F3847FC"/>
    <w:multiLevelType w:val="hybridMultilevel"/>
    <w:lvl w:ilvl="0">
      <w:lvlJc w:val="left"/>
      <w:lvlText w:val="(%1)"/>
      <w:numFmt w:val="lowerLetter"/>
      <w:start w:val="5"/>
    </w:lvl>
  </w:abstractNum>
  <w:abstractNum w:abstractNumId="774">
    <w:nsid w:val="37D3B790"/>
    <w:multiLevelType w:val="hybridMultilevel"/>
    <w:lvl w:ilvl="0">
      <w:lvlJc w:val="left"/>
      <w:lvlText w:val="(%1)"/>
      <w:numFmt w:val="lowerLetter"/>
      <w:start w:val="1"/>
    </w:lvl>
    <w:lvl w:ilvl="1">
      <w:lvlJc w:val="left"/>
      <w:lvlText w:val="(%2)"/>
      <w:numFmt w:val="lowerRoman"/>
      <w:start w:val="1"/>
    </w:lvl>
  </w:abstractNum>
  <w:abstractNum w:abstractNumId="775">
    <w:nsid w:val="4E384ED3"/>
    <w:multiLevelType w:val="hybridMultilevel"/>
    <w:lvl w:ilvl="0">
      <w:lvlJc w:val="left"/>
      <w:lvlText w:val="(%1)"/>
      <w:numFmt w:val="lowerLetter"/>
      <w:start w:val="2"/>
    </w:lvl>
  </w:abstractNum>
  <w:abstractNum w:abstractNumId="776">
    <w:nsid w:val="6B80C94F"/>
    <w:multiLevelType w:val="hybridMultilevel"/>
    <w:lvl w:ilvl="0">
      <w:lvlJc w:val="left"/>
      <w:lvlText w:val="(%1)"/>
      <w:numFmt w:val="lowerLetter"/>
      <w:start w:val="1"/>
    </w:lvl>
  </w:abstractNum>
  <w:abstractNum w:abstractNumId="777">
    <w:nsid w:val="4D0F54A3"/>
    <w:multiLevelType w:val="hybridMultilevel"/>
    <w:lvl w:ilvl="0">
      <w:lvlJc w:val="left"/>
      <w:lvlText w:val="(%1)"/>
      <w:numFmt w:val="lowerRoman"/>
      <w:start w:val="1"/>
    </w:lvl>
  </w:abstractNum>
  <w:abstractNum w:abstractNumId="778">
    <w:nsid w:val="4B4004EE"/>
    <w:multiLevelType w:val="hybridMultilevel"/>
    <w:lvl w:ilvl="0">
      <w:lvlJc w:val="left"/>
      <w:lvlText w:val="(%1)"/>
      <w:numFmt w:val="lowerRoman"/>
      <w:start w:val="2"/>
    </w:lvl>
  </w:abstractNum>
  <w:abstractNum w:abstractNumId="779">
    <w:nsid w:val="25CCB279"/>
    <w:multiLevelType w:val="hybridMultilevel"/>
    <w:lvl w:ilvl="0">
      <w:lvlJc w:val="left"/>
      <w:lvlText w:val="(%1)"/>
      <w:numFmt w:val="lowerLetter"/>
      <w:start w:val="1"/>
    </w:lvl>
  </w:abstractNum>
  <w:abstractNum w:abstractNumId="780">
    <w:nsid w:val="4ED6F798"/>
    <w:multiLevelType w:val="hybridMultilevel"/>
    <w:lvl w:ilvl="0">
      <w:lvlJc w:val="left"/>
      <w:lvlText w:val="(%1)"/>
      <w:numFmt w:val="lowerLetter"/>
      <w:start w:val="1"/>
    </w:lvl>
  </w:abstractNum>
  <w:abstractNum w:abstractNumId="781">
    <w:nsid w:val="47B5565"/>
    <w:multiLevelType w:val="hybridMultilevel"/>
    <w:lvl w:ilvl="0">
      <w:lvlJc w:val="left"/>
      <w:lvlText w:val="(%1)"/>
      <w:numFmt w:val="lowerLetter"/>
      <w:start w:val="1"/>
    </w:lvl>
    <w:lvl w:ilvl="1">
      <w:lvlJc w:val="left"/>
      <w:lvlText w:val="(%2)"/>
      <w:numFmt w:val="lowerLetter"/>
      <w:start w:val="9"/>
    </w:lvl>
  </w:abstractNum>
  <w:abstractNum w:abstractNumId="782">
    <w:nsid w:val="4DAF454"/>
    <w:multiLevelType w:val="hybridMultilevel"/>
    <w:lvl w:ilvl="0">
      <w:lvlJc w:val="left"/>
      <w:lvlText w:val="%1"/>
      <w:numFmt w:val="lowerLetter"/>
      <w:start w:val="1"/>
    </w:lvl>
    <w:lvl w:ilvl="1">
      <w:lvlJc w:val="left"/>
      <w:lvlText w:val="(%2)"/>
      <w:numFmt w:val="lowerLetter"/>
      <w:start w:val="35"/>
    </w:lvl>
  </w:abstractNum>
  <w:abstractNum w:abstractNumId="783">
    <w:nsid w:val="3B24F23C"/>
    <w:multiLevelType w:val="hybridMultilevel"/>
    <w:lvl w:ilvl="0">
      <w:lvlJc w:val="left"/>
      <w:lvlText w:val="(%1)"/>
      <w:numFmt w:val="lowerLetter"/>
      <w:start w:val="2"/>
    </w:lvl>
    <w:lvl w:ilvl="1">
      <w:lvlJc w:val="left"/>
      <w:lvlText w:val="%2"/>
      <w:numFmt w:val="lowerLetter"/>
      <w:start w:val="1"/>
    </w:lvl>
  </w:abstractNum>
  <w:abstractNum w:abstractNumId="784">
    <w:nsid w:val="10F7A584"/>
    <w:multiLevelType w:val="hybridMultilevel"/>
    <w:lvl w:ilvl="0">
      <w:lvlJc w:val="left"/>
      <w:lvlText w:val="(%1)"/>
      <w:numFmt w:val="lowerLetter"/>
      <w:start w:val="1"/>
    </w:lvl>
  </w:abstractNum>
  <w:abstractNum w:abstractNumId="785">
    <w:nsid w:val="771FA68D"/>
    <w:multiLevelType w:val="hybridMultilevel"/>
    <w:lvl w:ilvl="0">
      <w:lvlJc w:val="left"/>
      <w:lvlText w:val="(%1)"/>
      <w:numFmt w:val="lowerLetter"/>
      <w:start w:val="6"/>
    </w:lvl>
  </w:abstractNum>
  <w:abstractNum w:abstractNumId="786">
    <w:nsid w:val="BD6B044"/>
    <w:multiLevelType w:val="hybridMultilevel"/>
    <w:lvl w:ilvl="0">
      <w:lvlJc w:val="left"/>
      <w:lvlText w:val="(%1)"/>
      <w:numFmt w:val="lowerLetter"/>
      <w:start w:val="1"/>
    </w:lvl>
    <w:lvl w:ilvl="1">
      <w:lvlJc w:val="left"/>
      <w:lvlText w:val="(%2)"/>
      <w:numFmt w:val="lowerRoman"/>
      <w:start w:val="1"/>
    </w:lvl>
  </w:abstractNum>
  <w:abstractNum w:abstractNumId="787">
    <w:nsid w:val="51EF3577"/>
    <w:multiLevelType w:val="hybridMultilevel"/>
    <w:lvl w:ilvl="0">
      <w:lvlJc w:val="left"/>
      <w:lvlText w:val="(%1)"/>
      <w:numFmt w:val="lowerLetter"/>
      <w:start w:val="3"/>
    </w:lvl>
  </w:abstractNum>
  <w:abstractNum w:abstractNumId="788">
    <w:nsid w:val="76BF1017"/>
    <w:multiLevelType w:val="hybridMultilevel"/>
    <w:lvl w:ilvl="0">
      <w:lvlJc w:val="left"/>
      <w:lvlText w:val="(%1)"/>
      <w:numFmt w:val="lowerLetter"/>
      <w:start w:val="1"/>
    </w:lvl>
    <w:lvl w:ilvl="1">
      <w:lvlJc w:val="left"/>
      <w:lvlText w:val="(%2)"/>
      <w:numFmt w:val="lowerRoman"/>
      <w:start w:val="1"/>
    </w:lvl>
  </w:abstractNum>
  <w:abstractNum w:abstractNumId="789">
    <w:nsid w:val="6BA73274"/>
    <w:multiLevelType w:val="hybridMultilevel"/>
    <w:lvl w:ilvl="0">
      <w:lvlJc w:val="left"/>
      <w:lvlText w:val="(%1)"/>
      <w:numFmt w:val="lowerLetter"/>
      <w:start w:val="1"/>
    </w:lvl>
  </w:abstractNum>
  <w:abstractNum w:abstractNumId="790">
    <w:nsid w:val="7F707E01"/>
    <w:multiLevelType w:val="hybridMultilevel"/>
    <w:lvl w:ilvl="0">
      <w:lvlJc w:val="left"/>
      <w:lvlText w:val="(%1)"/>
      <w:numFmt w:val="lowerLetter"/>
      <w:start w:val="3"/>
    </w:lvl>
  </w:abstractNum>
  <w:abstractNum w:abstractNumId="791">
    <w:nsid w:val="7470936A"/>
    <w:multiLevelType w:val="hybridMultilevel"/>
    <w:lvl w:ilvl="0">
      <w:lvlJc w:val="left"/>
      <w:lvlText w:val="(%1)"/>
      <w:numFmt w:val="lowerLetter"/>
      <w:start w:val="4"/>
    </w:lvl>
  </w:abstractNum>
  <w:abstractNum w:abstractNumId="792">
    <w:nsid w:val="71697665"/>
    <w:multiLevelType w:val="hybridMultilevel"/>
    <w:lvl w:ilvl="0">
      <w:lvlJc w:val="left"/>
      <w:lvlText w:val="(%1)"/>
      <w:numFmt w:val="lowerLetter"/>
      <w:start w:val="5"/>
    </w:lvl>
  </w:abstractNum>
  <w:abstractNum w:abstractNumId="793">
    <w:nsid w:val="212EAD85"/>
    <w:multiLevelType w:val="hybridMultilevel"/>
    <w:lvl w:ilvl="0">
      <w:lvlJc w:val="left"/>
      <w:lvlText w:val="(%1)"/>
      <w:numFmt w:val="lowerLetter"/>
      <w:start w:val="1"/>
    </w:lvl>
    <w:lvl w:ilvl="1">
      <w:lvlJc w:val="left"/>
      <w:lvlText w:val="(%2)"/>
      <w:numFmt w:val="lowerRoman"/>
      <w:start w:val="1"/>
    </w:lvl>
  </w:abstractNum>
  <w:abstractNum w:abstractNumId="794">
    <w:nsid w:val="12752537"/>
    <w:multiLevelType w:val="hybridMultilevel"/>
    <w:lvl w:ilvl="0">
      <w:lvlJc w:val="left"/>
      <w:lvlText w:val="(%1)"/>
      <w:numFmt w:val="lowerLetter"/>
      <w:start w:val="6"/>
    </w:lvl>
  </w:abstractNum>
  <w:abstractNum w:abstractNumId="795">
    <w:nsid w:val="B784ED6"/>
    <w:multiLevelType w:val="hybridMultilevel"/>
    <w:lvl w:ilvl="0">
      <w:lvlJc w:val="left"/>
      <w:lvlText w:val="(%1)"/>
      <w:numFmt w:val="lowerLetter"/>
      <w:start w:val="1"/>
    </w:lvl>
    <w:lvl w:ilvl="1">
      <w:lvlJc w:val="left"/>
      <w:lvlText w:val="(%2)"/>
      <w:numFmt w:val="lowerRoman"/>
      <w:start w:val="1"/>
    </w:lvl>
  </w:abstractNum>
  <w:abstractNum w:abstractNumId="796">
    <w:nsid w:val="58017DB8"/>
    <w:multiLevelType w:val="hybridMultilevel"/>
    <w:lvl w:ilvl="0">
      <w:lvlJc w:val="left"/>
      <w:lvlText w:val="%1"/>
      <w:numFmt w:val="lowerLetter"/>
      <w:start w:val="1"/>
    </w:lvl>
    <w:lvl w:ilvl="1">
      <w:lvlJc w:val="left"/>
      <w:lvlText w:val="(%2)"/>
      <w:numFmt w:val="lowerLetter"/>
      <w:start w:val="22"/>
    </w:lvl>
  </w:abstractNum>
  <w:abstractNum w:abstractNumId="797">
    <w:nsid w:val="63D1051"/>
    <w:multiLevelType w:val="hybridMultilevel"/>
    <w:lvl w:ilvl="0">
      <w:lvlJc w:val="left"/>
      <w:lvlText w:val="(%1)"/>
      <w:numFmt w:val="lowerLetter"/>
      <w:start w:val="2"/>
    </w:lvl>
    <w:lvl w:ilvl="1">
      <w:lvlJc w:val="left"/>
      <w:lvlText w:val="%2"/>
      <w:numFmt w:val="lowerLetter"/>
      <w:start w:val="1"/>
    </w:lvl>
  </w:abstractNum>
  <w:abstractNum w:abstractNumId="798">
    <w:nsid w:val="F641CA2"/>
    <w:multiLevelType w:val="hybridMultilevel"/>
    <w:lvl w:ilvl="0">
      <w:lvlJc w:val="left"/>
      <w:lvlText w:val="(%1)"/>
      <w:numFmt w:val="lowerLetter"/>
      <w:start w:val="1"/>
    </w:lvl>
  </w:abstractNum>
  <w:abstractNum w:abstractNumId="799">
    <w:nsid w:val="1BD078BB"/>
    <w:multiLevelType w:val="hybridMultilevel"/>
    <w:lvl w:ilvl="0">
      <w:lvlJc w:val="left"/>
      <w:lvlText w:val="(%1)"/>
      <w:numFmt w:val="lowerLetter"/>
      <w:start w:val="5"/>
    </w:lvl>
  </w:abstractNum>
  <w:abstractNum w:abstractNumId="800">
    <w:nsid w:val="22BF757E"/>
    <w:multiLevelType w:val="hybridMultilevel"/>
    <w:lvl w:ilvl="0">
      <w:lvlJc w:val="left"/>
      <w:lvlText w:val="(%1)"/>
      <w:numFmt w:val="lowerLetter"/>
      <w:start w:val="1"/>
    </w:lvl>
  </w:abstractNum>
  <w:abstractNum w:abstractNumId="801">
    <w:nsid w:val="3BD80000"/>
    <w:multiLevelType w:val="hybridMultilevel"/>
    <w:lvl w:ilvl="0">
      <w:lvlJc w:val="left"/>
      <w:lvlText w:val="(%1)"/>
      <w:numFmt w:val="lowerLetter"/>
      <w:start w:val="1"/>
    </w:lvl>
  </w:abstractNum>
  <w:abstractNum w:abstractNumId="802">
    <w:nsid w:val="56CAED2B"/>
    <w:multiLevelType w:val="hybridMultilevel"/>
    <w:lvl w:ilvl="0">
      <w:lvlJc w:val="left"/>
      <w:lvlText w:val="(%1)"/>
      <w:numFmt w:val="lowerRoman"/>
      <w:start w:val="1"/>
    </w:lvl>
  </w:abstractNum>
  <w:abstractNum w:abstractNumId="803">
    <w:nsid w:val="5D440695"/>
    <w:multiLevelType w:val="hybridMultilevel"/>
    <w:lvl w:ilvl="0">
      <w:lvlJc w:val="left"/>
      <w:lvlText w:val="(%1)"/>
      <w:numFmt w:val="lowerLetter"/>
      <w:start w:val="2"/>
    </w:lvl>
  </w:abstractNum>
  <w:abstractNum w:abstractNumId="804">
    <w:nsid w:val="5B1047FC"/>
    <w:multiLevelType w:val="hybridMultilevel"/>
    <w:lvl w:ilvl="0">
      <w:lvlJc w:val="left"/>
      <w:lvlText w:val="(%1)"/>
      <w:numFmt w:val="lowerLetter"/>
      <w:start w:val="1"/>
    </w:lvl>
  </w:abstractNum>
  <w:abstractNum w:abstractNumId="805">
    <w:nsid w:val="E9EA4BB"/>
    <w:multiLevelType w:val="hybridMultilevel"/>
    <w:lvl w:ilvl="0">
      <w:lvlJc w:val="left"/>
      <w:lvlText w:val="(%1)"/>
      <w:numFmt w:val="lowerLetter"/>
      <w:start w:val="4"/>
    </w:lvl>
  </w:abstractNum>
  <w:abstractNum w:abstractNumId="806">
    <w:nsid w:val="2B7C5568"/>
    <w:multiLevelType w:val="hybridMultilevel"/>
    <w:lvl w:ilvl="0">
      <w:lvlJc w:val="left"/>
      <w:lvlText w:val="(%1)"/>
      <w:numFmt w:val="lowerLetter"/>
      <w:start w:val="1"/>
    </w:lvl>
  </w:abstractNum>
  <w:abstractNum w:abstractNumId="807">
    <w:nsid w:val="4691114B"/>
    <w:multiLevelType w:val="hybridMultilevel"/>
    <w:lvl w:ilvl="0">
      <w:lvlJc w:val="left"/>
      <w:lvlText w:val="(%1)"/>
      <w:numFmt w:val="lowerLetter"/>
      <w:start w:val="1"/>
    </w:lvl>
  </w:abstractNum>
  <w:abstractNum w:abstractNumId="808">
    <w:nsid w:val="5BADF95F"/>
    <w:multiLevelType w:val="hybridMultilevel"/>
    <w:lvl w:ilvl="0">
      <w:lvlJc w:val="left"/>
      <w:lvlText w:val="(%1)"/>
      <w:numFmt w:val="lowerLetter"/>
      <w:start w:val="1"/>
    </w:lvl>
    <w:lvl w:ilvl="1">
      <w:lvlJc w:val="left"/>
      <w:lvlText w:val="(%2)"/>
      <w:numFmt w:val="lowerRoman"/>
      <w:start w:val="1"/>
    </w:lvl>
  </w:abstractNum>
  <w:abstractNum w:abstractNumId="809">
    <w:nsid w:val="76BC5A56"/>
    <w:multiLevelType w:val="hybridMultilevel"/>
    <w:lvl w:ilvl="0">
      <w:lvlJc w:val="left"/>
      <w:lvlText w:val="(%1)"/>
      <w:numFmt w:val="lowerLetter"/>
      <w:start w:val="1"/>
    </w:lvl>
  </w:abstractNum>
  <w:abstractNum w:abstractNumId="810">
    <w:nsid w:val="6C5DC3C4"/>
    <w:multiLevelType w:val="hybridMultilevel"/>
    <w:lvl w:ilvl="0">
      <w:lvlJc w:val="left"/>
      <w:lvlText w:val="(%1)"/>
      <w:numFmt w:val="lowerLetter"/>
      <w:start w:val="1"/>
    </w:lvl>
  </w:abstractNum>
  <w:abstractNum w:abstractNumId="811">
    <w:nsid w:val="2A84F0F7"/>
    <w:multiLevelType w:val="hybridMultilevel"/>
    <w:lvl w:ilvl="0">
      <w:lvlJc w:val="left"/>
      <w:lvlText w:val="(%1)"/>
      <w:numFmt w:val="lowerLetter"/>
      <w:start w:val="1"/>
    </w:lvl>
  </w:abstractNum>
  <w:abstractNum w:abstractNumId="812">
    <w:nsid w:val="7B37AFBB"/>
    <w:multiLevelType w:val="hybridMultilevel"/>
    <w:lvl w:ilvl="0">
      <w:lvlJc w:val="left"/>
      <w:lvlText w:val="(%1)"/>
      <w:numFmt w:val="lowerLetter"/>
      <w:start w:val="2"/>
    </w:lvl>
  </w:abstractNum>
  <w:abstractNum w:abstractNumId="813">
    <w:nsid w:val="7138B819"/>
    <w:multiLevelType w:val="hybridMultilevel"/>
    <w:lvl w:ilvl="0">
      <w:lvlJc w:val="left"/>
      <w:lvlText w:val="(%1)"/>
      <w:numFmt w:val="lowerLetter"/>
      <w:start w:val="1"/>
    </w:lvl>
  </w:abstractNum>
  <w:abstractNum w:abstractNumId="814">
    <w:nsid w:val="65A9E333"/>
    <w:multiLevelType w:val="hybridMultilevel"/>
    <w:lvl w:ilvl="0">
      <w:lvlJc w:val="left"/>
      <w:lvlText w:val="(%1)"/>
      <w:numFmt w:val="lowerLetter"/>
      <w:start w:val="1"/>
    </w:lvl>
  </w:abstractNum>
  <w:abstractNum w:abstractNumId="815">
    <w:nsid w:val="C2F5540"/>
    <w:multiLevelType w:val="hybridMultilevel"/>
    <w:lvl w:ilvl="0">
      <w:lvlJc w:val="left"/>
      <w:lvlText w:val="(%1)"/>
      <w:numFmt w:val="lowerLetter"/>
      <w:start w:val="3"/>
    </w:lvl>
  </w:abstractNum>
  <w:abstractNum w:abstractNumId="816">
    <w:nsid w:val="68585EA6"/>
    <w:multiLevelType w:val="hybridMultilevel"/>
    <w:lvl w:ilvl="0">
      <w:lvlJc w:val="left"/>
      <w:lvlText w:val="(%1)"/>
      <w:numFmt w:val="lowerLetter"/>
      <w:start w:val="1"/>
    </w:lvl>
  </w:abstractNum>
  <w:abstractNum w:abstractNumId="817">
    <w:nsid w:val="71809378"/>
    <w:multiLevelType w:val="hybridMultilevel"/>
    <w:lvl w:ilvl="0">
      <w:lvlJc w:val="left"/>
      <w:lvlText w:val="(%1)"/>
      <w:numFmt w:val="lowerLetter"/>
      <w:start w:val="1"/>
    </w:lvl>
    <w:lvl w:ilvl="1">
      <w:lvlJc w:val="left"/>
      <w:lvlText w:val="(%2)"/>
      <w:numFmt w:val="lowerRoman"/>
      <w:start w:val="1"/>
    </w:lvl>
  </w:abstractNum>
  <w:abstractNum w:abstractNumId="818">
    <w:nsid w:val="5E1E8AB7"/>
    <w:multiLevelType w:val="hybridMultilevel"/>
    <w:lvl w:ilvl="0">
      <w:lvlJc w:val="left"/>
      <w:lvlText w:val="(%1)"/>
      <w:numFmt w:val="lowerLetter"/>
      <w:start w:val="1"/>
    </w:lvl>
  </w:abstractNum>
  <w:abstractNum w:abstractNumId="819">
    <w:nsid w:val="5F176EBE"/>
    <w:multiLevelType w:val="hybridMultilevel"/>
    <w:lvl w:ilvl="0">
      <w:lvlJc w:val="left"/>
      <w:lvlText w:val="(%1)"/>
      <w:numFmt w:val="lowerLetter"/>
      <w:start w:val="2"/>
    </w:lvl>
  </w:abstractNum>
  <w:abstractNum w:abstractNumId="820">
    <w:nsid w:val="5D27C5EC"/>
    <w:multiLevelType w:val="hybridMultilevel"/>
    <w:lvl w:ilvl="0">
      <w:lvlJc w:val="left"/>
      <w:lvlText w:val="(%1)"/>
      <w:numFmt w:val="lowerLetter"/>
      <w:start w:val="1"/>
    </w:lvl>
    <w:lvl w:ilvl="1">
      <w:lvlJc w:val="left"/>
      <w:lvlText w:val="(%2)"/>
      <w:numFmt w:val="lowerRoman"/>
      <w:start w:val="1"/>
    </w:lvl>
  </w:abstractNum>
  <w:abstractNum w:abstractNumId="821">
    <w:nsid w:val="5D8F08B8"/>
    <w:multiLevelType w:val="hybridMultilevel"/>
    <w:lvl w:ilvl="0">
      <w:lvlJc w:val="left"/>
      <w:lvlText w:val="(%1)"/>
      <w:numFmt w:val="lowerLetter"/>
      <w:start w:val="1"/>
    </w:lvl>
  </w:abstractNum>
  <w:abstractNum w:abstractNumId="822">
    <w:nsid w:val="5388022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3">
    <w:nsid w:val="4E913C5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4">
    <w:nsid w:val="7EBDB63D"/>
    <w:multiLevelType w:val="hybridMultilevel"/>
    <w:lvl w:ilvl="0">
      <w:lvlJc w:val="left"/>
      <w:lvlText w:val="(%1)"/>
      <w:numFmt w:val="lowerLetter"/>
      <w:start w:val="1"/>
    </w:lvl>
  </w:abstractNum>
  <w:abstractNum w:abstractNumId="825">
    <w:nsid w:val="65FD275F"/>
    <w:multiLevelType w:val="hybridMultilevel"/>
    <w:lvl w:ilvl="0">
      <w:lvlJc w:val="left"/>
      <w:lvlText w:val="(%1)"/>
      <w:numFmt w:val="lowerLetter"/>
      <w:start w:val="1"/>
    </w:lvl>
  </w:abstractNum>
  <w:abstractNum w:abstractNumId="826">
    <w:nsid w:val="5A098B27"/>
    <w:multiLevelType w:val="hybridMultilevel"/>
    <w:lvl w:ilvl="0">
      <w:lvlJc w:val="left"/>
      <w:lvlText w:val="(%1)"/>
      <w:numFmt w:val="lowerLetter"/>
      <w:start w:val="4"/>
    </w:lvl>
  </w:abstractNum>
  <w:abstractNum w:abstractNumId="827">
    <w:nsid w:val="56BF33F6"/>
    <w:multiLevelType w:val="hybridMultilevel"/>
    <w:lvl w:ilvl="0">
      <w:lvlJc w:val="left"/>
      <w:lvlText w:val="(%1)"/>
      <w:numFmt w:val="lowerLetter"/>
      <w:start w:val="1"/>
    </w:lvl>
    <w:lvl w:ilvl="1">
      <w:lvlJc w:val="left"/>
      <w:lvlText w:val="(%2)"/>
      <w:numFmt w:val="lowerRoman"/>
      <w:start w:val="1"/>
    </w:lvl>
  </w:abstractNum>
  <w:abstractNum w:abstractNumId="828">
    <w:nsid w:val="6C3A37B1"/>
    <w:multiLevelType w:val="hybridMultilevel"/>
    <w:lvl w:ilvl="0">
      <w:lvlJc w:val="left"/>
      <w:lvlText w:val="(%1)"/>
      <w:numFmt w:val="lowerLetter"/>
      <w:start w:val="1"/>
    </w:lvl>
  </w:abstractNum>
  <w:abstractNum w:abstractNumId="829">
    <w:nsid w:val="696DA7C9"/>
    <w:multiLevelType w:val="hybridMultilevel"/>
    <w:lvl w:ilvl="0">
      <w:lvlJc w:val="left"/>
      <w:lvlText w:val="(%1)"/>
      <w:numFmt w:val="lowerLetter"/>
      <w:start w:val="6"/>
    </w:lvl>
  </w:abstractNum>
  <w:abstractNum w:abstractNumId="830">
    <w:nsid w:val="728FACB1"/>
    <w:multiLevelType w:val="hybridMultilevel"/>
    <w:lvl w:ilvl="0">
      <w:lvlJc w:val="left"/>
      <w:lvlText w:val="(%1)"/>
      <w:numFmt w:val="lowerLetter"/>
      <w:start w:val="1"/>
    </w:lvl>
  </w:abstractNum>
  <w:abstractNum w:abstractNumId="831">
    <w:nsid w:val="EF9AD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32">
    <w:nsid w:val="2545A7C9"/>
    <w:multiLevelType w:val="hybridMultilevel"/>
    <w:lvl w:ilvl="0">
      <w:lvlJc w:val="left"/>
      <w:lvlText w:val="(%1)"/>
      <w:numFmt w:val="lowerLetter"/>
      <w:start w:val="1"/>
    </w:lvl>
  </w:abstractNum>
  <w:abstractNum w:abstractNumId="833">
    <w:nsid w:val="495A99DC"/>
    <w:multiLevelType w:val="hybridMultilevel"/>
    <w:lvl w:ilvl="0">
      <w:lvlJc w:val="left"/>
      <w:lvlText w:val="(%1)"/>
      <w:numFmt w:val="lowerLetter"/>
      <w:start w:val="1"/>
    </w:lvl>
    <w:lvl w:ilvl="1">
      <w:lvlJc w:val="left"/>
      <w:lvlText w:val="(%2)"/>
      <w:numFmt w:val="lowerRoman"/>
      <w:start w:val="1"/>
    </w:lvl>
  </w:abstractNum>
  <w:abstractNum w:abstractNumId="834">
    <w:nsid w:val="6C3DB3C4"/>
    <w:multiLevelType w:val="hybridMultilevel"/>
    <w:lvl w:ilvl="0">
      <w:lvlJc w:val="left"/>
      <w:lvlText w:val="%1"/>
      <w:numFmt w:val="decimal"/>
      <w:start w:val="38"/>
    </w:lvl>
  </w:abstractNum>
  <w:abstractNum w:abstractNumId="835">
    <w:nsid w:val="55EFC6"/>
    <w:multiLevelType w:val="hybridMultilevel"/>
    <w:lvl w:ilvl="0">
      <w:lvlJc w:val="left"/>
      <w:lvlText w:val="%1"/>
      <w:numFmt w:val="decimal"/>
      <w:start w:val="39"/>
    </w:lvl>
  </w:abstractNum>
  <w:abstractNum w:abstractNumId="836">
    <w:nsid w:val="57F93E98"/>
    <w:multiLevelType w:val="hybridMultilevel"/>
    <w:lvl w:ilvl="0">
      <w:lvlJc w:val="left"/>
      <w:lvlText w:val="(%1)"/>
      <w:numFmt w:val="lowerLetter"/>
      <w:start w:val="1"/>
    </w:lvl>
  </w:abstractNum>
  <w:abstractNum w:abstractNumId="837">
    <w:nsid w:val="17BA092C"/>
    <w:multiLevelType w:val="hybridMultilevel"/>
    <w:lvl w:ilvl="0">
      <w:lvlJc w:val="left"/>
      <w:lvlText w:val="(%1)"/>
      <w:numFmt w:val="lowerLetter"/>
      <w:start w:val="1"/>
    </w:lvl>
  </w:abstractNum>
  <w:abstractNum w:abstractNumId="838">
    <w:nsid w:val="46E70111"/>
    <w:multiLevelType w:val="hybridMultilevel"/>
    <w:lvl w:ilvl="0">
      <w:lvlJc w:val="left"/>
      <w:lvlText w:val="(%1)"/>
      <w:numFmt w:val="lowerLetter"/>
      <w:start w:val="1"/>
    </w:lvl>
  </w:abstractNum>
  <w:abstractNum w:abstractNumId="839">
    <w:nsid w:val="33A737F7"/>
    <w:multiLevelType w:val="hybridMultilevel"/>
    <w:lvl w:ilvl="0">
      <w:lvlJc w:val="left"/>
      <w:lvlText w:val="(%1)"/>
      <w:numFmt w:val="lowerRoman"/>
      <w:start w:val="1"/>
    </w:lvl>
  </w:abstractNum>
  <w:abstractNum w:abstractNumId="840">
    <w:nsid w:val="E766383"/>
    <w:multiLevelType w:val="hybridMultilevel"/>
    <w:lvl w:ilvl="0">
      <w:lvlJc w:val="left"/>
      <w:lvlText w:val="%1"/>
      <w:numFmt w:val="lowerLetter"/>
      <w:start w:val="1"/>
    </w:lvl>
    <w:lvl w:ilvl="1">
      <w:lvlJc w:val="left"/>
      <w:lvlText w:val="(%2)"/>
      <w:numFmt w:val="lowerLetter"/>
      <w:start w:val="35"/>
    </w:lvl>
  </w:abstractNum>
  <w:abstractNum w:abstractNumId="841">
    <w:nsid w:val="3344C4D6"/>
    <w:multiLevelType w:val="hybridMultilevel"/>
    <w:lvl w:ilvl="0">
      <w:lvlJc w:val="left"/>
      <w:lvlText w:val="(%1)"/>
      <w:numFmt w:val="lowerLetter"/>
      <w:start w:val="2"/>
    </w:lvl>
    <w:lvl w:ilvl="1">
      <w:lvlJc w:val="left"/>
      <w:lvlText w:val="(%2)"/>
      <w:numFmt w:val="lowerLetter"/>
      <w:start w:val="9"/>
    </w:lvl>
  </w:abstractNum>
  <w:abstractNum w:abstractNumId="842">
    <w:nsid w:val="5E2C28EE"/>
    <w:multiLevelType w:val="hybridMultilevel"/>
    <w:lvl w:ilvl="0">
      <w:lvlJc w:val="left"/>
      <w:lvlText w:val="%1"/>
      <w:numFmt w:val="lowerLetter"/>
      <w:start w:val="1"/>
    </w:lvl>
    <w:lvl w:ilvl="1">
      <w:lvlJc w:val="left"/>
      <w:lvlText w:val="(%2)"/>
      <w:numFmt w:val="lowerRoman"/>
      <w:start w:val="2"/>
    </w:lvl>
  </w:abstractNum>
  <w:abstractNum w:abstractNumId="843">
    <w:nsid w:val="9AE133E"/>
    <w:multiLevelType w:val="hybridMultilevel"/>
    <w:lvl w:ilvl="0">
      <w:lvlJc w:val="left"/>
      <w:lvlText w:val="(%1)"/>
      <w:numFmt w:val="lowerLetter"/>
      <w:start w:val="5"/>
    </w:lvl>
    <w:lvl w:ilvl="1">
      <w:lvlJc w:val="left"/>
      <w:lvlText w:val="%2"/>
      <w:numFmt w:val="lowerRoman"/>
      <w:start w:val="1"/>
    </w:lvl>
  </w:abstractNum>
  <w:abstractNum w:abstractNumId="844">
    <w:nsid w:val="247D7CEF"/>
    <w:multiLevelType w:val="hybridMultilevel"/>
    <w:lvl w:ilvl="0">
      <w:lvlJc w:val="left"/>
      <w:lvlText w:val="(%1)"/>
      <w:numFmt w:val="lowerLetter"/>
      <w:start w:val="1"/>
    </w:lvl>
    <w:lvl w:ilvl="1">
      <w:lvlJc w:val="left"/>
      <w:lvlText w:val="(%2)"/>
      <w:numFmt w:val="lowerRoman"/>
      <w:start w:val="1"/>
    </w:lvl>
  </w:abstractNum>
  <w:abstractNum w:abstractNumId="845">
    <w:nsid w:val="43D60C21"/>
    <w:multiLevelType w:val="hybridMultilevel"/>
    <w:lvl w:ilvl="0">
      <w:lvlJc w:val="left"/>
      <w:lvlText w:val="(%1)"/>
      <w:numFmt w:val="lowerLetter"/>
      <w:start w:val="1"/>
    </w:lvl>
  </w:abstractNum>
  <w:abstractNum w:abstractNumId="846">
    <w:nsid w:val="15DD687E"/>
    <w:multiLevelType w:val="hybridMultilevel"/>
    <w:lvl w:ilvl="0">
      <w:lvlJc w:val="left"/>
      <w:lvlText w:val="(%1)"/>
      <w:numFmt w:val="lowerLetter"/>
      <w:start w:val="4"/>
    </w:lvl>
  </w:abstractNum>
  <w:abstractNum w:abstractNumId="847">
    <w:nsid w:val="CD5DB95"/>
    <w:multiLevelType w:val="hybridMultilevel"/>
    <w:lvl w:ilvl="0">
      <w:lvlJc w:val="left"/>
      <w:lvlText w:val="(%1)"/>
      <w:numFmt w:val="lowerLetter"/>
      <w:start w:val="1"/>
    </w:lvl>
  </w:abstractNum>
  <w:abstractNum w:abstractNumId="848">
    <w:nsid w:val="35569F99"/>
    <w:multiLevelType w:val="hybridMultilevel"/>
    <w:lvl w:ilvl="0">
      <w:lvlJc w:val="left"/>
      <w:lvlText w:val="(%1)"/>
      <w:numFmt w:val="lowerLetter"/>
      <w:start w:val="1"/>
    </w:lvl>
  </w:abstractNum>
  <w:abstractNum w:abstractNumId="849">
    <w:nsid w:val="73FBF33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850">
    <w:nsid w:val="6BED4A53"/>
    <w:multiLevelType w:val="hybridMultilevel"/>
    <w:lvl w:ilvl="0">
      <w:lvlJc w:val="left"/>
      <w:lvlText w:val="(%1)"/>
      <w:numFmt w:val="lowerLetter"/>
      <w:start w:val="1"/>
    </w:lvl>
  </w:abstractNum>
  <w:abstractNum w:abstractNumId="851">
    <w:nsid w:val="127E6585"/>
    <w:multiLevelType w:val="hybridMultilevel"/>
    <w:lvl w:ilvl="0">
      <w:lvlJc w:val="left"/>
      <w:lvlText w:val="(%1)"/>
      <w:numFmt w:val="lowerLetter"/>
      <w:start w:val="2"/>
    </w:lvl>
    <w:lvl w:ilvl="1">
      <w:lvlJc w:val="left"/>
      <w:lvlText w:val="(%2)"/>
      <w:numFmt w:val="lowerRoman"/>
      <w:start w:val="1"/>
    </w:lvl>
  </w:abstractNum>
  <w:abstractNum w:abstractNumId="852">
    <w:nsid w:val="518AFBEE"/>
    <w:multiLevelType w:val="hybridMultilevel"/>
    <w:lvl w:ilvl="0">
      <w:lvlJc w:val="left"/>
      <w:lvlText w:val="(%1)"/>
      <w:numFmt w:val="lowerLetter"/>
      <w:start w:val="1"/>
    </w:lvl>
    <w:lvl w:ilvl="1">
      <w:lvlJc w:val="left"/>
      <w:lvlText w:val="(%2)"/>
      <w:numFmt w:val="lowerRoman"/>
      <w:start w:val="1"/>
    </w:lvl>
  </w:abstractNum>
  <w:abstractNum w:abstractNumId="853">
    <w:nsid w:val="3F754C7B"/>
    <w:multiLevelType w:val="hybridMultilevel"/>
    <w:lvl w:ilvl="0">
      <w:lvlJc w:val="left"/>
      <w:lvlText w:val="(%1)"/>
      <w:numFmt w:val="lowerRoman"/>
      <w:start w:val="1"/>
    </w:lvl>
  </w:abstractNum>
  <w:abstractNum w:abstractNumId="854">
    <w:nsid w:val="610FA1D6"/>
    <w:multiLevelType w:val="hybridMultilevel"/>
    <w:lvl w:ilvl="0">
      <w:lvlJc w:val="left"/>
      <w:lvlText w:val="(%1)"/>
      <w:numFmt w:val="lowerLetter"/>
      <w:start w:val="1"/>
    </w:lvl>
  </w:abstractNum>
  <w:abstractNum w:abstractNumId="855">
    <w:nsid w:val="5048B22C"/>
    <w:multiLevelType w:val="hybridMultilevel"/>
    <w:lvl w:ilvl="0">
      <w:lvlJc w:val="left"/>
      <w:lvlText w:val="(%1)"/>
      <w:numFmt w:val="lowerLetter"/>
      <w:start w:val="1"/>
    </w:lvl>
    <w:lvl w:ilvl="1">
      <w:lvlJc w:val="left"/>
      <w:lvlText w:val="(%2)"/>
      <w:numFmt w:val="lowerRoman"/>
      <w:start w:val="1"/>
    </w:lvl>
  </w:abstractNum>
  <w:abstractNum w:abstractNumId="856">
    <w:nsid w:val="257273DB"/>
    <w:multiLevelType w:val="hybridMultilevel"/>
    <w:lvl w:ilvl="0">
      <w:lvlJc w:val="left"/>
      <w:lvlText w:val="(%1)"/>
      <w:numFmt w:val="lowerLetter"/>
      <w:start w:val="1"/>
    </w:lvl>
    <w:lvl w:ilvl="1">
      <w:lvlJc w:val="left"/>
      <w:lvlText w:val="(%2)"/>
      <w:numFmt w:val="lowerRoman"/>
      <w:start w:val="1"/>
    </w:lvl>
  </w:abstractNum>
  <w:abstractNum w:abstractNumId="857">
    <w:nsid w:val="3B192CFD"/>
    <w:multiLevelType w:val="hybridMultilevel"/>
    <w:lvl w:ilvl="0">
      <w:lvlJc w:val="left"/>
      <w:lvlText w:val="(%1)"/>
      <w:numFmt w:val="lowerLetter"/>
      <w:start w:val="2"/>
    </w:lvl>
  </w:abstractNum>
  <w:abstractNum w:abstractNumId="858">
    <w:nsid w:val="2707E622"/>
    <w:multiLevelType w:val="hybridMultilevel"/>
    <w:lvl w:ilvl="0">
      <w:lvlJc w:val="left"/>
      <w:lvlText w:val="(%1)"/>
      <w:numFmt w:val="lowerLetter"/>
      <w:start w:val="1"/>
    </w:lvl>
  </w:abstractNum>
  <w:abstractNum w:abstractNumId="859">
    <w:nsid w:val="11ACAB8C"/>
    <w:multiLevelType w:val="hybridMultilevel"/>
    <w:lvl w:ilvl="0">
      <w:lvlJc w:val="left"/>
      <w:lvlText w:val="(%1)"/>
      <w:numFmt w:val="upperLetter"/>
      <w:start w:val="1"/>
    </w:lvl>
  </w:abstractNum>
  <w:abstractNum w:abstractNumId="860">
    <w:nsid w:val="2486D4C7"/>
    <w:multiLevelType w:val="hybridMultilevel"/>
    <w:lvl w:ilvl="0">
      <w:lvlJc w:val="left"/>
      <w:lvlText w:val="%1"/>
      <w:numFmt w:val="lowerLetter"/>
      <w:start w:val="1"/>
    </w:lvl>
    <w:lvl w:ilvl="1">
      <w:lvlJc w:val="left"/>
      <w:lvlText w:val="(%2)"/>
      <w:numFmt w:val="lowerRoman"/>
      <w:start w:val="2"/>
    </w:lvl>
  </w:abstractNum>
  <w:abstractNum w:abstractNumId="861">
    <w:nsid w:val="199792D3"/>
    <w:multiLevelType w:val="hybridMultilevel"/>
    <w:lvl w:ilvl="0">
      <w:lvlJc w:val="left"/>
      <w:lvlText w:val="(%1)"/>
      <w:numFmt w:val="lowerLetter"/>
      <w:start w:val="3"/>
    </w:lvl>
    <w:lvl w:ilvl="1">
      <w:lvlJc w:val="left"/>
      <w:lvlText w:val="(%2)"/>
      <w:numFmt w:val="lowerRoman"/>
      <w:start w:val="1"/>
    </w:lvl>
  </w:abstractNum>
  <w:abstractNum w:abstractNumId="862">
    <w:nsid w:val="20A658BB"/>
    <w:multiLevelType w:val="hybridMultilevel"/>
    <w:lvl w:ilvl="0">
      <w:lvlJc w:val="left"/>
      <w:lvlText w:val="(%1)"/>
      <w:numFmt w:val="lowerLetter"/>
      <w:start w:val="4"/>
    </w:lvl>
  </w:abstractNum>
  <w:abstractNum w:abstractNumId="863">
    <w:nsid w:val="49CC7C90"/>
    <w:multiLevelType w:val="hybridMultilevel"/>
    <w:lvl w:ilvl="0">
      <w:lvlJc w:val="left"/>
      <w:lvlText w:val="(%1)"/>
      <w:numFmt w:val="lowerLetter"/>
      <w:start w:val="1"/>
    </w:lvl>
  </w:abstractNum>
  <w:abstractNum w:abstractNumId="864">
    <w:nsid w:val="62F22CB0"/>
    <w:multiLevelType w:val="hybridMultilevel"/>
    <w:lvl w:ilvl="0">
      <w:lvlJc w:val="left"/>
      <w:lvlText w:val="(%1)"/>
      <w:numFmt w:val="lowerLetter"/>
      <w:start w:val="1"/>
    </w:lvl>
    <w:lvl w:ilvl="1">
      <w:lvlJc w:val="left"/>
      <w:lvlText w:val="(%2)"/>
      <w:numFmt w:val="lowerRoman"/>
      <w:start w:val="1"/>
    </w:lvl>
  </w:abstractNum>
  <w:abstractNum w:abstractNumId="865">
    <w:nsid w:val="CE40C80"/>
    <w:multiLevelType w:val="hybridMultilevel"/>
    <w:lvl w:ilvl="0">
      <w:lvlJc w:val="left"/>
      <w:lvlText w:val="(%1)"/>
      <w:numFmt w:val="lowerLetter"/>
      <w:start w:val="2"/>
    </w:lvl>
  </w:abstractNum>
  <w:abstractNum w:abstractNumId="866">
    <w:nsid w:val="4A226C56"/>
    <w:multiLevelType w:val="hybridMultilevel"/>
    <w:lvl w:ilvl="0">
      <w:lvlJc w:val="left"/>
      <w:lvlText w:val="(%1)"/>
      <w:numFmt w:val="lowerRoman"/>
      <w:start w:val="1"/>
    </w:lvl>
  </w:abstractNum>
  <w:abstractNum w:abstractNumId="867">
    <w:nsid w:val="3AEB6B48"/>
    <w:multiLevelType w:val="hybridMultilevel"/>
    <w:lvl w:ilvl="0">
      <w:lvlJc w:val="left"/>
      <w:lvlText w:val="(%1)"/>
      <w:numFmt w:val="lowerRoman"/>
      <w:start w:val="2"/>
    </w:lvl>
  </w:abstractNum>
  <w:abstractNum w:abstractNumId="868">
    <w:nsid w:val="249E15AC"/>
    <w:multiLevelType w:val="hybridMultilevel"/>
    <w:lvl w:ilvl="0">
      <w:lvlJc w:val="left"/>
      <w:lvlText w:val="(%1)"/>
      <w:numFmt w:val="lowerLetter"/>
      <w:start w:val="1"/>
    </w:lvl>
  </w:abstractNum>
  <w:abstractNum w:abstractNumId="869">
    <w:nsid w:val="11096D68"/>
    <w:multiLevelType w:val="hybridMultilevel"/>
    <w:lvl w:ilvl="0">
      <w:lvlJc w:val="left"/>
      <w:lvlText w:val="(%1)"/>
      <w:numFmt w:val="lowerLetter"/>
      <w:start w:val="1"/>
    </w:lvl>
  </w:abstractNum>
  <w:abstractNum w:abstractNumId="870">
    <w:nsid w:val="6E92A33F"/>
    <w:multiLevelType w:val="hybridMultilevel"/>
    <w:lvl w:ilvl="0">
      <w:lvlJc w:val="left"/>
      <w:lvlText w:val="(%1)"/>
      <w:numFmt w:val="lowerLetter"/>
      <w:start w:val="1"/>
    </w:lvl>
  </w:abstractNum>
  <w:abstractNum w:abstractNumId="871">
    <w:nsid w:val="3314792F"/>
    <w:multiLevelType w:val="hybridMultilevel"/>
    <w:lvl w:ilvl="0">
      <w:lvlJc w:val="left"/>
      <w:lvlText w:val="(%1)"/>
      <w:numFmt w:val="lowerLetter"/>
      <w:start w:val="2"/>
    </w:lvl>
  </w:abstractNum>
  <w:abstractNum w:abstractNumId="872">
    <w:nsid w:val="444E323E"/>
    <w:multiLevelType w:val="hybridMultilevel"/>
    <w:lvl w:ilvl="0">
      <w:lvlJc w:val="left"/>
      <w:lvlText w:val="(%1)"/>
      <w:numFmt w:val="lowerLetter"/>
      <w:start w:val="1"/>
    </w:lvl>
  </w:abstractNum>
  <w:abstractNum w:abstractNumId="873">
    <w:nsid w:val="4CBECC2D"/>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874">
    <w:nsid w:val="3CC28C6E"/>
    <w:multiLevelType w:val="hybridMultilevel"/>
    <w:lvl w:ilvl="0">
      <w:lvlJc w:val="left"/>
      <w:lvlText w:val="2"/>
      <w:numFmt w:val="bullet"/>
      <w:start w:val="1"/>
    </w:lvl>
    <w:lvl w:ilvl="1">
      <w:lvlJc w:val="left"/>
      <w:lvlText w:val="(%2)"/>
      <w:numFmt w:val="lowerLetter"/>
      <w:start w:val="1"/>
    </w:lvl>
  </w:abstractNum>
  <w:abstractNum w:abstractNumId="875">
    <w:nsid w:val="68CBAF2D"/>
    <w:multiLevelType w:val="hybridMultilevel"/>
    <w:lvl w:ilvl="0">
      <w:lvlJc w:val="left"/>
      <w:lvlText w:val="3"/>
      <w:numFmt w:val="bullet"/>
      <w:start w:val="1"/>
    </w:lvl>
  </w:abstractNum>
  <w:abstractNum w:abstractNumId="876">
    <w:nsid w:val="1094D84E"/>
    <w:multiLevelType w:val="hybridMultilevel"/>
    <w:lvl w:ilvl="0">
      <w:lvlJc w:val="left"/>
      <w:lvlText w:val="4"/>
      <w:numFmt w:val="bullet"/>
      <w:start w:val="1"/>
    </w:lvl>
    <w:lvl w:ilvl="1">
      <w:lvlJc w:val="left"/>
      <w:lvlText w:val="(%2)"/>
      <w:numFmt w:val="lowerLetter"/>
      <w:start w:val="1"/>
    </w:lvl>
  </w:abstractNum>
  <w:abstractNum w:abstractNumId="877">
    <w:nsid w:val="529FF4EC"/>
    <w:multiLevelType w:val="hybridMultilevel"/>
    <w:lvl w:ilvl="0">
      <w:lvlJc w:val="left"/>
      <w:lvlText w:val="5"/>
      <w:numFmt w:val="bullet"/>
      <w:start w:val="1"/>
    </w:lvl>
  </w:abstractNum>
  <w:abstractNum w:abstractNumId="878">
    <w:nsid w:val="75A18AC2"/>
    <w:multiLevelType w:val="hybridMultilevel"/>
    <w:lvl w:ilvl="0">
      <w:lvlJc w:val="left"/>
      <w:lvlText w:val="6"/>
      <w:numFmt w:val="bullet"/>
      <w:start w:val="1"/>
    </w:lvl>
  </w:abstractNum>
  <w:abstractNum w:abstractNumId="879">
    <w:nsid w:val="45EB77E8"/>
    <w:multiLevelType w:val="hybridMultilevel"/>
    <w:lvl w:ilvl="0">
      <w:lvlJc w:val="left"/>
      <w:lvlText w:val="1"/>
      <w:numFmt w:val="bullet"/>
      <w:start w:val="1"/>
    </w:lvl>
    <w:lvl w:ilvl="1">
      <w:lvlJc w:val="left"/>
      <w:lvlText w:val="(%2)"/>
      <w:numFmt w:val="lowerLetter"/>
      <w:start w:val="1"/>
    </w:lvl>
  </w:abstractNum>
  <w:abstractNum w:abstractNumId="880">
    <w:nsid w:val="469BE822"/>
    <w:multiLevelType w:val="hybridMultilevel"/>
    <w:lvl w:ilvl="0">
      <w:lvlJc w:val="left"/>
      <w:lvlText w:val="2"/>
      <w:numFmt w:val="bullet"/>
      <w:start w:val="1"/>
    </w:lvl>
  </w:abstractNum>
  <w:abstractNum w:abstractNumId="881">
    <w:nsid w:val="618ED516"/>
    <w:multiLevelType w:val="hybridMultilevel"/>
    <w:lvl w:ilvl="0">
      <w:lvlJc w:val="left"/>
      <w:lvlText w:val="3"/>
      <w:numFmt w:val="bullet"/>
      <w:start w:val="1"/>
    </w:lvl>
    <w:lvl w:ilvl="1">
      <w:lvlJc w:val="left"/>
      <w:lvlText w:val="(%2)"/>
      <w:numFmt w:val="lowerLetter"/>
      <w:start w:val="1"/>
    </w:lvl>
  </w:abstractNum>
  <w:abstractNum w:abstractNumId="882">
    <w:nsid w:val="5869DD6D"/>
    <w:multiLevelType w:val="hybridMultilevel"/>
    <w:lvl w:ilvl="0">
      <w:lvlJc w:val="left"/>
      <w:lvlText w:val="4"/>
      <w:numFmt w:val="bullet"/>
      <w:start w:val="1"/>
    </w:lvl>
    <w:lvl w:ilvl="1">
      <w:lvlJc w:val="left"/>
      <w:lvlText w:val="(%2)"/>
      <w:numFmt w:val="lowerLetter"/>
      <w:start w:val="1"/>
    </w:lvl>
  </w:abstractNum>
  <w:abstractNum w:abstractNumId="883">
    <w:nsid w:val="1826E411"/>
    <w:multiLevelType w:val="hybridMultilevel"/>
    <w:lvl w:ilvl="0">
      <w:lvlJc w:val="left"/>
      <w:lvlText w:val="5"/>
      <w:numFmt w:val="bullet"/>
      <w:start w:val="1"/>
    </w:lvl>
  </w:abstractNum>
  <w:abstractNum w:abstractNumId="884">
    <w:nsid w:val="21042191"/>
    <w:multiLevelType w:val="hybridMultilevel"/>
    <w:lvl w:ilvl="0">
      <w:lvlJc w:val="left"/>
      <w:lvlText w:val="6"/>
      <w:numFmt w:val="bullet"/>
      <w:start w:val="1"/>
    </w:lvl>
    <w:lvl w:ilvl="1">
      <w:lvlJc w:val="left"/>
      <w:lvlText w:val="(%2)"/>
      <w:numFmt w:val="lowerLetter"/>
      <w:start w:val="1"/>
    </w:lvl>
  </w:abstractNum>
  <w:abstractNum w:abstractNumId="885">
    <w:nsid w:val="39797F44"/>
    <w:multiLevelType w:val="hybridMultilevel"/>
    <w:lvl w:ilvl="0">
      <w:lvlJc w:val="left"/>
      <w:lvlText w:val="7"/>
      <w:numFmt w:val="bullet"/>
      <w:start w:val="1"/>
    </w:lvl>
    <w:lvl w:ilvl="1">
      <w:lvlJc w:val="left"/>
      <w:lvlText w:val="(%2)"/>
      <w:numFmt w:val="lowerLetter"/>
      <w:start w:val="1"/>
    </w:lvl>
  </w:abstractNum>
  <w:abstractNum w:abstractNumId="886">
    <w:nsid w:val="686F963D"/>
    <w:multiLevelType w:val="hybridMultilevel"/>
    <w:lvl w:ilvl="0">
      <w:lvlJc w:val="left"/>
      <w:lvlText w:val="8"/>
      <w:numFmt w:val="bullet"/>
      <w:start w:val="1"/>
    </w:lvl>
  </w:abstractNum>
  <w:abstractNum w:abstractNumId="887">
    <w:nsid w:val="4676956C"/>
    <w:multiLevelType w:val="hybridMultilevel"/>
    <w:lvl w:ilvl="0">
      <w:lvlJc w:val="left"/>
      <w:lvlText w:val="9"/>
      <w:numFmt w:val="bullet"/>
      <w:start w:val="1"/>
    </w:lvl>
  </w:abstractNum>
  <w:abstractNum w:abstractNumId="888">
    <w:nsid w:val="7492AC41"/>
    <w:multiLevelType w:val="hybridMultilevel"/>
    <w:lvl w:ilvl="0">
      <w:lvlJc w:val="left"/>
      <w:lvlText w:val="%1"/>
      <w:numFmt w:val="decimal"/>
      <w:start w:val="10"/>
    </w:lvl>
  </w:abstractNum>
  <w:abstractNum w:abstractNumId="889">
    <w:nsid w:val="F777C5F"/>
    <w:multiLevelType w:val="hybridMultilevel"/>
    <w:lvl w:ilvl="0">
      <w:lvlJc w:val="left"/>
      <w:lvlText w:val="%1"/>
      <w:numFmt w:val="decimal"/>
      <w:start w:val="12"/>
    </w:lvl>
    <w:lvl w:ilvl="1">
      <w:lvlJc w:val="left"/>
      <w:lvlText w:val="(%2)"/>
      <w:numFmt w:val="lowerLetter"/>
      <w:start w:val="1"/>
    </w:lvl>
  </w:abstractNum>
  <w:abstractNum w:abstractNumId="890">
    <w:nsid w:val="582340F8"/>
    <w:multiLevelType w:val="hybridMultilevel"/>
    <w:lvl w:ilvl="0">
      <w:lvlJc w:val="left"/>
      <w:lvlText w:val="(%1)"/>
      <w:numFmt w:val="lowerLetter"/>
      <w:start w:val="3"/>
    </w:lvl>
  </w:abstractNum>
  <w:abstractNum w:abstractNumId="891">
    <w:nsid w:val="19198108"/>
    <w:multiLevelType w:val="hybridMultilevel"/>
    <w:lvl w:ilvl="0">
      <w:lvlJc w:val="left"/>
      <w:lvlText w:val="(%1)"/>
      <w:numFmt w:val="lowerLetter"/>
      <w:start w:val="1"/>
    </w:lvl>
  </w:abstractNum>
  <w:abstractNum w:abstractNumId="892">
    <w:nsid w:val="290F0F32"/>
    <w:multiLevelType w:val="hybridMultilevel"/>
    <w:lvl w:ilvl="0">
      <w:lvlJc w:val="left"/>
      <w:lvlText w:val="(%1)"/>
      <w:numFmt w:val="lowerLetter"/>
      <w:start w:val="3"/>
    </w:lvl>
  </w:abstractNum>
  <w:abstractNum w:abstractNumId="893">
    <w:nsid w:val="78C999B4"/>
    <w:multiLevelType w:val="hybridMultilevel"/>
    <w:lvl w:ilvl="0">
      <w:lvlJc w:val="left"/>
      <w:lvlText w:val="1"/>
      <w:numFmt w:val="bullet"/>
      <w:start w:val="1"/>
    </w:lvl>
  </w:abstractNum>
  <w:abstractNum w:abstractNumId="894">
    <w:nsid w:val="62E5FD99"/>
    <w:multiLevelType w:val="hybridMultilevel"/>
    <w:lvl w:ilvl="0">
      <w:lvlJc w:val="left"/>
      <w:lvlText w:val="2"/>
      <w:numFmt w:val="bullet"/>
      <w:start w:val="1"/>
    </w:lvl>
    <w:lvl w:ilvl="1">
      <w:lvlJc w:val="left"/>
      <w:lvlText w:val="(%2)"/>
      <w:numFmt w:val="lowerLetter"/>
      <w:start w:val="1"/>
    </w:lvl>
  </w:abstractNum>
  <w:abstractNum w:abstractNumId="895">
    <w:nsid w:val="C013BE2"/>
    <w:multiLevelType w:val="hybridMultilevel"/>
    <w:lvl w:ilvl="0">
      <w:lvlJc w:val="left"/>
      <w:lvlText w:val="3"/>
      <w:numFmt w:val="bullet"/>
      <w:start w:val="1"/>
    </w:lvl>
    <w:lvl w:ilvl="1">
      <w:lvlJc w:val="left"/>
      <w:lvlText w:val="(%2)"/>
      <w:numFmt w:val="lowerLetter"/>
      <w:start w:val="1"/>
    </w:lvl>
  </w:abstractNum>
  <w:abstractNum w:abstractNumId="896">
    <w:nsid w:val="5ADA634"/>
    <w:multiLevelType w:val="hybridMultilevel"/>
    <w:lvl w:ilvl="0">
      <w:lvlJc w:val="left"/>
      <w:lvlText w:val="(%1)"/>
      <w:numFmt w:val="lowerLetter"/>
      <w:start w:val="2"/>
    </w:lvl>
  </w:abstractNum>
  <w:abstractNum w:abstractNumId="897">
    <w:nsid w:val="2D0869EF"/>
    <w:multiLevelType w:val="hybridMultilevel"/>
    <w:lvl w:ilvl="0">
      <w:lvlJc w:val="left"/>
      <w:lvlText w:val="4"/>
      <w:numFmt w:val="bullet"/>
      <w:start w:val="1"/>
    </w:lvl>
  </w:abstractNum>
  <w:abstractNum w:abstractNumId="898">
    <w:nsid w:val="46ECA72A"/>
    <w:multiLevelType w:val="hybridMultilevel"/>
    <w:lvl w:ilvl="0">
      <w:lvlJc w:val="left"/>
      <w:lvlText w:val="1"/>
      <w:numFmt w:val="bullet"/>
      <w:start w:val="1"/>
    </w:lvl>
  </w:abstractNum>
  <w:abstractNum w:abstractNumId="899">
    <w:nsid w:val="2A4BBBE0"/>
    <w:multiLevelType w:val="hybridMultilevel"/>
    <w:lvl w:ilvl="0">
      <w:lvlJc w:val="left"/>
      <w:lvlText w:val="2"/>
      <w:numFmt w:val="bullet"/>
      <w:start w:val="1"/>
    </w:lvl>
    <w:lvl w:ilvl="1">
      <w:lvlJc w:val="left"/>
      <w:lvlText w:val="(%2)"/>
      <w:numFmt w:val="lowerLetter"/>
      <w:start w:val="1"/>
    </w:lvl>
  </w:abstractNum>
  <w:abstractNum w:abstractNumId="900">
    <w:nsid w:val="3E11D757"/>
    <w:multiLevelType w:val="hybridMultilevel"/>
    <w:lvl w:ilvl="0">
      <w:lvlJc w:val="left"/>
      <w:lvlText w:val="3"/>
      <w:numFmt w:val="bullet"/>
      <w:start w:val="1"/>
    </w:lvl>
  </w:abstractNum>
  <w:abstractNum w:abstractNumId="901">
    <w:nsid w:val="357F4A69"/>
    <w:multiLevelType w:val="hybridMultilevel"/>
    <w:lvl w:ilvl="0">
      <w:lvlJc w:val="left"/>
      <w:lvlText w:val="4"/>
      <w:numFmt w:val="bullet"/>
      <w:start w:val="1"/>
    </w:lvl>
  </w:abstractNum>
  <w:abstractNum w:abstractNumId="902">
    <w:nsid w:val="5D603510"/>
    <w:multiLevelType w:val="hybridMultilevel"/>
    <w:lvl w:ilvl="0">
      <w:lvlJc w:val="left"/>
      <w:lvlText w:val="5"/>
      <w:numFmt w:val="bullet"/>
      <w:start w:val="1"/>
    </w:lvl>
  </w:abstractNum>
  <w:abstractNum w:abstractNumId="903">
    <w:nsid w:val="2600995"/>
    <w:multiLevelType w:val="hybridMultilevel"/>
    <w:lvl w:ilvl="0">
      <w:lvlJc w:val="left"/>
      <w:lvlText w:val="6"/>
      <w:numFmt w:val="bullet"/>
      <w:start w:val="1"/>
    </w:lvl>
  </w:abstractNum>
  <w:abstractNum w:abstractNumId="904">
    <w:nsid w:val="23E1696"/>
    <w:multiLevelType w:val="hybridMultilevel"/>
    <w:lvl w:ilvl="0">
      <w:lvlJc w:val="left"/>
      <w:lvlText w:val="7"/>
      <w:numFmt w:val="bullet"/>
      <w:start w:val="1"/>
    </w:lvl>
  </w:abstractNum>
  <w:abstractNum w:abstractNumId="905">
    <w:nsid w:val="1A22C17E"/>
    <w:multiLevelType w:val="hybridMultilevel"/>
    <w:lvl w:ilvl="0">
      <w:lvlJc w:val="left"/>
      <w:lvlText w:val="1"/>
      <w:numFmt w:val="bullet"/>
      <w:start w:val="1"/>
    </w:lvl>
  </w:abstractNum>
  <w:abstractNum w:abstractNumId="906">
    <w:nsid w:val="6B2BB8C2"/>
    <w:multiLevelType w:val="hybridMultilevel"/>
    <w:lvl w:ilvl="0">
      <w:lvlJc w:val="left"/>
      <w:lvlText w:val="2"/>
      <w:numFmt w:val="bullet"/>
      <w:start w:val="1"/>
    </w:lvl>
  </w:abstractNum>
  <w:abstractNum w:abstractNumId="907">
    <w:nsid w:val="12D2EEE5"/>
    <w:multiLevelType w:val="hybridMultilevel"/>
    <w:lvl w:ilvl="0">
      <w:lvlJc w:val="left"/>
      <w:lvlText w:val="3"/>
      <w:numFmt w:val="bullet"/>
      <w:start w:val="1"/>
    </w:lvl>
  </w:abstractNum>
  <w:abstractNum w:abstractNumId="908">
    <w:nsid w:val="6CC2B66A"/>
    <w:multiLevelType w:val="hybridMultilevel"/>
    <w:lvl w:ilvl="0">
      <w:lvlJc w:val="left"/>
      <w:lvlText w:val="1"/>
      <w:numFmt w:val="bullet"/>
      <w:start w:val="1"/>
    </w:lvl>
  </w:abstractNum>
  <w:abstractNum w:abstractNumId="909">
    <w:nsid w:val="60CD4385"/>
    <w:multiLevelType w:val="hybridMultilevel"/>
    <w:lvl w:ilvl="0">
      <w:lvlJc w:val="left"/>
      <w:lvlText w:val="2"/>
      <w:numFmt w:val="bullet"/>
      <w:start w:val="1"/>
    </w:lvl>
  </w:abstractNum>
  <w:abstractNum w:abstractNumId="910">
    <w:nsid w:val="58BE66CD"/>
    <w:multiLevelType w:val="hybridMultilevel"/>
    <w:lvl w:ilvl="0">
      <w:lvlJc w:val="left"/>
      <w:lvlText w:val="3"/>
      <w:numFmt w:val="bullet"/>
      <w:start w:val="1"/>
    </w:lvl>
  </w:abstractNum>
  <w:abstractNum w:abstractNumId="911">
    <w:nsid w:val="335E9E8D"/>
    <w:multiLevelType w:val="hybridMultilevel"/>
    <w:lvl w:ilvl="0">
      <w:lvlJc w:val="left"/>
      <w:lvlText w:val="·"/>
      <w:numFmt w:val="bullet"/>
      <w:start w:val="1"/>
    </w:lvl>
  </w:abstractNum>
  <w:abstractNum w:abstractNumId="912">
    <w:nsid w:val="425C189B"/>
    <w:multiLevelType w:val="hybridMultilevel"/>
    <w:lvl w:ilvl="0">
      <w:lvlJc w:val="left"/>
      <w:lvlText w:val="(%1)"/>
      <w:numFmt w:val="decimal"/>
      <w:start w:val="1"/>
    </w:lvl>
  </w:abstractNum>
  <w:abstractNum w:abstractNumId="913">
    <w:nsid w:val="3128443A"/>
    <w:multiLevelType w:val="hybridMultilevel"/>
    <w:lvl w:ilvl="0">
      <w:lvlJc w:val="left"/>
      <w:lvlText w:val="·"/>
      <w:numFmt w:val="bullet"/>
      <w:start w:val="1"/>
    </w:lvl>
  </w:abstractNum>
  <w:abstractNum w:abstractNumId="914">
    <w:nsid w:val="4B85829E"/>
    <w:multiLevelType w:val="hybridMultilevel"/>
    <w:lvl w:ilvl="0">
      <w:lvlJc w:val="left"/>
      <w:lvlText w:val="·"/>
      <w:numFmt w:val="bullet"/>
      <w:start w:val="1"/>
    </w:lvl>
  </w:abstractNum>
  <w:abstractNum w:abstractNumId="915">
    <w:nsid w:val="63603A2C"/>
    <w:multiLevelType w:val="hybridMultilevel"/>
    <w:lvl w:ilvl="0">
      <w:lvlJc w:val="left"/>
      <w:lvlText w:val="·"/>
      <w:numFmt w:val="bullet"/>
      <w:start w:val="1"/>
    </w:lvl>
  </w:abstractNum>
  <w:abstractNum w:abstractNumId="916">
    <w:nsid w:val="6AA1C37E"/>
    <w:multiLevelType w:val="hybridMultilevel"/>
    <w:lvl w:ilvl="0">
      <w:lvlJc w:val="left"/>
      <w:lvlText w:val="(%1)"/>
      <w:numFmt w:val="decimal"/>
      <w:start w:val="1"/>
    </w:lvl>
  </w:abstractNum>
  <w:abstractNum w:abstractNumId="917">
    <w:nsid w:val="33F518DB"/>
    <w:multiLevelType w:val="hybridMultilevel"/>
    <w:lvl w:ilvl="0">
      <w:lvlJc w:val="left"/>
      <w:lvlText w:val="(%1)"/>
      <w:numFmt w:val="decimal"/>
      <w:start w:val="3"/>
    </w:lvl>
  </w:abstractNum>
  <w:abstractNum w:abstractNumId="918">
    <w:nsid w:val="29D6CF99"/>
    <w:multiLevelType w:val="hybridMultilevel"/>
    <w:lvl w:ilvl="0">
      <w:lvlJc w:val="left"/>
      <w:lvlText w:val="·"/>
      <w:numFmt w:val="bullet"/>
      <w:start w:val="1"/>
    </w:lvl>
  </w:abstractNum>
  <w:abstractNum w:abstractNumId="919">
    <w:nsid w:val="5F346FC0"/>
    <w:multiLevelType w:val="hybridMultilevel"/>
    <w:lvl w:ilvl="0">
      <w:lvlJc w:val="left"/>
      <w:lvlText w:val="·"/>
      <w:numFmt w:val="bullet"/>
      <w:start w:val="1"/>
    </w:lvl>
  </w:abstractNum>
  <w:abstractNum w:abstractNumId="920">
    <w:nsid w:val="436C953A"/>
    <w:multiLevelType w:val="hybridMultilevel"/>
    <w:lvl w:ilvl="0">
      <w:lvlJc w:val="left"/>
      <w:lvlText w:val="(%1)"/>
      <w:numFmt w:val="decimal"/>
      <w:start w:val="1"/>
    </w:lvl>
  </w:abstractNum>
  <w:abstractNum w:abstractNumId="921">
    <w:nsid w:val="1FA1091"/>
    <w:multiLevelType w:val="hybridMultilevel"/>
    <w:lvl w:ilvl="0">
      <w:lvlJc w:val="left"/>
      <w:lvlText w:val="·"/>
      <w:numFmt w:val="bullet"/>
      <w:start w:val="1"/>
    </w:lvl>
  </w:abstractNum>
  <w:abstractNum w:abstractNumId="922">
    <w:nsid w:val="784DF0C8"/>
    <w:multiLevelType w:val="hybridMultilevel"/>
    <w:lvl w:ilvl="0">
      <w:lvlJc w:val="left"/>
      <w:lvlText w:val="·"/>
      <w:numFmt w:val="bullet"/>
      <w:start w:val="1"/>
    </w:lvl>
  </w:abstractNum>
  <w:abstractNum w:abstractNumId="923">
    <w:nsid w:val="6C7BA46C"/>
    <w:multiLevelType w:val="hybridMultilevel"/>
    <w:lvl w:ilvl="0">
      <w:lvlJc w:val="left"/>
      <w:lvlText w:val="·"/>
      <w:numFmt w:val="bullet"/>
      <w:start w:val="1"/>
    </w:lvl>
  </w:abstractNum>
  <w:abstractNum w:abstractNumId="924">
    <w:nsid w:val="7AC3AA45"/>
    <w:multiLevelType w:val="hybridMultilevel"/>
    <w:lvl w:ilvl="0">
      <w:lvlJc w:val="left"/>
      <w:lvlText w:val="·"/>
      <w:numFmt w:val="bullet"/>
      <w:start w:val="1"/>
    </w:lvl>
  </w:abstractNum>
  <w:abstractNum w:abstractNumId="925">
    <w:nsid w:val="5B33EE61"/>
    <w:multiLevelType w:val="hybridMultilevel"/>
    <w:lvl w:ilvl="0">
      <w:lvlJc w:val="left"/>
      <w:lvlText w:val="·"/>
      <w:numFmt w:val="bullet"/>
      <w:start w:val="1"/>
    </w:lvl>
  </w:abstractNum>
  <w:abstractNum w:abstractNumId="926">
    <w:nsid w:val="787CE04F"/>
    <w:multiLevelType w:val="hybridMultilevel"/>
    <w:lvl w:ilvl="0">
      <w:lvlJc w:val="left"/>
      <w:lvlText w:val="·"/>
      <w:numFmt w:val="bullet"/>
      <w:start w:val="1"/>
    </w:lvl>
  </w:abstractNum>
  <w:abstractNum w:abstractNumId="927">
    <w:nsid w:val="715079"/>
    <w:multiLevelType w:val="hybridMultilevel"/>
    <w:lvl w:ilvl="0">
      <w:lvlJc w:val="left"/>
      <w:lvlText w:val="(%1)"/>
      <w:numFmt w:val="decimal"/>
      <w:start w:val="1"/>
    </w:lvl>
  </w:abstractNum>
  <w:abstractNum w:abstractNumId="928">
    <w:nsid w:val="83C5851"/>
    <w:multiLevelType w:val="hybridMultilevel"/>
    <w:lvl w:ilvl="0">
      <w:lvlJc w:val="left"/>
      <w:lvlText w:val="(%1)"/>
      <w:numFmt w:val="decimal"/>
      <w:start w:val="1"/>
    </w:lvl>
  </w:abstractNum>
  <w:abstractNum w:abstractNumId="929">
    <w:nsid w:val="3F698779"/>
    <w:multiLevelType w:val="hybridMultilevel"/>
    <w:lvl w:ilvl="0">
      <w:lvlJc w:val="left"/>
      <w:lvlText w:val="(%1)"/>
      <w:numFmt w:val="decimal"/>
      <w:start w:val="1"/>
    </w:lvl>
  </w:abstractNum>
  <w:abstractNum w:abstractNumId="930">
    <w:nsid w:val="2ABD0C5A"/>
    <w:multiLevelType w:val="hybridMultilevel"/>
    <w:lvl w:ilvl="0">
      <w:lvlJc w:val="left"/>
      <w:lvlText w:val="(%1)"/>
      <w:numFmt w:val="decimal"/>
      <w:start w:val="1"/>
    </w:lvl>
  </w:abstractNum>
  <w:abstractNum w:abstractNumId="931">
    <w:nsid w:val="464E2FA8"/>
    <w:multiLevelType w:val="hybridMultilevel"/>
    <w:lvl w:ilvl="0">
      <w:lvlJc w:val="left"/>
      <w:lvlText w:val="(%1)"/>
      <w:numFmt w:val="lowerLetter"/>
      <w:start w:val="1"/>
    </w:lvl>
  </w:abstractNum>
  <w:abstractNum w:abstractNumId="932">
    <w:nsid w:val="74E8D1E3"/>
    <w:multiLevelType w:val="hybridMultilevel"/>
    <w:lvl w:ilvl="0">
      <w:lvlJc w:val="left"/>
      <w:lvlText w:val="(%1)"/>
      <w:numFmt w:val="lowerRoman"/>
      <w:start w:val="1"/>
    </w:lvl>
  </w:abstractNum>
  <w:abstractNum w:abstractNumId="933">
    <w:nsid w:val="81D416A"/>
    <w:multiLevelType w:val="hybridMultilevel"/>
    <w:lvl w:ilvl="0">
      <w:lvlJc w:val="left"/>
      <w:lvlText w:val="(%1)"/>
      <w:numFmt w:val="lowerRoman"/>
      <w:start w:val="3"/>
    </w:lvl>
  </w:abstractNum>
  <w:abstractNum w:abstractNumId="934">
    <w:nsid w:val="48AE393E"/>
    <w:multiLevelType w:val="hybridMultilevel"/>
    <w:lvl w:ilvl="0">
      <w:lvlJc w:val="left"/>
      <w:lvlText w:val="%1"/>
      <w:numFmt w:val="decimal"/>
      <w:start w:val="1"/>
    </w:lvl>
    <w:lvl w:ilvl="1">
      <w:lvlJc w:val="left"/>
      <w:lvlText w:val="(%2)"/>
      <w:numFmt w:val="lowerRoman"/>
      <w:start w:val="4"/>
    </w:lvl>
  </w:abstractNum>
  <w:abstractNum w:abstractNumId="935">
    <w:nsid w:val="7726E879"/>
    <w:multiLevelType w:val="hybridMultilevel"/>
    <w:lvl w:ilvl="0">
      <w:lvlJc w:val="left"/>
      <w:lvlText w:val="%1."/>
      <w:numFmt w:val="decimal"/>
      <w:start w:val="4"/>
    </w:lvl>
    <w:lvl w:ilvl="1">
      <w:lvlJc w:val="left"/>
      <w:lvlText w:val="%2"/>
      <w:numFmt w:val="lowerRoman"/>
      <w:start w:val="1"/>
    </w:lvl>
  </w:abstractNum>
  <w:abstractNum w:abstractNumId="936">
    <w:nsid w:val="224002E8"/>
    <w:multiLevelType w:val="hybridMultilevel"/>
    <w:lvl w:ilvl="0">
      <w:lvlJc w:val="left"/>
      <w:lvlText w:val="*"/>
      <w:numFmt w:val="bullet"/>
      <w:start w:val="1"/>
    </w:lvl>
  </w:abstractNum>
  <w:abstractNum w:abstractNumId="937">
    <w:nsid w:val="33D9F200"/>
    <w:multiLevelType w:val="hybridMultilevel"/>
    <w:lvl w:ilvl="0">
      <w:lvlJc w:val="left"/>
      <w:lvlText w:val="*"/>
      <w:numFmt w:val="bullet"/>
      <w:start w:val="1"/>
    </w:lvl>
  </w:abstractNum>
  <w:abstractNum w:abstractNumId="938">
    <w:nsid w:val="9F9D75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jpe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10" Type="http://schemas.openxmlformats.org/officeDocument/2006/relationships/hyperlink" Target="http://www.sec.gov/Archives/edgar/data/1598655/000093041317003444/c88982_f3.htm" TargetMode="External"/><Relationship Id="rId11" Type="http://schemas.openxmlformats.org/officeDocument/2006/relationships/hyperlink" Target="http://www.sec.gov/Archives/edgar/data/1598655/000095015715000356/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2020-08-05T05:50:48Z</dcterms:created>
  <dcterms:modified xsi:type="dcterms:W3CDTF">2020-08-05T05:50:48Z</dcterms:modified>
</cp:coreProperties>
</file>