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0002062105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GasLog Partners LP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69 Akti Miaouli</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Piraeus</w:t>
      </w:r>
    </w:p>
    <w:p>
      <w:pPr>
        <w:spacing w:after="0" w:line="230" w:lineRule="auto"/>
        <w:rPr>
          <w:sz w:val="20"/>
          <w:szCs w:val="20"/>
          <w:color w:val="auto"/>
        </w:rPr>
      </w:pPr>
      <w:r>
        <w:rPr>
          <w:rFonts w:ascii="Times New Roman" w:cs="Times New Roman" w:eastAsia="Times New Roman" w:hAnsi="Times New Roman"/>
          <w:sz w:val="22"/>
          <w:szCs w:val="22"/>
          <w:color w:val="auto"/>
        </w:rPr>
        <w:t>GREECE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18537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30 210 459 1000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 Tree S.A.</w:t>
      </w:r>
    </w:p>
    <w:p>
      <w:pPr>
        <w:spacing w:after="0" w:line="44" w:lineRule="exact"/>
        <w:rPr>
          <w:sz w:val="24"/>
          <w:szCs w:val="24"/>
          <w:color w:val="auto"/>
        </w:rPr>
      </w:pPr>
    </w:p>
    <w:p>
      <w:pPr>
        <w:sectPr>
          <w:pgSz w:w="11900" w:h="16838" w:orient="portrait"/>
          <w:cols w:equalWidth="0" w:num="2">
            <w:col w:w="7840" w:space="720"/>
            <w:col w:w="2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8.625% Series A</w:t>
            </w: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Cumulative Redeemable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197659</w:t>
            </w: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Perpetual Fixed to Floating</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2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Rate Preference Units</w:t>
            </w: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5084984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8.625% Series</w:t>
            </w:r>
          </w:p>
        </w:tc>
        <w:tc>
          <w:tcPr>
            <w:tcW w:w="14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 Cumulative</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Redeemable</w:t>
            </w: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GasLog</w:t>
            </w:r>
          </w:p>
        </w:tc>
        <w:tc>
          <w:tcPr>
            <w:tcW w:w="25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Perpetual Fixed 08/30/2022</w:t>
            </w:r>
          </w:p>
        </w:tc>
        <w:tc>
          <w:tcPr>
            <w:tcW w:w="14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7700</w:t>
            </w:r>
          </w:p>
        </w:tc>
        <w:tc>
          <w:tcPr>
            <w:tcW w:w="22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08/30/2022 Cashless</w:t>
            </w: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14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w:t>
            </w:r>
          </w:p>
        </w:tc>
        <w:tc>
          <w:tcPr>
            <w:tcW w:w="1600" w:type="dxa"/>
            <w:vAlign w:val="bottom"/>
          </w:tcPr>
          <w:p>
            <w:pPr>
              <w:ind w:left="280"/>
              <w:spacing w:after="0" w:line="217" w:lineRule="exact"/>
              <w:rPr>
                <w:sz w:val="20"/>
                <w:szCs w:val="20"/>
                <w:color w:val="auto"/>
              </w:rPr>
            </w:pPr>
            <w:r>
              <w:rPr>
                <w:rFonts w:ascii="Times New Roman" w:cs="Times New Roman" w:eastAsia="Times New Roman" w:hAnsi="Times New Roman"/>
                <w:sz w:val="22"/>
                <w:szCs w:val="22"/>
                <w:color w:val="auto"/>
              </w:rPr>
              <w:t>Partners LP</w:t>
            </w:r>
          </w:p>
        </w:tc>
        <w:tc>
          <w:tcPr>
            <w:tcW w:w="25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to Floating Rate</w:t>
            </w:r>
          </w:p>
        </w:tc>
        <w:tc>
          <w:tcPr>
            <w:tcW w:w="1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Preference</w:t>
            </w: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Units</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-615315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40"/>
        <w:spacing w:after="0" w:line="278" w:lineRule="auto"/>
        <w:rPr>
          <w:sz w:val="20"/>
          <w:szCs w:val="20"/>
          <w:color w:val="auto"/>
        </w:rPr>
      </w:pPr>
      <w:r>
        <w:rPr>
          <w:rFonts w:ascii="Times New Roman" w:cs="Times New Roman" w:eastAsia="Times New Roman" w:hAnsi="Times New Roman"/>
          <w:sz w:val="22"/>
          <w:szCs w:val="22"/>
          <w:color w:val="auto"/>
        </w:rPr>
        <w:t>Remarks Aggregate Market Value of shares calculated based on a closing share price of $25.67 on March 19, 2025. Date of Notice 03/20/2025</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Ilias A. Iliopoulos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2025-03-21T16:34:27Z</dcterms:created>
  <dcterms:modified xsi:type="dcterms:W3CDTF">2025-03-21T16:34:27Z</dcterms:modified>
</cp:coreProperties>
</file>