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2563d1_6k.htm"/>
      <w:bookmarkStart w:id="1" w:name="kstm2612563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April 24, 2026 relating to its results for the three-month period ended March 31, 2026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50"/>
        <w:gridCol w:w="60"/>
        <w:gridCol w:w="4685"/>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61256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hyperlink w:anchor="tm2612563d1_ex99-1.htm">
              <w:r>
                <w:rPr>
                  <w:rStyle w:val="InternetLink"/>
                  <w:rFonts w:ascii="Times New Roman;Times;Serif" w:hAnsi="Times New Roman;Times;Serif"/>
                  <w:sz w:val="20"/>
                </w:rPr>
                <w:t>Press Release of GasLog Partners LP dated April 24,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1700"/>
        <w:gridCol w:w="60"/>
        <w:gridCol w:w="230"/>
        <w:gridCol w:w="545"/>
        <w:gridCol w:w="1955"/>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24, 2026</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2790"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GASLOG PARTNERS LP</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 w:name="tm2612563d1_ex99-1.htm"/>
      <w:bookmarkStart w:id="3" w:name="kstm2612563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April 24, 2026, GasLog Partners LP (“GasLog Partners” or the “Partnership”) (NYSE: GLOP-PA, GLOP-PB, GLOP-PC), </w:t>
      </w:r>
      <w:r>
        <w:rPr>
          <w:rFonts w:ascii="Times New Roman;Times;Serif" w:hAnsi="Times New Roman;Times;Serif"/>
          <w:b w:val="false"/>
          <w:i w:val="false"/>
          <w:caps w:val="false"/>
          <w:smallCaps w:val="false"/>
          <w:sz w:val="20"/>
        </w:rPr>
        <w:t>an international owner and operator of liquefied natural gas (“LNG”) carriers, today reported its financial results for the three-month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Agreement for Sale of </w:t>
      </w:r>
      <w:r>
        <w:rPr>
          <w:rFonts w:ascii="Times New Roman;Times;Serif" w:hAnsi="Times New Roman;Times;Serif"/>
          <w:b/>
          <w:i/>
          <w:caps w:val="false"/>
          <w:smallCaps w:val="false"/>
          <w:sz w:val="20"/>
          <w:u w:val="single"/>
        </w:rPr>
        <w:t>Methane Rita Andrea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GasLog Partners entered into an agreement to sell, subject to customary and other closing conditions, the </w:t>
      </w:r>
      <w:r>
        <w:rPr>
          <w:rFonts w:ascii="Times New Roman;Times;Serif" w:hAnsi="Times New Roman;Times;Serif"/>
          <w:b w:val="false"/>
          <w:i/>
          <w:caps w:val="false"/>
          <w:smallCaps w:val="false"/>
          <w:sz w:val="20"/>
        </w:rPr>
        <w:t>Methane Rita Andrea</w:t>
      </w:r>
      <w:r>
        <w:rPr>
          <w:rFonts w:ascii="Times New Roman;Times;Serif" w:hAnsi="Times New Roman;Times;Serif"/>
          <w:b w:val="false"/>
          <w:i w:val="false"/>
          <w:caps w:val="false"/>
          <w:smallCaps w:val="false"/>
          <w:sz w:val="20"/>
        </w:rPr>
        <w:t>, a 145,000 cubic meter steam turbine propulsion (“Steam”) LNG carrier built in 2006, to an unrelated third party, resulting in the reclassification of the vessel as held for sale and the recognition of an impairment loss of $7.7 million as of March 31, 2026. The transaction is expected to be completed in the second quarter of 2026 upon completion of the vessel’s dry-docking.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GasLog Partners Dividend Declarations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2026, the board of directors of GasLog Partners approved and declared: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8.625% Series A Cumulative Redeemable Perpetual Fixed to Floating Rate Preference Units (“Series A Preference Units”) of $0.5390625 per preference unit (based on the fixed rate),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8.200% Series B Cumulative Redeemable Perpetual Fixed to Floating Rate Preference Units (“Series B Preference Units”) of $0.6129300 per preference unit (based on a floating rate equal to the Term Secured Overnight Financing Rate (“SOFR”) for a three-month tenor published by the Chicago Mercantile Exchange (“CME”) of 3.70627% plus 0.26161% of Credit Adjustment Spread (“CAS”) and spread of 5.839% per annum)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8.500% Series C Cumulative Redeemable Perpetual Fixed to Floating Rate Preference Units (“Series C Preference Units”) of $0.5803050 per preference unit (based on a floating rate equal to the three-month Term SOFR as published by the CME of 3.70627% plus 0.26161% of CAS and spread of 5.317%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distributions were paid on March 16, 2026 to all unitholders of record as of March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board of directors of GasLog Partners approved and declared a quarterly cash distribution of $1.56 per common unit to GasLog Ltd. (“GasLog”) that was settled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Financial Results</w:t>
      </w:r>
    </w:p>
    <w:p>
      <w:pPr>
        <w:pStyle w:val="TextBody"/>
        <w:bidi w:val="0"/>
        <w:spacing w:before="0" w:after="0"/>
        <w:ind w:left="0" w:right="0" w:hanging="0"/>
        <w:jc w:val="left"/>
        <w:rPr>
          <w:caps w:val="false"/>
          <w:smallCaps w:val="false"/>
        </w:rPr>
      </w:pPr>
      <w:r>
        <w:rPr>
          <w:caps w:val="false"/>
          <w:smallCaps w:val="false"/>
        </w:rPr>
        <w:t> </w:t>
      </w:r>
    </w:p>
    <w:tbl>
      <w:tblPr>
        <w:tblW w:w="6101" w:type="dxa"/>
        <w:jc w:val="left"/>
        <w:tblInd w:w="0" w:type="dxa"/>
        <w:tblLayout w:type="fixed"/>
        <w:tblCellMar>
          <w:top w:w="0" w:type="dxa"/>
          <w:left w:w="0" w:type="dxa"/>
          <w:bottom w:w="0" w:type="dxa"/>
          <w:right w:w="0" w:type="dxa"/>
        </w:tblCellMar>
      </w:tblPr>
      <w:tblGrid>
        <w:gridCol w:w="3080"/>
        <w:gridCol w:w="60"/>
        <w:gridCol w:w="236"/>
        <w:gridCol w:w="1118"/>
        <w:gridCol w:w="89"/>
        <w:gridCol w:w="89"/>
        <w:gridCol w:w="236"/>
        <w:gridCol w:w="1118"/>
        <w:gridCol w:w="75"/>
      </w:tblGrid>
      <w:tr>
        <w:trPr/>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in thousands of U.S.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80,272</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were $68.6 million for the quarter ended March 31, 2026 ($80.3 million for the same period in 2025). The decrease of $11.7 million is mainly attributable to the redelivery of the </w:t>
      </w:r>
      <w:r>
        <w:rPr>
          <w:rFonts w:ascii="Times New Roman;Times;Serif" w:hAnsi="Times New Roman;Times;Serif"/>
          <w:b w:val="false"/>
          <w:i/>
          <w:caps w:val="false"/>
          <w:smallCaps w:val="false"/>
          <w:sz w:val="20"/>
        </w:rPr>
        <w:t>Methane Heather Sally</w:t>
      </w:r>
      <w:r>
        <w:rPr>
          <w:rFonts w:ascii="Times New Roman;Times;Serif" w:hAnsi="Times New Roman;Times;Serif"/>
          <w:b w:val="false"/>
          <w:i w:val="false"/>
          <w:caps w:val="false"/>
          <w:smallCaps w:val="false"/>
          <w:sz w:val="20"/>
        </w:rPr>
        <w:t xml:space="preserve"> to its owners in July 2025, the sale of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in July 2025 and the sale of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in October 2025, 119 additional idle days for the remaining vessels in the three months ended March 31, 2026, partially offset by higher average charter rates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was $19.1 million for the quarter ended March 31, 2026 ($25.8 million for the same period in 2025). The decrease in profit of $6.7 million is mainly attributable to a) a $7.7 million non-cash impairment loss, as discussed above, and b) a decrease of $11.7 million in revenues, as discussed above. The abovementioned fluctuations were partially offset by a) a decrease of $8.1 million in depreciation as a result of the decrease in the average number of vessels in our fleet and the impairment charges recognized in the prior year, b) a decrease of $2.2 million in voyage expenses and commissions mainly attributable to the decrease in the average number of vessels in our fleet and c) a decrease of $1.2 million in vessel operating costs mainly attributable to the decrease in the average number of vessels in our fleet, partially offset by an increase in the daily running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613" w:type="dxa"/>
        <w:jc w:val="left"/>
        <w:tblInd w:w="0" w:type="dxa"/>
        <w:tblLayout w:type="fixed"/>
        <w:tblCellMar>
          <w:top w:w="0" w:type="dxa"/>
          <w:left w:w="0" w:type="dxa"/>
          <w:bottom w:w="0" w:type="dxa"/>
          <w:right w:w="0" w:type="dxa"/>
        </w:tblCellMar>
      </w:tblPr>
      <w:tblGrid>
        <w:gridCol w:w="3365"/>
        <w:gridCol w:w="60"/>
        <w:gridCol w:w="107"/>
        <w:gridCol w:w="1532"/>
        <w:gridCol w:w="60"/>
        <w:gridCol w:w="60"/>
        <w:gridCol w:w="89"/>
        <w:gridCol w:w="1265"/>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1,067,240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1,172,611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1,114,611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1,189,457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814,972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800,688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1,094,831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1,080,537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89,604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1,189,457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3005"/>
        <w:gridCol w:w="60"/>
        <w:gridCol w:w="114"/>
        <w:gridCol w:w="1240"/>
        <w:gridCol w:w="118"/>
        <w:gridCol w:w="89"/>
        <w:gridCol w:w="114"/>
        <w:gridCol w:w="1240"/>
        <w:gridCol w:w="9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80,272</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(5,146</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(16,180</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(27,920</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27,225</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(1,436</w:t>
            </w:r>
          </w:p>
        </w:tc>
        <w:tc>
          <w:tcPr>
            <w:tcW w:w="1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25,789</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1083</Words>
  <Characters>5847</Characters>
  <CharactersWithSpaces>7096</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