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ind w:left="2220" w:right="22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6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Republic of the Marshall Islands</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40"/>
          </w:cols>
          <w:pgMar w:left="240" w:top="544" w:right="199" w:bottom="0" w:gutter="0" w:footer="0" w:header="0"/>
          <w:type w:val="continuous"/>
        </w:sectPr>
      </w:pP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to be so registered</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4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8.200% Series B Cumulative Redeemable Perpetual</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Fixed to Floating Rate Preference Units</w:t>
            </w: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If this form relates to the registration of a class of securities pursuant to</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If this form relates to the registration of a class of securities pursuant to</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Section 12(b) of the Securities Exchange Act of 1934, as amended, and is</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Section 12(g) of the Securities Exchange Act of 1934, as amended, and is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effective pursuant to General Instruction A.(c), please check the following</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effective pursuant to General Instruction A.(d), please check the following</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box. x</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box. o</w:t>
            </w:r>
          </w:p>
        </w:tc>
        <w:tc>
          <w:tcPr>
            <w:tcW w:w="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Securities Act registration statement file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333-220736</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to which this form relates: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(If applicable)</w:t>
            </w:r>
          </w:p>
        </w:tc>
        <w:tc>
          <w:tcPr>
            <w:tcW w:w="40" w:type="dxa"/>
            <w:vAlign w:val="bottom"/>
          </w:tcPr>
          <w:p>
            <w:pPr>
              <w:spacing w:after="0"/>
              <w:rPr>
                <w:sz w:val="20"/>
                <w:szCs w:val="20"/>
                <w:color w:val="auto"/>
              </w:rPr>
            </w:pPr>
          </w:p>
        </w:tc>
      </w:tr>
      <w:tr>
        <w:trPr>
          <w:trHeight w:val="432"/>
        </w:trPr>
        <w:tc>
          <w:tcPr>
            <w:tcW w:w="5820" w:type="dxa"/>
            <w:vAlign w:val="bottom"/>
            <w:gridSpan w:val="3"/>
          </w:tcPr>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20" w:type="dxa"/>
            <w:vAlign w:val="bottom"/>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4"/>
          <w:szCs w:val="24"/>
          <w:color w:val="auto"/>
        </w:rPr>
      </w:pPr>
    </w:p>
    <w:p>
      <w:pPr>
        <w:ind w:right="80" w:firstLine="648"/>
        <w:spacing w:after="0" w:line="273" w:lineRule="auto"/>
        <w:rPr>
          <w:sz w:val="20"/>
          <w:szCs w:val="20"/>
          <w:color w:val="auto"/>
        </w:rPr>
      </w:pPr>
      <w:r>
        <w:rPr>
          <w:rFonts w:ascii="Arial" w:cs="Arial" w:eastAsia="Arial" w:hAnsi="Arial"/>
          <w:sz w:val="17"/>
          <w:szCs w:val="17"/>
          <w:color w:val="auto"/>
        </w:rPr>
        <w:t>The class of securities to be registered hereunder is 8.200% Series B Cumulative Redeemable Perpetual Fixed to Floating Preference Units, liquidation preference $25.00 per unit (the “</w:t>
      </w:r>
      <w:r>
        <w:rPr>
          <w:rFonts w:ascii="Arial" w:cs="Arial" w:eastAsia="Arial" w:hAnsi="Arial"/>
          <w:sz w:val="17"/>
          <w:szCs w:val="17"/>
          <w:u w:val="single" w:color="auto"/>
          <w:color w:val="auto"/>
        </w:rPr>
        <w:t>Series B Preference Units</w:t>
      </w:r>
      <w:r>
        <w:rPr>
          <w:rFonts w:ascii="Arial" w:cs="Arial" w:eastAsia="Arial" w:hAnsi="Arial"/>
          <w:sz w:val="17"/>
          <w:szCs w:val="17"/>
          <w:color w:val="auto"/>
        </w:rPr>
        <w:t>”), of GasLog Partners LP (the “</w:t>
      </w:r>
      <w:r>
        <w:rPr>
          <w:rFonts w:ascii="Arial" w:cs="Arial" w:eastAsia="Arial" w:hAnsi="Arial"/>
          <w:sz w:val="17"/>
          <w:szCs w:val="17"/>
          <w:u w:val="single" w:color="auto"/>
          <w:color w:val="auto"/>
        </w:rPr>
        <w:t>Registrant</w:t>
      </w:r>
      <w:r>
        <w:rPr>
          <w:rFonts w:ascii="Arial" w:cs="Arial" w:eastAsia="Arial" w:hAnsi="Arial"/>
          <w:sz w:val="17"/>
          <w:szCs w:val="17"/>
          <w:color w:val="auto"/>
        </w:rPr>
        <w:t>”). The description of the Series B Preference Units is set forth under the caption “Description of the Series B Preference Units” in the prospectus filed by the Registrant on January 10, 2018, pursuant to Rule 424(b)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prospectus constitutes a part of the Registrant’s Registration Statement on Form F-3 (Registration No. 333-220736)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September 29, 2017, as amended. Such prospectus, in the form in which it is so filed, shall be deemed to be incorporated herein by reference.</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4"/>
          <w:szCs w:val="24"/>
          <w:color w:val="auto"/>
        </w:rPr>
      </w:pPr>
    </w:p>
    <w:p>
      <w:pPr>
        <w:ind w:left="960" w:right="180" w:hanging="733"/>
        <w:spacing w:after="0" w:line="277" w:lineRule="auto"/>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Certificate of Limited Partnership of the Registrant, incorporated herein by reference to Exhibit 3.1 to the Registrant’s registration statement on Form F-3 (Registration No. 333-220736).</w:t>
      </w:r>
    </w:p>
    <w:p>
      <w:pPr>
        <w:spacing w:after="0" w:line="170" w:lineRule="exact"/>
        <w:rPr>
          <w:sz w:val="24"/>
          <w:szCs w:val="24"/>
          <w:color w:val="auto"/>
        </w:rPr>
      </w:pPr>
    </w:p>
    <w:p>
      <w:pPr>
        <w:ind w:left="960" w:right="240" w:hanging="733"/>
        <w:spacing w:after="0" w:line="277" w:lineRule="auto"/>
        <w:tabs>
          <w:tab w:leader="none" w:pos="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Third Amended and Restated Agreement of Limited Partnership of the Registrant, dated January 17, 2018, incorporated herein by reference to Exhibit 3.2 to the Registrant’s Report on Form 6-K filed with the SEC on January 17, 2018.</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760" w:firstLine="1297"/>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ectPr>
          <w:pgSz w:w="11900" w:h="16838"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3"/>
          </w:tcPr>
          <w:p>
            <w:pPr>
              <w:ind w:left="2020"/>
              <w:spacing w:after="0"/>
              <w:rPr>
                <w:sz w:val="20"/>
                <w:szCs w:val="20"/>
                <w:color w:val="auto"/>
              </w:rPr>
            </w:pPr>
            <w:r>
              <w:rPr>
                <w:rFonts w:ascii="Arial" w:cs="Arial" w:eastAsia="Arial" w:hAnsi="Arial"/>
                <w:sz w:val="18"/>
                <w:szCs w:val="18"/>
                <w:color w:val="auto"/>
              </w:rPr>
              <w:t>GASLOG PARTNERS LP</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January 17, 2018</w:t>
            </w:r>
          </w:p>
        </w:tc>
        <w:tc>
          <w:tcPr>
            <w:tcW w:w="7720" w:type="dxa"/>
            <w:vAlign w:val="bottom"/>
            <w:gridSpan w:val="3"/>
          </w:tcPr>
          <w:p>
            <w:pPr>
              <w:ind w:left="2020"/>
              <w:spacing w:after="0"/>
              <w:rPr>
                <w:sz w:val="20"/>
                <w:szCs w:val="20"/>
                <w:color w:val="auto"/>
              </w:rPr>
            </w:pPr>
            <w:r>
              <w:rPr>
                <w:rFonts w:ascii="Arial" w:cs="Arial" w:eastAsia="Arial" w:hAnsi="Arial"/>
                <w:sz w:val="18"/>
                <w:szCs w:val="18"/>
                <w:color w:val="auto"/>
              </w:rPr>
              <w:t>By:   /s/ Andrew J. Orekar</w:t>
            </w:r>
          </w:p>
        </w:tc>
      </w:tr>
      <w:tr>
        <w:trPr>
          <w:trHeight w:val="195"/>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Andrew J. Orekar</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Form 8-A]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2019-12-08T09:07:16Z</dcterms:created>
  <dcterms:modified xsi:type="dcterms:W3CDTF">2019-12-08T09:07:16Z</dcterms:modified>
</cp:coreProperties>
</file>