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9" w:lineRule="exact"/>
        <w:rPr>
          <w:sz w:val="24"/>
          <w:szCs w:val="24"/>
          <w:color w:val="auto"/>
        </w:rPr>
      </w:pPr>
    </w:p>
    <w:p>
      <w:pPr>
        <w:jc w:val="center"/>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June 2023</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Commission File Number 001-36433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GasLog Partners LP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 GasLog LNG Services Ltd.</w:t>
      </w:r>
    </w:p>
    <w:p>
      <w:pPr>
        <w:jc w:val="center"/>
        <w:spacing w:after="0" w:line="238" w:lineRule="auto"/>
        <w:rPr>
          <w:sz w:val="20"/>
          <w:szCs w:val="20"/>
          <w:color w:val="auto"/>
        </w:rPr>
      </w:pPr>
      <w:r>
        <w:rPr>
          <w:rFonts w:ascii="Arial" w:cs="Arial" w:eastAsia="Arial" w:hAnsi="Arial"/>
          <w:sz w:val="22"/>
          <w:szCs w:val="22"/>
          <w:color w:val="auto"/>
        </w:rPr>
        <w:t>69 Akti Miaouli, 18537</w:t>
      </w:r>
    </w:p>
    <w:p>
      <w:pPr>
        <w:jc w:val="center"/>
        <w:spacing w:after="0" w:line="230" w:lineRule="auto"/>
        <w:rPr>
          <w:sz w:val="20"/>
          <w:szCs w:val="20"/>
          <w:color w:val="auto"/>
        </w:rPr>
      </w:pPr>
      <w:r>
        <w:rPr>
          <w:rFonts w:ascii="Arial" w:cs="Arial" w:eastAsia="Arial" w:hAnsi="Arial"/>
          <w:sz w:val="22"/>
          <w:szCs w:val="22"/>
          <w:color w:val="auto"/>
        </w:rPr>
        <w:t>Piraeus, Greece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(Address of principal executive office)</w:t>
      </w:r>
    </w:p>
    <w:p>
      <w:pPr>
        <w:spacing w:after="0" w:line="215" w:lineRule="exact"/>
        <w:rPr>
          <w:sz w:val="24"/>
          <w:szCs w:val="24"/>
          <w:color w:val="auto"/>
        </w:rPr>
      </w:pPr>
    </w:p>
    <w:p>
      <w:pPr>
        <w:ind w:right="1040"/>
        <w:spacing w:after="0" w:line="404" w:lineRule="exact"/>
        <w:rPr>
          <w:sz w:val="20"/>
          <w:szCs w:val="20"/>
          <w:color w:val="auto"/>
        </w:rPr>
      </w:pPr>
      <w:r>
        <w:rPr>
          <w:rFonts w:ascii="Arial" w:cs="Arial" w:eastAsia="Arial" w:hAnsi="Arial"/>
          <w:sz w:val="22"/>
          <w:szCs w:val="22"/>
          <w:color w:val="auto"/>
        </w:rPr>
        <w:t xml:space="preserve">Indicate by check mark whether the registrant files or will file annual reports under cover of Form 20-F or Form 40-F. 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00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00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3"/>
        </w:trPr>
        <w:tc>
          <w:tcPr>
            <w:tcW w:w="10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63"/>
        </w:trPr>
        <w:tc>
          <w:tcPr>
            <w:tcW w:w="100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533"/>
        </w:trPr>
        <w:tc>
          <w:tcPr>
            <w:tcW w:w="10000" w:type="dxa"/>
            <w:vAlign w:val="bottom"/>
            <w:tcBorders>
              <w:bottom w:val="single" w:sz="8" w:color="BFBFBF"/>
            </w:tcBorders>
          </w:tcPr>
          <w:p>
            <w:pPr>
              <w:spacing w:after="0"/>
              <w:rPr>
                <w:sz w:val="24"/>
                <w:szCs w:val="24"/>
                <w:color w:val="auto"/>
              </w:rPr>
            </w:pPr>
          </w:p>
        </w:tc>
        <w:tc>
          <w:tcPr>
            <w:tcW w:w="124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1125" w:right="339" w:bottom="1440" w:gutter="0" w:footer="0" w:header="0"/>
        </w:sectPr>
      </w:pPr>
    </w:p>
    <w:bookmarkStart w:id="1" w:name="page2"/>
    <w:bookmarkEnd w:id="1"/>
    <w:p>
      <w:pPr>
        <w:ind w:firstLine="376"/>
        <w:spacing w:after="0" w:line="293" w:lineRule="auto"/>
        <w:rPr>
          <w:sz w:val="20"/>
          <w:szCs w:val="20"/>
          <w:color w:val="auto"/>
        </w:rPr>
      </w:pPr>
      <w:r>
        <w:rPr>
          <w:rFonts w:ascii="Arial" w:cs="Arial" w:eastAsia="Arial" w:hAnsi="Arial"/>
          <w:sz w:val="15"/>
          <w:szCs w:val="15"/>
          <w:color w:val="auto"/>
        </w:rPr>
        <w:t>This Report on Form 6-K/A (this “Amendment”) amends the Report on Form 6-K of GasLog Partners LP (the “Company”) furnished with the Securities and Exchange Commission on May 11, 2023 (the “Original 6-K”), which reported that the Company issued a press release announcing the quarterly distributions on its preference units. This Amendment is being furnished solely to correct the amount of the quarterly distribution to be paid on June 15, 2023 to holders of the Company’s Series B Cumulative Redeemable Perpetual Fixed to Floating Rate Preference Units, as of June 8, 2023, due to a calculation error. The reference to the distribution amount per preference unit of “$0.67375” in the Press Release, attached as Exhibit 99.1 to the Original 6-K, is hereby replaced with “$0.6887222”.</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62" w:lineRule="exact"/>
        <w:rPr>
          <w:sz w:val="20"/>
          <w:szCs w:val="20"/>
          <w:color w:val="auto"/>
        </w:rPr>
      </w:pPr>
    </w:p>
    <w:p>
      <w:pPr>
        <w:ind w:right="20" w:firstLine="376"/>
        <w:spacing w:after="0" w:line="273" w:lineRule="auto"/>
        <w:rPr>
          <w:sz w:val="20"/>
          <w:szCs w:val="20"/>
          <w:color w:val="auto"/>
        </w:rPr>
      </w:pPr>
      <w:r>
        <w:rPr>
          <w:rFonts w:ascii="Arial" w:cs="Arial" w:eastAsia="Arial" w:hAnsi="Arial"/>
          <w:sz w:val="16"/>
          <w:szCs w:val="16"/>
          <w:color w:val="auto"/>
        </w:rPr>
        <w:t>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6"/>
          <w:szCs w:val="16"/>
          <w:color w:val="auto"/>
        </w:rPr>
        <w:t>SIGNATURES</w:t>
      </w:r>
    </w:p>
    <w:p>
      <w:pPr>
        <w:spacing w:after="0" w:line="221" w:lineRule="exact"/>
        <w:rPr>
          <w:sz w:val="20"/>
          <w:szCs w:val="20"/>
          <w:color w:val="auto"/>
        </w:rPr>
      </w:pPr>
    </w:p>
    <w:p>
      <w:pPr>
        <w:ind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 June 14, 2023</w:t>
      </w:r>
    </w:p>
    <w:p>
      <w:pPr>
        <w:spacing w:after="0" w:line="2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160"/>
      </w:cols>
      <w:pgMar w:left="320" w:top="37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2023-06-14T11:09:04Z</dcterms:created>
  <dcterms:modified xsi:type="dcterms:W3CDTF">2023-06-14T11:09:04Z</dcterms:modified>
</cp:coreProperties>
</file>