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March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394970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71" w:right="1440" w:bottom="1440" w:gutter="0" w:footer="0" w:header="0"/>
        </w:sectPr>
      </w:pPr>
    </w:p>
    <w:bookmarkStart w:id="1" w:name="page2"/>
    <w:bookmarkEnd w:id="1"/>
    <w:p>
      <w:pPr>
        <w:ind w:firstLine="376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issued by GasLog Partners LP on March 19, 2026 announcing the availability of its Annual Report on Form 20-F for the fiscal year ended December 31, 2025 is included as Exhibit 99.1 and is incorporated herein by reference.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26035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Press Release dated March 19,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40"/>
          </w:cols>
          <w:pgMar w:left="320" w:top="904" w:right="439" w:bottom="1440" w:gutter="0" w:footer="0" w:header="0"/>
        </w:sectPr>
      </w:pPr>
    </w:p>
    <w:bookmarkStart w:id="2" w:name="page3"/>
    <w:bookmarkEnd w:id="2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76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19, 2026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17145</wp:posOffset>
            </wp:positionV>
            <wp:extent cx="3128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320" w:top="904" w:right="91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Press Release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 Announces Availability of its Annual Report on Form 20-F for the Year Ended December 31, 2025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2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Majuro, Marshall Islands, March 19, 2026, GasLog Partners LP (“GasLog Partners” or the “Partnership”) (NYSE: GLOP-PA, GLOP-PB, GLOP-PC),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 international owner and operator of liquefied natural gas (“LNG”) carriers, announced today that its Annual Report on Form 20-F for 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fiscal year ended December 31, 2025 (the “Annual Report”) has been filed with the U.S. Securities and Exchange Commission and can be accessed on the Partnership’s website, http://www.gaslogmlp.com, in the “Investors” section under “SEC Filings”.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Unitholders may also request a hard copy of the Annual Report, which includes the Partnership’s complete 2025 audited financial statements, free of charge by contacting: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Email: ir@gaslogmlp.com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GasLog Partners is an owner and operator of LNG carriers. The Partnership’s fleet consists of eight wholly-owned LNG carriers as well as three vessels on bareboat charters, with an average carrying capacity of approximately 162,000 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http://www.gaslogmlp.com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2026-03-19T07:32:50Z</dcterms:created>
  <dcterms:modified xsi:type="dcterms:W3CDTF">2026-03-19T07:32:50Z</dcterms:modified>
</cp:coreProperties>
</file>