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72390</wp:posOffset>
            </wp:positionH>
            <wp:positionV relativeFrom="page">
              <wp:posOffset>72390</wp:posOffset>
            </wp:positionV>
            <wp:extent cx="762508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36195"/>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144780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t>UNITED STATES</w:t>
      </w:r>
    </w:p>
    <w:p>
      <w:pPr>
        <w:spacing w:after="0" w:line="34" w:lineRule="exact"/>
        <w:rPr>
          <w:sz w:val="24"/>
          <w:szCs w:val="24"/>
          <w:color w:val="auto"/>
        </w:rPr>
      </w:pPr>
    </w:p>
    <w:p>
      <w:pPr>
        <w:jc w:val="center"/>
        <w:ind w:right="-299"/>
        <w:spacing w:after="0"/>
        <w:rPr>
          <w:sz w:val="20"/>
          <w:szCs w:val="20"/>
          <w:color w:val="auto"/>
        </w:rPr>
      </w:pPr>
      <w:r>
        <w:rPr>
          <w:rFonts w:ascii="Arial" w:cs="Arial" w:eastAsia="Arial" w:hAnsi="Arial"/>
          <w:sz w:val="34"/>
          <w:szCs w:val="34"/>
          <w:b w:val="1"/>
          <w:bCs w:val="1"/>
          <w:color w:val="auto"/>
        </w:rPr>
        <w:t>SECURITIES AND EXCHANGE COMMISSION</w:t>
      </w:r>
    </w:p>
    <w:p>
      <w:pPr>
        <w:spacing w:after="0" w:line="1" w:lineRule="exact"/>
        <w:rPr>
          <w:sz w:val="24"/>
          <w:szCs w:val="24"/>
          <w:color w:val="auto"/>
        </w:rPr>
      </w:pPr>
    </w:p>
    <w:p>
      <w:pPr>
        <w:jc w:val="center"/>
        <w:ind w:right="-299"/>
        <w:spacing w:after="0"/>
        <w:rPr>
          <w:sz w:val="20"/>
          <w:szCs w:val="20"/>
          <w:color w:val="auto"/>
        </w:rPr>
      </w:pPr>
      <w:r>
        <w:rPr>
          <w:rFonts w:ascii="Arial" w:cs="Arial" w:eastAsia="Arial" w:hAnsi="Arial"/>
          <w:sz w:val="19"/>
          <w:szCs w:val="19"/>
          <w:b w:val="1"/>
          <w:bCs w:val="1"/>
          <w:color w:val="auto"/>
        </w:rPr>
        <w:t>Washington, D.C. 20549</w:t>
      </w:r>
    </w:p>
    <w:p>
      <w:pPr>
        <w:spacing w:after="0" w:line="191" w:lineRule="exact"/>
        <w:rPr>
          <w:sz w:val="24"/>
          <w:szCs w:val="24"/>
          <w:color w:val="auto"/>
        </w:rPr>
      </w:pPr>
    </w:p>
    <w:p>
      <w:pPr>
        <w:jc w:val="center"/>
        <w:ind w:right="-299"/>
        <w:spacing w:after="0"/>
        <w:rPr>
          <w:sz w:val="20"/>
          <w:szCs w:val="20"/>
          <w:color w:val="auto"/>
        </w:rPr>
      </w:pPr>
      <w:r>
        <w:rPr>
          <w:rFonts w:ascii="Arial" w:cs="Arial" w:eastAsia="Arial" w:hAnsi="Arial"/>
          <w:sz w:val="34"/>
          <w:szCs w:val="34"/>
          <w:b w:val="1"/>
          <w:bCs w:val="1"/>
          <w:color w:val="auto"/>
        </w:rPr>
        <w:t>Form 6-K</w:t>
      </w:r>
    </w:p>
    <w:p>
      <w:pPr>
        <w:spacing w:after="0" w:line="238" w:lineRule="exact"/>
        <w:rPr>
          <w:sz w:val="24"/>
          <w:szCs w:val="24"/>
          <w:color w:val="auto"/>
        </w:rPr>
      </w:pPr>
    </w:p>
    <w:p>
      <w:pPr>
        <w:jc w:val="center"/>
        <w:ind w:left="420"/>
        <w:spacing w:after="0" w:line="262" w:lineRule="auto"/>
        <w:rPr>
          <w:sz w:val="20"/>
          <w:szCs w:val="20"/>
          <w:color w:val="auto"/>
        </w:rPr>
      </w:pPr>
      <w:r>
        <w:rPr>
          <w:rFonts w:ascii="Arial" w:cs="Arial" w:eastAsia="Arial" w:hAnsi="Arial"/>
          <w:sz w:val="23"/>
          <w:szCs w:val="23"/>
          <w:b w:val="1"/>
          <w:bCs w:val="1"/>
          <w:color w:val="auto"/>
        </w:rPr>
        <w:t>REPORT OF FOREIGN PRIVATE ISSUER PURSUANT TO RULE 13a-16 OR 15d-16 UNDER THE SECURITIES EXCHANGE ACT OF 1934</w:t>
      </w:r>
    </w:p>
    <w:p>
      <w:pPr>
        <w:spacing w:after="0" w:line="174" w:lineRule="exact"/>
        <w:rPr>
          <w:sz w:val="24"/>
          <w:szCs w:val="24"/>
          <w:color w:val="auto"/>
        </w:rPr>
      </w:pPr>
    </w:p>
    <w:p>
      <w:pPr>
        <w:jc w:val="center"/>
        <w:ind w:right="-299"/>
        <w:spacing w:after="0"/>
        <w:rPr>
          <w:sz w:val="20"/>
          <w:szCs w:val="20"/>
          <w:color w:val="auto"/>
        </w:rPr>
      </w:pPr>
      <w:r>
        <w:rPr>
          <w:rFonts w:ascii="Arial" w:cs="Arial" w:eastAsia="Arial" w:hAnsi="Arial"/>
          <w:sz w:val="19"/>
          <w:szCs w:val="19"/>
          <w:b w:val="1"/>
          <w:bCs w:val="1"/>
          <w:color w:val="auto"/>
        </w:rPr>
        <w:t>For the month of January 2019</w:t>
      </w:r>
    </w:p>
    <w:p>
      <w:pPr>
        <w:spacing w:after="0" w:line="238" w:lineRule="exact"/>
        <w:rPr>
          <w:sz w:val="24"/>
          <w:szCs w:val="24"/>
          <w:color w:val="auto"/>
        </w:rPr>
      </w:pPr>
    </w:p>
    <w:p>
      <w:pPr>
        <w:jc w:val="center"/>
        <w:ind w:right="-299"/>
        <w:spacing w:after="0"/>
        <w:rPr>
          <w:sz w:val="20"/>
          <w:szCs w:val="20"/>
          <w:color w:val="auto"/>
        </w:rPr>
      </w:pPr>
      <w:r>
        <w:rPr>
          <w:rFonts w:ascii="Arial" w:cs="Arial" w:eastAsia="Arial" w:hAnsi="Arial"/>
          <w:sz w:val="19"/>
          <w:szCs w:val="19"/>
          <w:b w:val="1"/>
          <w:bCs w:val="1"/>
          <w:color w:val="auto"/>
        </w:rPr>
        <w:t>Commission File Number 001-36433</w:t>
      </w:r>
    </w:p>
    <w:p>
      <w:pPr>
        <w:spacing w:after="0" w:line="213" w:lineRule="exact"/>
        <w:rPr>
          <w:sz w:val="24"/>
          <w:szCs w:val="24"/>
          <w:color w:val="auto"/>
        </w:rPr>
      </w:pPr>
    </w:p>
    <w:p>
      <w:pPr>
        <w:jc w:val="center"/>
        <w:ind w:right="-299"/>
        <w:spacing w:after="0"/>
        <w:rPr>
          <w:sz w:val="20"/>
          <w:szCs w:val="20"/>
          <w:color w:val="auto"/>
        </w:rPr>
      </w:pPr>
      <w:r>
        <w:rPr>
          <w:rFonts w:ascii="Arial" w:cs="Arial" w:eastAsia="Arial" w:hAnsi="Arial"/>
          <w:sz w:val="34"/>
          <w:szCs w:val="34"/>
          <w:b w:val="1"/>
          <w:bCs w:val="1"/>
          <w:color w:val="auto"/>
        </w:rPr>
        <w:t>GasLog Partners LP</w:t>
      </w:r>
    </w:p>
    <w:p>
      <w:pPr>
        <w:spacing w:after="0" w:line="41" w:lineRule="exact"/>
        <w:rPr>
          <w:sz w:val="24"/>
          <w:szCs w:val="24"/>
          <w:color w:val="auto"/>
        </w:rPr>
      </w:pPr>
    </w:p>
    <w:p>
      <w:pPr>
        <w:jc w:val="center"/>
        <w:ind w:right="-299"/>
        <w:spacing w:after="0"/>
        <w:rPr>
          <w:sz w:val="20"/>
          <w:szCs w:val="20"/>
          <w:color w:val="auto"/>
        </w:rPr>
      </w:pPr>
      <w:r>
        <w:rPr>
          <w:rFonts w:ascii="Arial" w:cs="Arial" w:eastAsia="Arial" w:hAnsi="Arial"/>
          <w:sz w:val="19"/>
          <w:szCs w:val="19"/>
          <w:color w:val="auto"/>
        </w:rPr>
        <w:t>(Translation of registrant’s name into English)</w:t>
      </w:r>
    </w:p>
    <w:p>
      <w:pPr>
        <w:spacing w:after="0" w:line="216" w:lineRule="exact"/>
        <w:rPr>
          <w:sz w:val="24"/>
          <w:szCs w:val="24"/>
          <w:color w:val="auto"/>
        </w:rPr>
      </w:pPr>
    </w:p>
    <w:p>
      <w:pPr>
        <w:jc w:val="center"/>
        <w:ind w:right="-299"/>
        <w:spacing w:after="0"/>
        <w:rPr>
          <w:sz w:val="20"/>
          <w:szCs w:val="20"/>
          <w:color w:val="auto"/>
        </w:rPr>
      </w:pPr>
      <w:r>
        <w:rPr>
          <w:rFonts w:ascii="Arial" w:cs="Arial" w:eastAsia="Arial" w:hAnsi="Arial"/>
          <w:sz w:val="19"/>
          <w:szCs w:val="19"/>
          <w:b w:val="1"/>
          <w:bCs w:val="1"/>
          <w:color w:val="auto"/>
        </w:rPr>
        <w:t>c/o GasLog Monaco S.A.M.</w:t>
      </w:r>
    </w:p>
    <w:p>
      <w:pPr>
        <w:spacing w:after="0" w:line="29" w:lineRule="exact"/>
        <w:rPr>
          <w:sz w:val="24"/>
          <w:szCs w:val="24"/>
          <w:color w:val="auto"/>
        </w:rPr>
      </w:pPr>
    </w:p>
    <w:p>
      <w:pPr>
        <w:jc w:val="center"/>
        <w:ind w:right="-299"/>
        <w:spacing w:after="0"/>
        <w:rPr>
          <w:sz w:val="20"/>
          <w:szCs w:val="20"/>
          <w:color w:val="auto"/>
        </w:rPr>
      </w:pPr>
      <w:r>
        <w:rPr>
          <w:rFonts w:ascii="Arial" w:cs="Arial" w:eastAsia="Arial" w:hAnsi="Arial"/>
          <w:sz w:val="19"/>
          <w:szCs w:val="19"/>
          <w:b w:val="1"/>
          <w:bCs w:val="1"/>
          <w:color w:val="auto"/>
        </w:rPr>
        <w:t>Gildo Pastor Center</w:t>
      </w:r>
    </w:p>
    <w:p>
      <w:pPr>
        <w:spacing w:after="0" w:line="10" w:lineRule="exact"/>
        <w:rPr>
          <w:sz w:val="24"/>
          <w:szCs w:val="24"/>
          <w:color w:val="auto"/>
        </w:rPr>
      </w:pPr>
    </w:p>
    <w:p>
      <w:pPr>
        <w:jc w:val="center"/>
        <w:ind w:right="-299"/>
        <w:spacing w:after="0"/>
        <w:rPr>
          <w:sz w:val="20"/>
          <w:szCs w:val="20"/>
          <w:color w:val="auto"/>
        </w:rPr>
      </w:pPr>
      <w:r>
        <w:rPr>
          <w:rFonts w:ascii="Arial" w:cs="Arial" w:eastAsia="Arial" w:hAnsi="Arial"/>
          <w:sz w:val="19"/>
          <w:szCs w:val="19"/>
          <w:b w:val="1"/>
          <w:bCs w:val="1"/>
          <w:color w:val="auto"/>
        </w:rPr>
        <w:t>7 Rue du Gabian</w:t>
      </w:r>
    </w:p>
    <w:p>
      <w:pPr>
        <w:spacing w:after="0" w:line="10" w:lineRule="exact"/>
        <w:rPr>
          <w:sz w:val="24"/>
          <w:szCs w:val="24"/>
          <w:color w:val="auto"/>
        </w:rPr>
      </w:pPr>
    </w:p>
    <w:p>
      <w:pPr>
        <w:jc w:val="center"/>
        <w:ind w:right="-299"/>
        <w:spacing w:after="0"/>
        <w:rPr>
          <w:sz w:val="20"/>
          <w:szCs w:val="20"/>
          <w:color w:val="auto"/>
        </w:rPr>
      </w:pPr>
      <w:r>
        <w:rPr>
          <w:rFonts w:ascii="Arial" w:cs="Arial" w:eastAsia="Arial" w:hAnsi="Arial"/>
          <w:sz w:val="19"/>
          <w:szCs w:val="19"/>
          <w:b w:val="1"/>
          <w:bCs w:val="1"/>
          <w:color w:val="auto"/>
        </w:rPr>
        <w:t>MC 98000, Monaco</w:t>
      </w:r>
    </w:p>
    <w:p>
      <w:pPr>
        <w:spacing w:after="0" w:line="10" w:lineRule="exact"/>
        <w:rPr>
          <w:sz w:val="24"/>
          <w:szCs w:val="24"/>
          <w:color w:val="auto"/>
        </w:rPr>
      </w:pPr>
    </w:p>
    <w:p>
      <w:pPr>
        <w:jc w:val="center"/>
        <w:ind w:right="-299"/>
        <w:spacing w:after="0"/>
        <w:rPr>
          <w:sz w:val="20"/>
          <w:szCs w:val="20"/>
          <w:color w:val="auto"/>
        </w:rPr>
      </w:pPr>
      <w:r>
        <w:rPr>
          <w:rFonts w:ascii="Arial" w:cs="Arial" w:eastAsia="Arial" w:hAnsi="Arial"/>
          <w:sz w:val="19"/>
          <w:szCs w:val="19"/>
          <w:color w:val="auto"/>
        </w:rPr>
        <w:t>(Address of principal executive office)</w:t>
      </w:r>
    </w:p>
    <w:p>
      <w:pPr>
        <w:spacing w:after="0" w:line="22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files or will file annual reports under cover of Form 20-F or Form 40-F.</w:t>
      </w:r>
    </w:p>
    <w:p>
      <w:pPr>
        <w:spacing w:after="0" w:line="238" w:lineRule="exact"/>
        <w:rPr>
          <w:sz w:val="24"/>
          <w:szCs w:val="24"/>
          <w:color w:val="auto"/>
        </w:rPr>
      </w:pPr>
    </w:p>
    <w:p>
      <w:pPr>
        <w:spacing w:after="0"/>
        <w:tabs>
          <w:tab w:leader="none" w:pos="1220" w:val="left"/>
        </w:tabs>
        <w:rPr>
          <w:sz w:val="20"/>
          <w:szCs w:val="20"/>
          <w:color w:val="auto"/>
        </w:rPr>
      </w:pPr>
      <w:r>
        <w:rPr>
          <w:rFonts w:ascii="Arial" w:cs="Arial" w:eastAsia="Arial" w:hAnsi="Arial"/>
          <w:sz w:val="19"/>
          <w:szCs w:val="19"/>
          <w:color w:val="auto"/>
        </w:rPr>
        <w:t>Form 20-F x</w:t>
      </w:r>
      <w:r>
        <w:rPr>
          <w:sz w:val="20"/>
          <w:szCs w:val="20"/>
          <w:color w:val="auto"/>
        </w:rPr>
        <w:tab/>
      </w:r>
      <w:r>
        <w:rPr>
          <w:rFonts w:ascii="Arial" w:cs="Arial" w:eastAsia="Arial" w:hAnsi="Arial"/>
          <w:sz w:val="18"/>
          <w:szCs w:val="18"/>
          <w:color w:val="auto"/>
        </w:rPr>
        <w:t>Form 40-F o</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 o</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205105</wp:posOffset>
            </wp:positionV>
            <wp:extent cx="7625080" cy="36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36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646670" cy="31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700"/>
          </w:cols>
          <w:pgMar w:left="120" w:top="425" w:right="420" w:bottom="1440" w:gutter="0" w:footer="0" w:header="0"/>
        </w:sectPr>
      </w:pPr>
    </w:p>
    <w:bookmarkStart w:id="1" w:name="page2"/>
    <w:bookmarkEnd w:id="1"/>
    <w:p>
      <w:pPr>
        <w:ind w:right="160" w:firstLine="397"/>
        <w:spacing w:after="0" w:line="275" w:lineRule="auto"/>
        <w:rPr>
          <w:sz w:val="20"/>
          <w:szCs w:val="20"/>
          <w:color w:val="auto"/>
        </w:rPr>
      </w:pPr>
      <w:r>
        <w:rPr>
          <w:rFonts w:ascii="Arial" w:cs="Arial" w:eastAsia="Arial" w:hAnsi="Arial"/>
          <w:sz w:val="19"/>
          <w:szCs w:val="19"/>
          <w:color w:val="auto"/>
        </w:rPr>
        <w:t>The press release issued by GasLog Partners LP on January 30, 2019 relating to its results for the three-month period and the year ended December 31, 2018 is attached hereto as Exhibit 99.1.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700" w:type="dxa"/>
            <w:vAlign w:val="bottom"/>
          </w:tcPr>
          <w:p>
            <w:pPr>
              <w:jc w:val="center"/>
              <w:ind w:right="1210"/>
              <w:spacing w:after="0"/>
              <w:rPr>
                <w:sz w:val="20"/>
                <w:szCs w:val="20"/>
                <w:color w:val="auto"/>
              </w:rPr>
            </w:pPr>
            <w:r>
              <w:rPr>
                <w:rFonts w:ascii="Arial" w:cs="Arial" w:eastAsia="Arial" w:hAnsi="Arial"/>
                <w:sz w:val="19"/>
                <w:szCs w:val="19"/>
                <w:color w:val="auto"/>
              </w:rPr>
              <w:t>EXHIBIT LIST</w:t>
            </w:r>
          </w:p>
        </w:tc>
        <w:tc>
          <w:tcPr>
            <w:tcW w:w="40" w:type="dxa"/>
            <w:vAlign w:val="bottom"/>
          </w:tcPr>
          <w:p>
            <w:pPr>
              <w:spacing w:after="0"/>
              <w:rPr>
                <w:sz w:val="20"/>
                <w:szCs w:val="20"/>
                <w:color w:val="auto"/>
              </w:rPr>
            </w:pPr>
          </w:p>
        </w:tc>
      </w:tr>
      <w:tr>
        <w:trPr>
          <w:trHeight w:val="386"/>
        </w:trPr>
        <w:tc>
          <w:tcPr>
            <w:tcW w:w="1300" w:type="dxa"/>
            <w:vAlign w:val="bottom"/>
            <w:gridSpan w:val="2"/>
          </w:tcPr>
          <w:p>
            <w:pPr>
              <w:spacing w:after="0"/>
              <w:rPr>
                <w:sz w:val="20"/>
                <w:szCs w:val="20"/>
                <w:color w:val="auto"/>
              </w:rPr>
            </w:pPr>
            <w:r>
              <w:rPr>
                <w:rFonts w:ascii="Arial" w:cs="Arial" w:eastAsia="Arial" w:hAnsi="Arial"/>
                <w:sz w:val="15"/>
                <w:szCs w:val="15"/>
                <w:b w:val="1"/>
                <w:bCs w:val="1"/>
                <w:color w:val="auto"/>
              </w:rPr>
              <w:t>Exhibit</w:t>
            </w:r>
          </w:p>
        </w:tc>
        <w:tc>
          <w:tcPr>
            <w:tcW w:w="10700" w:type="dxa"/>
            <w:vAlign w:val="bottom"/>
          </w:tcPr>
          <w:p>
            <w:pPr>
              <w:ind w:left="4980"/>
              <w:spacing w:after="0"/>
              <w:rPr>
                <w:sz w:val="20"/>
                <w:szCs w:val="20"/>
                <w:color w:val="auto"/>
              </w:rPr>
            </w:pPr>
            <w:r>
              <w:rPr>
                <w:rFonts w:ascii="Arial" w:cs="Arial" w:eastAsia="Arial" w:hAnsi="Arial"/>
                <w:sz w:val="15"/>
                <w:szCs w:val="15"/>
                <w:b w:val="1"/>
                <w:bCs w:val="1"/>
                <w:color w:val="auto"/>
              </w:rPr>
              <w:t>Description</w:t>
            </w:r>
          </w:p>
        </w:tc>
        <w:tc>
          <w:tcPr>
            <w:tcW w:w="40" w:type="dxa"/>
            <w:vAlign w:val="bottom"/>
          </w:tcPr>
          <w:p>
            <w:pPr>
              <w:spacing w:after="0"/>
              <w:rPr>
                <w:sz w:val="24"/>
                <w:szCs w:val="24"/>
                <w:color w:val="auto"/>
              </w:rPr>
            </w:pPr>
          </w:p>
        </w:tc>
      </w:tr>
      <w:tr>
        <w:trPr>
          <w:trHeight w:val="450"/>
        </w:trPr>
        <w:tc>
          <w:tcPr>
            <w:tcW w:w="100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99.1</w:t>
            </w:r>
          </w:p>
        </w:tc>
        <w:tc>
          <w:tcPr>
            <w:tcW w:w="300" w:type="dxa"/>
            <w:vAlign w:val="bottom"/>
          </w:tcPr>
          <w:p>
            <w:pPr>
              <w:spacing w:after="0"/>
              <w:rPr>
                <w:sz w:val="24"/>
                <w:szCs w:val="24"/>
                <w:color w:val="auto"/>
              </w:rPr>
            </w:pPr>
          </w:p>
        </w:tc>
        <w:tc>
          <w:tcPr>
            <w:tcW w:w="1070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Press Release dated January 30, 2019</w:t>
            </w:r>
          </w:p>
        </w:tc>
        <w:tc>
          <w:tcPr>
            <w:tcW w:w="40" w:type="dxa"/>
            <w:vAlign w:val="bottom"/>
          </w:tcPr>
          <w:p>
            <w:pPr>
              <w:spacing w:after="0"/>
              <w:rPr>
                <w:sz w:val="24"/>
                <w:szCs w:val="24"/>
                <w:color w:val="auto"/>
              </w:rPr>
            </w:pPr>
          </w:p>
        </w:tc>
      </w:tr>
      <w:tr>
        <w:trPr>
          <w:trHeight w:val="456"/>
        </w:trPr>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700" w:type="dxa"/>
            <w:vAlign w:val="bottom"/>
          </w:tcPr>
          <w:p>
            <w:pPr>
              <w:jc w:val="right"/>
              <w:ind w:right="5870"/>
              <w:spacing w:after="0"/>
              <w:rPr>
                <w:sz w:val="20"/>
                <w:szCs w:val="20"/>
                <w:color w:val="auto"/>
              </w:rPr>
            </w:pPr>
            <w:r>
              <w:rPr>
                <w:rFonts w:ascii="Arial" w:cs="Arial" w:eastAsia="Arial" w:hAnsi="Arial"/>
                <w:sz w:val="19"/>
                <w:szCs w:val="19"/>
                <w:color w:val="auto"/>
              </w:rPr>
              <w:t>2</w:t>
            </w:r>
          </w:p>
        </w:tc>
        <w:tc>
          <w:tcPr>
            <w:tcW w:w="40" w:type="dxa"/>
            <w:vAlign w:val="bottom"/>
          </w:tcPr>
          <w:p>
            <w:pPr>
              <w:spacing w:after="0"/>
              <w:rPr>
                <w:sz w:val="24"/>
                <w:szCs w:val="24"/>
                <w:color w:val="auto"/>
              </w:rPr>
            </w:pPr>
          </w:p>
        </w:tc>
      </w:tr>
      <w:tr>
        <w:trPr>
          <w:trHeight w:val="141"/>
        </w:trPr>
        <w:tc>
          <w:tcPr>
            <w:tcW w:w="100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070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3" w:right="80"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color w:val="auto"/>
        </w:rPr>
        <w:t>SIGNATURES</w:t>
      </w:r>
    </w:p>
    <w:p>
      <w:pPr>
        <w:spacing w:after="0" w:line="238" w:lineRule="exact"/>
        <w:rPr>
          <w:sz w:val="20"/>
          <w:szCs w:val="20"/>
          <w:color w:val="auto"/>
        </w:rPr>
      </w:pPr>
    </w:p>
    <w:p>
      <w:pPr>
        <w:ind w:right="760" w:firstLine="397"/>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Date: January 30, 2019</w:t>
      </w:r>
    </w:p>
    <w:p>
      <w:pPr>
        <w:spacing w:after="0" w:line="238"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GASLOG PARTNERS LP</w:t>
      </w:r>
    </w:p>
    <w:p>
      <w:pPr>
        <w:spacing w:after="0" w:line="238" w:lineRule="exact"/>
        <w:rPr>
          <w:sz w:val="20"/>
          <w:szCs w:val="20"/>
          <w:color w:val="auto"/>
        </w:rPr>
      </w:pPr>
    </w:p>
    <w:p>
      <w:pPr>
        <w:ind w:left="6520"/>
        <w:spacing w:after="0"/>
        <w:tabs>
          <w:tab w:leader="none" w:pos="6900" w:val="left"/>
        </w:tabs>
        <w:rPr>
          <w:sz w:val="20"/>
          <w:szCs w:val="20"/>
          <w:color w:val="auto"/>
        </w:rPr>
      </w:pPr>
      <w:r>
        <w:rPr>
          <w:rFonts w:ascii="Arial" w:cs="Arial" w:eastAsia="Arial" w:hAnsi="Arial"/>
          <w:sz w:val="19"/>
          <w:szCs w:val="19"/>
          <w:color w:val="auto"/>
        </w:rPr>
        <w:t>by</w:t>
        <w:tab/>
        <w:t>/s/ Andrew Orekar</w:t>
      </w:r>
    </w:p>
    <w:p>
      <w:pPr>
        <w:spacing w:after="0" w:line="23" w:lineRule="exact"/>
        <w:rPr>
          <w:sz w:val="20"/>
          <w:szCs w:val="20"/>
          <w:color w:val="auto"/>
        </w:rPr>
      </w:pPr>
    </w:p>
    <w:tbl>
      <w:tblPr>
        <w:tblLayout w:type="fixed"/>
        <w:tblInd w:w="6920" w:type="dxa"/>
        <w:tblCellMar>
          <w:top w:w="0" w:type="dxa"/>
          <w:left w:w="0" w:type="dxa"/>
          <w:bottom w:w="0" w:type="dxa"/>
          <w:right w:w="0" w:type="dxa"/>
        </w:tblCellMar>
      </w:tblPr>
      <w:tr>
        <w:trPr>
          <w:trHeight w:val="209"/>
        </w:trPr>
        <w:tc>
          <w:tcPr>
            <w:tcW w:w="64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Name:</w:t>
            </w:r>
          </w:p>
        </w:tc>
        <w:tc>
          <w:tcPr>
            <w:tcW w:w="4440" w:type="dxa"/>
            <w:vAlign w:val="bottom"/>
            <w:tcBorders>
              <w:top w:val="single" w:sz="8" w:color="auto"/>
            </w:tcBorders>
          </w:tcPr>
          <w:p>
            <w:pPr>
              <w:ind w:left="140"/>
              <w:spacing w:after="0" w:line="209" w:lineRule="exact"/>
              <w:rPr>
                <w:sz w:val="20"/>
                <w:szCs w:val="20"/>
                <w:color w:val="auto"/>
              </w:rPr>
            </w:pPr>
            <w:r>
              <w:rPr>
                <w:rFonts w:ascii="Arial" w:cs="Arial" w:eastAsia="Arial" w:hAnsi="Arial"/>
                <w:sz w:val="19"/>
                <w:szCs w:val="19"/>
                <w:color w:val="auto"/>
              </w:rPr>
              <w:t>Andrew Orekar</w:t>
            </w:r>
          </w:p>
        </w:tc>
      </w:tr>
      <w:tr>
        <w:trPr>
          <w:trHeight w:val="241"/>
        </w:trPr>
        <w:tc>
          <w:tcPr>
            <w:tcW w:w="640" w:type="dxa"/>
            <w:vAlign w:val="bottom"/>
          </w:tcPr>
          <w:p>
            <w:pPr>
              <w:spacing w:after="0"/>
              <w:rPr>
                <w:sz w:val="20"/>
                <w:szCs w:val="20"/>
                <w:color w:val="auto"/>
              </w:rPr>
            </w:pPr>
            <w:r>
              <w:rPr>
                <w:rFonts w:ascii="Arial" w:cs="Arial" w:eastAsia="Arial" w:hAnsi="Arial"/>
                <w:sz w:val="19"/>
                <w:szCs w:val="19"/>
                <w:color w:val="auto"/>
              </w:rPr>
              <w:t>Title:</w:t>
            </w:r>
          </w:p>
        </w:tc>
        <w:tc>
          <w:tcPr>
            <w:tcW w:w="4440" w:type="dxa"/>
            <w:vAlign w:val="bottom"/>
          </w:tcPr>
          <w:p>
            <w:pPr>
              <w:ind w:left="140"/>
              <w:spacing w:after="0"/>
              <w:rPr>
                <w:sz w:val="20"/>
                <w:szCs w:val="20"/>
                <w:color w:val="auto"/>
              </w:rPr>
            </w:pPr>
            <w:r>
              <w:rPr>
                <w:rFonts w:ascii="Arial" w:cs="Arial" w:eastAsia="Arial" w:hAnsi="Arial"/>
                <w:sz w:val="19"/>
                <w:szCs w:val="19"/>
                <w:color w:val="auto"/>
              </w:rPr>
              <w:t>Chief Executive Officer</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t>Exhibit 99.1</w:t>
      </w:r>
    </w:p>
    <w:p>
      <w:pPr>
        <w:spacing w:after="0" w:line="224" w:lineRule="exact"/>
        <w:rPr>
          <w:sz w:val="20"/>
          <w:szCs w:val="20"/>
          <w:color w:val="auto"/>
        </w:rPr>
      </w:pPr>
    </w:p>
    <w:p>
      <w:pPr>
        <w:jc w:val="center"/>
        <w:ind w:right="-5"/>
        <w:spacing w:after="0"/>
        <w:rPr>
          <w:sz w:val="20"/>
          <w:szCs w:val="20"/>
          <w:color w:val="auto"/>
        </w:rPr>
      </w:pPr>
      <w:r>
        <w:rPr>
          <w:rFonts w:ascii="Arial" w:cs="Arial" w:eastAsia="Arial" w:hAnsi="Arial"/>
          <w:sz w:val="19"/>
          <w:szCs w:val="19"/>
          <w:u w:val="single" w:color="auto"/>
          <w:color w:val="auto"/>
        </w:rPr>
        <w:t>Press Release</w:t>
      </w:r>
    </w:p>
    <w:p>
      <w:pPr>
        <w:spacing w:after="0" w:line="232" w:lineRule="exact"/>
        <w:rPr>
          <w:sz w:val="20"/>
          <w:szCs w:val="20"/>
          <w:color w:val="auto"/>
        </w:rPr>
      </w:pPr>
    </w:p>
    <w:p>
      <w:pPr>
        <w:jc w:val="center"/>
        <w:ind w:left="120" w:right="140"/>
        <w:spacing w:after="0" w:line="282" w:lineRule="auto"/>
        <w:rPr>
          <w:sz w:val="20"/>
          <w:szCs w:val="20"/>
          <w:color w:val="auto"/>
        </w:rPr>
      </w:pPr>
      <w:r>
        <w:rPr>
          <w:rFonts w:ascii="Arial" w:cs="Arial" w:eastAsia="Arial" w:hAnsi="Arial"/>
          <w:sz w:val="19"/>
          <w:szCs w:val="19"/>
          <w:b w:val="1"/>
          <w:bCs w:val="1"/>
          <w:color w:val="auto"/>
        </w:rPr>
        <w:t>GasLog Partners LP Reports Financial Results for the Three-Month Period and the Year Ended December 31, 2018, Increases Cash Distribution and Announces Unit Repurchase Programme</w:t>
      </w:r>
    </w:p>
    <w:p>
      <w:pPr>
        <w:spacing w:after="0" w:line="171" w:lineRule="exact"/>
        <w:rPr>
          <w:sz w:val="20"/>
          <w:szCs w:val="20"/>
          <w:color w:val="auto"/>
        </w:rPr>
      </w:pPr>
    </w:p>
    <w:p>
      <w:pPr>
        <w:ind w:left="6" w:right="260"/>
        <w:spacing w:after="0" w:line="343" w:lineRule="auto"/>
        <w:rPr>
          <w:sz w:val="20"/>
          <w:szCs w:val="20"/>
          <w:color w:val="auto"/>
        </w:rPr>
      </w:pPr>
      <w:r>
        <w:rPr>
          <w:rFonts w:ascii="Arial" w:cs="Arial" w:eastAsia="Arial" w:hAnsi="Arial"/>
          <w:sz w:val="17"/>
          <w:szCs w:val="17"/>
          <w:b w:val="1"/>
          <w:bCs w:val="1"/>
          <w:color w:val="auto"/>
        </w:rPr>
        <w:t xml:space="preserve">Monaco, January 30, 2019. GasLog Partners LP (“GasLog Partners” or the “Partnership”) (NYSE: GLOP), </w:t>
      </w:r>
      <w:r>
        <w:rPr>
          <w:rFonts w:ascii="Arial" w:cs="Arial" w:eastAsia="Arial" w:hAnsi="Arial"/>
          <w:sz w:val="17"/>
          <w:szCs w:val="17"/>
          <w:color w:val="auto"/>
        </w:rPr>
        <w:t>an international owner and operator of</w:t>
      </w:r>
      <w:r>
        <w:rPr>
          <w:rFonts w:ascii="Arial" w:cs="Arial" w:eastAsia="Arial" w:hAnsi="Arial"/>
          <w:sz w:val="17"/>
          <w:szCs w:val="17"/>
          <w:b w:val="1"/>
          <w:bCs w:val="1"/>
          <w:color w:val="auto"/>
        </w:rPr>
        <w:t xml:space="preserve"> </w:t>
      </w:r>
      <w:r>
        <w:rPr>
          <w:rFonts w:ascii="Arial" w:cs="Arial" w:eastAsia="Arial" w:hAnsi="Arial"/>
          <w:sz w:val="17"/>
          <w:szCs w:val="17"/>
          <w:color w:val="auto"/>
        </w:rPr>
        <w:t>liquefied natural gas (“LNG”) carriers, today reports its financial results for the three-month period and the year ended December 31, 2018.</w:t>
      </w:r>
    </w:p>
    <w:p>
      <w:pPr>
        <w:spacing w:after="0" w:line="126" w:lineRule="exact"/>
        <w:rPr>
          <w:sz w:val="20"/>
          <w:szCs w:val="20"/>
          <w:color w:val="auto"/>
        </w:rPr>
      </w:pPr>
    </w:p>
    <w:p>
      <w:pPr>
        <w:ind w:left="6"/>
        <w:spacing w:after="0"/>
        <w:rPr>
          <w:sz w:val="20"/>
          <w:szCs w:val="20"/>
          <w:color w:val="auto"/>
        </w:rPr>
      </w:pPr>
      <w:r>
        <w:rPr>
          <w:rFonts w:ascii="Arial" w:cs="Arial" w:eastAsia="Arial" w:hAnsi="Arial"/>
          <w:sz w:val="19"/>
          <w:szCs w:val="19"/>
          <w:b w:val="1"/>
          <w:bCs w:val="1"/>
          <w:u w:val="single" w:color="auto"/>
          <w:color w:val="auto"/>
        </w:rPr>
        <w:t>Highlights</w:t>
      </w:r>
    </w:p>
    <w:p>
      <w:pPr>
        <w:spacing w:after="0" w:line="244" w:lineRule="exact"/>
        <w:rPr>
          <w:sz w:val="20"/>
          <w:szCs w:val="20"/>
          <w:color w:val="auto"/>
        </w:rPr>
      </w:pPr>
    </w:p>
    <w:p>
      <w:pPr>
        <w:ind w:left="346" w:right="200" w:hanging="346"/>
        <w:spacing w:after="0" w:line="257" w:lineRule="auto"/>
        <w:tabs>
          <w:tab w:leader="none" w:pos="308" w:val="left"/>
        </w:tabs>
        <w:numPr>
          <w:ilvl w:val="0"/>
          <w:numId w:val="1"/>
        </w:numPr>
        <w:rPr>
          <w:rFonts w:ascii="Arial" w:cs="Arial" w:eastAsia="Arial" w:hAnsi="Arial"/>
          <w:sz w:val="19"/>
          <w:szCs w:val="19"/>
          <w:color w:val="auto"/>
        </w:rPr>
      </w:pPr>
      <w:r>
        <w:rPr>
          <w:rFonts w:ascii="Arial" w:cs="Arial" w:eastAsia="Arial" w:hAnsi="Arial"/>
          <w:sz w:val="19"/>
          <w:szCs w:val="19"/>
          <w:color w:val="auto"/>
        </w:rPr>
        <w:t xml:space="preserve">Completed the acquisition of the </w:t>
      </w:r>
      <w:r>
        <w:rPr>
          <w:rFonts w:ascii="Arial" w:cs="Arial" w:eastAsia="Arial" w:hAnsi="Arial"/>
          <w:sz w:val="19"/>
          <w:szCs w:val="19"/>
          <w:i w:val="1"/>
          <w:iCs w:val="1"/>
          <w:color w:val="auto"/>
        </w:rPr>
        <w:t>Methane Becki Anne</w:t>
      </w:r>
      <w:r>
        <w:rPr>
          <w:rFonts w:ascii="Arial" w:cs="Arial" w:eastAsia="Arial" w:hAnsi="Arial"/>
          <w:sz w:val="19"/>
          <w:szCs w:val="19"/>
          <w:color w:val="auto"/>
        </w:rPr>
        <w:t xml:space="preserve"> from GasLog Ltd. (“GasLog”) for $207.4 million, including assumed debt of $93.9 million, with attached multi-year charter to a subsidiary of Royal Dutch Shell plc (“Shell”).</w:t>
      </w:r>
    </w:p>
    <w:p>
      <w:pPr>
        <w:spacing w:after="0" w:line="1" w:lineRule="exact"/>
        <w:rPr>
          <w:rFonts w:ascii="Arial" w:cs="Arial" w:eastAsia="Arial" w:hAnsi="Arial"/>
          <w:sz w:val="19"/>
          <w:szCs w:val="19"/>
          <w:color w:val="auto"/>
        </w:rPr>
      </w:pPr>
    </w:p>
    <w:p>
      <w:pPr>
        <w:ind w:left="346" w:right="440" w:hanging="346"/>
        <w:spacing w:after="0" w:line="250" w:lineRule="auto"/>
        <w:tabs>
          <w:tab w:leader="none" w:pos="308" w:val="left"/>
        </w:tabs>
        <w:numPr>
          <w:ilvl w:val="0"/>
          <w:numId w:val="1"/>
        </w:numPr>
        <w:rPr>
          <w:rFonts w:ascii="Arial" w:cs="Arial" w:eastAsia="Arial" w:hAnsi="Arial"/>
          <w:sz w:val="19"/>
          <w:szCs w:val="19"/>
          <w:color w:val="auto"/>
        </w:rPr>
      </w:pPr>
      <w:r>
        <w:rPr>
          <w:rFonts w:ascii="Arial" w:cs="Arial" w:eastAsia="Arial" w:hAnsi="Arial"/>
          <w:sz w:val="19"/>
          <w:szCs w:val="19"/>
          <w:color w:val="auto"/>
        </w:rPr>
        <w:t>Completed public offering of 8.500% Series C Cumulative Redeemable Perpetual Fixed to Floating Rate Preference Units (the “Series C Preference Units”), raising gross proceeds of $100.0 million and net proceeds of $96.3 million.</w:t>
      </w:r>
    </w:p>
    <w:p>
      <w:pPr>
        <w:spacing w:after="0" w:line="1" w:lineRule="exact"/>
        <w:rPr>
          <w:rFonts w:ascii="Arial" w:cs="Arial" w:eastAsia="Arial" w:hAnsi="Arial"/>
          <w:sz w:val="19"/>
          <w:szCs w:val="19"/>
          <w:color w:val="auto"/>
        </w:rPr>
      </w:pPr>
    </w:p>
    <w:p>
      <w:pPr>
        <w:ind w:left="346" w:right="200" w:hanging="346"/>
        <w:spacing w:after="0" w:line="250" w:lineRule="auto"/>
        <w:tabs>
          <w:tab w:leader="none" w:pos="308" w:val="left"/>
        </w:tabs>
        <w:numPr>
          <w:ilvl w:val="0"/>
          <w:numId w:val="1"/>
        </w:numPr>
        <w:rPr>
          <w:rFonts w:ascii="Arial" w:cs="Arial" w:eastAsia="Arial" w:hAnsi="Arial"/>
          <w:sz w:val="19"/>
          <w:szCs w:val="19"/>
          <w:color w:val="auto"/>
        </w:rPr>
      </w:pPr>
      <w:r>
        <w:rPr>
          <w:rFonts w:ascii="Arial" w:cs="Arial" w:eastAsia="Arial" w:hAnsi="Arial"/>
          <w:sz w:val="19"/>
          <w:szCs w:val="19"/>
          <w:color w:val="auto"/>
        </w:rPr>
        <w:t>Modified the Partnership Agreement with respect to the GasLog’s incentive distribution rights (“IDRs”), reducing GasLog’s IDRs on quarterly distributions above $0.5625 per unit from 48% to 23% and waiving the rights of GasLog to receive IDRs in respect of assets or businesses acquired by GasLog Partners from third parties, in exchange for a cash consideration to GasLog of $25.0 million.</w:t>
      </w:r>
    </w:p>
    <w:p>
      <w:pPr>
        <w:spacing w:after="0" w:line="1" w:lineRule="exact"/>
        <w:rPr>
          <w:rFonts w:ascii="Arial" w:cs="Arial" w:eastAsia="Arial" w:hAnsi="Arial"/>
          <w:sz w:val="19"/>
          <w:szCs w:val="19"/>
          <w:color w:val="auto"/>
        </w:rPr>
      </w:pPr>
    </w:p>
    <w:p>
      <w:pPr>
        <w:ind w:left="306" w:hanging="306"/>
        <w:spacing w:after="0"/>
        <w:tabs>
          <w:tab w:leader="none" w:pos="306" w:val="left"/>
        </w:tabs>
        <w:numPr>
          <w:ilvl w:val="0"/>
          <w:numId w:val="1"/>
        </w:numPr>
        <w:rPr>
          <w:rFonts w:ascii="Arial" w:cs="Arial" w:eastAsia="Arial" w:hAnsi="Arial"/>
          <w:sz w:val="19"/>
          <w:szCs w:val="19"/>
          <w:color w:val="auto"/>
        </w:rPr>
      </w:pPr>
      <w:r>
        <w:rPr>
          <w:rFonts w:ascii="Arial" w:cs="Arial" w:eastAsia="Arial" w:hAnsi="Arial"/>
          <w:sz w:val="19"/>
          <w:szCs w:val="19"/>
          <w:color w:val="auto"/>
        </w:rPr>
        <w:t>Announces board authorization of unit repurchase programme of up to $25.0 million of the Partnership’s common units.</w:t>
      </w:r>
    </w:p>
    <w:p>
      <w:pPr>
        <w:spacing w:after="0" w:line="9" w:lineRule="exact"/>
        <w:rPr>
          <w:rFonts w:ascii="Arial" w:cs="Arial" w:eastAsia="Arial" w:hAnsi="Arial"/>
          <w:sz w:val="19"/>
          <w:szCs w:val="19"/>
          <w:color w:val="auto"/>
        </w:rPr>
      </w:pPr>
    </w:p>
    <w:p>
      <w:pPr>
        <w:ind w:left="306" w:hanging="306"/>
        <w:spacing w:after="0" w:line="200" w:lineRule="auto"/>
        <w:tabs>
          <w:tab w:leader="none" w:pos="306" w:val="left"/>
        </w:tabs>
        <w:numPr>
          <w:ilvl w:val="0"/>
          <w:numId w:val="1"/>
        </w:numPr>
        <w:rPr>
          <w:rFonts w:ascii="Arial" w:cs="Arial" w:eastAsia="Arial" w:hAnsi="Arial"/>
          <w:sz w:val="19"/>
          <w:szCs w:val="19"/>
          <w:color w:val="auto"/>
        </w:rPr>
      </w:pPr>
      <w:r>
        <w:rPr>
          <w:rFonts w:ascii="Arial" w:cs="Arial" w:eastAsia="Arial" w:hAnsi="Arial"/>
          <w:sz w:val="19"/>
          <w:szCs w:val="19"/>
          <w:color w:val="auto"/>
        </w:rPr>
        <w:t>Quarterly Revenues, Profit, Adjusted Profit</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and EBITDA</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of $86.8 million, $21.8 million, $32.3 million and $68.7 million, respectively.</w:t>
      </w:r>
    </w:p>
    <w:p>
      <w:pPr>
        <w:ind w:left="346" w:right="300" w:hanging="346"/>
        <w:spacing w:after="0" w:line="220" w:lineRule="auto"/>
        <w:tabs>
          <w:tab w:leader="none" w:pos="308" w:val="left"/>
        </w:tabs>
        <w:numPr>
          <w:ilvl w:val="0"/>
          <w:numId w:val="1"/>
        </w:numPr>
        <w:rPr>
          <w:rFonts w:ascii="Arial" w:cs="Arial" w:eastAsia="Arial" w:hAnsi="Arial"/>
          <w:sz w:val="19"/>
          <w:szCs w:val="19"/>
          <w:color w:val="auto"/>
        </w:rPr>
      </w:pPr>
      <w:r>
        <w:rPr>
          <w:rFonts w:ascii="Arial" w:cs="Arial" w:eastAsia="Arial" w:hAnsi="Arial"/>
          <w:sz w:val="19"/>
          <w:szCs w:val="19"/>
          <w:color w:val="auto"/>
        </w:rPr>
        <w:t>Highest-ever quarterly Partnership Performance Results</w:t>
      </w:r>
      <w:r>
        <w:rPr>
          <w:rFonts w:ascii="Arial" w:cs="Arial" w:eastAsia="Arial" w:hAnsi="Arial"/>
          <w:sz w:val="24"/>
          <w:szCs w:val="24"/>
          <w:color w:val="auto"/>
          <w:vertAlign w:val="superscript"/>
        </w:rPr>
        <w:t>(2)</w:t>
      </w:r>
      <w:r>
        <w:rPr>
          <w:rFonts w:ascii="Arial" w:cs="Arial" w:eastAsia="Arial" w:hAnsi="Arial"/>
          <w:sz w:val="19"/>
          <w:szCs w:val="19"/>
          <w:color w:val="auto"/>
        </w:rPr>
        <w:t xml:space="preserve"> for Revenues, Adjusted Profit</w:t>
      </w:r>
      <w:r>
        <w:rPr>
          <w:rFonts w:ascii="Arial" w:cs="Arial" w:eastAsia="Arial" w:hAnsi="Arial"/>
          <w:sz w:val="24"/>
          <w:szCs w:val="24"/>
          <w:color w:val="auto"/>
          <w:vertAlign w:val="superscript"/>
        </w:rPr>
        <w:t>(1)</w:t>
      </w:r>
      <w:r>
        <w:rPr>
          <w:rFonts w:ascii="Arial" w:cs="Arial" w:eastAsia="Arial" w:hAnsi="Arial"/>
          <w:sz w:val="19"/>
          <w:szCs w:val="19"/>
          <w:color w:val="auto"/>
        </w:rPr>
        <w:t>, EBITDA</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and Distributable cash flow</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of $83.1 million, $30.9 million, $65.7 million and $31.4 million, respectively.</w:t>
      </w:r>
    </w:p>
    <w:p>
      <w:pPr>
        <w:ind w:left="306" w:hanging="306"/>
        <w:spacing w:after="0" w:line="200" w:lineRule="auto"/>
        <w:tabs>
          <w:tab w:leader="none" w:pos="306" w:val="left"/>
        </w:tabs>
        <w:numPr>
          <w:ilvl w:val="0"/>
          <w:numId w:val="1"/>
        </w:numPr>
        <w:rPr>
          <w:rFonts w:ascii="Arial" w:cs="Arial" w:eastAsia="Arial" w:hAnsi="Arial"/>
          <w:sz w:val="19"/>
          <w:szCs w:val="19"/>
          <w:color w:val="auto"/>
        </w:rPr>
      </w:pPr>
      <w:r>
        <w:rPr>
          <w:rFonts w:ascii="Arial" w:cs="Arial" w:eastAsia="Arial" w:hAnsi="Arial"/>
          <w:sz w:val="19"/>
          <w:szCs w:val="19"/>
          <w:color w:val="auto"/>
        </w:rPr>
        <w:t>Annual Revenues, Profit, Adjusted Profit</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and EBITDA</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of $352.5 million, $115.5 million, $117.8 million and $261.0 million, respectively.</w:t>
      </w:r>
    </w:p>
    <w:p>
      <w:pPr>
        <w:ind w:left="346" w:right="500" w:hanging="346"/>
        <w:spacing w:after="0" w:line="197" w:lineRule="auto"/>
        <w:tabs>
          <w:tab w:leader="none" w:pos="308" w:val="left"/>
        </w:tabs>
        <w:numPr>
          <w:ilvl w:val="0"/>
          <w:numId w:val="1"/>
        </w:numPr>
        <w:rPr>
          <w:rFonts w:ascii="Arial" w:cs="Arial" w:eastAsia="Arial" w:hAnsi="Arial"/>
          <w:sz w:val="19"/>
          <w:szCs w:val="19"/>
          <w:color w:val="auto"/>
        </w:rPr>
      </w:pPr>
      <w:r>
        <w:rPr>
          <w:rFonts w:ascii="Arial" w:cs="Arial" w:eastAsia="Arial" w:hAnsi="Arial"/>
          <w:sz w:val="19"/>
          <w:szCs w:val="19"/>
          <w:color w:val="auto"/>
        </w:rPr>
        <w:t>Highest-ever annual Partnership Performance Results</w:t>
      </w:r>
      <w:r>
        <w:rPr>
          <w:rFonts w:ascii="Arial" w:cs="Arial" w:eastAsia="Arial" w:hAnsi="Arial"/>
          <w:sz w:val="24"/>
          <w:szCs w:val="24"/>
          <w:color w:val="auto"/>
          <w:vertAlign w:val="superscript"/>
        </w:rPr>
        <w:t>(2)</w:t>
      </w:r>
      <w:r>
        <w:rPr>
          <w:rFonts w:ascii="Arial" w:cs="Arial" w:eastAsia="Arial" w:hAnsi="Arial"/>
          <w:sz w:val="19"/>
          <w:szCs w:val="19"/>
          <w:color w:val="auto"/>
        </w:rPr>
        <w:t xml:space="preserve"> for Revenues, Profit, Adjusted Profit</w:t>
      </w:r>
      <w:r>
        <w:rPr>
          <w:rFonts w:ascii="Arial" w:cs="Arial" w:eastAsia="Arial" w:hAnsi="Arial"/>
          <w:sz w:val="24"/>
          <w:szCs w:val="24"/>
          <w:color w:val="auto"/>
          <w:vertAlign w:val="superscript"/>
        </w:rPr>
        <w:t>(1)</w:t>
      </w:r>
      <w:r>
        <w:rPr>
          <w:rFonts w:ascii="Arial" w:cs="Arial" w:eastAsia="Arial" w:hAnsi="Arial"/>
          <w:sz w:val="19"/>
          <w:szCs w:val="19"/>
          <w:color w:val="auto"/>
        </w:rPr>
        <w:t>, EBITDA</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and Distributable cash flow</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of $317.0 million, $102.6 million, $104.9 million, $233.7 million and $108.9 million, respectively.</w:t>
      </w:r>
    </w:p>
    <w:p>
      <w:pPr>
        <w:ind w:left="346" w:right="100" w:hanging="346"/>
        <w:spacing w:after="0" w:line="250" w:lineRule="auto"/>
        <w:tabs>
          <w:tab w:leader="none" w:pos="308" w:val="left"/>
        </w:tabs>
        <w:numPr>
          <w:ilvl w:val="0"/>
          <w:numId w:val="1"/>
        </w:numPr>
        <w:rPr>
          <w:rFonts w:ascii="Arial" w:cs="Arial" w:eastAsia="Arial" w:hAnsi="Arial"/>
          <w:sz w:val="19"/>
          <w:szCs w:val="19"/>
          <w:color w:val="auto"/>
        </w:rPr>
      </w:pPr>
      <w:r>
        <w:rPr>
          <w:rFonts w:ascii="Arial" w:cs="Arial" w:eastAsia="Arial" w:hAnsi="Arial"/>
          <w:sz w:val="19"/>
          <w:szCs w:val="19"/>
          <w:color w:val="auto"/>
        </w:rPr>
        <w:t>Increased cash distribution of $0.55 per common unit for the fourth quarter of 2018, 3.8% higher than the third quarter of 2018 and 5.1% higher than the fourth quarter of 2017.</w:t>
      </w:r>
    </w:p>
    <w:p>
      <w:pPr>
        <w:spacing w:after="0" w:line="1" w:lineRule="exact"/>
        <w:rPr>
          <w:rFonts w:ascii="Arial" w:cs="Arial" w:eastAsia="Arial" w:hAnsi="Arial"/>
          <w:sz w:val="19"/>
          <w:szCs w:val="19"/>
          <w:color w:val="auto"/>
        </w:rPr>
      </w:pPr>
    </w:p>
    <w:p>
      <w:pPr>
        <w:ind w:left="346" w:right="340" w:hanging="346"/>
        <w:spacing w:after="0" w:line="221" w:lineRule="auto"/>
        <w:tabs>
          <w:tab w:leader="none" w:pos="308" w:val="left"/>
        </w:tabs>
        <w:numPr>
          <w:ilvl w:val="0"/>
          <w:numId w:val="1"/>
        </w:numPr>
        <w:rPr>
          <w:rFonts w:ascii="Arial" w:cs="Arial" w:eastAsia="Arial" w:hAnsi="Arial"/>
          <w:sz w:val="19"/>
          <w:szCs w:val="19"/>
          <w:color w:val="auto"/>
        </w:rPr>
      </w:pPr>
      <w:r>
        <w:rPr>
          <w:rFonts w:ascii="Arial" w:cs="Arial" w:eastAsia="Arial" w:hAnsi="Arial"/>
          <w:sz w:val="19"/>
          <w:szCs w:val="19"/>
          <w:color w:val="auto"/>
        </w:rPr>
        <w:t>Quarterly distribution coverage ratio</w:t>
      </w:r>
      <w:r>
        <w:rPr>
          <w:rFonts w:ascii="Arial" w:cs="Arial" w:eastAsia="Arial" w:hAnsi="Arial"/>
          <w:sz w:val="24"/>
          <w:szCs w:val="24"/>
          <w:color w:val="auto"/>
          <w:vertAlign w:val="superscript"/>
        </w:rPr>
        <w:t>(3)</w:t>
      </w:r>
      <w:r>
        <w:rPr>
          <w:rFonts w:ascii="Arial" w:cs="Arial" w:eastAsia="Arial" w:hAnsi="Arial"/>
          <w:sz w:val="19"/>
          <w:szCs w:val="19"/>
          <w:color w:val="auto"/>
        </w:rPr>
        <w:t xml:space="preserve"> of 1.17x or 1.22x adjusted distribution coverage ratio</w:t>
      </w:r>
      <w:r>
        <w:rPr>
          <w:rFonts w:ascii="Arial" w:cs="Arial" w:eastAsia="Arial" w:hAnsi="Arial"/>
          <w:sz w:val="24"/>
          <w:szCs w:val="24"/>
          <w:color w:val="auto"/>
          <w:vertAlign w:val="superscript"/>
        </w:rPr>
        <w:t>(4)</w:t>
      </w:r>
      <w:r>
        <w:rPr>
          <w:rFonts w:ascii="Arial" w:cs="Arial" w:eastAsia="Arial" w:hAnsi="Arial"/>
          <w:sz w:val="19"/>
          <w:szCs w:val="19"/>
          <w:color w:val="auto"/>
        </w:rPr>
        <w:t xml:space="preserve"> to reflect the impact on revenues of the scheduled dry-docking of the </w:t>
      </w:r>
      <w:r>
        <w:rPr>
          <w:rFonts w:ascii="Arial" w:cs="Arial" w:eastAsia="Arial" w:hAnsi="Arial"/>
          <w:sz w:val="19"/>
          <w:szCs w:val="19"/>
          <w:i w:val="1"/>
          <w:iCs w:val="1"/>
          <w:color w:val="auto"/>
        </w:rPr>
        <w:t>GasLog Seattle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218440</wp:posOffset>
            </wp:positionV>
            <wp:extent cx="19291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46" w:right="120" w:hanging="346"/>
        <w:spacing w:after="0" w:line="205" w:lineRule="auto"/>
        <w:tabs>
          <w:tab w:leader="none" w:pos="342" w:val="left"/>
        </w:tabs>
        <w:numPr>
          <w:ilvl w:val="0"/>
          <w:numId w:val="2"/>
        </w:numPr>
        <w:rPr>
          <w:rFonts w:ascii="Arial" w:cs="Arial" w:eastAsia="Arial" w:hAnsi="Arial"/>
          <w:sz w:val="19"/>
          <w:szCs w:val="19"/>
          <w:color w:val="auto"/>
          <w:vertAlign w:val="superscript"/>
        </w:rPr>
      </w:pPr>
      <w:r>
        <w:rPr>
          <w:rFonts w:ascii="Arial" w:cs="Arial" w:eastAsia="Arial" w:hAnsi="Arial"/>
          <w:sz w:val="15"/>
          <w:szCs w:val="15"/>
          <w:color w:val="auto"/>
        </w:rPr>
        <w:t>Adjusted Profit, EBITDA and Distributable cash flow are non-GAAP financial measures and should not be used in isolation or as a substitute for GasLog Partners’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III at the end of this press release.</w:t>
      </w:r>
    </w:p>
    <w:p>
      <w:pPr>
        <w:spacing w:after="0" w:line="1" w:lineRule="exact"/>
        <w:rPr>
          <w:rFonts w:ascii="Arial" w:cs="Arial" w:eastAsia="Arial" w:hAnsi="Arial"/>
          <w:sz w:val="19"/>
          <w:szCs w:val="19"/>
          <w:color w:val="auto"/>
          <w:vertAlign w:val="superscript"/>
        </w:rPr>
      </w:pPr>
    </w:p>
    <w:p>
      <w:pPr>
        <w:ind w:left="346" w:hanging="346"/>
        <w:spacing w:after="0" w:line="200" w:lineRule="auto"/>
        <w:tabs>
          <w:tab w:leader="none" w:pos="342" w:val="left"/>
        </w:tabs>
        <w:numPr>
          <w:ilvl w:val="0"/>
          <w:numId w:val="2"/>
        </w:numPr>
        <w:rPr>
          <w:rFonts w:ascii="Arial" w:cs="Arial" w:eastAsia="Arial" w:hAnsi="Arial"/>
          <w:sz w:val="19"/>
          <w:szCs w:val="19"/>
          <w:color w:val="auto"/>
          <w:vertAlign w:val="superscript"/>
        </w:rPr>
      </w:pPr>
      <w:r>
        <w:rPr>
          <w:rFonts w:ascii="Arial" w:cs="Arial" w:eastAsia="Arial" w:hAnsi="Arial"/>
          <w:sz w:val="15"/>
          <w:szCs w:val="15"/>
          <w:color w:val="auto"/>
        </w:rPr>
        <w:t>Partnership Performance Results represent the results attributable to GasLog Partners which are non-GAAP financial measures and should not be used in isolation or as a substitute for GasLog Partners’ financial results presented in accordance with IFRS. For the definitions and reconciliations of these measures to the most directly comparable financial measures calculated and presented in accordance with IFRS, please refer to Exhibit II at the end of this press release.</w:t>
      </w:r>
    </w:p>
    <w:p>
      <w:pPr>
        <w:spacing w:after="0" w:line="1" w:lineRule="exact"/>
        <w:rPr>
          <w:rFonts w:ascii="Arial" w:cs="Arial" w:eastAsia="Arial" w:hAnsi="Arial"/>
          <w:sz w:val="19"/>
          <w:szCs w:val="19"/>
          <w:color w:val="auto"/>
          <w:vertAlign w:val="superscript"/>
        </w:rPr>
      </w:pPr>
    </w:p>
    <w:p>
      <w:pPr>
        <w:ind w:left="346" w:right="120" w:hanging="346"/>
        <w:spacing w:after="0" w:line="192" w:lineRule="auto"/>
        <w:tabs>
          <w:tab w:leader="none" w:pos="342" w:val="left"/>
        </w:tabs>
        <w:numPr>
          <w:ilvl w:val="0"/>
          <w:numId w:val="2"/>
        </w:numPr>
        <w:rPr>
          <w:rFonts w:ascii="Arial" w:cs="Arial" w:eastAsia="Arial" w:hAnsi="Arial"/>
          <w:sz w:val="19"/>
          <w:szCs w:val="19"/>
          <w:color w:val="auto"/>
          <w:vertAlign w:val="superscript"/>
        </w:rPr>
      </w:pPr>
      <w:r>
        <w:rPr>
          <w:rFonts w:ascii="Arial" w:cs="Arial" w:eastAsia="Arial" w:hAnsi="Arial"/>
          <w:sz w:val="15"/>
          <w:szCs w:val="15"/>
          <w:color w:val="auto"/>
        </w:rPr>
        <w:t>Distribution coverage ratio represents the ratio of Distributable cash flow to the cash distribution declared. For the definition and reconciliation of Distributable cash flow to the most directly comparable financial measure calculated and presented in accordance with IFRS, please refer to Exhibit III at the end of this press release.</w:t>
      </w:r>
    </w:p>
    <w:p>
      <w:pPr>
        <w:ind w:left="346" w:right="40" w:hanging="346"/>
        <w:spacing w:after="0" w:line="223" w:lineRule="auto"/>
        <w:tabs>
          <w:tab w:leader="none" w:pos="342"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 xml:space="preserve">Adjusted distribution coverage ratio represents the ratio of Adjusted distributable cash flow to the cash distribution declared. Adjusted distributable cash flow is defined as Distributable cash flow after adjusting for the $1.4 million negative impact on revenues of the scheduled dry-docking of the </w:t>
      </w:r>
      <w:r>
        <w:rPr>
          <w:rFonts w:ascii="Arial" w:cs="Arial" w:eastAsia="Arial" w:hAnsi="Arial"/>
          <w:sz w:val="14"/>
          <w:szCs w:val="14"/>
          <w:i w:val="1"/>
          <w:iCs w:val="1"/>
          <w:color w:val="auto"/>
        </w:rPr>
        <w:t>GasLog Seattle</w:t>
      </w:r>
      <w:r>
        <w:rPr>
          <w:rFonts w:ascii="Arial" w:cs="Arial" w:eastAsia="Arial" w:hAnsi="Arial"/>
          <w:sz w:val="14"/>
          <w:szCs w:val="14"/>
          <w:color w:val="auto"/>
        </w:rPr>
        <w:t>. For the definition and reconciliation of Distributable cash flow to the most directly comparable financial measure calculated and presented in accordance with IFRS, please refer to Exhibit III at the end of this press release.</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9"/>
          <w:szCs w:val="19"/>
          <w:b w:val="1"/>
          <w:bCs w:val="1"/>
          <w:u w:val="single" w:color="auto"/>
          <w:color w:val="auto"/>
        </w:rPr>
        <w:t>CEO Statement</w:t>
      </w:r>
    </w:p>
    <w:p>
      <w:pPr>
        <w:spacing w:after="0" w:line="244" w:lineRule="exact"/>
        <w:rPr>
          <w:sz w:val="20"/>
          <w:szCs w:val="20"/>
          <w:color w:val="auto"/>
        </w:rPr>
      </w:pPr>
    </w:p>
    <w:p>
      <w:pPr>
        <w:jc w:val="both"/>
        <w:ind w:left="6"/>
        <w:spacing w:after="0" w:line="259" w:lineRule="auto"/>
        <w:rPr>
          <w:sz w:val="20"/>
          <w:szCs w:val="20"/>
          <w:color w:val="auto"/>
        </w:rPr>
      </w:pPr>
      <w:r>
        <w:rPr>
          <w:rFonts w:ascii="Arial" w:cs="Arial" w:eastAsia="Arial" w:hAnsi="Arial"/>
          <w:sz w:val="19"/>
          <w:szCs w:val="19"/>
          <w:color w:val="auto"/>
        </w:rPr>
        <w:t>Mr. Andrew Orekar, Chief Executive Officer, commented: “I am very pleased to present another strong operating and financial quarter for GasLog Partners, with our highest-ever quarterly and annual Partnership Performance Results for Revenues, Adjusted Profit, EBITDA and Distributable cash flow. During the fourth quarter, we completed our second acquisition of 2018 and raised $100.0 million of preferred equity in early November, which positions the Partnership to announce a further drop-down acquisition in the first quarter of 2019.</w:t>
      </w:r>
    </w:p>
    <w:p>
      <w:pPr>
        <w:spacing w:after="0" w:line="198" w:lineRule="exact"/>
        <w:rPr>
          <w:sz w:val="20"/>
          <w:szCs w:val="20"/>
          <w:color w:val="auto"/>
        </w:rPr>
      </w:pPr>
    </w:p>
    <w:p>
      <w:pPr>
        <w:ind w:left="6" w:right="220"/>
        <w:spacing w:after="0" w:line="298" w:lineRule="auto"/>
        <w:rPr>
          <w:sz w:val="20"/>
          <w:szCs w:val="20"/>
          <w:color w:val="auto"/>
        </w:rPr>
      </w:pPr>
      <w:r>
        <w:rPr>
          <w:rFonts w:ascii="Arial" w:cs="Arial" w:eastAsia="Arial" w:hAnsi="Arial"/>
          <w:sz w:val="17"/>
          <w:szCs w:val="17"/>
          <w:color w:val="auto"/>
        </w:rPr>
        <w:t>2018 was a transformative year for GasLog Partners. We successfully reduced our expected cost of capital by modifying our IDR structure, diversified our customer base through multi-year charters with two new, high quality customers, issued over $320.0 million in equity capital for growth, retired $185.0 million of debt, reduced unit operating costs and completed two vessel acquisitions, increasing the Partnership’s wholly owned fleet to 14 LNG carriers. Following these actions, we are increasing our cash distribution to $0.55 per unit for the fourth quarter, meeting our guidance of 5% to 7% growth in 2018.</w:t>
      </w:r>
    </w:p>
    <w:p>
      <w:pPr>
        <w:spacing w:after="0" w:line="170" w:lineRule="exact"/>
        <w:rPr>
          <w:sz w:val="20"/>
          <w:szCs w:val="20"/>
          <w:color w:val="auto"/>
        </w:rPr>
      </w:pPr>
    </w:p>
    <w:p>
      <w:pPr>
        <w:ind w:left="6" w:right="40"/>
        <w:spacing w:after="0" w:line="272" w:lineRule="auto"/>
        <w:rPr>
          <w:sz w:val="20"/>
          <w:szCs w:val="20"/>
          <w:color w:val="auto"/>
        </w:rPr>
      </w:pPr>
      <w:r>
        <w:rPr>
          <w:rFonts w:ascii="Arial" w:cs="Arial" w:eastAsia="Arial" w:hAnsi="Arial"/>
          <w:sz w:val="18"/>
          <w:szCs w:val="18"/>
          <w:color w:val="auto"/>
        </w:rPr>
        <w:t>While we consider 2018 to have been a very successful year, the last few months have seen significant volatility in the unit prices of the Partnership’s equity securities, which we feel does not reflect our track record of operational and financial delivery, consistent annual distribution growth and the positive outlook for LNG shipping markets. In keeping with our focus on total unitholder returns, today we are announcing a $25.0 million unit buyback authorization, under which we may, from time to time, repurchase our common units in the open market or in privately negotiated transactions. In addition, we are reiterating our year-on-year distribution growth guidance of 2% to 4% in 2019. Our guidance reflects the positive outlook for the LNG shipping market, our two accretive acquisitions completed in 2018, and continued access to capital to fund drop-down</w:t>
      </w:r>
    </w:p>
    <w:p>
      <w:pPr>
        <w:sectPr>
          <w:pgSz w:w="12240" w:h="15840" w:orient="portrait"/>
          <w:cols w:equalWidth="0" w:num="1">
            <w:col w:w="12006"/>
          </w:cols>
          <w:pgMar w:left="114" w:top="0" w:right="120" w:bottom="1440" w:gutter="0" w:footer="0" w:header="0"/>
        </w:sectPr>
      </w:pPr>
    </w:p>
    <w:p>
      <w:pPr>
        <w:spacing w:after="0" w:line="190" w:lineRule="exact"/>
        <w:rPr>
          <w:sz w:val="20"/>
          <w:szCs w:val="20"/>
          <w:color w:val="auto"/>
        </w:rPr>
      </w:pPr>
    </w:p>
    <w:p>
      <w:pPr>
        <w:jc w:val="center"/>
        <w:ind w:right="-5"/>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122555</wp:posOffset>
            </wp:positionV>
            <wp:extent cx="7646670" cy="31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0" w:right="120" w:bottom="1440" w:gutter="0" w:footer="0" w:header="0"/>
          <w:type w:val="continuous"/>
        </w:sectPr>
      </w:pPr>
    </w:p>
    <w:bookmarkStart w:id="4" w:name="page5"/>
    <w:bookmarkEnd w:id="4"/>
    <w:p>
      <w:pPr>
        <w:spacing w:after="0"/>
        <w:rPr>
          <w:sz w:val="20"/>
          <w:szCs w:val="20"/>
          <w:color w:val="auto"/>
        </w:rPr>
      </w:pPr>
      <w:r>
        <w:rPr>
          <w:rFonts w:ascii="Arial" w:cs="Arial" w:eastAsia="Arial" w:hAnsi="Arial"/>
          <w:sz w:val="19"/>
          <w:szCs w:val="19"/>
          <w:color w:val="auto"/>
        </w:rPr>
        <w:t>acquisitions, while also considering our two scheduled dry-dockings and one vessel coming off charter in late 2019.”</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 xml:space="preserve">Acquisition of the </w:t>
      </w:r>
      <w:r>
        <w:rPr>
          <w:rFonts w:ascii="Arial" w:cs="Arial" w:eastAsia="Arial" w:hAnsi="Arial"/>
          <w:sz w:val="19"/>
          <w:szCs w:val="19"/>
          <w:b w:val="1"/>
          <w:bCs w:val="1"/>
          <w:i w:val="1"/>
          <w:iCs w:val="1"/>
          <w:u w:val="single" w:color="auto"/>
          <w:color w:val="auto"/>
        </w:rPr>
        <w:t>Methane Becki Anne</w:t>
      </w:r>
    </w:p>
    <w:p>
      <w:pPr>
        <w:spacing w:after="0" w:line="244" w:lineRule="exact"/>
        <w:rPr>
          <w:sz w:val="20"/>
          <w:szCs w:val="20"/>
          <w:color w:val="auto"/>
        </w:rPr>
      </w:pPr>
    </w:p>
    <w:p>
      <w:pPr>
        <w:ind w:right="140"/>
        <w:spacing w:after="0" w:line="259" w:lineRule="auto"/>
        <w:rPr>
          <w:sz w:val="20"/>
          <w:szCs w:val="20"/>
          <w:color w:val="auto"/>
        </w:rPr>
      </w:pPr>
      <w:r>
        <w:rPr>
          <w:rFonts w:ascii="Arial" w:cs="Arial" w:eastAsia="Arial" w:hAnsi="Arial"/>
          <w:sz w:val="19"/>
          <w:szCs w:val="19"/>
          <w:color w:val="auto"/>
        </w:rPr>
        <w:t xml:space="preserve">On November 14, 2018, GasLog Partners acquired 100% of the shares in the entity that owns and charters the </w:t>
      </w:r>
      <w:r>
        <w:rPr>
          <w:rFonts w:ascii="Arial" w:cs="Arial" w:eastAsia="Arial" w:hAnsi="Arial"/>
          <w:sz w:val="19"/>
          <w:szCs w:val="19"/>
          <w:i w:val="1"/>
          <w:iCs w:val="1"/>
          <w:color w:val="auto"/>
        </w:rPr>
        <w:t>Methane Becki Anne</w:t>
      </w:r>
      <w:r>
        <w:rPr>
          <w:rFonts w:ascii="Arial" w:cs="Arial" w:eastAsia="Arial" w:hAnsi="Arial"/>
          <w:sz w:val="19"/>
          <w:szCs w:val="19"/>
          <w:color w:val="auto"/>
        </w:rPr>
        <w:t xml:space="preserve"> to Shell. The </w:t>
      </w:r>
      <w:r>
        <w:rPr>
          <w:rFonts w:ascii="Arial" w:cs="Arial" w:eastAsia="Arial" w:hAnsi="Arial"/>
          <w:sz w:val="19"/>
          <w:szCs w:val="19"/>
          <w:i w:val="1"/>
          <w:iCs w:val="1"/>
          <w:color w:val="auto"/>
        </w:rPr>
        <w:t>Methane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Becki Anne </w:t>
      </w:r>
      <w:r>
        <w:rPr>
          <w:rFonts w:ascii="Arial" w:cs="Arial" w:eastAsia="Arial" w:hAnsi="Arial"/>
          <w:sz w:val="19"/>
          <w:szCs w:val="19"/>
          <w:color w:val="auto"/>
        </w:rPr>
        <w:t>is a 170,000 cubic meter (“cbm”) tri-fuel diesel electric (“TFDE”) LNG carrier built in 2010 and technically managed by GasLog since delivery.</w:t>
      </w:r>
      <w:r>
        <w:rPr>
          <w:rFonts w:ascii="Arial" w:cs="Arial" w:eastAsia="Arial" w:hAnsi="Arial"/>
          <w:sz w:val="19"/>
          <w:szCs w:val="19"/>
          <w:i w:val="1"/>
          <w:iCs w:val="1"/>
          <w:color w:val="auto"/>
        </w:rPr>
        <w:t xml:space="preserve"> </w:t>
      </w:r>
      <w:r>
        <w:rPr>
          <w:rFonts w:ascii="Arial" w:cs="Arial" w:eastAsia="Arial" w:hAnsi="Arial"/>
          <w:sz w:val="19"/>
          <w:szCs w:val="19"/>
          <w:color w:val="auto"/>
        </w:rPr>
        <w:t>The vessel is currently on a multi-year time charter with a subsidiary of Shell through March 2024 and Shell has a unilateral option to extend the term of the time charter for a period of either three or five years.</w:t>
      </w:r>
    </w:p>
    <w:p>
      <w:pPr>
        <w:spacing w:after="0" w:line="198"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 xml:space="preserve">The aggregate purchase price for the acquisition was $207.4 million, which included $1.0 million for positive net working capital balances to be transferred with the vessel and is approximately equal to the vessel’s net book value. GasLog Partners financed the acquisition with cash on hand, plus the assumption of the </w:t>
      </w:r>
      <w:r>
        <w:rPr>
          <w:rFonts w:ascii="Arial" w:cs="Arial" w:eastAsia="Arial" w:hAnsi="Arial"/>
          <w:sz w:val="19"/>
          <w:szCs w:val="19"/>
          <w:i w:val="1"/>
          <w:iCs w:val="1"/>
          <w:color w:val="auto"/>
        </w:rPr>
        <w:t>Methane Becki Anne’s</w:t>
      </w:r>
      <w:r>
        <w:rPr>
          <w:rFonts w:ascii="Arial" w:cs="Arial" w:eastAsia="Arial" w:hAnsi="Arial"/>
          <w:sz w:val="19"/>
          <w:szCs w:val="19"/>
          <w:color w:val="auto"/>
        </w:rPr>
        <w:t xml:space="preserve"> outstanding indebtedness of $93.9 million.</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Issuance of Series C Preference Units</w:t>
      </w:r>
    </w:p>
    <w:p>
      <w:pPr>
        <w:spacing w:after="0" w:line="244"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On November 15, 2018, GasLog Partners completed a public offering of 4,000,000 8.500% Series C Preference Units, liquidation preference $25.00 per unit, at a price to the public of $25.00 per preference unit. The net proceeds from the offering after deducting underwriting discounts, commissions and other offering expenses were $96.3 million. The Series C Preference Units are listed on the New York Stock Exchange under the symbol “GLOP PR C”. The initial distribution on the Series C Preference Units will be payable on March 15, 2019.</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IDRs Modification</w:t>
      </w:r>
    </w:p>
    <w:p>
      <w:pPr>
        <w:spacing w:after="0" w:line="244"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On November 27, 2018, GasLog and GasLog Partners entered into an agreement to modify the Partnership Agreement with respect to GasLog’s IDRs. The modification reduces GasLog’s IDRs on quarterly distributions above $0.5625 per unit from 48% to 23%. GasLog has further agreed to waive IDR payments resulting from any asset or business acquired by GasLog Partners from a third party. In exchange for these modifications, the Partnership paid $25.0 million to GasLog which was sourced from available cash.</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Unit Repurchase Programme</w:t>
      </w:r>
    </w:p>
    <w:p>
      <w:pPr>
        <w:spacing w:after="0" w:line="244" w:lineRule="exact"/>
        <w:rPr>
          <w:sz w:val="20"/>
          <w:szCs w:val="20"/>
          <w:color w:val="auto"/>
        </w:rPr>
      </w:pPr>
    </w:p>
    <w:p>
      <w:pPr>
        <w:ind w:right="320"/>
        <w:spacing w:after="0" w:line="274" w:lineRule="auto"/>
        <w:rPr>
          <w:sz w:val="20"/>
          <w:szCs w:val="20"/>
          <w:color w:val="auto"/>
        </w:rPr>
      </w:pPr>
      <w:r>
        <w:rPr>
          <w:rFonts w:ascii="Arial" w:cs="Arial" w:eastAsia="Arial" w:hAnsi="Arial"/>
          <w:sz w:val="18"/>
          <w:szCs w:val="18"/>
          <w:color w:val="auto"/>
        </w:rPr>
        <w:t>On January 29, 2019, the board of directors of GasLog Partners authorized a unit repurchase programme of up to $25.0 million covering the period January 31, 2019 to December 31, 2021. Under the terms of the repurchase programme, we may repurchase common units from time to time, at our discretion, on the open market or in privately negotiated transactions. Any repurchases are subject to market conditions, applicable legal requirements and other considerations. We are not obligated under the repurchase programme to repurchase any specific dollar amount or number of common units, and the repurchase programme may be modified, suspended or discontinued at any time or never utilized.</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ATM Programme</w:t>
      </w:r>
    </w:p>
    <w:p>
      <w:pPr>
        <w:spacing w:after="0" w:line="244" w:lineRule="exact"/>
        <w:rPr>
          <w:sz w:val="20"/>
          <w:szCs w:val="20"/>
          <w:color w:val="auto"/>
        </w:rPr>
      </w:pPr>
    </w:p>
    <w:p>
      <w:pPr>
        <w:ind w:right="180"/>
        <w:spacing w:after="0" w:line="256" w:lineRule="auto"/>
        <w:rPr>
          <w:sz w:val="20"/>
          <w:szCs w:val="20"/>
          <w:color w:val="auto"/>
        </w:rPr>
      </w:pPr>
      <w:r>
        <w:rPr>
          <w:rFonts w:ascii="Arial" w:cs="Arial" w:eastAsia="Arial" w:hAnsi="Arial"/>
          <w:sz w:val="19"/>
          <w:szCs w:val="19"/>
          <w:color w:val="auto"/>
        </w:rPr>
        <w:t>On May 16, 2017, GasLog Partners commenced an ATM Programme under which the Partnership may, from time to time, raise equity through the issuance and sale of new common units having an aggregate offering price of up to $100.0 million in accordance with the terms of an equity distribution agreement entered into on the same date. Citigroup Global Markets Inc., Merrill Lynch, Pierce, Fenner &amp; Smith Incorporated, Credit Suisse Securities (USA) LLC and Morgan Stanley &amp; Co. LLC agreed to act as sales agents. On November 3, 2017, the size of the ATM Programme was increased to $144.0 million and UBS Securities LLC was included as a sales agent.</w:t>
      </w:r>
    </w:p>
    <w:p>
      <w:pPr>
        <w:spacing w:after="0" w:line="204"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During the fourth quarter of 2018, GasLog Partners issued and received payment for 259,104 common units at a weighted average price of $24.06 per common unit for total gross proceeds of $6.2 million and net proceeds of $6.0 million, after broker commissions of $0.1 million and other expenses of $0.1 million. In connection with the issuance of common units under the ATM Programme during this period, the Partnership also issued 5,288 general partner units to its general partner in order for GasLog to retain its 2.0% general partner interest. The net proceeds from the issuance of the general partner units were $0.1 million.</w:t>
      </w:r>
    </w:p>
    <w:p>
      <w:pPr>
        <w:spacing w:after="0" w:line="204"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Since the commencement of the ATM Programme through December 31, 2018, GasLog Partners has issued and received payment for a total of 5,291,304 common units, with cumulative gross proceeds of $123.4 million at a weighted average price of $23.33 per unit. In connection with the issuance of common units under the ATM Programme during this period, the Partnership also issued 107,987 general partner units to its general partner. The net proceeds from the issuance of the general partner units were $2.5 million.</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Financial Summary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5"/>
          </w:tcPr>
          <w:p>
            <w:pPr>
              <w:ind w:left="140"/>
              <w:spacing w:after="0"/>
              <w:rPr>
                <w:sz w:val="20"/>
                <w:szCs w:val="20"/>
                <w:color w:val="auto"/>
              </w:rPr>
            </w:pPr>
            <w:r>
              <w:rPr>
                <w:rFonts w:ascii="Arial" w:cs="Arial" w:eastAsia="Arial" w:hAnsi="Arial"/>
                <w:sz w:val="15"/>
                <w:szCs w:val="15"/>
                <w:b w:val="1"/>
                <w:bCs w:val="1"/>
                <w:color w:val="auto"/>
                <w:w w:val="94"/>
              </w:rPr>
              <w:t>IFRS Common Control Reported Results</w:t>
            </w:r>
            <w:r>
              <w:rPr>
                <w:rFonts w:ascii="Arial" w:cs="Arial" w:eastAsia="Arial" w:hAnsi="Arial"/>
                <w:sz w:val="18"/>
                <w:szCs w:val="18"/>
                <w:b w:val="1"/>
                <w:bCs w:val="1"/>
                <w:color w:val="auto"/>
                <w:w w:val="94"/>
                <w:vertAlign w:val="superscript"/>
              </w:rPr>
              <w:t>(1)</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240" w:type="dxa"/>
            <w:vAlign w:val="bottom"/>
            <w:gridSpan w:val="2"/>
            <w:vMerge w:val="restart"/>
          </w:tcPr>
          <w:p>
            <w:pPr>
              <w:spacing w:after="0"/>
              <w:rPr>
                <w:sz w:val="20"/>
                <w:szCs w:val="20"/>
                <w:color w:val="auto"/>
              </w:rPr>
            </w:pPr>
            <w:r>
              <w:rPr>
                <w:rFonts w:ascii="Arial" w:cs="Arial" w:eastAsia="Arial" w:hAnsi="Arial"/>
                <w:sz w:val="15"/>
                <w:szCs w:val="15"/>
                <w:b w:val="1"/>
                <w:bCs w:val="1"/>
                <w:i w:val="1"/>
                <w:iCs w:val="1"/>
                <w:color w:val="auto"/>
              </w:rPr>
              <w:t>(All amounts expressed in</w:t>
            </w:r>
          </w:p>
        </w:tc>
        <w:tc>
          <w:tcPr>
            <w:tcW w:w="4420" w:type="dxa"/>
            <w:vAlign w:val="bottom"/>
            <w:gridSpan w:val="7"/>
          </w:tcPr>
          <w:p>
            <w:pPr>
              <w:jc w:val="center"/>
              <w:ind w:right="300"/>
              <w:spacing w:after="0" w:line="151" w:lineRule="exact"/>
              <w:rPr>
                <w:sz w:val="20"/>
                <w:szCs w:val="20"/>
                <w:color w:val="auto"/>
              </w:rPr>
            </w:pPr>
            <w:r>
              <w:rPr>
                <w:rFonts w:ascii="Arial" w:cs="Arial" w:eastAsia="Arial" w:hAnsi="Arial"/>
                <w:sz w:val="15"/>
                <w:szCs w:val="15"/>
                <w:b w:val="1"/>
                <w:bCs w:val="1"/>
                <w:color w:val="auto"/>
                <w:w w:val="90"/>
              </w:rPr>
              <w:t>For the three months ended</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tcPr>
          <w:p>
            <w:pPr>
              <w:jc w:val="center"/>
              <w:ind w:right="120"/>
              <w:spacing w:after="0" w:line="151" w:lineRule="exact"/>
              <w:rPr>
                <w:sz w:val="20"/>
                <w:szCs w:val="20"/>
                <w:color w:val="auto"/>
              </w:rPr>
            </w:pPr>
            <w:r>
              <w:rPr>
                <w:rFonts w:ascii="Arial" w:cs="Arial" w:eastAsia="Arial" w:hAnsi="Arial"/>
                <w:sz w:val="15"/>
                <w:szCs w:val="15"/>
                <w:b w:val="1"/>
                <w:bCs w:val="1"/>
                <w:color w:val="auto"/>
                <w:w w:val="90"/>
              </w:rPr>
              <w:t>For the year ended</w:t>
            </w: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240" w:type="dxa"/>
            <w:vAlign w:val="bottom"/>
            <w:gridSpan w:val="2"/>
            <w:vMerge w:val="continue"/>
          </w:tcPr>
          <w:p>
            <w:pPr>
              <w:spacing w:after="0"/>
              <w:rPr>
                <w:sz w:val="11"/>
                <w:szCs w:val="11"/>
                <w:color w:val="auto"/>
              </w:rPr>
            </w:pPr>
          </w:p>
        </w:tc>
        <w:tc>
          <w:tcPr>
            <w:tcW w:w="1460" w:type="dxa"/>
            <w:vAlign w:val="bottom"/>
            <w:tcBorders>
              <w:top w:val="single" w:sz="8" w:color="auto"/>
            </w:tcBorders>
            <w:gridSpan w:val="2"/>
          </w:tcPr>
          <w:p>
            <w:pPr>
              <w:ind w:left="180"/>
              <w:spacing w:after="0" w:line="128" w:lineRule="exact"/>
              <w:rPr>
                <w:sz w:val="20"/>
                <w:szCs w:val="20"/>
                <w:color w:val="auto"/>
              </w:rPr>
            </w:pPr>
            <w:r>
              <w:rPr>
                <w:rFonts w:ascii="Arial" w:cs="Arial" w:eastAsia="Arial" w:hAnsi="Arial"/>
                <w:sz w:val="14"/>
                <w:szCs w:val="14"/>
                <w:b w:val="1"/>
                <w:bCs w:val="1"/>
                <w:color w:val="auto"/>
              </w:rPr>
              <w:t>December 31,</w:t>
            </w:r>
          </w:p>
        </w:tc>
        <w:tc>
          <w:tcPr>
            <w:tcW w:w="1240" w:type="dxa"/>
            <w:vAlign w:val="bottom"/>
            <w:tcBorders>
              <w:top w:val="single" w:sz="8" w:color="auto"/>
            </w:tcBorders>
            <w:gridSpan w:val="2"/>
          </w:tcPr>
          <w:p>
            <w:pPr>
              <w:jc w:val="center"/>
              <w:ind w:right="40"/>
              <w:spacing w:after="0" w:line="128" w:lineRule="exact"/>
              <w:rPr>
                <w:sz w:val="20"/>
                <w:szCs w:val="20"/>
                <w:color w:val="auto"/>
              </w:rPr>
            </w:pPr>
            <w:r>
              <w:rPr>
                <w:rFonts w:ascii="Arial" w:cs="Arial" w:eastAsia="Arial" w:hAnsi="Arial"/>
                <w:sz w:val="14"/>
                <w:szCs w:val="14"/>
                <w:b w:val="1"/>
                <w:bCs w:val="1"/>
                <w:color w:val="auto"/>
                <w:w w:val="96"/>
              </w:rPr>
              <w:t>December 31,</w:t>
            </w: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Borders>
              <w:top w:val="single" w:sz="8" w:color="auto"/>
            </w:tcBorders>
            <w:gridSpan w:val="2"/>
          </w:tcPr>
          <w:p>
            <w:pPr>
              <w:ind w:left="140"/>
              <w:spacing w:after="0" w:line="128" w:lineRule="exact"/>
              <w:rPr>
                <w:sz w:val="20"/>
                <w:szCs w:val="20"/>
                <w:color w:val="auto"/>
              </w:rPr>
            </w:pPr>
            <w:r>
              <w:rPr>
                <w:rFonts w:ascii="Arial" w:cs="Arial" w:eastAsia="Arial" w:hAnsi="Arial"/>
                <w:sz w:val="14"/>
                <w:szCs w:val="14"/>
                <w:b w:val="1"/>
                <w:bCs w:val="1"/>
                <w:color w:val="auto"/>
              </w:rPr>
              <w:t>December 31,</w:t>
            </w:r>
          </w:p>
        </w:tc>
        <w:tc>
          <w:tcPr>
            <w:tcW w:w="1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220"/>
              <w:spacing w:after="0" w:line="128" w:lineRule="exact"/>
              <w:rPr>
                <w:sz w:val="20"/>
                <w:szCs w:val="20"/>
                <w:color w:val="auto"/>
              </w:rPr>
            </w:pPr>
            <w:r>
              <w:rPr>
                <w:rFonts w:ascii="Arial" w:cs="Arial" w:eastAsia="Arial" w:hAnsi="Arial"/>
                <w:sz w:val="14"/>
                <w:szCs w:val="14"/>
                <w:b w:val="1"/>
                <w:bCs w:val="1"/>
                <w:color w:val="auto"/>
                <w:w w:val="96"/>
              </w:rPr>
              <w:t>December 31,</w:t>
            </w:r>
          </w:p>
        </w:tc>
        <w:tc>
          <w:tcPr>
            <w:tcW w:w="12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0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i w:val="1"/>
                <w:iCs w:val="1"/>
                <w:color w:val="auto"/>
              </w:rPr>
              <w:t>thousands of U.S. dollars)</w:t>
            </w:r>
          </w:p>
        </w:tc>
        <w:tc>
          <w:tcPr>
            <w:tcW w:w="2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5"/>
                <w:szCs w:val="15"/>
                <w:b w:val="1"/>
                <w:bCs w:val="1"/>
                <w:color w:val="auto"/>
              </w:rPr>
              <w:t>2017</w:t>
            </w:r>
          </w:p>
        </w:tc>
        <w:tc>
          <w:tcPr>
            <w:tcW w:w="2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2018</w:t>
            </w: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 change</w:t>
            </w:r>
          </w:p>
        </w:tc>
        <w:tc>
          <w:tcPr>
            <w:tcW w:w="3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5"/>
                <w:szCs w:val="15"/>
                <w:b w:val="1"/>
                <w:bCs w:val="1"/>
                <w:color w:val="auto"/>
              </w:rPr>
              <w:t>2017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2018</w:t>
            </w:r>
          </w:p>
        </w:tc>
        <w:tc>
          <w:tcPr>
            <w:tcW w:w="2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 change</w:t>
            </w:r>
          </w:p>
        </w:tc>
        <w:tc>
          <w:tcPr>
            <w:tcW w:w="30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000" w:type="dxa"/>
            <w:vAlign w:val="bottom"/>
            <w:shd w:val="clear" w:color="auto" w:fill="CCEEFF"/>
          </w:tcPr>
          <w:p>
            <w:pPr>
              <w:spacing w:after="0"/>
              <w:rPr>
                <w:sz w:val="20"/>
                <w:szCs w:val="20"/>
                <w:color w:val="auto"/>
              </w:rPr>
            </w:pPr>
            <w:r>
              <w:rPr>
                <w:rFonts w:ascii="Arial" w:cs="Arial" w:eastAsia="Arial" w:hAnsi="Arial"/>
                <w:sz w:val="19"/>
                <w:szCs w:val="19"/>
                <w:color w:val="auto"/>
              </w:rPr>
              <w:t>Revenues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92,388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86,847</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(6)%</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371,146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352,541</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240" w:type="dxa"/>
            <w:vAlign w:val="bottom"/>
            <w:gridSpan w:val="2"/>
          </w:tcPr>
          <w:p>
            <w:pPr>
              <w:spacing w:after="0"/>
              <w:rPr>
                <w:sz w:val="20"/>
                <w:szCs w:val="20"/>
                <w:color w:val="auto"/>
              </w:rPr>
            </w:pPr>
            <w:r>
              <w:rPr>
                <w:rFonts w:ascii="Arial" w:cs="Arial" w:eastAsia="Arial" w:hAnsi="Arial"/>
                <w:sz w:val="19"/>
                <w:szCs w:val="19"/>
                <w:color w:val="auto"/>
              </w:rPr>
              <w:t>Profit</w:t>
            </w:r>
          </w:p>
        </w:tc>
        <w:tc>
          <w:tcPr>
            <w:tcW w:w="1460" w:type="dxa"/>
            <w:vAlign w:val="bottom"/>
            <w:gridSpan w:val="2"/>
          </w:tcPr>
          <w:p>
            <w:pPr>
              <w:jc w:val="right"/>
              <w:ind w:right="240"/>
              <w:spacing w:after="0"/>
              <w:rPr>
                <w:sz w:val="20"/>
                <w:szCs w:val="20"/>
                <w:color w:val="auto"/>
              </w:rPr>
            </w:pPr>
            <w:r>
              <w:rPr>
                <w:rFonts w:ascii="Arial" w:cs="Arial" w:eastAsia="Arial" w:hAnsi="Arial"/>
                <w:sz w:val="19"/>
                <w:szCs w:val="19"/>
                <w:color w:val="auto"/>
              </w:rPr>
              <w:t>34,447</w:t>
            </w:r>
          </w:p>
        </w:tc>
        <w:tc>
          <w:tcPr>
            <w:tcW w:w="1240" w:type="dxa"/>
            <w:vAlign w:val="bottom"/>
            <w:gridSpan w:val="2"/>
          </w:tcPr>
          <w:p>
            <w:pPr>
              <w:jc w:val="right"/>
              <w:ind w:right="20"/>
              <w:spacing w:after="0"/>
              <w:rPr>
                <w:sz w:val="20"/>
                <w:szCs w:val="20"/>
                <w:color w:val="auto"/>
              </w:rPr>
            </w:pPr>
            <w:r>
              <w:rPr>
                <w:rFonts w:ascii="Arial" w:cs="Arial" w:eastAsia="Arial" w:hAnsi="Arial"/>
                <w:sz w:val="19"/>
                <w:szCs w:val="19"/>
                <w:color w:val="auto"/>
              </w:rPr>
              <w:t>21,836</w:t>
            </w:r>
          </w:p>
        </w:tc>
        <w:tc>
          <w:tcPr>
            <w:tcW w:w="1720" w:type="dxa"/>
            <w:vAlign w:val="bottom"/>
            <w:gridSpan w:val="3"/>
          </w:tcPr>
          <w:p>
            <w:pPr>
              <w:jc w:val="right"/>
              <w:ind w:right="80"/>
              <w:spacing w:after="0"/>
              <w:rPr>
                <w:sz w:val="20"/>
                <w:szCs w:val="20"/>
                <w:color w:val="auto"/>
              </w:rPr>
            </w:pPr>
            <w:r>
              <w:rPr>
                <w:rFonts w:ascii="Arial" w:cs="Arial" w:eastAsia="Arial" w:hAnsi="Arial"/>
                <w:sz w:val="19"/>
                <w:szCs w:val="19"/>
                <w:color w:val="auto"/>
              </w:rPr>
              <w:t>(37)%</w:t>
            </w:r>
          </w:p>
        </w:tc>
        <w:tc>
          <w:tcPr>
            <w:tcW w:w="1200" w:type="dxa"/>
            <w:vAlign w:val="bottom"/>
          </w:tcPr>
          <w:p>
            <w:pPr>
              <w:jc w:val="right"/>
              <w:spacing w:after="0"/>
              <w:rPr>
                <w:sz w:val="20"/>
                <w:szCs w:val="20"/>
                <w:color w:val="auto"/>
              </w:rPr>
            </w:pPr>
            <w:r>
              <w:rPr>
                <w:rFonts w:ascii="Arial" w:cs="Arial" w:eastAsia="Arial" w:hAnsi="Arial"/>
                <w:sz w:val="19"/>
                <w:szCs w:val="19"/>
                <w:color w:val="auto"/>
              </w:rPr>
              <w:t>134,745</w:t>
            </w:r>
          </w:p>
        </w:tc>
        <w:tc>
          <w:tcPr>
            <w:tcW w:w="100" w:type="dxa"/>
            <w:vAlign w:val="bottom"/>
          </w:tcPr>
          <w:p>
            <w:pPr>
              <w:spacing w:after="0"/>
              <w:rPr>
                <w:sz w:val="19"/>
                <w:szCs w:val="19"/>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9"/>
                <w:szCs w:val="19"/>
                <w:color w:val="auto"/>
              </w:rPr>
              <w:t>115,513</w:t>
            </w:r>
          </w:p>
        </w:tc>
        <w:tc>
          <w:tcPr>
            <w:tcW w:w="1500" w:type="dxa"/>
            <w:vAlign w:val="bottom"/>
            <w:gridSpan w:val="2"/>
          </w:tcPr>
          <w:p>
            <w:pPr>
              <w:jc w:val="right"/>
              <w:ind w:right="80"/>
              <w:spacing w:after="0"/>
              <w:rPr>
                <w:sz w:val="20"/>
                <w:szCs w:val="20"/>
                <w:color w:val="auto"/>
              </w:rPr>
            </w:pPr>
            <w:r>
              <w:rPr>
                <w:rFonts w:ascii="Arial" w:cs="Arial" w:eastAsia="Arial" w:hAnsi="Arial"/>
                <w:sz w:val="19"/>
                <w:szCs w:val="19"/>
                <w:color w:val="auto"/>
              </w:rPr>
              <w:t>(14)%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240" w:type="dxa"/>
            <w:vAlign w:val="bottom"/>
            <w:gridSpan w:val="2"/>
            <w:shd w:val="clear" w:color="auto" w:fill="CCEEFF"/>
          </w:tcPr>
          <w:p>
            <w:pPr>
              <w:spacing w:after="0" w:line="228" w:lineRule="exact"/>
              <w:rPr>
                <w:sz w:val="20"/>
                <w:szCs w:val="20"/>
                <w:color w:val="auto"/>
              </w:rPr>
            </w:pPr>
            <w:r>
              <w:rPr>
                <w:rFonts w:ascii="Arial" w:cs="Arial" w:eastAsia="Arial" w:hAnsi="Arial"/>
                <w:sz w:val="19"/>
                <w:szCs w:val="19"/>
                <w:color w:val="auto"/>
              </w:rPr>
              <w:t>Adjusted Profit</w:t>
            </w:r>
            <w:r>
              <w:rPr>
                <w:rFonts w:ascii="Arial" w:cs="Arial" w:eastAsia="Arial" w:hAnsi="Arial"/>
                <w:sz w:val="24"/>
                <w:szCs w:val="24"/>
                <w:color w:val="auto"/>
                <w:vertAlign w:val="superscript"/>
              </w:rPr>
              <w:t>(2)</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31,092</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32,271</w:t>
            </w:r>
          </w:p>
        </w:tc>
        <w:tc>
          <w:tcPr>
            <w:tcW w:w="172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color w:val="auto"/>
              </w:rPr>
              <w:t>4%</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133,165</w:t>
            </w:r>
          </w:p>
        </w:tc>
        <w:tc>
          <w:tcPr>
            <w:tcW w:w="1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9"/>
                <w:szCs w:val="19"/>
                <w:color w:val="auto"/>
              </w:rPr>
              <w:t>117,824</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3240" w:type="dxa"/>
            <w:vAlign w:val="bottom"/>
            <w:gridSpan w:val="2"/>
          </w:tcPr>
          <w:p>
            <w:pPr>
              <w:spacing w:after="0"/>
              <w:rPr>
                <w:sz w:val="20"/>
                <w:szCs w:val="20"/>
                <w:color w:val="auto"/>
              </w:rPr>
            </w:pPr>
            <w:r>
              <w:rPr>
                <w:rFonts w:ascii="Arial" w:cs="Arial" w:eastAsia="Arial" w:hAnsi="Arial"/>
                <w:sz w:val="19"/>
                <w:szCs w:val="19"/>
                <w:color w:val="auto"/>
              </w:rPr>
              <w:t>EBITDA</w:t>
            </w:r>
            <w:r>
              <w:rPr>
                <w:rFonts w:ascii="Arial" w:cs="Arial" w:eastAsia="Arial" w:hAnsi="Arial"/>
                <w:sz w:val="24"/>
                <w:szCs w:val="24"/>
                <w:color w:val="auto"/>
                <w:vertAlign w:val="superscript"/>
              </w:rPr>
              <w:t>(2)</w:t>
            </w:r>
          </w:p>
        </w:tc>
        <w:tc>
          <w:tcPr>
            <w:tcW w:w="1460" w:type="dxa"/>
            <w:vAlign w:val="bottom"/>
            <w:gridSpan w:val="2"/>
          </w:tcPr>
          <w:p>
            <w:pPr>
              <w:jc w:val="right"/>
              <w:ind w:right="240"/>
              <w:spacing w:after="0"/>
              <w:rPr>
                <w:sz w:val="20"/>
                <w:szCs w:val="20"/>
                <w:color w:val="auto"/>
              </w:rPr>
            </w:pPr>
            <w:r>
              <w:rPr>
                <w:rFonts w:ascii="Arial" w:cs="Arial" w:eastAsia="Arial" w:hAnsi="Arial"/>
                <w:sz w:val="19"/>
                <w:szCs w:val="19"/>
                <w:color w:val="auto"/>
              </w:rPr>
              <w:t>67,750</w:t>
            </w:r>
          </w:p>
        </w:tc>
        <w:tc>
          <w:tcPr>
            <w:tcW w:w="1240" w:type="dxa"/>
            <w:vAlign w:val="bottom"/>
            <w:gridSpan w:val="2"/>
          </w:tcPr>
          <w:p>
            <w:pPr>
              <w:jc w:val="right"/>
              <w:ind w:right="20"/>
              <w:spacing w:after="0"/>
              <w:rPr>
                <w:sz w:val="20"/>
                <w:szCs w:val="20"/>
                <w:color w:val="auto"/>
              </w:rPr>
            </w:pPr>
            <w:r>
              <w:rPr>
                <w:rFonts w:ascii="Arial" w:cs="Arial" w:eastAsia="Arial" w:hAnsi="Arial"/>
                <w:sz w:val="19"/>
                <w:szCs w:val="19"/>
                <w:color w:val="auto"/>
              </w:rPr>
              <w:t>68,662</w:t>
            </w:r>
          </w:p>
        </w:tc>
        <w:tc>
          <w:tcPr>
            <w:tcW w:w="1720" w:type="dxa"/>
            <w:vAlign w:val="bottom"/>
            <w:gridSpan w:val="3"/>
          </w:tcPr>
          <w:p>
            <w:pPr>
              <w:jc w:val="right"/>
              <w:ind w:right="140"/>
              <w:spacing w:after="0"/>
              <w:rPr>
                <w:sz w:val="20"/>
                <w:szCs w:val="20"/>
                <w:color w:val="auto"/>
              </w:rPr>
            </w:pPr>
            <w:r>
              <w:rPr>
                <w:rFonts w:ascii="Arial" w:cs="Arial" w:eastAsia="Arial" w:hAnsi="Arial"/>
                <w:sz w:val="19"/>
                <w:szCs w:val="19"/>
                <w:color w:val="auto"/>
              </w:rPr>
              <w:t>1%</w:t>
            </w:r>
          </w:p>
        </w:tc>
        <w:tc>
          <w:tcPr>
            <w:tcW w:w="1200" w:type="dxa"/>
            <w:vAlign w:val="bottom"/>
          </w:tcPr>
          <w:p>
            <w:pPr>
              <w:jc w:val="right"/>
              <w:spacing w:after="0"/>
              <w:rPr>
                <w:sz w:val="20"/>
                <w:szCs w:val="20"/>
                <w:color w:val="auto"/>
              </w:rPr>
            </w:pPr>
            <w:r>
              <w:rPr>
                <w:rFonts w:ascii="Arial" w:cs="Arial" w:eastAsia="Arial" w:hAnsi="Arial"/>
                <w:sz w:val="19"/>
                <w:szCs w:val="19"/>
                <w:color w:val="auto"/>
              </w:rPr>
              <w:t>279,816</w:t>
            </w:r>
          </w:p>
        </w:tc>
        <w:tc>
          <w:tcPr>
            <w:tcW w:w="100" w:type="dxa"/>
            <w:vAlign w:val="bottom"/>
          </w:tcPr>
          <w:p>
            <w:pPr>
              <w:spacing w:after="0"/>
              <w:rPr>
                <w:sz w:val="24"/>
                <w:szCs w:val="2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9"/>
                <w:szCs w:val="19"/>
                <w:color w:val="auto"/>
              </w:rPr>
              <w:t>261,025</w:t>
            </w:r>
          </w:p>
        </w:tc>
        <w:tc>
          <w:tcPr>
            <w:tcW w:w="1500" w:type="dxa"/>
            <w:vAlign w:val="bottom"/>
            <w:gridSpan w:val="2"/>
          </w:tcPr>
          <w:p>
            <w:pPr>
              <w:jc w:val="right"/>
              <w:ind w:right="80"/>
              <w:spacing w:after="0"/>
              <w:rPr>
                <w:sz w:val="20"/>
                <w:szCs w:val="20"/>
                <w:color w:val="auto"/>
              </w:rPr>
            </w:pPr>
            <w:r>
              <w:rPr>
                <w:rFonts w:ascii="Arial" w:cs="Arial" w:eastAsia="Arial" w:hAnsi="Arial"/>
                <w:sz w:val="19"/>
                <w:szCs w:val="19"/>
                <w:color w:val="auto"/>
              </w:rPr>
              <w:t>(7)%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ind w:right="29"/>
              <w:spacing w:after="0"/>
              <w:rPr>
                <w:sz w:val="20"/>
                <w:szCs w:val="20"/>
                <w:color w:val="auto"/>
              </w:rPr>
            </w:pPr>
            <w:r>
              <w:rPr>
                <w:rFonts w:ascii="Arial" w:cs="Arial" w:eastAsia="Arial" w:hAnsi="Arial"/>
                <w:sz w:val="19"/>
                <w:szCs w:val="19"/>
                <w:color w:val="auto"/>
                <w:w w:val="75"/>
              </w:rPr>
              <w:t>2</w:t>
            </w: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00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2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2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3" w:right="80" w:bottom="70" w:gutter="0" w:footer="0" w:header="0"/>
        </w:sectPr>
      </w:pPr>
    </w:p>
    <w:bookmarkStart w:id="5" w:name="page6"/>
    <w:bookmarkEnd w:id="5"/>
    <w:p>
      <w:pPr>
        <w:ind w:left="680" w:right="140" w:hanging="344"/>
        <w:spacing w:after="0" w:line="215" w:lineRule="auto"/>
        <w:tabs>
          <w:tab w:leader="none" w:pos="676"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drawing>
          <wp:anchor simplePos="0" relativeHeight="251657728" behindDoc="1" locked="0" layoutInCell="0" allowOverlap="1">
            <wp:simplePos x="0" y="0"/>
            <wp:positionH relativeFrom="page">
              <wp:posOffset>72390</wp:posOffset>
            </wp:positionH>
            <wp:positionV relativeFrom="page">
              <wp:posOffset>217170</wp:posOffset>
            </wp:positionV>
            <wp:extent cx="19291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9130" cy="8890"/>
                    </a:xfrm>
                    <a:prstGeom prst="rect">
                      <a:avLst/>
                    </a:prstGeom>
                    <a:noFill/>
                  </pic:spPr>
                </pic:pic>
              </a:graphicData>
            </a:graphic>
          </wp:anchor>
        </w:drawing>
        <w:t>“IFRS Common Control Reported Results” represent the results of GasLog Partners in accordance with IFRS. Such results include amounts related to vessels currently owned by the Partnership for the periods prior to their respective transfer to GasLog Partners from GasLog, as the transfers of such vessels were accounted for as reorganizations of entities under common control for IFRS accounting purposes. The unaudited condensed consolidated financial statements of the Partnership accompanying this press release are prepared under IFRS on this basis.</w:t>
      </w:r>
    </w:p>
    <w:p>
      <w:pPr>
        <w:spacing w:after="0" w:line="125" w:lineRule="exact"/>
        <w:rPr>
          <w:rFonts w:ascii="Arial" w:cs="Arial" w:eastAsia="Arial" w:hAnsi="Arial"/>
          <w:sz w:val="19"/>
          <w:szCs w:val="19"/>
          <w:color w:val="auto"/>
          <w:vertAlign w:val="superscript"/>
        </w:rPr>
      </w:pPr>
    </w:p>
    <w:p>
      <w:pPr>
        <w:ind w:left="680" w:right="60" w:hanging="344"/>
        <w:spacing w:after="0" w:line="213" w:lineRule="auto"/>
        <w:tabs>
          <w:tab w:leader="none" w:pos="676"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Adjusted Profit and EBITDA are non-GAAP financial measures. For the definitions and reconciliations of these measures to the most directly comparable financial measure presented in accordance with IFRS, please refer to Exhibit III at the end of this press release.</w:t>
      </w:r>
    </w:p>
    <w:p>
      <w:pPr>
        <w:spacing w:after="0" w:line="200"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 xml:space="preserve">There were 1,220 and 4,910 operating days for the quarter and the year ended December 31, 2018, respectively, as compared to 1,269 and 5,091 operating days for the quarter and the year ended December 31, 2017, respectively. The decrease in operating days resulted mainly from certain off-charter days for the vessels not operating under a time charter and the off-hire days for three dry-dockings in 2018 (the </w:t>
      </w:r>
      <w:r>
        <w:rPr>
          <w:rFonts w:ascii="Arial" w:cs="Arial" w:eastAsia="Arial" w:hAnsi="Arial"/>
          <w:sz w:val="19"/>
          <w:szCs w:val="19"/>
          <w:i w:val="1"/>
          <w:iCs w:val="1"/>
          <w:color w:val="auto"/>
        </w:rPr>
        <w:t>GasLog Santiago,</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Sydney</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GasLog</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Seattle) </w:t>
      </w:r>
      <w:r>
        <w:rPr>
          <w:rFonts w:ascii="Arial" w:cs="Arial" w:eastAsia="Arial" w:hAnsi="Arial"/>
          <w:sz w:val="19"/>
          <w:szCs w:val="19"/>
          <w:color w:val="auto"/>
        </w:rPr>
        <w:t>as compared with only one dry-docking in 2017</w:t>
      </w:r>
      <w:r>
        <w:rPr>
          <w:rFonts w:ascii="Arial" w:cs="Arial" w:eastAsia="Arial" w:hAnsi="Arial"/>
          <w:sz w:val="19"/>
          <w:szCs w:val="19"/>
          <w:i w:val="1"/>
          <w:iCs w:val="1"/>
          <w:color w:val="auto"/>
        </w:rPr>
        <w:t xml:space="preserve"> (</w:t>
      </w:r>
      <w:r>
        <w:rPr>
          <w:rFonts w:ascii="Arial" w:cs="Arial" w:eastAsia="Arial" w:hAnsi="Arial"/>
          <w:sz w:val="19"/>
          <w:szCs w:val="19"/>
          <w:color w:val="auto"/>
        </w:rPr>
        <w:t>the</w:t>
      </w:r>
      <w:r>
        <w:rPr>
          <w:rFonts w:ascii="Arial" w:cs="Arial" w:eastAsia="Arial" w:hAnsi="Arial"/>
          <w:sz w:val="19"/>
          <w:szCs w:val="19"/>
          <w:i w:val="1"/>
          <w:iCs w:val="1"/>
          <w:color w:val="auto"/>
        </w:rPr>
        <w:t xml:space="preserve"> GasLog Shanghai).</w:t>
      </w:r>
    </w:p>
    <w:p>
      <w:pPr>
        <w:spacing w:after="0" w:line="198"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 xml:space="preserve">The decrease in profit of $12.6 million for the fourth quarter of 2018 as compared to the same period in 2017 is mainly attributable to a decrease in mark-to-market gain on derivatives of $14.0 million (a loss of $10.4 million in the fourth quarter of 2018 compared with a gain of $3.6 million in the same period of 2017), a decrease in revenues of $5.6 million, mainly due to the expiry of the initial charters of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w:t>
      </w:r>
      <w:r>
        <w:rPr>
          <w:rFonts w:ascii="Arial" w:cs="Arial" w:eastAsia="Arial" w:hAnsi="Arial"/>
          <w:sz w:val="17"/>
          <w:szCs w:val="17"/>
          <w:color w:val="auto"/>
        </w:rPr>
        <w:t xml:space="preserve"> </w:t>
      </w:r>
      <w:r>
        <w:rPr>
          <w:rFonts w:ascii="Arial" w:cs="Arial" w:eastAsia="Arial" w:hAnsi="Arial"/>
          <w:sz w:val="17"/>
          <w:szCs w:val="17"/>
          <w:i w:val="1"/>
          <w:iCs w:val="1"/>
          <w:color w:val="auto"/>
        </w:rPr>
        <w:t>Sydney</w:t>
      </w:r>
      <w:r>
        <w:rPr>
          <w:rFonts w:ascii="Arial" w:cs="Arial" w:eastAsia="Arial" w:hAnsi="Arial"/>
          <w:sz w:val="17"/>
          <w:szCs w:val="17"/>
          <w:color w:val="auto"/>
        </w:rPr>
        <w:t>, and an increase in administrative fees of $0.9 million. The aforementioned decreases were partially offset by a decrease in operating expenses of $3.9</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million, the net pool allocation of $3.3 million in the fourth quarter of 2018 and a decrease in voyage expenses and commissions of $0.4 million. Following the expiry of their initial charters,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has been trading in the spot market through the Cool Pool, an LNG carrier pooling arrangement operated by GasLog and Golar LNG Ltd. (the “Cool Pool”), 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began a new, multi-year charter with a new customer and the </w:t>
      </w:r>
      <w:r>
        <w:rPr>
          <w:rFonts w:ascii="Arial" w:cs="Arial" w:eastAsia="Arial" w:hAnsi="Arial"/>
          <w:sz w:val="17"/>
          <w:szCs w:val="17"/>
          <w:i w:val="1"/>
          <w:iCs w:val="1"/>
          <w:color w:val="auto"/>
        </w:rPr>
        <w:t>GasLog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Sydney </w:t>
      </w:r>
      <w:r>
        <w:rPr>
          <w:rFonts w:ascii="Arial" w:cs="Arial" w:eastAsia="Arial" w:hAnsi="Arial"/>
          <w:sz w:val="17"/>
          <w:szCs w:val="17"/>
          <w:color w:val="auto"/>
        </w:rPr>
        <w:t>began a new 18-month charter with Cheniere Energy, Inc. (“Cheniere”) GasLog Partners’ total net pool performance is presented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80" w:type="dxa"/>
            <w:vAlign w:val="bottom"/>
            <w:gridSpan w:val="5"/>
          </w:tcPr>
          <w:p>
            <w:pPr>
              <w:jc w:val="right"/>
              <w:ind w:right="980"/>
              <w:spacing w:after="0"/>
              <w:rPr>
                <w:sz w:val="20"/>
                <w:szCs w:val="20"/>
                <w:color w:val="auto"/>
              </w:rPr>
            </w:pPr>
            <w:r>
              <w:rPr>
                <w:rFonts w:ascii="Arial" w:cs="Arial" w:eastAsia="Arial" w:hAnsi="Arial"/>
                <w:sz w:val="15"/>
                <w:szCs w:val="15"/>
                <w:b w:val="1"/>
                <w:bCs w:val="1"/>
                <w:color w:val="auto"/>
              </w:rPr>
              <w:t>For the three months ended</w:t>
            </w:r>
          </w:p>
        </w:tc>
        <w:tc>
          <w:tcPr>
            <w:tcW w:w="3300" w:type="dxa"/>
            <w:vAlign w:val="bottom"/>
            <w:gridSpan w:val="5"/>
          </w:tcPr>
          <w:p>
            <w:pPr>
              <w:ind w:left="960"/>
              <w:spacing w:after="0"/>
              <w:rPr>
                <w:sz w:val="20"/>
                <w:szCs w:val="20"/>
                <w:color w:val="auto"/>
              </w:rPr>
            </w:pPr>
            <w:r>
              <w:rPr>
                <w:rFonts w:ascii="Arial" w:cs="Arial" w:eastAsia="Arial" w:hAnsi="Arial"/>
                <w:sz w:val="15"/>
                <w:szCs w:val="15"/>
                <w:b w:val="1"/>
                <w:bCs w:val="1"/>
                <w:color w:val="auto"/>
              </w:rPr>
              <w:t>For the years ended</w:t>
            </w:r>
          </w:p>
        </w:tc>
      </w:tr>
      <w:tr>
        <w:trPr>
          <w:trHeight w:val="128"/>
        </w:trPr>
        <w:tc>
          <w:tcPr>
            <w:tcW w:w="4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Borders>
              <w:top w:val="single" w:sz="8" w:color="auto"/>
            </w:tcBorders>
          </w:tcPr>
          <w:p>
            <w:pPr>
              <w:jc w:val="center"/>
              <w:ind w:left="146"/>
              <w:spacing w:after="0" w:line="128" w:lineRule="exact"/>
              <w:rPr>
                <w:sz w:val="20"/>
                <w:szCs w:val="20"/>
                <w:color w:val="auto"/>
              </w:rPr>
            </w:pPr>
            <w:r>
              <w:rPr>
                <w:rFonts w:ascii="Arial" w:cs="Arial" w:eastAsia="Arial" w:hAnsi="Arial"/>
                <w:sz w:val="14"/>
                <w:szCs w:val="14"/>
                <w:b w:val="1"/>
                <w:bCs w:val="1"/>
                <w:color w:val="auto"/>
                <w:w w:val="96"/>
              </w:rPr>
              <w:t>December 31,</w:t>
            </w:r>
          </w:p>
        </w:tc>
        <w:tc>
          <w:tcPr>
            <w:tcW w:w="2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w w:val="96"/>
              </w:rPr>
              <w:t>December 31,</w:t>
            </w:r>
          </w:p>
        </w:tc>
        <w:tc>
          <w:tcPr>
            <w:tcW w:w="300" w:type="dxa"/>
            <w:vAlign w:val="bottom"/>
          </w:tcPr>
          <w:p>
            <w:pPr>
              <w:spacing w:after="0"/>
              <w:rPr>
                <w:sz w:val="11"/>
                <w:szCs w:val="11"/>
                <w:color w:val="auto"/>
              </w:rPr>
            </w:pPr>
          </w:p>
        </w:tc>
        <w:tc>
          <w:tcPr>
            <w:tcW w:w="1740" w:type="dxa"/>
            <w:vAlign w:val="bottom"/>
            <w:tcBorders>
              <w:top w:val="single" w:sz="8" w:color="auto"/>
            </w:tcBorders>
            <w:gridSpan w:val="2"/>
          </w:tcPr>
          <w:p>
            <w:pPr>
              <w:ind w:left="280"/>
              <w:spacing w:after="0" w:line="128" w:lineRule="exact"/>
              <w:rPr>
                <w:sz w:val="20"/>
                <w:szCs w:val="20"/>
                <w:color w:val="auto"/>
              </w:rPr>
            </w:pPr>
            <w:r>
              <w:rPr>
                <w:rFonts w:ascii="Arial" w:cs="Arial" w:eastAsia="Arial" w:hAnsi="Arial"/>
                <w:sz w:val="14"/>
                <w:szCs w:val="14"/>
                <w:b w:val="1"/>
                <w:bCs w:val="1"/>
                <w:color w:val="auto"/>
              </w:rPr>
              <w:t>December 31,</w:t>
            </w:r>
          </w:p>
        </w:tc>
        <w:tc>
          <w:tcPr>
            <w:tcW w:w="1440" w:type="dxa"/>
            <w:vAlign w:val="bottom"/>
            <w:tcBorders>
              <w:top w:val="single" w:sz="8" w:color="auto"/>
            </w:tcBorders>
          </w:tcPr>
          <w:p>
            <w:pPr>
              <w:jc w:val="right"/>
              <w:ind w:right="192"/>
              <w:spacing w:after="0" w:line="128" w:lineRule="exact"/>
              <w:rPr>
                <w:sz w:val="20"/>
                <w:szCs w:val="20"/>
                <w:color w:val="auto"/>
              </w:rPr>
            </w:pPr>
            <w:r>
              <w:rPr>
                <w:rFonts w:ascii="Arial" w:cs="Arial" w:eastAsia="Arial" w:hAnsi="Arial"/>
                <w:sz w:val="14"/>
                <w:szCs w:val="14"/>
                <w:b w:val="1"/>
                <w:bCs w:val="1"/>
                <w:color w:val="auto"/>
              </w:rPr>
              <w:t>December 31,</w:t>
            </w:r>
          </w:p>
        </w:tc>
        <w:tc>
          <w:tcPr>
            <w:tcW w:w="120" w:type="dxa"/>
            <w:vAlign w:val="bottom"/>
            <w:gridSpan w:val="2"/>
          </w:tcPr>
          <w:p>
            <w:pPr>
              <w:spacing w:after="0"/>
              <w:rPr>
                <w:sz w:val="11"/>
                <w:szCs w:val="11"/>
                <w:color w:val="auto"/>
              </w:rPr>
            </w:pPr>
          </w:p>
        </w:tc>
      </w:tr>
      <w:tr>
        <w:trPr>
          <w:trHeight w:val="180"/>
        </w:trPr>
        <w:tc>
          <w:tcPr>
            <w:tcW w:w="522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Amounts in thousands of U.S. dollars</w:t>
            </w:r>
          </w:p>
        </w:tc>
        <w:tc>
          <w:tcPr>
            <w:tcW w:w="1220" w:type="dxa"/>
            <w:vAlign w:val="bottom"/>
          </w:tcPr>
          <w:p>
            <w:pPr>
              <w:jc w:val="right"/>
              <w:ind w:right="246"/>
              <w:spacing w:after="0"/>
              <w:rPr>
                <w:sz w:val="20"/>
                <w:szCs w:val="20"/>
                <w:color w:val="auto"/>
              </w:rPr>
            </w:pPr>
            <w:r>
              <w:rPr>
                <w:rFonts w:ascii="Arial" w:cs="Arial" w:eastAsia="Arial" w:hAnsi="Arial"/>
                <w:sz w:val="15"/>
                <w:szCs w:val="15"/>
                <w:b w:val="1"/>
                <w:bCs w:val="1"/>
                <w:color w:val="auto"/>
              </w:rPr>
              <w:t>2017</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jc w:val="right"/>
              <w:ind w:right="472"/>
              <w:spacing w:after="0"/>
              <w:rPr>
                <w:sz w:val="20"/>
                <w:szCs w:val="20"/>
                <w:color w:val="auto"/>
              </w:rPr>
            </w:pPr>
            <w:r>
              <w:rPr>
                <w:rFonts w:ascii="Arial" w:cs="Arial" w:eastAsia="Arial" w:hAnsi="Arial"/>
                <w:sz w:val="15"/>
                <w:szCs w:val="15"/>
                <w:b w:val="1"/>
                <w:bCs w:val="1"/>
                <w:color w:val="auto"/>
              </w:rPr>
              <w:t>2018</w:t>
            </w:r>
          </w:p>
        </w:tc>
        <w:tc>
          <w:tcPr>
            <w:tcW w:w="300" w:type="dxa"/>
            <w:vAlign w:val="bottom"/>
          </w:tcPr>
          <w:p>
            <w:pPr>
              <w:spacing w:after="0"/>
              <w:rPr>
                <w:sz w:val="15"/>
                <w:szCs w:val="15"/>
                <w:color w:val="auto"/>
              </w:rPr>
            </w:pPr>
          </w:p>
        </w:tc>
        <w:tc>
          <w:tcPr>
            <w:tcW w:w="1440" w:type="dxa"/>
            <w:vAlign w:val="bottom"/>
          </w:tcPr>
          <w:p>
            <w:pPr>
              <w:ind w:left="580"/>
              <w:spacing w:after="0"/>
              <w:rPr>
                <w:sz w:val="20"/>
                <w:szCs w:val="20"/>
                <w:color w:val="auto"/>
              </w:rPr>
            </w:pPr>
            <w:r>
              <w:rPr>
                <w:rFonts w:ascii="Arial" w:cs="Arial" w:eastAsia="Arial" w:hAnsi="Arial"/>
                <w:sz w:val="15"/>
                <w:szCs w:val="15"/>
                <w:b w:val="1"/>
                <w:bCs w:val="1"/>
                <w:color w:val="auto"/>
              </w:rPr>
              <w:t>2017</w:t>
            </w:r>
          </w:p>
        </w:tc>
        <w:tc>
          <w:tcPr>
            <w:tcW w:w="300" w:type="dxa"/>
            <w:vAlign w:val="bottom"/>
          </w:tcPr>
          <w:p>
            <w:pPr>
              <w:spacing w:after="0"/>
              <w:rPr>
                <w:sz w:val="15"/>
                <w:szCs w:val="15"/>
                <w:color w:val="auto"/>
              </w:rPr>
            </w:pPr>
          </w:p>
        </w:tc>
        <w:tc>
          <w:tcPr>
            <w:tcW w:w="1440" w:type="dxa"/>
            <w:vAlign w:val="bottom"/>
          </w:tcPr>
          <w:p>
            <w:pPr>
              <w:jc w:val="right"/>
              <w:ind w:right="472"/>
              <w:spacing w:after="0"/>
              <w:rPr>
                <w:sz w:val="20"/>
                <w:szCs w:val="20"/>
                <w:color w:val="auto"/>
              </w:rPr>
            </w:pPr>
            <w:r>
              <w:rPr>
                <w:rFonts w:ascii="Arial" w:cs="Arial" w:eastAsia="Arial" w:hAnsi="Arial"/>
                <w:sz w:val="15"/>
                <w:szCs w:val="15"/>
                <w:b w:val="1"/>
                <w:bCs w:val="1"/>
                <w:color w:val="auto"/>
              </w:rPr>
              <w:t>2018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Pool gross revenues (included in Revenues)</w:t>
            </w:r>
          </w:p>
        </w:tc>
        <w:tc>
          <w:tcPr>
            <w:tcW w:w="3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w w:val="83"/>
              </w:rPr>
              <w:t>—</w:t>
            </w:r>
          </w:p>
        </w:tc>
        <w:tc>
          <w:tcPr>
            <w:tcW w:w="3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9"/>
                <w:szCs w:val="19"/>
                <w:color w:val="auto"/>
                <w:w w:val="84"/>
              </w:rPr>
              <w:t>5,849</w:t>
            </w:r>
          </w:p>
        </w:tc>
        <w:tc>
          <w:tcPr>
            <w:tcW w:w="3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9"/>
                <w:szCs w:val="19"/>
                <w:color w:val="auto"/>
                <w:w w:val="83"/>
              </w:rPr>
              <w:t>—</w:t>
            </w:r>
          </w:p>
        </w:tc>
        <w:tc>
          <w:tcPr>
            <w:tcW w:w="3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11,475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14"/>
        </w:trPr>
        <w:tc>
          <w:tcPr>
            <w:tcW w:w="5220" w:type="dxa"/>
            <w:vAlign w:val="bottom"/>
            <w:gridSpan w:val="2"/>
          </w:tcPr>
          <w:p>
            <w:pPr>
              <w:spacing w:after="0" w:line="214" w:lineRule="exact"/>
              <w:rPr>
                <w:sz w:val="20"/>
                <w:szCs w:val="20"/>
                <w:color w:val="auto"/>
              </w:rPr>
            </w:pPr>
            <w:r>
              <w:rPr>
                <w:rFonts w:ascii="Arial" w:cs="Arial" w:eastAsia="Arial" w:hAnsi="Arial"/>
                <w:sz w:val="19"/>
                <w:szCs w:val="19"/>
                <w:color w:val="auto"/>
              </w:rPr>
              <w:t>Pool gross voyage expenses and commissions (included in</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220" w:type="dxa"/>
            <w:vAlign w:val="bottom"/>
            <w:gridSpan w:val="2"/>
          </w:tcPr>
          <w:p>
            <w:pPr>
              <w:ind w:left="180"/>
              <w:spacing w:after="0"/>
              <w:rPr>
                <w:sz w:val="20"/>
                <w:szCs w:val="20"/>
                <w:color w:val="auto"/>
              </w:rPr>
            </w:pPr>
            <w:r>
              <w:rPr>
                <w:rFonts w:ascii="Arial" w:cs="Arial" w:eastAsia="Arial" w:hAnsi="Arial"/>
                <w:sz w:val="19"/>
                <w:szCs w:val="19"/>
                <w:color w:val="auto"/>
              </w:rPr>
              <w:t>Voyage expenses and commissions)</w:t>
            </w:r>
          </w:p>
        </w:tc>
        <w:tc>
          <w:tcPr>
            <w:tcW w:w="1220" w:type="dxa"/>
            <w:vAlign w:val="bottom"/>
          </w:tcPr>
          <w:p>
            <w:pPr>
              <w:spacing w:after="0"/>
              <w:rPr>
                <w:sz w:val="20"/>
                <w:szCs w:val="20"/>
                <w:color w:val="auto"/>
              </w:rPr>
            </w:pPr>
          </w:p>
        </w:tc>
        <w:tc>
          <w:tcPr>
            <w:tcW w:w="520" w:type="dxa"/>
            <w:vAlign w:val="bottom"/>
            <w:gridSpan w:val="2"/>
          </w:tcPr>
          <w:p>
            <w:pPr>
              <w:ind w:left="40"/>
              <w:spacing w:after="0"/>
              <w:rPr>
                <w:sz w:val="20"/>
                <w:szCs w:val="20"/>
                <w:color w:val="auto"/>
              </w:rPr>
            </w:pPr>
            <w:r>
              <w:rPr>
                <w:rFonts w:ascii="Arial" w:cs="Arial" w:eastAsia="Arial" w:hAnsi="Arial"/>
                <w:sz w:val="19"/>
                <w:szCs w:val="19"/>
                <w:color w:val="auto"/>
              </w:rPr>
              <w:t>—</w:t>
            </w:r>
          </w:p>
        </w:tc>
        <w:tc>
          <w:tcPr>
            <w:tcW w:w="1740" w:type="dxa"/>
            <w:vAlign w:val="bottom"/>
            <w:gridSpan w:val="2"/>
          </w:tcPr>
          <w:p>
            <w:pPr>
              <w:jc w:val="right"/>
              <w:ind w:right="220"/>
              <w:spacing w:after="0"/>
              <w:rPr>
                <w:sz w:val="20"/>
                <w:szCs w:val="20"/>
                <w:color w:val="auto"/>
              </w:rPr>
            </w:pPr>
            <w:r>
              <w:rPr>
                <w:rFonts w:ascii="Arial" w:cs="Arial" w:eastAsia="Arial" w:hAnsi="Arial"/>
                <w:sz w:val="19"/>
                <w:szCs w:val="19"/>
                <w:color w:val="auto"/>
              </w:rPr>
              <w:t>(155)</w:t>
            </w:r>
          </w:p>
        </w:tc>
        <w:tc>
          <w:tcPr>
            <w:tcW w:w="1740" w:type="dxa"/>
            <w:vAlign w:val="bottom"/>
            <w:gridSpan w:val="2"/>
          </w:tcPr>
          <w:p>
            <w:pPr>
              <w:ind w:left="1260"/>
              <w:spacing w:after="0"/>
              <w:rPr>
                <w:sz w:val="20"/>
                <w:szCs w:val="20"/>
                <w:color w:val="auto"/>
              </w:rPr>
            </w:pPr>
            <w:r>
              <w:rPr>
                <w:rFonts w:ascii="Arial" w:cs="Arial" w:eastAsia="Arial" w:hAnsi="Arial"/>
                <w:sz w:val="19"/>
                <w:szCs w:val="19"/>
                <w:color w:val="auto"/>
              </w:rPr>
              <w:t>—</w:t>
            </w:r>
          </w:p>
        </w:tc>
        <w:tc>
          <w:tcPr>
            <w:tcW w:w="1560" w:type="dxa"/>
            <w:vAlign w:val="bottom"/>
            <w:gridSpan w:val="3"/>
          </w:tcPr>
          <w:p>
            <w:pPr>
              <w:jc w:val="right"/>
              <w:ind w:right="40"/>
              <w:spacing w:after="0"/>
              <w:rPr>
                <w:sz w:val="20"/>
                <w:szCs w:val="20"/>
                <w:color w:val="auto"/>
              </w:rPr>
            </w:pPr>
            <w:r>
              <w:rPr>
                <w:rFonts w:ascii="Arial" w:cs="Arial" w:eastAsia="Arial" w:hAnsi="Arial"/>
                <w:sz w:val="19"/>
                <w:szCs w:val="19"/>
                <w:color w:val="auto"/>
              </w:rPr>
              <w:t>(443)</w:t>
            </w:r>
          </w:p>
        </w:tc>
      </w:tr>
      <w:tr>
        <w:trPr>
          <w:trHeight w:val="215"/>
        </w:trPr>
        <w:tc>
          <w:tcPr>
            <w:tcW w:w="5220" w:type="dxa"/>
            <w:vAlign w:val="bottom"/>
            <w:gridSpan w:val="2"/>
            <w:shd w:val="clear" w:color="auto" w:fill="CCEEFF"/>
          </w:tcPr>
          <w:p>
            <w:pPr>
              <w:spacing w:after="0" w:line="215" w:lineRule="exact"/>
              <w:rPr>
                <w:sz w:val="20"/>
                <w:szCs w:val="20"/>
                <w:color w:val="auto"/>
              </w:rPr>
            </w:pPr>
            <w:r>
              <w:rPr>
                <w:rFonts w:ascii="Arial" w:cs="Arial" w:eastAsia="Arial" w:hAnsi="Arial"/>
                <w:sz w:val="19"/>
                <w:szCs w:val="19"/>
                <w:color w:val="auto"/>
                <w:w w:val="97"/>
              </w:rPr>
              <w:t>GasLog Partners’ adjustment for net pool allocation (included in</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2"/>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Net pool allocation)</w:t>
            </w:r>
          </w:p>
        </w:tc>
        <w:tc>
          <w:tcPr>
            <w:tcW w:w="12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9"/>
                <w:szCs w:val="19"/>
                <w:color w:val="auto"/>
              </w:rPr>
              <w:t>—</w:t>
            </w:r>
          </w:p>
        </w:tc>
        <w:tc>
          <w:tcPr>
            <w:tcW w:w="1740" w:type="dxa"/>
            <w:vAlign w:val="bottom"/>
            <w:gridSpan w:val="2"/>
            <w:shd w:val="clear" w:color="auto" w:fill="CCEEFF"/>
          </w:tcPr>
          <w:p>
            <w:pPr>
              <w:ind w:left="1020"/>
              <w:spacing w:after="0"/>
              <w:rPr>
                <w:sz w:val="20"/>
                <w:szCs w:val="20"/>
                <w:color w:val="auto"/>
              </w:rPr>
            </w:pPr>
            <w:r>
              <w:rPr>
                <w:rFonts w:ascii="Arial" w:cs="Arial" w:eastAsia="Arial" w:hAnsi="Arial"/>
                <w:sz w:val="19"/>
                <w:szCs w:val="19"/>
                <w:color w:val="auto"/>
              </w:rPr>
              <w:t>3,277</w:t>
            </w:r>
          </w:p>
        </w:tc>
        <w:tc>
          <w:tcPr>
            <w:tcW w:w="1740" w:type="dxa"/>
            <w:vAlign w:val="bottom"/>
            <w:gridSpan w:val="2"/>
            <w:shd w:val="clear" w:color="auto" w:fill="CCEEFF"/>
          </w:tcPr>
          <w:p>
            <w:pPr>
              <w:ind w:left="1260"/>
              <w:spacing w:after="0"/>
              <w:rPr>
                <w:sz w:val="20"/>
                <w:szCs w:val="20"/>
                <w:color w:val="auto"/>
              </w:rPr>
            </w:pPr>
            <w:r>
              <w:rPr>
                <w:rFonts w:ascii="Arial" w:cs="Arial" w:eastAsia="Arial" w:hAnsi="Arial"/>
                <w:sz w:val="19"/>
                <w:szCs w:val="19"/>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3,700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22"/>
        </w:trPr>
        <w:tc>
          <w:tcPr>
            <w:tcW w:w="5220" w:type="dxa"/>
            <w:vAlign w:val="bottom"/>
            <w:gridSpan w:val="2"/>
          </w:tcPr>
          <w:p>
            <w:pPr>
              <w:spacing w:after="0"/>
              <w:rPr>
                <w:sz w:val="20"/>
                <w:szCs w:val="20"/>
                <w:color w:val="auto"/>
              </w:rPr>
            </w:pPr>
            <w:r>
              <w:rPr>
                <w:rFonts w:ascii="Arial" w:cs="Arial" w:eastAsia="Arial" w:hAnsi="Arial"/>
                <w:sz w:val="19"/>
                <w:szCs w:val="19"/>
                <w:b w:val="1"/>
                <w:bCs w:val="1"/>
                <w:color w:val="auto"/>
              </w:rPr>
              <w:t>GasLog Partners’ total net pool performance</w:t>
            </w:r>
          </w:p>
        </w:tc>
        <w:tc>
          <w:tcPr>
            <w:tcW w:w="12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9"/>
                <w:szCs w:val="19"/>
                <w:color w:val="auto"/>
                <w:w w:val="83"/>
              </w:rPr>
              <w:t>—</w:t>
            </w:r>
          </w:p>
        </w:tc>
        <w:tc>
          <w:tcPr>
            <w:tcW w:w="300" w:type="dxa"/>
            <w:vAlign w:val="bottom"/>
          </w:tcPr>
          <w:p>
            <w:pPr>
              <w:spacing w:after="0"/>
              <w:rPr>
                <w:sz w:val="19"/>
                <w:szCs w:val="19"/>
                <w:color w:val="auto"/>
              </w:rPr>
            </w:pPr>
          </w:p>
        </w:tc>
        <w:tc>
          <w:tcPr>
            <w:tcW w:w="144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9"/>
                <w:szCs w:val="19"/>
                <w:b w:val="1"/>
                <w:bCs w:val="1"/>
                <w:color w:val="auto"/>
                <w:w w:val="84"/>
              </w:rPr>
              <w:t>8,971</w:t>
            </w:r>
          </w:p>
        </w:tc>
        <w:tc>
          <w:tcPr>
            <w:tcW w:w="300" w:type="dxa"/>
            <w:vAlign w:val="bottom"/>
          </w:tcPr>
          <w:p>
            <w:pPr>
              <w:spacing w:after="0"/>
              <w:rPr>
                <w:sz w:val="19"/>
                <w:szCs w:val="19"/>
                <w:color w:val="auto"/>
              </w:rPr>
            </w:pPr>
          </w:p>
        </w:tc>
        <w:tc>
          <w:tcPr>
            <w:tcW w:w="144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9"/>
                <w:szCs w:val="19"/>
                <w:color w:val="auto"/>
                <w:w w:val="83"/>
              </w:rPr>
              <w:t>—</w:t>
            </w:r>
          </w:p>
        </w:tc>
        <w:tc>
          <w:tcPr>
            <w:tcW w:w="3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14,732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14" w:lineRule="exact"/>
        <w:rPr>
          <w:sz w:val="20"/>
          <w:szCs w:val="20"/>
          <w:color w:val="auto"/>
        </w:rPr>
      </w:pPr>
    </w:p>
    <w:p>
      <w:pPr>
        <w:ind w:right="200"/>
        <w:spacing w:after="0" w:line="298" w:lineRule="auto"/>
        <w:rPr>
          <w:sz w:val="20"/>
          <w:szCs w:val="20"/>
          <w:color w:val="auto"/>
        </w:rPr>
      </w:pPr>
      <w:r>
        <w:rPr>
          <w:rFonts w:ascii="Arial" w:cs="Arial" w:eastAsia="Arial" w:hAnsi="Arial"/>
          <w:sz w:val="17"/>
          <w:szCs w:val="17"/>
          <w:color w:val="auto"/>
        </w:rPr>
        <w:t xml:space="preserve">The decrease in profit of $19.2 million for the year ended December 31, 2018 as compared to the same period in 2017 is primarily attributable to decreased total revenues (revenues and net pool allocation) of $14.9 million, mainly due to the expiry of the initial charters of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Santiago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GasLog Sydney</w:t>
      </w:r>
      <w:r>
        <w:rPr>
          <w:rFonts w:ascii="Arial" w:cs="Arial" w:eastAsia="Arial" w:hAnsi="Arial"/>
          <w:sz w:val="17"/>
          <w:szCs w:val="17"/>
          <w:color w:val="auto"/>
        </w:rPr>
        <w:t>, which ended in May, June and September 2018, respectively, and the increased off-hire days for three scheduled dry-dockings performed during 2018 compared with one scheduled dry-docking during 2017, and an increase in administrative fees of $3.9 million.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ind w:left="80"/>
              <w:spacing w:after="0"/>
              <w:rPr>
                <w:sz w:val="20"/>
                <w:szCs w:val="20"/>
                <w:color w:val="auto"/>
              </w:rPr>
            </w:pPr>
            <w:r>
              <w:rPr>
                <w:rFonts w:ascii="Arial" w:cs="Arial" w:eastAsia="Arial" w:hAnsi="Arial"/>
                <w:sz w:val="15"/>
                <w:szCs w:val="15"/>
                <w:b w:val="1"/>
                <w:bCs w:val="1"/>
                <w:color w:val="auto"/>
              </w:rPr>
              <w:t>Partnership Performance Results</w:t>
            </w:r>
            <w:r>
              <w:rPr>
                <w:rFonts w:ascii="Arial" w:cs="Arial" w:eastAsia="Arial" w:hAnsi="Arial"/>
                <w:sz w:val="18"/>
                <w:szCs w:val="18"/>
                <w:b w:val="1"/>
                <w:bCs w:val="1"/>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360" w:type="dxa"/>
            <w:vAlign w:val="bottom"/>
            <w:gridSpan w:val="2"/>
            <w:vMerge w:val="restart"/>
          </w:tcPr>
          <w:p>
            <w:pPr>
              <w:spacing w:after="0"/>
              <w:rPr>
                <w:sz w:val="20"/>
                <w:szCs w:val="20"/>
                <w:color w:val="auto"/>
              </w:rPr>
            </w:pPr>
            <w:r>
              <w:rPr>
                <w:rFonts w:ascii="Arial" w:cs="Arial" w:eastAsia="Arial" w:hAnsi="Arial"/>
                <w:sz w:val="15"/>
                <w:szCs w:val="15"/>
                <w:b w:val="1"/>
                <w:bCs w:val="1"/>
                <w:i w:val="1"/>
                <w:iCs w:val="1"/>
                <w:color w:val="auto"/>
              </w:rPr>
              <w:t>(All amounts expressed in</w:t>
            </w:r>
          </w:p>
        </w:tc>
        <w:tc>
          <w:tcPr>
            <w:tcW w:w="3020" w:type="dxa"/>
            <w:vAlign w:val="bottom"/>
            <w:tcBorders>
              <w:bottom w:val="single" w:sz="8" w:color="auto"/>
            </w:tcBorders>
            <w:gridSpan w:val="5"/>
          </w:tcPr>
          <w:p>
            <w:pPr>
              <w:jc w:val="center"/>
              <w:ind w:left="1012"/>
              <w:spacing w:after="0" w:line="151" w:lineRule="exact"/>
              <w:rPr>
                <w:sz w:val="20"/>
                <w:szCs w:val="20"/>
                <w:color w:val="auto"/>
              </w:rPr>
            </w:pPr>
            <w:r>
              <w:rPr>
                <w:rFonts w:ascii="Arial" w:cs="Arial" w:eastAsia="Arial" w:hAnsi="Arial"/>
                <w:sz w:val="15"/>
                <w:szCs w:val="15"/>
                <w:b w:val="1"/>
                <w:bCs w:val="1"/>
                <w:color w:val="auto"/>
                <w:w w:val="90"/>
              </w:rPr>
              <w:t>For the three months ended</w:t>
            </w:r>
          </w:p>
        </w:tc>
        <w:tc>
          <w:tcPr>
            <w:tcW w:w="11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center"/>
              <w:ind w:right="100"/>
              <w:spacing w:after="0" w:line="151" w:lineRule="exact"/>
              <w:rPr>
                <w:sz w:val="20"/>
                <w:szCs w:val="20"/>
                <w:color w:val="auto"/>
              </w:rPr>
            </w:pPr>
            <w:r>
              <w:rPr>
                <w:rFonts w:ascii="Arial" w:cs="Arial" w:eastAsia="Arial" w:hAnsi="Arial"/>
                <w:sz w:val="15"/>
                <w:szCs w:val="15"/>
                <w:b w:val="1"/>
                <w:bCs w:val="1"/>
                <w:color w:val="auto"/>
                <w:w w:val="90"/>
              </w:rPr>
              <w:t>For the year ended</w:t>
            </w:r>
          </w:p>
        </w:tc>
        <w:tc>
          <w:tcPr>
            <w:tcW w:w="12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360" w:type="dxa"/>
            <w:vAlign w:val="bottom"/>
            <w:gridSpan w:val="2"/>
            <w:vMerge w:val="continue"/>
          </w:tcPr>
          <w:p>
            <w:pPr>
              <w:spacing w:after="0"/>
              <w:rPr>
                <w:sz w:val="11"/>
                <w:szCs w:val="11"/>
                <w:color w:val="auto"/>
              </w:rPr>
            </w:pPr>
          </w:p>
        </w:tc>
        <w:tc>
          <w:tcPr>
            <w:tcW w:w="1460" w:type="dxa"/>
            <w:vAlign w:val="bottom"/>
            <w:gridSpan w:val="2"/>
          </w:tcPr>
          <w:p>
            <w:pPr>
              <w:ind w:left="160"/>
              <w:spacing w:after="0" w:line="128" w:lineRule="exact"/>
              <w:rPr>
                <w:sz w:val="20"/>
                <w:szCs w:val="20"/>
                <w:color w:val="auto"/>
              </w:rPr>
            </w:pPr>
            <w:r>
              <w:rPr>
                <w:rFonts w:ascii="Arial" w:cs="Arial" w:eastAsia="Arial" w:hAnsi="Arial"/>
                <w:sz w:val="14"/>
                <w:szCs w:val="14"/>
                <w:b w:val="1"/>
                <w:bCs w:val="1"/>
                <w:color w:val="auto"/>
              </w:rPr>
              <w:t>December 31,</w:t>
            </w:r>
          </w:p>
        </w:tc>
        <w:tc>
          <w:tcPr>
            <w:tcW w:w="1560" w:type="dxa"/>
            <w:vAlign w:val="bottom"/>
            <w:gridSpan w:val="3"/>
          </w:tcPr>
          <w:p>
            <w:pPr>
              <w:jc w:val="center"/>
              <w:ind w:right="360"/>
              <w:spacing w:after="0" w:line="128" w:lineRule="exact"/>
              <w:rPr>
                <w:sz w:val="20"/>
                <w:szCs w:val="20"/>
                <w:color w:val="auto"/>
              </w:rPr>
            </w:pPr>
            <w:r>
              <w:rPr>
                <w:rFonts w:ascii="Arial" w:cs="Arial" w:eastAsia="Arial" w:hAnsi="Arial"/>
                <w:sz w:val="14"/>
                <w:szCs w:val="14"/>
                <w:b w:val="1"/>
                <w:bCs w:val="1"/>
                <w:color w:val="auto"/>
                <w:w w:val="96"/>
              </w:rPr>
              <w:t>December 31,</w:t>
            </w: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tcPr>
          <w:p>
            <w:pPr>
              <w:ind w:left="160"/>
              <w:spacing w:after="0" w:line="128"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1440" w:type="dxa"/>
            <w:vAlign w:val="bottom"/>
            <w:gridSpan w:val="2"/>
          </w:tcPr>
          <w:p>
            <w:pPr>
              <w:jc w:val="center"/>
              <w:ind w:right="240"/>
              <w:spacing w:after="0" w:line="128" w:lineRule="exact"/>
              <w:rPr>
                <w:sz w:val="20"/>
                <w:szCs w:val="20"/>
                <w:color w:val="auto"/>
              </w:rPr>
            </w:pPr>
            <w:r>
              <w:rPr>
                <w:rFonts w:ascii="Arial" w:cs="Arial" w:eastAsia="Arial" w:hAnsi="Arial"/>
                <w:sz w:val="14"/>
                <w:szCs w:val="14"/>
                <w:b w:val="1"/>
                <w:bCs w:val="1"/>
                <w:color w:val="auto"/>
                <w:w w:val="96"/>
              </w:rPr>
              <w:t>December 31,</w:t>
            </w: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1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i w:val="1"/>
                <w:iCs w:val="1"/>
                <w:color w:val="auto"/>
              </w:rPr>
              <w:t>thousands of U.S. dollars)</w:t>
            </w:r>
          </w:p>
        </w:tc>
        <w:tc>
          <w:tcPr>
            <w:tcW w:w="2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5"/>
                <w:szCs w:val="15"/>
                <w:b w:val="1"/>
                <w:bCs w:val="1"/>
                <w:color w:val="auto"/>
              </w:rPr>
              <w:t>2017</w:t>
            </w:r>
          </w:p>
        </w:tc>
        <w:tc>
          <w:tcPr>
            <w:tcW w:w="24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2018</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 change</w:t>
            </w:r>
          </w:p>
        </w:tc>
        <w:tc>
          <w:tcPr>
            <w:tcW w:w="3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5"/>
                <w:szCs w:val="15"/>
                <w:b w:val="1"/>
                <w:bCs w:val="1"/>
                <w:color w:val="auto"/>
              </w:rPr>
              <w:t>2017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2018</w:t>
            </w:r>
          </w:p>
        </w:tc>
        <w:tc>
          <w:tcPr>
            <w:tcW w:w="24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 change</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120" w:type="dxa"/>
            <w:vAlign w:val="bottom"/>
            <w:shd w:val="clear" w:color="auto" w:fill="CCEEFF"/>
          </w:tcPr>
          <w:p>
            <w:pPr>
              <w:spacing w:after="0"/>
              <w:rPr>
                <w:sz w:val="20"/>
                <w:szCs w:val="20"/>
                <w:color w:val="auto"/>
              </w:rPr>
            </w:pPr>
            <w:r>
              <w:rPr>
                <w:rFonts w:ascii="Arial" w:cs="Arial" w:eastAsia="Arial" w:hAnsi="Arial"/>
                <w:sz w:val="19"/>
                <w:szCs w:val="19"/>
                <w:color w:val="auto"/>
              </w:rPr>
              <w:t>Revenues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76,219</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83,134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9%</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269,071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316,991</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18%</w:t>
            </w:r>
          </w:p>
        </w:tc>
        <w:tc>
          <w:tcPr>
            <w:tcW w:w="0" w:type="dxa"/>
            <w:vAlign w:val="bottom"/>
          </w:tcPr>
          <w:p>
            <w:pPr>
              <w:spacing w:after="0"/>
              <w:rPr>
                <w:sz w:val="1"/>
                <w:szCs w:val="1"/>
                <w:color w:val="auto"/>
              </w:rPr>
            </w:pPr>
          </w:p>
        </w:tc>
      </w:tr>
      <w:tr>
        <w:trPr>
          <w:trHeight w:val="228"/>
        </w:trPr>
        <w:tc>
          <w:tcPr>
            <w:tcW w:w="3360" w:type="dxa"/>
            <w:vAlign w:val="bottom"/>
            <w:gridSpan w:val="2"/>
          </w:tcPr>
          <w:p>
            <w:pPr>
              <w:spacing w:after="0"/>
              <w:rPr>
                <w:sz w:val="20"/>
                <w:szCs w:val="20"/>
                <w:color w:val="auto"/>
              </w:rPr>
            </w:pPr>
            <w:r>
              <w:rPr>
                <w:rFonts w:ascii="Arial" w:cs="Arial" w:eastAsia="Arial" w:hAnsi="Arial"/>
                <w:sz w:val="19"/>
                <w:szCs w:val="19"/>
                <w:color w:val="auto"/>
              </w:rPr>
              <w:t>Profit</w:t>
            </w:r>
          </w:p>
        </w:tc>
        <w:tc>
          <w:tcPr>
            <w:tcW w:w="1460" w:type="dxa"/>
            <w:vAlign w:val="bottom"/>
            <w:gridSpan w:val="2"/>
          </w:tcPr>
          <w:p>
            <w:pPr>
              <w:jc w:val="right"/>
              <w:ind w:right="240"/>
              <w:spacing w:after="0"/>
              <w:rPr>
                <w:sz w:val="20"/>
                <w:szCs w:val="20"/>
                <w:color w:val="auto"/>
              </w:rPr>
            </w:pPr>
            <w:r>
              <w:rPr>
                <w:rFonts w:ascii="Arial" w:cs="Arial" w:eastAsia="Arial" w:hAnsi="Arial"/>
                <w:sz w:val="19"/>
                <w:szCs w:val="19"/>
                <w:color w:val="auto"/>
              </w:rPr>
              <w:t>28,438</w:t>
            </w:r>
          </w:p>
        </w:tc>
        <w:tc>
          <w:tcPr>
            <w:tcW w:w="1440" w:type="dxa"/>
            <w:vAlign w:val="bottom"/>
            <w:gridSpan w:val="2"/>
          </w:tcPr>
          <w:p>
            <w:pPr>
              <w:jc w:val="right"/>
              <w:ind w:right="240"/>
              <w:spacing w:after="0"/>
              <w:rPr>
                <w:sz w:val="20"/>
                <w:szCs w:val="20"/>
                <w:color w:val="auto"/>
              </w:rPr>
            </w:pPr>
            <w:r>
              <w:rPr>
                <w:rFonts w:ascii="Arial" w:cs="Arial" w:eastAsia="Arial" w:hAnsi="Arial"/>
                <w:sz w:val="19"/>
                <w:szCs w:val="19"/>
                <w:color w:val="auto"/>
              </w:rPr>
              <w:t>20,424</w:t>
            </w:r>
          </w:p>
        </w:tc>
        <w:tc>
          <w:tcPr>
            <w:tcW w:w="12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9"/>
                <w:szCs w:val="19"/>
                <w:color w:val="auto"/>
              </w:rPr>
              <w:t>(28)%</w:t>
            </w:r>
          </w:p>
        </w:tc>
        <w:tc>
          <w:tcPr>
            <w:tcW w:w="1300" w:type="dxa"/>
            <w:vAlign w:val="bottom"/>
            <w:gridSpan w:val="2"/>
          </w:tcPr>
          <w:p>
            <w:pPr>
              <w:jc w:val="right"/>
              <w:ind w:right="100"/>
              <w:spacing w:after="0"/>
              <w:rPr>
                <w:sz w:val="20"/>
                <w:szCs w:val="20"/>
                <w:color w:val="auto"/>
              </w:rPr>
            </w:pPr>
            <w:r>
              <w:rPr>
                <w:rFonts w:ascii="Arial" w:cs="Arial" w:eastAsia="Arial" w:hAnsi="Arial"/>
                <w:sz w:val="19"/>
                <w:szCs w:val="19"/>
                <w:color w:val="auto"/>
              </w:rPr>
              <w:t>94,117</w:t>
            </w:r>
          </w:p>
        </w:tc>
        <w:tc>
          <w:tcPr>
            <w:tcW w:w="1560" w:type="dxa"/>
            <w:vAlign w:val="bottom"/>
            <w:gridSpan w:val="3"/>
          </w:tcPr>
          <w:p>
            <w:pPr>
              <w:jc w:val="right"/>
              <w:ind w:right="240"/>
              <w:spacing w:after="0"/>
              <w:rPr>
                <w:sz w:val="20"/>
                <w:szCs w:val="20"/>
                <w:color w:val="auto"/>
              </w:rPr>
            </w:pPr>
            <w:r>
              <w:rPr>
                <w:rFonts w:ascii="Arial" w:cs="Arial" w:eastAsia="Arial" w:hAnsi="Arial"/>
                <w:sz w:val="19"/>
                <w:szCs w:val="19"/>
                <w:color w:val="auto"/>
              </w:rPr>
              <w:t>102,597</w:t>
            </w:r>
          </w:p>
        </w:tc>
        <w:tc>
          <w:tcPr>
            <w:tcW w:w="1360" w:type="dxa"/>
            <w:vAlign w:val="bottom"/>
            <w:gridSpan w:val="2"/>
          </w:tcPr>
          <w:p>
            <w:pPr>
              <w:jc w:val="right"/>
              <w:ind w:right="20"/>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28"/>
        </w:trPr>
        <w:tc>
          <w:tcPr>
            <w:tcW w:w="3360" w:type="dxa"/>
            <w:vAlign w:val="bottom"/>
            <w:gridSpan w:val="2"/>
            <w:shd w:val="clear" w:color="auto" w:fill="CCEEFF"/>
          </w:tcPr>
          <w:p>
            <w:pPr>
              <w:spacing w:after="0" w:line="228" w:lineRule="exact"/>
              <w:rPr>
                <w:sz w:val="20"/>
                <w:szCs w:val="20"/>
                <w:color w:val="auto"/>
              </w:rPr>
            </w:pPr>
            <w:r>
              <w:rPr>
                <w:rFonts w:ascii="Arial" w:cs="Arial" w:eastAsia="Arial" w:hAnsi="Arial"/>
                <w:sz w:val="19"/>
                <w:szCs w:val="19"/>
                <w:color w:val="auto"/>
              </w:rPr>
              <w:t>Adjusted Profit</w:t>
            </w:r>
            <w:r>
              <w:rPr>
                <w:rFonts w:ascii="Arial" w:cs="Arial" w:eastAsia="Arial" w:hAnsi="Arial"/>
                <w:sz w:val="24"/>
                <w:szCs w:val="24"/>
                <w:color w:val="auto"/>
                <w:vertAlign w:val="superscript"/>
              </w:rPr>
              <w:t>(2)</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25,083</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30,859</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23%</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92,156</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9"/>
                <w:szCs w:val="19"/>
                <w:color w:val="auto"/>
              </w:rPr>
              <w:t>104,908</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14%</w:t>
            </w:r>
          </w:p>
        </w:tc>
        <w:tc>
          <w:tcPr>
            <w:tcW w:w="0" w:type="dxa"/>
            <w:vAlign w:val="bottom"/>
          </w:tcPr>
          <w:p>
            <w:pPr>
              <w:spacing w:after="0"/>
              <w:rPr>
                <w:sz w:val="1"/>
                <w:szCs w:val="1"/>
                <w:color w:val="auto"/>
              </w:rPr>
            </w:pPr>
          </w:p>
        </w:tc>
      </w:tr>
      <w:tr>
        <w:trPr>
          <w:trHeight w:val="228"/>
        </w:trPr>
        <w:tc>
          <w:tcPr>
            <w:tcW w:w="3360" w:type="dxa"/>
            <w:vAlign w:val="bottom"/>
            <w:gridSpan w:val="2"/>
          </w:tcPr>
          <w:p>
            <w:pPr>
              <w:spacing w:after="0" w:line="228" w:lineRule="exact"/>
              <w:rPr>
                <w:sz w:val="20"/>
                <w:szCs w:val="20"/>
                <w:color w:val="auto"/>
              </w:rPr>
            </w:pPr>
            <w:r>
              <w:rPr>
                <w:rFonts w:ascii="Arial" w:cs="Arial" w:eastAsia="Arial" w:hAnsi="Arial"/>
                <w:sz w:val="19"/>
                <w:szCs w:val="19"/>
                <w:color w:val="auto"/>
              </w:rPr>
              <w:t>EBITDA</w:t>
            </w:r>
            <w:r>
              <w:rPr>
                <w:rFonts w:ascii="Arial" w:cs="Arial" w:eastAsia="Arial" w:hAnsi="Arial"/>
                <w:sz w:val="24"/>
                <w:szCs w:val="24"/>
                <w:color w:val="auto"/>
                <w:vertAlign w:val="superscript"/>
              </w:rPr>
              <w:t>(2)</w:t>
            </w:r>
          </w:p>
        </w:tc>
        <w:tc>
          <w:tcPr>
            <w:tcW w:w="1460" w:type="dxa"/>
            <w:vAlign w:val="bottom"/>
            <w:gridSpan w:val="2"/>
          </w:tcPr>
          <w:p>
            <w:pPr>
              <w:jc w:val="right"/>
              <w:ind w:right="240"/>
              <w:spacing w:after="0"/>
              <w:rPr>
                <w:sz w:val="20"/>
                <w:szCs w:val="20"/>
                <w:color w:val="auto"/>
              </w:rPr>
            </w:pPr>
            <w:r>
              <w:rPr>
                <w:rFonts w:ascii="Arial" w:cs="Arial" w:eastAsia="Arial" w:hAnsi="Arial"/>
                <w:sz w:val="19"/>
                <w:szCs w:val="19"/>
                <w:color w:val="auto"/>
              </w:rPr>
              <w:t>55,358</w:t>
            </w:r>
          </w:p>
        </w:tc>
        <w:tc>
          <w:tcPr>
            <w:tcW w:w="1440" w:type="dxa"/>
            <w:vAlign w:val="bottom"/>
            <w:gridSpan w:val="2"/>
          </w:tcPr>
          <w:p>
            <w:pPr>
              <w:jc w:val="right"/>
              <w:ind w:right="240"/>
              <w:spacing w:after="0"/>
              <w:rPr>
                <w:sz w:val="20"/>
                <w:szCs w:val="20"/>
                <w:color w:val="auto"/>
              </w:rPr>
            </w:pPr>
            <w:r>
              <w:rPr>
                <w:rFonts w:ascii="Arial" w:cs="Arial" w:eastAsia="Arial" w:hAnsi="Arial"/>
                <w:sz w:val="19"/>
                <w:szCs w:val="19"/>
                <w:color w:val="auto"/>
              </w:rPr>
              <w:t>65,716</w:t>
            </w:r>
          </w:p>
        </w:tc>
        <w:tc>
          <w:tcPr>
            <w:tcW w:w="1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9"/>
                <w:szCs w:val="19"/>
                <w:color w:val="auto"/>
              </w:rPr>
              <w:t>19%</w:t>
            </w:r>
          </w:p>
        </w:tc>
        <w:tc>
          <w:tcPr>
            <w:tcW w:w="1300" w:type="dxa"/>
            <w:vAlign w:val="bottom"/>
            <w:gridSpan w:val="2"/>
          </w:tcPr>
          <w:p>
            <w:pPr>
              <w:jc w:val="right"/>
              <w:ind w:right="100"/>
              <w:spacing w:after="0"/>
              <w:rPr>
                <w:sz w:val="20"/>
                <w:szCs w:val="20"/>
                <w:color w:val="auto"/>
              </w:rPr>
            </w:pPr>
            <w:r>
              <w:rPr>
                <w:rFonts w:ascii="Arial" w:cs="Arial" w:eastAsia="Arial" w:hAnsi="Arial"/>
                <w:sz w:val="19"/>
                <w:szCs w:val="19"/>
                <w:color w:val="auto"/>
              </w:rPr>
              <w:t>196,133</w:t>
            </w:r>
          </w:p>
        </w:tc>
        <w:tc>
          <w:tcPr>
            <w:tcW w:w="1560" w:type="dxa"/>
            <w:vAlign w:val="bottom"/>
            <w:gridSpan w:val="3"/>
          </w:tcPr>
          <w:p>
            <w:pPr>
              <w:jc w:val="right"/>
              <w:ind w:right="240"/>
              <w:spacing w:after="0"/>
              <w:rPr>
                <w:sz w:val="20"/>
                <w:szCs w:val="20"/>
                <w:color w:val="auto"/>
              </w:rPr>
            </w:pPr>
            <w:r>
              <w:rPr>
                <w:rFonts w:ascii="Arial" w:cs="Arial" w:eastAsia="Arial" w:hAnsi="Arial"/>
                <w:sz w:val="19"/>
                <w:szCs w:val="19"/>
                <w:color w:val="auto"/>
              </w:rPr>
              <w:t>233,656</w:t>
            </w:r>
          </w:p>
        </w:tc>
        <w:tc>
          <w:tcPr>
            <w:tcW w:w="1360" w:type="dxa"/>
            <w:vAlign w:val="bottom"/>
            <w:gridSpan w:val="2"/>
          </w:tcPr>
          <w:p>
            <w:pPr>
              <w:jc w:val="right"/>
              <w:ind w:right="20"/>
              <w:spacing w:after="0"/>
              <w:rPr>
                <w:sz w:val="20"/>
                <w:szCs w:val="20"/>
                <w:color w:val="auto"/>
              </w:rPr>
            </w:pPr>
            <w:r>
              <w:rPr>
                <w:rFonts w:ascii="Arial" w:cs="Arial" w:eastAsia="Arial" w:hAnsi="Arial"/>
                <w:sz w:val="19"/>
                <w:szCs w:val="19"/>
                <w:color w:val="auto"/>
              </w:rPr>
              <w:t>19%</w:t>
            </w:r>
          </w:p>
        </w:tc>
        <w:tc>
          <w:tcPr>
            <w:tcW w:w="0" w:type="dxa"/>
            <w:vAlign w:val="bottom"/>
          </w:tcPr>
          <w:p>
            <w:pPr>
              <w:spacing w:after="0"/>
              <w:rPr>
                <w:sz w:val="1"/>
                <w:szCs w:val="1"/>
                <w:color w:val="auto"/>
              </w:rPr>
            </w:pPr>
          </w:p>
        </w:tc>
      </w:tr>
      <w:tr>
        <w:trPr>
          <w:trHeight w:val="228"/>
        </w:trPr>
        <w:tc>
          <w:tcPr>
            <w:tcW w:w="3360" w:type="dxa"/>
            <w:vAlign w:val="bottom"/>
            <w:gridSpan w:val="2"/>
            <w:shd w:val="clear" w:color="auto" w:fill="CCEEFF"/>
          </w:tcPr>
          <w:p>
            <w:pPr>
              <w:spacing w:after="0" w:line="228" w:lineRule="exact"/>
              <w:rPr>
                <w:sz w:val="20"/>
                <w:szCs w:val="20"/>
                <w:color w:val="auto"/>
              </w:rPr>
            </w:pPr>
            <w:r>
              <w:rPr>
                <w:rFonts w:ascii="Arial" w:cs="Arial" w:eastAsia="Arial" w:hAnsi="Arial"/>
                <w:sz w:val="19"/>
                <w:szCs w:val="19"/>
                <w:color w:val="auto"/>
              </w:rPr>
              <w:t>Distributable cash flow</w:t>
            </w:r>
            <w:r>
              <w:rPr>
                <w:rFonts w:ascii="Arial" w:cs="Arial" w:eastAsia="Arial" w:hAnsi="Arial"/>
                <w:sz w:val="24"/>
                <w:szCs w:val="24"/>
                <w:color w:val="auto"/>
                <w:vertAlign w:val="superscript"/>
              </w:rPr>
              <w:t>(2)</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26,934</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31,401</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17%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100,551</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9"/>
                <w:szCs w:val="19"/>
                <w:color w:val="auto"/>
              </w:rPr>
              <w:t>108,945</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241"/>
        </w:trPr>
        <w:tc>
          <w:tcPr>
            <w:tcW w:w="3360" w:type="dxa"/>
            <w:vAlign w:val="bottom"/>
            <w:gridSpan w:val="2"/>
          </w:tcPr>
          <w:p>
            <w:pPr>
              <w:spacing w:after="0"/>
              <w:rPr>
                <w:sz w:val="20"/>
                <w:szCs w:val="20"/>
                <w:color w:val="auto"/>
              </w:rPr>
            </w:pPr>
            <w:r>
              <w:rPr>
                <w:rFonts w:ascii="Arial" w:cs="Arial" w:eastAsia="Arial" w:hAnsi="Arial"/>
                <w:sz w:val="19"/>
                <w:szCs w:val="19"/>
                <w:color w:val="auto"/>
              </w:rPr>
              <w:t>Cash distributions declared</w:t>
            </w:r>
          </w:p>
        </w:tc>
        <w:tc>
          <w:tcPr>
            <w:tcW w:w="1460" w:type="dxa"/>
            <w:vAlign w:val="bottom"/>
            <w:gridSpan w:val="2"/>
          </w:tcPr>
          <w:p>
            <w:pPr>
              <w:jc w:val="right"/>
              <w:ind w:right="240"/>
              <w:spacing w:after="0"/>
              <w:rPr>
                <w:sz w:val="20"/>
                <w:szCs w:val="20"/>
                <w:color w:val="auto"/>
              </w:rPr>
            </w:pPr>
            <w:r>
              <w:rPr>
                <w:rFonts w:ascii="Arial" w:cs="Arial" w:eastAsia="Arial" w:hAnsi="Arial"/>
                <w:sz w:val="19"/>
                <w:szCs w:val="19"/>
                <w:color w:val="auto"/>
              </w:rPr>
              <w:t>22,845</w:t>
            </w:r>
          </w:p>
        </w:tc>
        <w:tc>
          <w:tcPr>
            <w:tcW w:w="1440" w:type="dxa"/>
            <w:vAlign w:val="bottom"/>
            <w:gridSpan w:val="2"/>
          </w:tcPr>
          <w:p>
            <w:pPr>
              <w:jc w:val="right"/>
              <w:ind w:right="240"/>
              <w:spacing w:after="0"/>
              <w:rPr>
                <w:sz w:val="20"/>
                <w:szCs w:val="20"/>
                <w:color w:val="auto"/>
              </w:rPr>
            </w:pPr>
            <w:r>
              <w:rPr>
                <w:rFonts w:ascii="Arial" w:cs="Arial" w:eastAsia="Arial" w:hAnsi="Arial"/>
                <w:sz w:val="19"/>
                <w:szCs w:val="19"/>
                <w:color w:val="auto"/>
              </w:rPr>
              <w:t>26,929</w:t>
            </w:r>
          </w:p>
        </w:tc>
        <w:tc>
          <w:tcPr>
            <w:tcW w:w="12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9"/>
                <w:szCs w:val="19"/>
                <w:color w:val="auto"/>
              </w:rPr>
              <w:t>18%</w:t>
            </w:r>
          </w:p>
        </w:tc>
        <w:tc>
          <w:tcPr>
            <w:tcW w:w="1300" w:type="dxa"/>
            <w:vAlign w:val="bottom"/>
            <w:gridSpan w:val="2"/>
          </w:tcPr>
          <w:p>
            <w:pPr>
              <w:jc w:val="right"/>
              <w:ind w:right="100"/>
              <w:spacing w:after="0"/>
              <w:rPr>
                <w:sz w:val="20"/>
                <w:szCs w:val="20"/>
                <w:color w:val="auto"/>
              </w:rPr>
            </w:pPr>
            <w:r>
              <w:rPr>
                <w:rFonts w:ascii="Arial" w:cs="Arial" w:eastAsia="Arial" w:hAnsi="Arial"/>
                <w:sz w:val="19"/>
                <w:szCs w:val="19"/>
                <w:color w:val="auto"/>
              </w:rPr>
              <w:t>86,344</w:t>
            </w:r>
          </w:p>
        </w:tc>
        <w:tc>
          <w:tcPr>
            <w:tcW w:w="1560" w:type="dxa"/>
            <w:vAlign w:val="bottom"/>
            <w:gridSpan w:val="3"/>
          </w:tcPr>
          <w:p>
            <w:pPr>
              <w:jc w:val="right"/>
              <w:ind w:right="240"/>
              <w:spacing w:after="0"/>
              <w:rPr>
                <w:sz w:val="20"/>
                <w:szCs w:val="20"/>
                <w:color w:val="auto"/>
              </w:rPr>
            </w:pPr>
            <w:r>
              <w:rPr>
                <w:rFonts w:ascii="Arial" w:cs="Arial" w:eastAsia="Arial" w:hAnsi="Arial"/>
                <w:sz w:val="19"/>
                <w:szCs w:val="19"/>
                <w:color w:val="auto"/>
              </w:rPr>
              <w:t>101,189</w:t>
            </w:r>
          </w:p>
        </w:tc>
        <w:tc>
          <w:tcPr>
            <w:tcW w:w="1360" w:type="dxa"/>
            <w:vAlign w:val="bottom"/>
            <w:gridSpan w:val="2"/>
          </w:tcPr>
          <w:p>
            <w:pPr>
              <w:jc w:val="right"/>
              <w:ind w:right="20"/>
              <w:spacing w:after="0"/>
              <w:rPr>
                <w:sz w:val="20"/>
                <w:szCs w:val="20"/>
                <w:color w:val="auto"/>
              </w:rPr>
            </w:pPr>
            <w:r>
              <w:rPr>
                <w:rFonts w:ascii="Arial" w:cs="Arial" w:eastAsia="Arial" w:hAnsi="Arial"/>
                <w:sz w:val="19"/>
                <w:szCs w:val="19"/>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208915</wp:posOffset>
            </wp:positionV>
            <wp:extent cx="19291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680" w:hanging="344"/>
        <w:spacing w:after="0" w:line="232" w:lineRule="auto"/>
        <w:tabs>
          <w:tab w:leader="none" w:pos="676"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“Partnership Performance Results” represent the results attributable to GasLog Partners. Such results are non-GAAP measures and exclude amounts related to vessels currently owned by the Partnership for the periods prior to their respective transfers to GasLog Partners from GasLog, as the Partnership is not entitled to the cash or results generated in the periods prior to such transfers. Such results are included in the GasLog Partners’ results in accordance with IFRS because the transfers of the vessel owning entities by GasLog to the Partnership represent reorganizations of entities under common control and the Partnership reflects such transfers retroactively under IFRS. GasLog Partners believes that these non-GAAP financial measures provide meaningful supplemental information to both management and investors regarding the financial and operating performance of the Partnership necessary to understand the underlying basis for the calculations of the quarterly distribution and earnings per unit, which similarly exclude the results of vessels prior to their transfers to the Partnership. These non-GAAP financial measures should not be viewed in isolation or as substitutes to the equivalent GAAP measures presented in accordance with IFRS, but should be used in conjunction with the most directly comparable IFRS Common Control Reported Results. For the definitions and reconciliations of these measurements to the most directly comparable financial measures presented in accordance with IFRS, please refer to Exhibit II at the end of this press release.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451" w:right="120" w:bottom="1440" w:gutter="0" w:footer="0" w:header="0"/>
        </w:sectPr>
      </w:pPr>
    </w:p>
    <w:bookmarkStart w:id="6" w:name="page7"/>
    <w:bookmarkEnd w:id="6"/>
    <w:p>
      <w:pPr>
        <w:ind w:left="680" w:right="120" w:hanging="344"/>
        <w:spacing w:after="0" w:line="215" w:lineRule="auto"/>
        <w:tabs>
          <w:tab w:leader="none" w:pos="676"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Adjusted Profit, EBITDA and Distributable cash flow are non-GAAP financial measures and should not be used in isolation or as a substitute for GasLog Partners’ financial results presented in accordance with IFRS. For the definitions and reconciliations of these measures to the most directly comparable financial measures calculated and presented in accordance with IFRS, please refer to Exhibit III at the end of this press release.</w:t>
      </w:r>
    </w:p>
    <w:p>
      <w:pPr>
        <w:spacing w:after="0" w:line="199" w:lineRule="exact"/>
        <w:rPr>
          <w:sz w:val="20"/>
          <w:szCs w:val="20"/>
          <w:color w:val="auto"/>
        </w:rPr>
      </w:pPr>
    </w:p>
    <w:p>
      <w:pPr>
        <w:ind w:right="220"/>
        <w:spacing w:after="0" w:line="255" w:lineRule="auto"/>
        <w:rPr>
          <w:sz w:val="20"/>
          <w:szCs w:val="20"/>
          <w:color w:val="auto"/>
        </w:rPr>
      </w:pPr>
      <w:r>
        <w:rPr>
          <w:rFonts w:ascii="Arial" w:cs="Arial" w:eastAsia="Arial" w:hAnsi="Arial"/>
          <w:sz w:val="19"/>
          <w:szCs w:val="19"/>
          <w:color w:val="auto"/>
        </w:rPr>
        <w:t xml:space="preserve">With respect to the Partnership Performance Results, there were 1,175 and 4,476 operating days for the quarter and the year ended December 31, 2018, respectively, as compared to 1,065 and 3,764 operating days for the quarter and the year ended December 31, 2017, respectively. The increase in operating days resulted from the vessel drop-downs during 2017 (the </w:t>
      </w:r>
      <w:r>
        <w:rPr>
          <w:rFonts w:ascii="Arial" w:cs="Arial" w:eastAsia="Arial" w:hAnsi="Arial"/>
          <w:sz w:val="19"/>
          <w:szCs w:val="19"/>
          <w:i w:val="1"/>
          <w:iCs w:val="1"/>
          <w:color w:val="auto"/>
        </w:rPr>
        <w:t>GasLog Greece</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Geneva</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Solaris</w:t>
      </w:r>
      <w:r>
        <w:rPr>
          <w:rFonts w:ascii="Arial" w:cs="Arial" w:eastAsia="Arial" w:hAnsi="Arial"/>
          <w:sz w:val="19"/>
          <w:szCs w:val="19"/>
          <w:color w:val="auto"/>
        </w:rPr>
        <w:t xml:space="preserve">) and 2018 (the </w:t>
      </w:r>
      <w:r>
        <w:rPr>
          <w:rFonts w:ascii="Arial" w:cs="Arial" w:eastAsia="Arial" w:hAnsi="Arial"/>
          <w:sz w:val="19"/>
          <w:szCs w:val="19"/>
          <w:i w:val="1"/>
          <w:iCs w:val="1"/>
          <w:color w:val="auto"/>
        </w:rPr>
        <w:t>GasLog Gibraltar</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Methane Becki Anne</w:t>
      </w:r>
      <w:r>
        <w:rPr>
          <w:rFonts w:ascii="Arial" w:cs="Arial" w:eastAsia="Arial" w:hAnsi="Arial"/>
          <w:sz w:val="19"/>
          <w:szCs w:val="19"/>
          <w:color w:val="auto"/>
        </w:rPr>
        <w:t xml:space="preserve">), partially offset by certain off-charter days for the vessels not operating under a time charter and the off-hire days for three dry-dockings in 2018 (the </w:t>
      </w:r>
      <w:r>
        <w:rPr>
          <w:rFonts w:ascii="Arial" w:cs="Arial" w:eastAsia="Arial" w:hAnsi="Arial"/>
          <w:sz w:val="19"/>
          <w:szCs w:val="19"/>
          <w:i w:val="1"/>
          <w:iCs w:val="1"/>
          <w:color w:val="auto"/>
        </w:rPr>
        <w:t>GasLog Santiago,</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Sydney</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GasLog Seattle)</w:t>
      </w:r>
      <w:r>
        <w:rPr>
          <w:rFonts w:ascii="Arial" w:cs="Arial" w:eastAsia="Arial" w:hAnsi="Arial"/>
          <w:sz w:val="19"/>
          <w:szCs w:val="19"/>
          <w:color w:val="auto"/>
        </w:rPr>
        <w:t xml:space="preserve"> as compared with only one dry-docking in 2017 </w:t>
      </w:r>
      <w:r>
        <w:rPr>
          <w:rFonts w:ascii="Arial" w:cs="Arial" w:eastAsia="Arial" w:hAnsi="Arial"/>
          <w:sz w:val="19"/>
          <w:szCs w:val="19"/>
          <w:i w:val="1"/>
          <w:iCs w:val="1"/>
          <w:color w:val="auto"/>
        </w:rPr>
        <w:t>(</w:t>
      </w:r>
      <w:r>
        <w:rPr>
          <w:rFonts w:ascii="Arial" w:cs="Arial" w:eastAsia="Arial" w:hAnsi="Arial"/>
          <w:sz w:val="19"/>
          <w:szCs w:val="19"/>
          <w:color w:val="auto"/>
        </w:rPr>
        <w:t xml:space="preserve">the </w:t>
      </w:r>
      <w:r>
        <w:rPr>
          <w:rFonts w:ascii="Arial" w:cs="Arial" w:eastAsia="Arial" w:hAnsi="Arial"/>
          <w:sz w:val="19"/>
          <w:szCs w:val="19"/>
          <w:i w:val="1"/>
          <w:iCs w:val="1"/>
          <w:color w:val="auto"/>
        </w:rPr>
        <w:t>GasLog</w:t>
      </w:r>
      <w:r>
        <w:rPr>
          <w:rFonts w:ascii="Arial" w:cs="Arial" w:eastAsia="Arial" w:hAnsi="Arial"/>
          <w:sz w:val="19"/>
          <w:szCs w:val="19"/>
          <w:color w:val="auto"/>
        </w:rPr>
        <w:t xml:space="preserve"> </w:t>
      </w:r>
      <w:r>
        <w:rPr>
          <w:rFonts w:ascii="Arial" w:cs="Arial" w:eastAsia="Arial" w:hAnsi="Arial"/>
          <w:sz w:val="19"/>
          <w:szCs w:val="19"/>
          <w:i w:val="1"/>
          <w:iCs w:val="1"/>
          <w:color w:val="auto"/>
        </w:rPr>
        <w:t>Shanghai).</w:t>
      </w:r>
    </w:p>
    <w:p>
      <w:pPr>
        <w:spacing w:after="0" w:line="20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 xml:space="preserve">The decrease in profit of $8.0 million for the fourth quarter of 2018 as compared to the same period in 2017 is mainly attributable to a decrease in mark-to-market gain on derivatives of $14.0 million (a loss of $10.4 million in the fourth quarter of 2018 compared with a gain of $3.6 million in the same period of 2017), a decrease in revenues of $5.6 million, mainly due to the expiry of the initial charters of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Sydney</w:t>
      </w:r>
      <w:r>
        <w:rPr>
          <w:rFonts w:ascii="Arial" w:cs="Arial" w:eastAsia="Arial" w:hAnsi="Arial"/>
          <w:sz w:val="18"/>
          <w:szCs w:val="18"/>
          <w:color w:val="auto"/>
        </w:rPr>
        <w:t>, and an increase in administrative fees of $0.9 million. The aforementioned decreases were partially offset by the incremental profits of $4.7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Becki Anne</w:t>
      </w:r>
      <w:r>
        <w:rPr>
          <w:rFonts w:ascii="Arial" w:cs="Arial" w:eastAsia="Arial" w:hAnsi="Arial"/>
          <w:sz w:val="18"/>
          <w:szCs w:val="18"/>
          <w:color w:val="auto"/>
        </w:rPr>
        <w:t>, acquired by the Partnership on October 20, 2017, April 26, 2018 and November 14, 2018, respectively, the net pool allocation from the Cool Pool of $3.3 million in the fourth quarter of 2018, a decrease in operating expenses of $3.0 million and a decrease in voyage expenses and commissions of $0.4 million from the remaining fleet.</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color w:val="auto"/>
        </w:rPr>
        <w:t xml:space="preserve">The increase in profit of $8.5 million for the year ended December 31, 2018 as compared to the same period in 2017 is mainly attributable to the incremental profits of $25.4 million of the </w:t>
      </w:r>
      <w:r>
        <w:rPr>
          <w:rFonts w:ascii="Arial" w:cs="Arial" w:eastAsia="Arial" w:hAnsi="Arial"/>
          <w:sz w:val="19"/>
          <w:szCs w:val="19"/>
          <w:i w:val="1"/>
          <w:iCs w:val="1"/>
          <w:color w:val="auto"/>
        </w:rPr>
        <w:t>GasLog Greece</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Geneva,</w:t>
      </w:r>
      <w:r>
        <w:rPr>
          <w:rFonts w:ascii="Arial" w:cs="Arial" w:eastAsia="Arial" w:hAnsi="Arial"/>
          <w:sz w:val="19"/>
          <w:szCs w:val="19"/>
          <w:color w:val="auto"/>
        </w:rPr>
        <w:t xml:space="preserve"> the </w:t>
      </w:r>
      <w:r>
        <w:rPr>
          <w:rFonts w:ascii="Arial" w:cs="Arial" w:eastAsia="Arial" w:hAnsi="Arial"/>
          <w:sz w:val="19"/>
          <w:szCs w:val="19"/>
          <w:i w:val="1"/>
          <w:iCs w:val="1"/>
          <w:color w:val="auto"/>
        </w:rPr>
        <w:t>Solaris,</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Gibraltar</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Methane Becki Anne</w:t>
      </w:r>
      <w:r>
        <w:rPr>
          <w:rFonts w:ascii="Arial" w:cs="Arial" w:eastAsia="Arial" w:hAnsi="Arial"/>
          <w:sz w:val="19"/>
          <w:szCs w:val="19"/>
          <w:color w:val="auto"/>
        </w:rPr>
        <w:t xml:space="preserve">, acquired by the Partnership on May 3, 2017, July 3, 2017, October 20, 2017, April 26, 2018 and November 14, 2018, respectively, and a decrease in operating expenses of the remaining fleet of $2.6 million, partially offset by a decrease of $14.9 million in total revenues (revenues and net pool allocation), mainly due to the expiry of the initial charters of the </w:t>
      </w:r>
      <w:r>
        <w:rPr>
          <w:rFonts w:ascii="Arial" w:cs="Arial" w:eastAsia="Arial" w:hAnsi="Arial"/>
          <w:sz w:val="19"/>
          <w:szCs w:val="19"/>
          <w:i w:val="1"/>
          <w:iCs w:val="1"/>
          <w:color w:val="auto"/>
        </w:rPr>
        <w:t>GasLog Shanghai</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Santiago</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GasLog Sydney</w:t>
      </w:r>
      <w:r>
        <w:rPr>
          <w:rFonts w:ascii="Arial" w:cs="Arial" w:eastAsia="Arial" w:hAnsi="Arial"/>
          <w:sz w:val="19"/>
          <w:szCs w:val="19"/>
          <w:color w:val="auto"/>
        </w:rPr>
        <w:t xml:space="preserve"> and the increased off-hire days due to dry-docking, and an increase in administrative fees of $3.9 million.</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Preference Unit Distributions</w:t>
      </w:r>
    </w:p>
    <w:p>
      <w:pPr>
        <w:spacing w:after="0" w:line="244"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On November 15, 2018, the board of directors of GasLog Partners approved and declared a distribution on the Series A Cumulative Redeemable Perpetual Fixed to Floating Rate Preference Units (the “Series A Preference Units”) of $0.5390625 per preference unit and a distribution on the Series B Cumulative Redeemable Perpetual Fixed to Floating Rate Preference Units (the “Series B Preference Units”) of $0.5125 per preference unit. The cash distributions were paid on December 17, 2018 to all unitholders of record as of December 10, 2018.</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Common Unit Distribution</w:t>
      </w:r>
    </w:p>
    <w:p>
      <w:pPr>
        <w:spacing w:after="0" w:line="244" w:lineRule="exact"/>
        <w:rPr>
          <w:sz w:val="20"/>
          <w:szCs w:val="20"/>
          <w:color w:val="auto"/>
        </w:rPr>
      </w:pPr>
    </w:p>
    <w:p>
      <w:pPr>
        <w:ind w:right="40"/>
        <w:spacing w:after="0" w:line="304" w:lineRule="auto"/>
        <w:rPr>
          <w:sz w:val="20"/>
          <w:szCs w:val="20"/>
          <w:color w:val="auto"/>
        </w:rPr>
      </w:pPr>
      <w:r>
        <w:rPr>
          <w:rFonts w:ascii="Arial" w:cs="Arial" w:eastAsia="Arial" w:hAnsi="Arial"/>
          <w:sz w:val="18"/>
          <w:szCs w:val="18"/>
          <w:color w:val="auto"/>
        </w:rPr>
        <w:t>On January 29, 2019, the board of directors of GasLog Partners approved and declared a quarterly cash distribution of $0.55 per common unit for the quarter ended December 31, 2018. The cash distribution is payable on February 13, 2019 to all unitholders of record as of February 8, 2019.</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Change of Director</w:t>
      </w:r>
    </w:p>
    <w:p>
      <w:pPr>
        <w:spacing w:after="0" w:line="244"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color w:val="auto"/>
        </w:rPr>
        <w:t>Mr. Anthony Papadimitriou will step down from the board of directors of GasLog Partners on January 31, 2019 and Mr. Michael Gialouris will be appointed as a director with effect from February 1, 2019. Mr. Papadimitriou has been a director since May 2015 and was appointed by our General Partner.</w:t>
      </w:r>
    </w:p>
    <w:p>
      <w:pPr>
        <w:spacing w:after="0" w:line="261" w:lineRule="auto"/>
        <w:rPr>
          <w:sz w:val="20"/>
          <w:szCs w:val="20"/>
          <w:color w:val="auto"/>
        </w:rPr>
      </w:pPr>
      <w:r>
        <w:rPr>
          <w:rFonts w:ascii="Arial" w:cs="Arial" w:eastAsia="Arial" w:hAnsi="Arial"/>
          <w:sz w:val="19"/>
          <w:szCs w:val="19"/>
          <w:color w:val="auto"/>
        </w:rPr>
        <w:t>Mr. Gialouris, the President and Managing Director of ASOFIN Management S.A., an Onassis Foundation Company, has also been appointed by our General Partner.</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Liquidity and Financing</w:t>
      </w:r>
    </w:p>
    <w:p>
      <w:pPr>
        <w:spacing w:after="0" w:line="244" w:lineRule="exact"/>
        <w:rPr>
          <w:sz w:val="20"/>
          <w:szCs w:val="20"/>
          <w:color w:val="auto"/>
        </w:rPr>
      </w:pPr>
    </w:p>
    <w:p>
      <w:pPr>
        <w:jc w:val="both"/>
        <w:ind w:right="160"/>
        <w:spacing w:after="0" w:line="263" w:lineRule="auto"/>
        <w:rPr>
          <w:sz w:val="20"/>
          <w:szCs w:val="20"/>
          <w:color w:val="auto"/>
        </w:rPr>
      </w:pPr>
      <w:r>
        <w:rPr>
          <w:rFonts w:ascii="Arial" w:cs="Arial" w:eastAsia="Arial" w:hAnsi="Arial"/>
          <w:sz w:val="19"/>
          <w:szCs w:val="19"/>
          <w:color w:val="auto"/>
        </w:rPr>
        <w:t>As of December 31, 2018, we had $129.1 million of cash and cash equivalents, of which $85.3 million was held in current accounts and $43.8 million was held in time deposits with an original duration of less than three months. An amount of $10.0 million of time deposits with an original duration greater than three months was classified as short-term investments.</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 xml:space="preserve">On November 14, 2018, in connection with the acquisition of GAS-twenty seven Ltd., the entity that owns the </w:t>
      </w:r>
      <w:r>
        <w:rPr>
          <w:rFonts w:ascii="Arial" w:cs="Arial" w:eastAsia="Arial" w:hAnsi="Arial"/>
          <w:sz w:val="19"/>
          <w:szCs w:val="19"/>
          <w:i w:val="1"/>
          <w:iCs w:val="1"/>
          <w:color w:val="auto"/>
        </w:rPr>
        <w:t>Methane Becki Anne</w:t>
      </w:r>
      <w:r>
        <w:rPr>
          <w:rFonts w:ascii="Arial" w:cs="Arial" w:eastAsia="Arial" w:hAnsi="Arial"/>
          <w:sz w:val="19"/>
          <w:szCs w:val="19"/>
          <w:color w:val="auto"/>
        </w:rPr>
        <w:t>, the Partnership paid GasLog $109.4 million representing the difference between the $207.4 million aggregate purchase price and the $93.9 million of outstanding indebtedness of the acquired entity assumed by GasLog Partners less an adjustment of $4.1 million in order to maintain the agreed working capital position in the acquired entity of $1.0 million.</w:t>
      </w:r>
    </w:p>
    <w:p>
      <w:pPr>
        <w:spacing w:after="0" w:line="198" w:lineRule="exact"/>
        <w:rPr>
          <w:sz w:val="20"/>
          <w:szCs w:val="20"/>
          <w:color w:val="auto"/>
        </w:rPr>
      </w:pPr>
    </w:p>
    <w:p>
      <w:pPr>
        <w:ind w:right="80"/>
        <w:spacing w:after="0" w:line="298" w:lineRule="auto"/>
        <w:rPr>
          <w:sz w:val="20"/>
          <w:szCs w:val="20"/>
          <w:color w:val="auto"/>
        </w:rPr>
      </w:pPr>
      <w:r>
        <w:rPr>
          <w:rFonts w:ascii="Arial" w:cs="Arial" w:eastAsia="Arial" w:hAnsi="Arial"/>
          <w:sz w:val="17"/>
          <w:szCs w:val="17"/>
          <w:color w:val="auto"/>
        </w:rPr>
        <w:t>As of December 31, 2018, we had an aggregate of $1,235.0 million of indebtedness outstanding under our credit facilities, of which $429.4 million is repayable within one year. Current debt includes $360.0 million from the outstanding indebtedness of GAS-three Ltd., GAS-four Ltd., GAS-five Ltd., GAS-sixteen Ltd. and GAS-seventeen Ltd., due in November 2019. We are in active discussions with a number of banks for its refinancing. We currently expect this refinancing to be completed during the first half of 2019. In addition, we had unused availability under our revolving credit facilities of $55.9 million.</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9"/>
          <w:szCs w:val="19"/>
          <w:color w:val="auto"/>
        </w:rPr>
        <w:t>The Partnership has entered into six interest rate swap agreements with GasLog at a notional value of $625.0 million in aggregate, maturing between 2020 and 2024. As a result of its hedging agreements, the Partnership has hedged 43.9% of its floating interest rate exposure on its outstanding debt as of December 31, 2018, at a weighted average interest rate of approximately 1.9% (excluding margin).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0"/>
          </w:cols>
          <w:pgMar w:left="120" w:top="209" w:right="140" w:bottom="225" w:gutter="0" w:footer="0" w:header="0"/>
        </w:sectPr>
      </w:pPr>
    </w:p>
    <w:bookmarkStart w:id="7" w:name="page8"/>
    <w:bookmarkEnd w:id="7"/>
    <w:p>
      <w:pPr>
        <w:ind w:left="6" w:right="40"/>
        <w:spacing w:after="0" w:line="275" w:lineRule="auto"/>
        <w:rPr>
          <w:sz w:val="20"/>
          <w:szCs w:val="20"/>
          <w:color w:val="auto"/>
        </w:rPr>
      </w:pPr>
      <w:r>
        <w:rPr>
          <w:rFonts w:ascii="Arial" w:cs="Arial" w:eastAsia="Arial" w:hAnsi="Arial"/>
          <w:sz w:val="19"/>
          <w:szCs w:val="19"/>
          <w:color w:val="auto"/>
        </w:rPr>
        <w:t>Furthermore, the Partnership has also entered into nine forward foreign exchange contracts with GasLog with a notional value of €18.0 million and staggered maturities during 2019 to mitigate its foreign exchange transaction exposure in its operating expenses.</w:t>
      </w:r>
    </w:p>
    <w:p>
      <w:pPr>
        <w:spacing w:after="0" w:line="184" w:lineRule="exact"/>
        <w:rPr>
          <w:sz w:val="20"/>
          <w:szCs w:val="20"/>
          <w:color w:val="auto"/>
        </w:rPr>
      </w:pPr>
    </w:p>
    <w:p>
      <w:pPr>
        <w:ind w:left="6" w:right="80"/>
        <w:spacing w:after="0" w:line="275" w:lineRule="auto"/>
        <w:rPr>
          <w:sz w:val="20"/>
          <w:szCs w:val="20"/>
          <w:color w:val="auto"/>
        </w:rPr>
      </w:pPr>
      <w:r>
        <w:rPr>
          <w:rFonts w:ascii="Arial" w:cs="Arial" w:eastAsia="Arial" w:hAnsi="Arial"/>
          <w:sz w:val="19"/>
          <w:szCs w:val="19"/>
          <w:color w:val="auto"/>
        </w:rPr>
        <w:t>As of December 31, 2018, our current assets totaled $166.8 million and current liabilities totaled $498.0 million, including the $360.0 million of current debt due in November 2019 mentioned above, resulting in a negative working capital position of $331.2 million.</w:t>
      </w:r>
    </w:p>
    <w:p>
      <w:pPr>
        <w:spacing w:after="0" w:line="178" w:lineRule="exact"/>
        <w:rPr>
          <w:sz w:val="20"/>
          <w:szCs w:val="20"/>
          <w:color w:val="auto"/>
        </w:rPr>
      </w:pPr>
    </w:p>
    <w:p>
      <w:pPr>
        <w:ind w:left="6"/>
        <w:spacing w:after="0"/>
        <w:rPr>
          <w:sz w:val="20"/>
          <w:szCs w:val="20"/>
          <w:color w:val="auto"/>
        </w:rPr>
      </w:pPr>
      <w:r>
        <w:rPr>
          <w:rFonts w:ascii="Arial" w:cs="Arial" w:eastAsia="Arial" w:hAnsi="Arial"/>
          <w:sz w:val="19"/>
          <w:szCs w:val="19"/>
          <w:b w:val="1"/>
          <w:bCs w:val="1"/>
          <w:u w:val="single" w:color="auto"/>
          <w:color w:val="auto"/>
        </w:rPr>
        <w:t>Our Fleet</w:t>
      </w:r>
    </w:p>
    <w:p>
      <w:pPr>
        <w:spacing w:after="0" w:line="244" w:lineRule="exact"/>
        <w:rPr>
          <w:sz w:val="20"/>
          <w:szCs w:val="20"/>
          <w:color w:val="auto"/>
        </w:rPr>
      </w:pPr>
    </w:p>
    <w:p>
      <w:pPr>
        <w:ind w:left="6"/>
        <w:spacing w:after="0"/>
        <w:rPr>
          <w:sz w:val="20"/>
          <w:szCs w:val="20"/>
          <w:color w:val="auto"/>
        </w:rPr>
      </w:pPr>
      <w:r>
        <w:rPr>
          <w:rFonts w:ascii="Arial" w:cs="Arial" w:eastAsia="Arial" w:hAnsi="Arial"/>
          <w:sz w:val="19"/>
          <w:szCs w:val="19"/>
          <w:b w:val="1"/>
          <w:bCs w:val="1"/>
          <w:i w:val="1"/>
          <w:iCs w:val="1"/>
          <w:color w:val="auto"/>
        </w:rPr>
        <w:t>Owned Fleet</w:t>
      </w:r>
    </w:p>
    <w:p>
      <w:pPr>
        <w:spacing w:after="0" w:line="238" w:lineRule="exact"/>
        <w:rPr>
          <w:sz w:val="20"/>
          <w:szCs w:val="20"/>
          <w:color w:val="auto"/>
        </w:rPr>
      </w:pPr>
    </w:p>
    <w:p>
      <w:pPr>
        <w:ind w:left="446"/>
        <w:spacing w:after="0"/>
        <w:rPr>
          <w:sz w:val="20"/>
          <w:szCs w:val="20"/>
          <w:color w:val="auto"/>
        </w:rPr>
      </w:pPr>
      <w:r>
        <w:rPr>
          <w:rFonts w:ascii="Arial" w:cs="Arial" w:eastAsia="Arial" w:hAnsi="Arial"/>
          <w:sz w:val="19"/>
          <w:szCs w:val="19"/>
          <w:color w:val="auto"/>
        </w:rPr>
        <w:t>Our fleet currently consists of the following TFDE and steam powered engine propulsion (“Steam”) vessels:</w:t>
      </w:r>
    </w:p>
    <w:p>
      <w:pPr>
        <w:spacing w:after="0" w:line="213" w:lineRule="exact"/>
        <w:rPr>
          <w:sz w:val="20"/>
          <w:szCs w:val="20"/>
          <w:color w:val="auto"/>
        </w:rPr>
      </w:pPr>
    </w:p>
    <w:tbl>
      <w:tblPr>
        <w:tblLayout w:type="fixed"/>
        <w:tblInd w:w="6" w:type="dxa"/>
        <w:tblCellMar>
          <w:top w:w="0" w:type="dxa"/>
          <w:left w:w="0" w:type="dxa"/>
          <w:bottom w:w="0" w:type="dxa"/>
          <w:right w:w="0" w:type="dxa"/>
        </w:tblCellMar>
      </w:tblPr>
      <w:tr>
        <w:trPr>
          <w:trHeight w:val="172"/>
        </w:trPr>
        <w:tc>
          <w:tcPr>
            <w:tcW w:w="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Cargo</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jc w:val="center"/>
              <w:ind w:right="300"/>
              <w:spacing w:after="0" w:line="157" w:lineRule="exact"/>
              <w:rPr>
                <w:sz w:val="20"/>
                <w:szCs w:val="20"/>
                <w:color w:val="auto"/>
              </w:rPr>
            </w:pPr>
            <w:r>
              <w:rPr>
                <w:rFonts w:ascii="Arial" w:cs="Arial" w:eastAsia="Arial" w:hAnsi="Arial"/>
                <w:sz w:val="15"/>
                <w:szCs w:val="15"/>
                <w:b w:val="1"/>
                <w:bCs w:val="1"/>
                <w:color w:val="auto"/>
                <w:w w:val="95"/>
              </w:rPr>
              <w:t>Capacity</w:t>
            </w: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060" w:type="dxa"/>
            <w:vAlign w:val="bottom"/>
            <w:gridSpan w:val="3"/>
          </w:tcPr>
          <w:p>
            <w:pPr>
              <w:spacing w:after="0"/>
              <w:rPr>
                <w:sz w:val="20"/>
                <w:szCs w:val="20"/>
                <w:color w:val="auto"/>
              </w:rPr>
            </w:pPr>
            <w:r>
              <w:rPr>
                <w:rFonts w:ascii="Arial" w:cs="Arial" w:eastAsia="Arial" w:hAnsi="Arial"/>
                <w:sz w:val="15"/>
                <w:szCs w:val="15"/>
                <w:b w:val="1"/>
                <w:bCs w:val="1"/>
                <w:color w:val="auto"/>
              </w:rPr>
              <w:t>LNG Carrier</w:t>
            </w:r>
          </w:p>
        </w:tc>
        <w:tc>
          <w:tcPr>
            <w:tcW w:w="1260" w:type="dxa"/>
            <w:vAlign w:val="bottom"/>
            <w:gridSpan w:val="2"/>
          </w:tcPr>
          <w:p>
            <w:pPr>
              <w:ind w:left="160"/>
              <w:spacing w:after="0"/>
              <w:rPr>
                <w:sz w:val="20"/>
                <w:szCs w:val="20"/>
                <w:color w:val="auto"/>
              </w:rPr>
            </w:pPr>
            <w:r>
              <w:rPr>
                <w:rFonts w:ascii="Arial" w:cs="Arial" w:eastAsia="Arial" w:hAnsi="Arial"/>
                <w:sz w:val="15"/>
                <w:szCs w:val="15"/>
                <w:b w:val="1"/>
                <w:bCs w:val="1"/>
                <w:color w:val="auto"/>
              </w:rPr>
              <w:t>Year Built</w:t>
            </w:r>
          </w:p>
        </w:tc>
        <w:tc>
          <w:tcPr>
            <w:tcW w:w="12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2"/>
              </w:rPr>
              <w:t>(cbm)</w:t>
            </w:r>
          </w:p>
        </w:tc>
        <w:tc>
          <w:tcPr>
            <w:tcW w:w="16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7"/>
              </w:rPr>
              <w:t>Charterer</w:t>
            </w:r>
          </w:p>
        </w:tc>
        <w:tc>
          <w:tcPr>
            <w:tcW w:w="12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Propulsion</w:t>
            </w:r>
          </w:p>
        </w:tc>
        <w:tc>
          <w:tcPr>
            <w:tcW w:w="20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6"/>
              </w:rPr>
              <w:t>Charter Expiration</w:t>
            </w:r>
          </w:p>
        </w:tc>
        <w:tc>
          <w:tcPr>
            <w:tcW w:w="1440" w:type="dxa"/>
            <w:vAlign w:val="bottom"/>
            <w:gridSpan w:val="3"/>
          </w:tcPr>
          <w:p>
            <w:pPr>
              <w:ind w:left="140"/>
              <w:spacing w:after="0"/>
              <w:rPr>
                <w:sz w:val="20"/>
                <w:szCs w:val="20"/>
                <w:color w:val="auto"/>
              </w:rPr>
            </w:pPr>
            <w:r>
              <w:rPr>
                <w:rFonts w:ascii="Arial" w:cs="Arial" w:eastAsia="Arial" w:hAnsi="Arial"/>
                <w:sz w:val="15"/>
                <w:szCs w:val="15"/>
                <w:b w:val="1"/>
                <w:bCs w:val="1"/>
                <w:color w:val="auto"/>
              </w:rPr>
              <w:t>Optional Period</w:t>
            </w:r>
          </w:p>
        </w:tc>
        <w:tc>
          <w:tcPr>
            <w:tcW w:w="0" w:type="dxa"/>
            <w:vAlign w:val="bottom"/>
          </w:tcPr>
          <w:p>
            <w:pPr>
              <w:spacing w:after="0"/>
              <w:rPr>
                <w:sz w:val="1"/>
                <w:szCs w:val="1"/>
                <w:color w:val="auto"/>
              </w:rPr>
            </w:pPr>
          </w:p>
        </w:tc>
      </w:tr>
      <w:tr>
        <w:trPr>
          <w:trHeight w:val="123"/>
        </w:trPr>
        <w:tc>
          <w:tcPr>
            <w:tcW w:w="3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rPr>
              <w:t>1</w:t>
            </w:r>
          </w:p>
        </w:tc>
        <w:tc>
          <w:tcPr>
            <w:tcW w:w="2460" w:type="dxa"/>
            <w:vAlign w:val="bottom"/>
            <w:tcBorders>
              <w:top w:val="single" w:sz="8" w:color="auto"/>
            </w:tcBorders>
          </w:tcPr>
          <w:p>
            <w:pPr>
              <w:ind w:left="40"/>
              <w:spacing w:after="0" w:line="123" w:lineRule="exact"/>
              <w:rPr>
                <w:sz w:val="20"/>
                <w:szCs w:val="20"/>
                <w:color w:val="auto"/>
              </w:rPr>
            </w:pPr>
            <w:r>
              <w:rPr>
                <w:rFonts w:ascii="Arial" w:cs="Arial" w:eastAsia="Arial" w:hAnsi="Arial"/>
                <w:sz w:val="14"/>
                <w:szCs w:val="14"/>
                <w:i w:val="1"/>
                <w:iCs w:val="1"/>
                <w:color w:val="auto"/>
              </w:rPr>
              <w:t>Methane Rita Andrea</w:t>
            </w:r>
          </w:p>
        </w:tc>
        <w:tc>
          <w:tcPr>
            <w:tcW w:w="280" w:type="dxa"/>
            <w:vAlign w:val="bottom"/>
          </w:tcPr>
          <w:p>
            <w:pPr>
              <w:spacing w:after="0"/>
              <w:rPr>
                <w:sz w:val="10"/>
                <w:szCs w:val="10"/>
                <w:color w:val="auto"/>
              </w:rPr>
            </w:pPr>
          </w:p>
        </w:tc>
        <w:tc>
          <w:tcPr>
            <w:tcW w:w="9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2006</w:t>
            </w:r>
          </w:p>
        </w:tc>
        <w:tc>
          <w:tcPr>
            <w:tcW w:w="300" w:type="dxa"/>
            <w:vAlign w:val="bottom"/>
          </w:tcPr>
          <w:p>
            <w:pPr>
              <w:spacing w:after="0"/>
              <w:rPr>
                <w:sz w:val="10"/>
                <w:szCs w:val="10"/>
                <w:color w:val="auto"/>
              </w:rPr>
            </w:pPr>
          </w:p>
        </w:tc>
        <w:tc>
          <w:tcPr>
            <w:tcW w:w="9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145,000</w:t>
            </w:r>
          </w:p>
        </w:tc>
        <w:tc>
          <w:tcPr>
            <w:tcW w:w="300" w:type="dxa"/>
            <w:vAlign w:val="bottom"/>
          </w:tcPr>
          <w:p>
            <w:pPr>
              <w:spacing w:after="0"/>
              <w:rPr>
                <w:sz w:val="10"/>
                <w:szCs w:val="10"/>
                <w:color w:val="auto"/>
              </w:rPr>
            </w:pPr>
          </w:p>
        </w:tc>
        <w:tc>
          <w:tcPr>
            <w:tcW w:w="14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Shell</w:t>
            </w:r>
          </w:p>
        </w:tc>
        <w:tc>
          <w:tcPr>
            <w:tcW w:w="280" w:type="dxa"/>
            <w:vAlign w:val="bottom"/>
          </w:tcPr>
          <w:p>
            <w:pPr>
              <w:spacing w:after="0"/>
              <w:rPr>
                <w:sz w:val="10"/>
                <w:szCs w:val="10"/>
                <w:color w:val="auto"/>
              </w:rPr>
            </w:pPr>
          </w:p>
        </w:tc>
        <w:tc>
          <w:tcPr>
            <w:tcW w:w="9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Steam</w:t>
            </w:r>
          </w:p>
        </w:tc>
        <w:tc>
          <w:tcPr>
            <w:tcW w:w="280" w:type="dxa"/>
            <w:vAlign w:val="bottom"/>
          </w:tcPr>
          <w:p>
            <w:pPr>
              <w:spacing w:after="0"/>
              <w:rPr>
                <w:sz w:val="10"/>
                <w:szCs w:val="10"/>
                <w:color w:val="auto"/>
              </w:rPr>
            </w:pPr>
          </w:p>
        </w:tc>
        <w:tc>
          <w:tcPr>
            <w:tcW w:w="18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April 2020</w:t>
            </w:r>
          </w:p>
        </w:tc>
        <w:tc>
          <w:tcPr>
            <w:tcW w:w="260" w:type="dxa"/>
            <w:vAlign w:val="bottom"/>
          </w:tcPr>
          <w:p>
            <w:pPr>
              <w:spacing w:after="0"/>
              <w:rPr>
                <w:sz w:val="10"/>
                <w:szCs w:val="10"/>
                <w:color w:val="auto"/>
              </w:rPr>
            </w:pPr>
          </w:p>
        </w:tc>
        <w:tc>
          <w:tcPr>
            <w:tcW w:w="920" w:type="dxa"/>
            <w:vAlign w:val="bottom"/>
            <w:tcBorders>
              <w:top w:val="single" w:sz="8" w:color="auto"/>
            </w:tcBorders>
          </w:tcPr>
          <w:p>
            <w:pPr>
              <w:jc w:val="center"/>
              <w:ind w:left="325"/>
              <w:spacing w:after="0" w:line="123"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2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5"/>
              </w:rPr>
              <w:t>2</w:t>
            </w:r>
          </w:p>
        </w:tc>
        <w:tc>
          <w:tcPr>
            <w:tcW w:w="2740" w:type="dxa"/>
            <w:vAlign w:val="bottom"/>
            <w:gridSpan w:val="2"/>
          </w:tcPr>
          <w:p>
            <w:pPr>
              <w:ind w:left="40"/>
              <w:spacing w:after="0" w:line="157" w:lineRule="exact"/>
              <w:rPr>
                <w:sz w:val="20"/>
                <w:szCs w:val="20"/>
                <w:color w:val="auto"/>
              </w:rPr>
            </w:pPr>
            <w:r>
              <w:rPr>
                <w:rFonts w:ascii="Arial" w:cs="Arial" w:eastAsia="Arial" w:hAnsi="Arial"/>
                <w:sz w:val="15"/>
                <w:szCs w:val="15"/>
                <w:i w:val="1"/>
                <w:iCs w:val="1"/>
                <w:color w:val="auto"/>
              </w:rPr>
              <w:t>Methane Jane Elizabeth</w:t>
            </w:r>
          </w:p>
        </w:tc>
        <w:tc>
          <w:tcPr>
            <w:tcW w:w="960" w:type="dxa"/>
            <w:vAlign w:val="bottom"/>
          </w:tcPr>
          <w:p>
            <w:pPr>
              <w:jc w:val="center"/>
              <w:spacing w:after="0" w:line="157" w:lineRule="exact"/>
              <w:rPr>
                <w:sz w:val="20"/>
                <w:szCs w:val="20"/>
                <w:color w:val="auto"/>
              </w:rPr>
            </w:pPr>
            <w:r>
              <w:rPr>
                <w:rFonts w:ascii="Arial" w:cs="Arial" w:eastAsia="Arial" w:hAnsi="Arial"/>
                <w:sz w:val="15"/>
                <w:szCs w:val="15"/>
                <w:color w:val="auto"/>
                <w:w w:val="89"/>
              </w:rPr>
              <w:t>2006</w:t>
            </w:r>
          </w:p>
        </w:tc>
        <w:tc>
          <w:tcPr>
            <w:tcW w:w="300" w:type="dxa"/>
            <w:vAlign w:val="bottom"/>
          </w:tcPr>
          <w:p>
            <w:pPr>
              <w:spacing w:after="0"/>
              <w:rPr>
                <w:sz w:val="13"/>
                <w:szCs w:val="13"/>
                <w:color w:val="auto"/>
              </w:rPr>
            </w:pPr>
          </w:p>
        </w:tc>
        <w:tc>
          <w:tcPr>
            <w:tcW w:w="960" w:type="dxa"/>
            <w:vAlign w:val="bottom"/>
          </w:tcPr>
          <w:p>
            <w:pPr>
              <w:jc w:val="center"/>
              <w:spacing w:after="0" w:line="157" w:lineRule="exact"/>
              <w:rPr>
                <w:sz w:val="20"/>
                <w:szCs w:val="20"/>
                <w:color w:val="auto"/>
              </w:rPr>
            </w:pPr>
            <w:r>
              <w:rPr>
                <w:rFonts w:ascii="Arial" w:cs="Arial" w:eastAsia="Arial" w:hAnsi="Arial"/>
                <w:sz w:val="15"/>
                <w:szCs w:val="15"/>
                <w:color w:val="auto"/>
                <w:w w:val="88"/>
              </w:rPr>
              <w:t>145,000</w:t>
            </w:r>
          </w:p>
        </w:tc>
        <w:tc>
          <w:tcPr>
            <w:tcW w:w="300" w:type="dxa"/>
            <w:vAlign w:val="bottom"/>
          </w:tcPr>
          <w:p>
            <w:pPr>
              <w:spacing w:after="0"/>
              <w:rPr>
                <w:sz w:val="13"/>
                <w:szCs w:val="13"/>
                <w:color w:val="auto"/>
              </w:rPr>
            </w:pPr>
          </w:p>
        </w:tc>
        <w:tc>
          <w:tcPr>
            <w:tcW w:w="1680" w:type="dxa"/>
            <w:vAlign w:val="bottom"/>
            <w:gridSpan w:val="2"/>
          </w:tcPr>
          <w:p>
            <w:pPr>
              <w:jc w:val="center"/>
              <w:ind w:right="280"/>
              <w:spacing w:after="0" w:line="157" w:lineRule="exact"/>
              <w:rPr>
                <w:sz w:val="20"/>
                <w:szCs w:val="20"/>
                <w:color w:val="auto"/>
              </w:rPr>
            </w:pPr>
            <w:r>
              <w:rPr>
                <w:rFonts w:ascii="Arial" w:cs="Arial" w:eastAsia="Arial" w:hAnsi="Arial"/>
                <w:sz w:val="15"/>
                <w:szCs w:val="15"/>
                <w:color w:val="auto"/>
                <w:w w:val="95"/>
              </w:rPr>
              <w:t>Shell</w:t>
            </w:r>
          </w:p>
        </w:tc>
        <w:tc>
          <w:tcPr>
            <w:tcW w:w="1240" w:type="dxa"/>
            <w:vAlign w:val="bottom"/>
            <w:gridSpan w:val="2"/>
          </w:tcPr>
          <w:p>
            <w:pPr>
              <w:jc w:val="center"/>
              <w:ind w:right="260"/>
              <w:spacing w:after="0" w:line="157" w:lineRule="exact"/>
              <w:rPr>
                <w:sz w:val="20"/>
                <w:szCs w:val="20"/>
                <w:color w:val="auto"/>
              </w:rPr>
            </w:pPr>
            <w:r>
              <w:rPr>
                <w:rFonts w:ascii="Arial" w:cs="Arial" w:eastAsia="Arial" w:hAnsi="Arial"/>
                <w:sz w:val="15"/>
                <w:szCs w:val="15"/>
                <w:color w:val="auto"/>
                <w:w w:val="87"/>
              </w:rPr>
              <w:t>Steam</w:t>
            </w:r>
          </w:p>
        </w:tc>
        <w:tc>
          <w:tcPr>
            <w:tcW w:w="2060" w:type="dxa"/>
            <w:vAlign w:val="bottom"/>
            <w:gridSpan w:val="2"/>
          </w:tcPr>
          <w:p>
            <w:pPr>
              <w:jc w:val="center"/>
              <w:ind w:right="280"/>
              <w:spacing w:after="0" w:line="157" w:lineRule="exact"/>
              <w:rPr>
                <w:sz w:val="20"/>
                <w:szCs w:val="20"/>
                <w:color w:val="auto"/>
              </w:rPr>
            </w:pPr>
            <w:r>
              <w:rPr>
                <w:rFonts w:ascii="Arial" w:cs="Arial" w:eastAsia="Arial" w:hAnsi="Arial"/>
                <w:sz w:val="12"/>
                <w:szCs w:val="12"/>
                <w:color w:val="auto"/>
              </w:rPr>
              <w:t xml:space="preserve">October 2019 </w:t>
            </w:r>
            <w:r>
              <w:rPr>
                <w:rFonts w:ascii="Arial" w:cs="Arial" w:eastAsia="Arial" w:hAnsi="Arial"/>
                <w:sz w:val="18"/>
                <w:szCs w:val="18"/>
                <w:color w:val="auto"/>
                <w:vertAlign w:val="superscript"/>
              </w:rPr>
              <w:t>(1)</w:t>
            </w:r>
          </w:p>
        </w:tc>
        <w:tc>
          <w:tcPr>
            <w:tcW w:w="920" w:type="dxa"/>
            <w:vAlign w:val="bottom"/>
          </w:tcPr>
          <w:p>
            <w:pPr>
              <w:jc w:val="center"/>
              <w:ind w:left="325"/>
              <w:spacing w:after="0" w:line="157"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2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5"/>
              </w:rPr>
              <w:t>3</w:t>
            </w:r>
          </w:p>
        </w:tc>
        <w:tc>
          <w:tcPr>
            <w:tcW w:w="2740" w:type="dxa"/>
            <w:vAlign w:val="bottom"/>
            <w:gridSpan w:val="2"/>
          </w:tcPr>
          <w:p>
            <w:pPr>
              <w:ind w:left="40"/>
              <w:spacing w:after="0" w:line="167" w:lineRule="exact"/>
              <w:rPr>
                <w:sz w:val="20"/>
                <w:szCs w:val="20"/>
                <w:color w:val="auto"/>
              </w:rPr>
            </w:pPr>
            <w:r>
              <w:rPr>
                <w:rFonts w:ascii="Arial" w:cs="Arial" w:eastAsia="Arial" w:hAnsi="Arial"/>
                <w:sz w:val="15"/>
                <w:szCs w:val="15"/>
                <w:i w:val="1"/>
                <w:iCs w:val="1"/>
                <w:color w:val="auto"/>
              </w:rPr>
              <w:t>Methane Alison Victoria</w:t>
            </w:r>
          </w:p>
        </w:tc>
        <w:tc>
          <w:tcPr>
            <w:tcW w:w="960" w:type="dxa"/>
            <w:vAlign w:val="bottom"/>
          </w:tcPr>
          <w:p>
            <w:pPr>
              <w:jc w:val="center"/>
              <w:spacing w:after="0" w:line="167" w:lineRule="exact"/>
              <w:rPr>
                <w:sz w:val="20"/>
                <w:szCs w:val="20"/>
                <w:color w:val="auto"/>
              </w:rPr>
            </w:pPr>
            <w:r>
              <w:rPr>
                <w:rFonts w:ascii="Arial" w:cs="Arial" w:eastAsia="Arial" w:hAnsi="Arial"/>
                <w:sz w:val="15"/>
                <w:szCs w:val="15"/>
                <w:color w:val="auto"/>
                <w:w w:val="89"/>
              </w:rPr>
              <w:t>2007</w:t>
            </w:r>
          </w:p>
        </w:tc>
        <w:tc>
          <w:tcPr>
            <w:tcW w:w="300" w:type="dxa"/>
            <w:vAlign w:val="bottom"/>
          </w:tcPr>
          <w:p>
            <w:pPr>
              <w:spacing w:after="0"/>
              <w:rPr>
                <w:sz w:val="14"/>
                <w:szCs w:val="14"/>
                <w:color w:val="auto"/>
              </w:rPr>
            </w:pPr>
          </w:p>
        </w:tc>
        <w:tc>
          <w:tcPr>
            <w:tcW w:w="960" w:type="dxa"/>
            <w:vAlign w:val="bottom"/>
          </w:tcPr>
          <w:p>
            <w:pPr>
              <w:jc w:val="center"/>
              <w:spacing w:after="0" w:line="167" w:lineRule="exact"/>
              <w:rPr>
                <w:sz w:val="20"/>
                <w:szCs w:val="20"/>
                <w:color w:val="auto"/>
              </w:rPr>
            </w:pPr>
            <w:r>
              <w:rPr>
                <w:rFonts w:ascii="Arial" w:cs="Arial" w:eastAsia="Arial" w:hAnsi="Arial"/>
                <w:sz w:val="15"/>
                <w:szCs w:val="15"/>
                <w:color w:val="auto"/>
                <w:w w:val="88"/>
              </w:rPr>
              <w:t>145,000</w:t>
            </w:r>
          </w:p>
        </w:tc>
        <w:tc>
          <w:tcPr>
            <w:tcW w:w="300" w:type="dxa"/>
            <w:vAlign w:val="bottom"/>
          </w:tcPr>
          <w:p>
            <w:pPr>
              <w:spacing w:after="0"/>
              <w:rPr>
                <w:sz w:val="14"/>
                <w:szCs w:val="14"/>
                <w:color w:val="auto"/>
              </w:rPr>
            </w:pPr>
          </w:p>
        </w:tc>
        <w:tc>
          <w:tcPr>
            <w:tcW w:w="1680" w:type="dxa"/>
            <w:vAlign w:val="bottom"/>
            <w:gridSpan w:val="2"/>
          </w:tcPr>
          <w:p>
            <w:pPr>
              <w:jc w:val="center"/>
              <w:ind w:right="280"/>
              <w:spacing w:after="0" w:line="167" w:lineRule="exact"/>
              <w:rPr>
                <w:sz w:val="20"/>
                <w:szCs w:val="20"/>
                <w:color w:val="auto"/>
              </w:rPr>
            </w:pPr>
            <w:r>
              <w:rPr>
                <w:rFonts w:ascii="Arial" w:cs="Arial" w:eastAsia="Arial" w:hAnsi="Arial"/>
                <w:sz w:val="15"/>
                <w:szCs w:val="15"/>
                <w:color w:val="auto"/>
                <w:w w:val="95"/>
              </w:rPr>
              <w:t>Shell</w:t>
            </w:r>
          </w:p>
        </w:tc>
        <w:tc>
          <w:tcPr>
            <w:tcW w:w="1240" w:type="dxa"/>
            <w:vAlign w:val="bottom"/>
            <w:gridSpan w:val="2"/>
          </w:tcPr>
          <w:p>
            <w:pPr>
              <w:jc w:val="center"/>
              <w:ind w:right="260"/>
              <w:spacing w:after="0" w:line="167" w:lineRule="exact"/>
              <w:rPr>
                <w:sz w:val="20"/>
                <w:szCs w:val="20"/>
                <w:color w:val="auto"/>
              </w:rPr>
            </w:pPr>
            <w:r>
              <w:rPr>
                <w:rFonts w:ascii="Arial" w:cs="Arial" w:eastAsia="Arial" w:hAnsi="Arial"/>
                <w:sz w:val="15"/>
                <w:szCs w:val="15"/>
                <w:color w:val="auto"/>
                <w:w w:val="87"/>
              </w:rPr>
              <w:t>Steam</w:t>
            </w:r>
          </w:p>
        </w:tc>
        <w:tc>
          <w:tcPr>
            <w:tcW w:w="2060" w:type="dxa"/>
            <w:vAlign w:val="bottom"/>
            <w:gridSpan w:val="2"/>
          </w:tcPr>
          <w:p>
            <w:pPr>
              <w:jc w:val="center"/>
              <w:ind w:right="280"/>
              <w:spacing w:after="0" w:line="166" w:lineRule="exact"/>
              <w:rPr>
                <w:sz w:val="20"/>
                <w:szCs w:val="20"/>
                <w:color w:val="auto"/>
              </w:rPr>
            </w:pPr>
            <w:r>
              <w:rPr>
                <w:rFonts w:ascii="Arial" w:cs="Arial" w:eastAsia="Arial" w:hAnsi="Arial"/>
                <w:sz w:val="13"/>
                <w:szCs w:val="13"/>
                <w:color w:val="auto"/>
              </w:rPr>
              <w:t xml:space="preserve">December 2019 </w:t>
            </w:r>
            <w:r>
              <w:rPr>
                <w:rFonts w:ascii="Arial" w:cs="Arial" w:eastAsia="Arial" w:hAnsi="Arial"/>
                <w:sz w:val="19"/>
                <w:szCs w:val="19"/>
                <w:color w:val="auto"/>
                <w:vertAlign w:val="superscript"/>
              </w:rPr>
              <w:t>(1)</w:t>
            </w:r>
          </w:p>
        </w:tc>
        <w:tc>
          <w:tcPr>
            <w:tcW w:w="920" w:type="dxa"/>
            <w:vAlign w:val="bottom"/>
          </w:tcPr>
          <w:p>
            <w:pPr>
              <w:jc w:val="center"/>
              <w:ind w:left="325"/>
              <w:spacing w:after="0" w:line="167"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20" w:type="dxa"/>
            <w:vAlign w:val="bottom"/>
          </w:tcPr>
          <w:p>
            <w:pPr>
              <w:spacing w:after="0"/>
              <w:rPr>
                <w:sz w:val="12"/>
                <w:szCs w:val="12"/>
                <w:color w:val="auto"/>
              </w:rPr>
            </w:pPr>
          </w:p>
        </w:tc>
        <w:tc>
          <w:tcPr>
            <w:tcW w:w="2740" w:type="dxa"/>
            <w:vAlign w:val="bottom"/>
            <w:gridSpan w:val="2"/>
          </w:tcPr>
          <w:p>
            <w:pPr>
              <w:ind w:left="40"/>
              <w:spacing w:after="0" w:line="148" w:lineRule="exact"/>
              <w:rPr>
                <w:sz w:val="20"/>
                <w:szCs w:val="20"/>
                <w:color w:val="auto"/>
              </w:rPr>
            </w:pPr>
            <w:r>
              <w:rPr>
                <w:rFonts w:ascii="Arial" w:cs="Arial" w:eastAsia="Arial" w:hAnsi="Arial"/>
                <w:sz w:val="15"/>
                <w:szCs w:val="15"/>
                <w:i w:val="1"/>
                <w:iCs w:val="1"/>
                <w:color w:val="auto"/>
              </w:rPr>
              <w:t xml:space="preserve">Methane Jane Elizabeth </w:t>
            </w:r>
            <w:r>
              <w:rPr>
                <w:rFonts w:ascii="Arial" w:cs="Arial" w:eastAsia="Arial" w:hAnsi="Arial"/>
                <w:sz w:val="15"/>
                <w:szCs w:val="15"/>
                <w:color w:val="auto"/>
              </w:rPr>
              <w:t>or</w:t>
            </w:r>
            <w:r>
              <w:rPr>
                <w:rFonts w:ascii="Arial" w:cs="Arial" w:eastAsia="Arial" w:hAnsi="Arial"/>
                <w:sz w:val="15"/>
                <w:szCs w:val="15"/>
                <w:i w:val="1"/>
                <w:iCs w:val="1"/>
                <w:color w:val="auto"/>
              </w:rPr>
              <w:t xml:space="preserve"> Methane</w:t>
            </w: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gridSpan w:val="2"/>
          </w:tcPr>
          <w:p>
            <w:pPr>
              <w:jc w:val="center"/>
              <w:ind w:right="280"/>
              <w:spacing w:after="0" w:line="148" w:lineRule="exact"/>
              <w:rPr>
                <w:sz w:val="20"/>
                <w:szCs w:val="20"/>
                <w:color w:val="auto"/>
              </w:rPr>
            </w:pPr>
            <w:r>
              <w:rPr>
                <w:rFonts w:ascii="Arial" w:cs="Arial" w:eastAsia="Arial" w:hAnsi="Arial"/>
                <w:sz w:val="15"/>
                <w:szCs w:val="15"/>
                <w:color w:val="auto"/>
                <w:w w:val="94"/>
              </w:rPr>
              <w:t>November or</w:t>
            </w: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5"/>
                <w:szCs w:val="15"/>
                <w:color w:val="auto"/>
                <w:w w:val="89"/>
              </w:rPr>
              <w:t xml:space="preserve">2021–2024 </w:t>
            </w:r>
            <w:r>
              <w:rPr>
                <w:rFonts w:ascii="Arial" w:cs="Arial" w:eastAsia="Arial" w:hAnsi="Arial"/>
                <w:sz w:val="24"/>
                <w:szCs w:val="24"/>
                <w:color w:val="auto"/>
                <w:w w:val="89"/>
                <w:vertAlign w:val="superscript"/>
              </w:rPr>
              <w:t>(2)</w:t>
            </w:r>
          </w:p>
        </w:tc>
        <w:tc>
          <w:tcPr>
            <w:tcW w:w="0" w:type="dxa"/>
            <w:vAlign w:val="bottom"/>
          </w:tcPr>
          <w:p>
            <w:pPr>
              <w:spacing w:after="0"/>
              <w:rPr>
                <w:sz w:val="1"/>
                <w:szCs w:val="1"/>
                <w:color w:val="auto"/>
              </w:rPr>
            </w:pPr>
          </w:p>
        </w:tc>
      </w:tr>
      <w:tr>
        <w:trPr>
          <w:trHeight w:val="166"/>
        </w:trPr>
        <w:tc>
          <w:tcPr>
            <w:tcW w:w="3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4</w:t>
            </w:r>
          </w:p>
        </w:tc>
        <w:tc>
          <w:tcPr>
            <w:tcW w:w="2740" w:type="dxa"/>
            <w:vAlign w:val="bottom"/>
            <w:gridSpan w:val="2"/>
          </w:tcPr>
          <w:p>
            <w:pPr>
              <w:ind w:left="40"/>
              <w:spacing w:after="0" w:line="166" w:lineRule="exact"/>
              <w:rPr>
                <w:sz w:val="20"/>
                <w:szCs w:val="20"/>
                <w:color w:val="auto"/>
              </w:rPr>
            </w:pPr>
            <w:r>
              <w:rPr>
                <w:rFonts w:ascii="Arial" w:cs="Arial" w:eastAsia="Arial" w:hAnsi="Arial"/>
                <w:sz w:val="13"/>
                <w:szCs w:val="13"/>
                <w:i w:val="1"/>
                <w:iCs w:val="1"/>
                <w:color w:val="auto"/>
              </w:rPr>
              <w:t xml:space="preserve">Alison Victoria </w:t>
            </w:r>
            <w:r>
              <w:rPr>
                <w:rFonts w:ascii="Arial" w:cs="Arial" w:eastAsia="Arial" w:hAnsi="Arial"/>
                <w:sz w:val="19"/>
                <w:szCs w:val="19"/>
                <w:color w:val="auto"/>
                <w:vertAlign w:val="superscript"/>
              </w:rPr>
              <w:t>(1)</w:t>
            </w:r>
          </w:p>
        </w:tc>
        <w:tc>
          <w:tcPr>
            <w:tcW w:w="960" w:type="dxa"/>
            <w:vAlign w:val="bottom"/>
          </w:tcPr>
          <w:p>
            <w:pPr>
              <w:jc w:val="center"/>
              <w:spacing w:after="0" w:line="167" w:lineRule="exact"/>
              <w:rPr>
                <w:sz w:val="20"/>
                <w:szCs w:val="20"/>
                <w:color w:val="auto"/>
              </w:rPr>
            </w:pPr>
            <w:r>
              <w:rPr>
                <w:rFonts w:ascii="Arial" w:cs="Arial" w:eastAsia="Arial" w:hAnsi="Arial"/>
                <w:sz w:val="15"/>
                <w:szCs w:val="15"/>
                <w:color w:val="auto"/>
                <w:w w:val="93"/>
              </w:rPr>
              <w:t>2006/2007</w:t>
            </w:r>
          </w:p>
        </w:tc>
        <w:tc>
          <w:tcPr>
            <w:tcW w:w="300" w:type="dxa"/>
            <w:vAlign w:val="bottom"/>
          </w:tcPr>
          <w:p>
            <w:pPr>
              <w:spacing w:after="0"/>
              <w:rPr>
                <w:sz w:val="14"/>
                <w:szCs w:val="14"/>
                <w:color w:val="auto"/>
              </w:rPr>
            </w:pPr>
          </w:p>
        </w:tc>
        <w:tc>
          <w:tcPr>
            <w:tcW w:w="960" w:type="dxa"/>
            <w:vAlign w:val="bottom"/>
          </w:tcPr>
          <w:p>
            <w:pPr>
              <w:jc w:val="center"/>
              <w:spacing w:after="0" w:line="167" w:lineRule="exact"/>
              <w:rPr>
                <w:sz w:val="20"/>
                <w:szCs w:val="20"/>
                <w:color w:val="auto"/>
              </w:rPr>
            </w:pPr>
            <w:r>
              <w:rPr>
                <w:rFonts w:ascii="Arial" w:cs="Arial" w:eastAsia="Arial" w:hAnsi="Arial"/>
                <w:sz w:val="15"/>
                <w:szCs w:val="15"/>
                <w:color w:val="auto"/>
                <w:w w:val="88"/>
              </w:rPr>
              <w:t>145,000</w:t>
            </w:r>
          </w:p>
        </w:tc>
        <w:tc>
          <w:tcPr>
            <w:tcW w:w="300" w:type="dxa"/>
            <w:vAlign w:val="bottom"/>
          </w:tcPr>
          <w:p>
            <w:pPr>
              <w:spacing w:after="0"/>
              <w:rPr>
                <w:sz w:val="14"/>
                <w:szCs w:val="14"/>
                <w:color w:val="auto"/>
              </w:rPr>
            </w:pPr>
          </w:p>
        </w:tc>
        <w:tc>
          <w:tcPr>
            <w:tcW w:w="1680" w:type="dxa"/>
            <w:vAlign w:val="bottom"/>
            <w:gridSpan w:val="2"/>
          </w:tcPr>
          <w:p>
            <w:pPr>
              <w:jc w:val="center"/>
              <w:ind w:right="280"/>
              <w:spacing w:after="0" w:line="167" w:lineRule="exact"/>
              <w:rPr>
                <w:sz w:val="20"/>
                <w:szCs w:val="20"/>
                <w:color w:val="auto"/>
              </w:rPr>
            </w:pPr>
            <w:r>
              <w:rPr>
                <w:rFonts w:ascii="Arial" w:cs="Arial" w:eastAsia="Arial" w:hAnsi="Arial"/>
                <w:sz w:val="15"/>
                <w:szCs w:val="15"/>
                <w:color w:val="auto"/>
                <w:w w:val="92"/>
              </w:rPr>
              <w:t>New Customer</w:t>
            </w:r>
          </w:p>
        </w:tc>
        <w:tc>
          <w:tcPr>
            <w:tcW w:w="1240" w:type="dxa"/>
            <w:vAlign w:val="bottom"/>
            <w:gridSpan w:val="2"/>
          </w:tcPr>
          <w:p>
            <w:pPr>
              <w:jc w:val="center"/>
              <w:ind w:right="260"/>
              <w:spacing w:after="0" w:line="167" w:lineRule="exact"/>
              <w:rPr>
                <w:sz w:val="20"/>
                <w:szCs w:val="20"/>
                <w:color w:val="auto"/>
              </w:rPr>
            </w:pPr>
            <w:r>
              <w:rPr>
                <w:rFonts w:ascii="Arial" w:cs="Arial" w:eastAsia="Arial" w:hAnsi="Arial"/>
                <w:sz w:val="15"/>
                <w:szCs w:val="15"/>
                <w:color w:val="auto"/>
                <w:w w:val="87"/>
              </w:rPr>
              <w:t>Steam</w:t>
            </w:r>
          </w:p>
        </w:tc>
        <w:tc>
          <w:tcPr>
            <w:tcW w:w="2060" w:type="dxa"/>
            <w:vAlign w:val="bottom"/>
            <w:gridSpan w:val="2"/>
          </w:tcPr>
          <w:p>
            <w:pPr>
              <w:jc w:val="center"/>
              <w:ind w:right="280"/>
              <w:spacing w:after="0" w:line="167" w:lineRule="exact"/>
              <w:rPr>
                <w:sz w:val="20"/>
                <w:szCs w:val="20"/>
                <w:color w:val="auto"/>
              </w:rPr>
            </w:pPr>
            <w:r>
              <w:rPr>
                <w:rFonts w:ascii="Arial" w:cs="Arial" w:eastAsia="Arial" w:hAnsi="Arial"/>
                <w:sz w:val="15"/>
                <w:szCs w:val="15"/>
                <w:color w:val="auto"/>
                <w:w w:val="91"/>
              </w:rPr>
              <w:t>December 2020</w:t>
            </w:r>
          </w:p>
        </w:tc>
        <w:tc>
          <w:tcPr>
            <w:tcW w:w="14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 w:type="dxa"/>
            <w:vAlign w:val="bottom"/>
            <w:vMerge w:val="continue"/>
          </w:tcPr>
          <w:p>
            <w:pPr>
              <w:spacing w:after="0"/>
              <w:rPr>
                <w:sz w:val="13"/>
                <w:szCs w:val="13"/>
                <w:color w:val="auto"/>
              </w:rPr>
            </w:pPr>
          </w:p>
        </w:tc>
        <w:tc>
          <w:tcPr>
            <w:tcW w:w="2740" w:type="dxa"/>
            <w:vAlign w:val="bottom"/>
            <w:gridSpan w:val="2"/>
          </w:tcPr>
          <w:p>
            <w:pPr>
              <w:ind w:left="40"/>
              <w:spacing w:after="0" w:line="153" w:lineRule="exact"/>
              <w:rPr>
                <w:sz w:val="20"/>
                <w:szCs w:val="20"/>
                <w:color w:val="auto"/>
              </w:rPr>
            </w:pPr>
            <w:r>
              <w:rPr>
                <w:rFonts w:ascii="Arial" w:cs="Arial" w:eastAsia="Arial" w:hAnsi="Arial"/>
                <w:sz w:val="15"/>
                <w:szCs w:val="15"/>
                <w:i w:val="1"/>
                <w:iCs w:val="1"/>
                <w:color w:val="auto"/>
              </w:rPr>
              <w:t>Methane Shirley Elisabeth</w:t>
            </w:r>
          </w:p>
        </w:tc>
        <w:tc>
          <w:tcPr>
            <w:tcW w:w="960" w:type="dxa"/>
            <w:vAlign w:val="bottom"/>
          </w:tcPr>
          <w:p>
            <w:pPr>
              <w:jc w:val="center"/>
              <w:spacing w:after="0" w:line="153" w:lineRule="exact"/>
              <w:rPr>
                <w:sz w:val="20"/>
                <w:szCs w:val="20"/>
                <w:color w:val="auto"/>
              </w:rPr>
            </w:pPr>
            <w:r>
              <w:rPr>
                <w:rFonts w:ascii="Arial" w:cs="Arial" w:eastAsia="Arial" w:hAnsi="Arial"/>
                <w:sz w:val="15"/>
                <w:szCs w:val="15"/>
                <w:color w:val="auto"/>
                <w:w w:val="89"/>
              </w:rPr>
              <w:t>2007</w:t>
            </w:r>
          </w:p>
        </w:tc>
        <w:tc>
          <w:tcPr>
            <w:tcW w:w="300" w:type="dxa"/>
            <w:vAlign w:val="bottom"/>
          </w:tcPr>
          <w:p>
            <w:pPr>
              <w:spacing w:after="0"/>
              <w:rPr>
                <w:sz w:val="13"/>
                <w:szCs w:val="13"/>
                <w:color w:val="auto"/>
              </w:rPr>
            </w:pPr>
          </w:p>
        </w:tc>
        <w:tc>
          <w:tcPr>
            <w:tcW w:w="960" w:type="dxa"/>
            <w:vAlign w:val="bottom"/>
          </w:tcPr>
          <w:p>
            <w:pPr>
              <w:jc w:val="center"/>
              <w:spacing w:after="0" w:line="153" w:lineRule="exact"/>
              <w:rPr>
                <w:sz w:val="20"/>
                <w:szCs w:val="20"/>
                <w:color w:val="auto"/>
              </w:rPr>
            </w:pPr>
            <w:r>
              <w:rPr>
                <w:rFonts w:ascii="Arial" w:cs="Arial" w:eastAsia="Arial" w:hAnsi="Arial"/>
                <w:sz w:val="15"/>
                <w:szCs w:val="15"/>
                <w:color w:val="auto"/>
                <w:w w:val="88"/>
              </w:rPr>
              <w:t>145,000</w:t>
            </w:r>
          </w:p>
        </w:tc>
        <w:tc>
          <w:tcPr>
            <w:tcW w:w="300" w:type="dxa"/>
            <w:vAlign w:val="bottom"/>
          </w:tcPr>
          <w:p>
            <w:pPr>
              <w:spacing w:after="0"/>
              <w:rPr>
                <w:sz w:val="13"/>
                <w:szCs w:val="13"/>
                <w:color w:val="auto"/>
              </w:rPr>
            </w:pPr>
          </w:p>
        </w:tc>
        <w:tc>
          <w:tcPr>
            <w:tcW w:w="1680" w:type="dxa"/>
            <w:vAlign w:val="bottom"/>
            <w:gridSpan w:val="2"/>
          </w:tcPr>
          <w:p>
            <w:pPr>
              <w:jc w:val="center"/>
              <w:ind w:right="280"/>
              <w:spacing w:after="0" w:line="153" w:lineRule="exact"/>
              <w:rPr>
                <w:sz w:val="20"/>
                <w:szCs w:val="20"/>
                <w:color w:val="auto"/>
              </w:rPr>
            </w:pPr>
            <w:r>
              <w:rPr>
                <w:rFonts w:ascii="Arial" w:cs="Arial" w:eastAsia="Arial" w:hAnsi="Arial"/>
                <w:sz w:val="15"/>
                <w:szCs w:val="15"/>
                <w:color w:val="auto"/>
                <w:w w:val="95"/>
              </w:rPr>
              <w:t>Shell</w:t>
            </w:r>
          </w:p>
        </w:tc>
        <w:tc>
          <w:tcPr>
            <w:tcW w:w="1240" w:type="dxa"/>
            <w:vAlign w:val="bottom"/>
            <w:gridSpan w:val="2"/>
          </w:tcPr>
          <w:p>
            <w:pPr>
              <w:jc w:val="center"/>
              <w:ind w:right="260"/>
              <w:spacing w:after="0" w:line="153" w:lineRule="exact"/>
              <w:rPr>
                <w:sz w:val="20"/>
                <w:szCs w:val="20"/>
                <w:color w:val="auto"/>
              </w:rPr>
            </w:pPr>
            <w:r>
              <w:rPr>
                <w:rFonts w:ascii="Arial" w:cs="Arial" w:eastAsia="Arial" w:hAnsi="Arial"/>
                <w:sz w:val="15"/>
                <w:szCs w:val="15"/>
                <w:color w:val="auto"/>
                <w:w w:val="87"/>
              </w:rPr>
              <w:t>Steam</w:t>
            </w:r>
          </w:p>
        </w:tc>
        <w:tc>
          <w:tcPr>
            <w:tcW w:w="2060" w:type="dxa"/>
            <w:vAlign w:val="bottom"/>
            <w:gridSpan w:val="2"/>
          </w:tcPr>
          <w:p>
            <w:pPr>
              <w:jc w:val="center"/>
              <w:ind w:right="280"/>
              <w:spacing w:after="0" w:line="153" w:lineRule="exact"/>
              <w:rPr>
                <w:sz w:val="20"/>
                <w:szCs w:val="20"/>
                <w:color w:val="auto"/>
              </w:rPr>
            </w:pPr>
            <w:r>
              <w:rPr>
                <w:rFonts w:ascii="Arial" w:cs="Arial" w:eastAsia="Arial" w:hAnsi="Arial"/>
                <w:sz w:val="15"/>
                <w:szCs w:val="15"/>
                <w:color w:val="auto"/>
                <w:w w:val="88"/>
              </w:rPr>
              <w:t>June 2020</w:t>
            </w:r>
          </w:p>
        </w:tc>
        <w:tc>
          <w:tcPr>
            <w:tcW w:w="920" w:type="dxa"/>
            <w:vAlign w:val="bottom"/>
          </w:tcPr>
          <w:p>
            <w:pPr>
              <w:jc w:val="center"/>
              <w:ind w:left="325"/>
              <w:spacing w:after="0" w:line="153" w:lineRule="exact"/>
              <w:rPr>
                <w:sz w:val="20"/>
                <w:szCs w:val="20"/>
                <w:color w:val="auto"/>
              </w:rPr>
            </w:pPr>
            <w:r>
              <w:rPr>
                <w:rFonts w:ascii="Arial" w:cs="Arial" w:eastAsia="Arial" w:hAnsi="Arial"/>
                <w:sz w:val="15"/>
                <w:szCs w:val="15"/>
                <w:color w:val="auto"/>
              </w:rPr>
              <w:t>—</w:t>
            </w:r>
          </w:p>
        </w:tc>
        <w:tc>
          <w:tcPr>
            <w:tcW w:w="400" w:type="dxa"/>
            <w:vAlign w:val="bottom"/>
            <w:vMerge w:val="restart"/>
          </w:tcPr>
          <w:p>
            <w:pPr>
              <w:jc w:val="right"/>
              <w:ind w:right="158"/>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w w:val="95"/>
              </w:rPr>
              <w:t>5</w:t>
            </w:r>
          </w:p>
        </w:tc>
        <w:tc>
          <w:tcPr>
            <w:tcW w:w="2740" w:type="dxa"/>
            <w:vAlign w:val="bottom"/>
            <w:gridSpan w:val="2"/>
          </w:tcPr>
          <w:p>
            <w:pPr>
              <w:ind w:left="40"/>
              <w:spacing w:after="0" w:line="151" w:lineRule="exact"/>
              <w:rPr>
                <w:sz w:val="20"/>
                <w:szCs w:val="20"/>
                <w:color w:val="auto"/>
              </w:rPr>
            </w:pPr>
            <w:r>
              <w:rPr>
                <w:rFonts w:ascii="Arial" w:cs="Arial" w:eastAsia="Arial" w:hAnsi="Arial"/>
                <w:sz w:val="15"/>
                <w:szCs w:val="15"/>
                <w:i w:val="1"/>
                <w:iCs w:val="1"/>
                <w:color w:val="auto"/>
              </w:rPr>
              <w:t>Methane Heather Sally</w:t>
            </w:r>
          </w:p>
        </w:tc>
        <w:tc>
          <w:tcPr>
            <w:tcW w:w="960" w:type="dxa"/>
            <w:vAlign w:val="bottom"/>
          </w:tcPr>
          <w:p>
            <w:pPr>
              <w:jc w:val="center"/>
              <w:spacing w:after="0" w:line="151" w:lineRule="exact"/>
              <w:rPr>
                <w:sz w:val="20"/>
                <w:szCs w:val="20"/>
                <w:color w:val="auto"/>
              </w:rPr>
            </w:pPr>
            <w:r>
              <w:rPr>
                <w:rFonts w:ascii="Arial" w:cs="Arial" w:eastAsia="Arial" w:hAnsi="Arial"/>
                <w:sz w:val="15"/>
                <w:szCs w:val="15"/>
                <w:color w:val="auto"/>
                <w:w w:val="89"/>
              </w:rPr>
              <w:t>2007</w:t>
            </w:r>
          </w:p>
        </w:tc>
        <w:tc>
          <w:tcPr>
            <w:tcW w:w="300" w:type="dxa"/>
            <w:vAlign w:val="bottom"/>
          </w:tcPr>
          <w:p>
            <w:pPr>
              <w:spacing w:after="0"/>
              <w:rPr>
                <w:sz w:val="13"/>
                <w:szCs w:val="13"/>
                <w:color w:val="auto"/>
              </w:rPr>
            </w:pPr>
          </w:p>
        </w:tc>
        <w:tc>
          <w:tcPr>
            <w:tcW w:w="960" w:type="dxa"/>
            <w:vAlign w:val="bottom"/>
          </w:tcPr>
          <w:p>
            <w:pPr>
              <w:jc w:val="center"/>
              <w:spacing w:after="0" w:line="151" w:lineRule="exact"/>
              <w:rPr>
                <w:sz w:val="20"/>
                <w:szCs w:val="20"/>
                <w:color w:val="auto"/>
              </w:rPr>
            </w:pPr>
            <w:r>
              <w:rPr>
                <w:rFonts w:ascii="Arial" w:cs="Arial" w:eastAsia="Arial" w:hAnsi="Arial"/>
                <w:sz w:val="15"/>
                <w:szCs w:val="15"/>
                <w:color w:val="auto"/>
                <w:w w:val="88"/>
              </w:rPr>
              <w:t>145,000</w:t>
            </w:r>
          </w:p>
        </w:tc>
        <w:tc>
          <w:tcPr>
            <w:tcW w:w="300" w:type="dxa"/>
            <w:vAlign w:val="bottom"/>
          </w:tcPr>
          <w:p>
            <w:pPr>
              <w:spacing w:after="0"/>
              <w:rPr>
                <w:sz w:val="13"/>
                <w:szCs w:val="13"/>
                <w:color w:val="auto"/>
              </w:rPr>
            </w:pPr>
          </w:p>
        </w:tc>
        <w:tc>
          <w:tcPr>
            <w:tcW w:w="1680" w:type="dxa"/>
            <w:vAlign w:val="bottom"/>
            <w:gridSpan w:val="2"/>
          </w:tcPr>
          <w:p>
            <w:pPr>
              <w:jc w:val="center"/>
              <w:ind w:right="280"/>
              <w:spacing w:after="0" w:line="151" w:lineRule="exact"/>
              <w:rPr>
                <w:sz w:val="20"/>
                <w:szCs w:val="20"/>
                <w:color w:val="auto"/>
              </w:rPr>
            </w:pPr>
            <w:r>
              <w:rPr>
                <w:rFonts w:ascii="Arial" w:cs="Arial" w:eastAsia="Arial" w:hAnsi="Arial"/>
                <w:sz w:val="15"/>
                <w:szCs w:val="15"/>
                <w:color w:val="auto"/>
                <w:w w:val="95"/>
              </w:rPr>
              <w:t>Shell</w:t>
            </w:r>
          </w:p>
        </w:tc>
        <w:tc>
          <w:tcPr>
            <w:tcW w:w="1240" w:type="dxa"/>
            <w:vAlign w:val="bottom"/>
            <w:gridSpan w:val="2"/>
          </w:tcPr>
          <w:p>
            <w:pPr>
              <w:jc w:val="center"/>
              <w:ind w:right="260"/>
              <w:spacing w:after="0" w:line="151" w:lineRule="exact"/>
              <w:rPr>
                <w:sz w:val="20"/>
                <w:szCs w:val="20"/>
                <w:color w:val="auto"/>
              </w:rPr>
            </w:pPr>
            <w:r>
              <w:rPr>
                <w:rFonts w:ascii="Arial" w:cs="Arial" w:eastAsia="Arial" w:hAnsi="Arial"/>
                <w:sz w:val="15"/>
                <w:szCs w:val="15"/>
                <w:color w:val="auto"/>
                <w:w w:val="87"/>
              </w:rPr>
              <w:t>Steam</w:t>
            </w:r>
          </w:p>
        </w:tc>
        <w:tc>
          <w:tcPr>
            <w:tcW w:w="2060" w:type="dxa"/>
            <w:vAlign w:val="bottom"/>
            <w:gridSpan w:val="2"/>
          </w:tcPr>
          <w:p>
            <w:pPr>
              <w:jc w:val="center"/>
              <w:ind w:right="280"/>
              <w:spacing w:after="0" w:line="151" w:lineRule="exact"/>
              <w:rPr>
                <w:sz w:val="20"/>
                <w:szCs w:val="20"/>
                <w:color w:val="auto"/>
              </w:rPr>
            </w:pPr>
            <w:r>
              <w:rPr>
                <w:rFonts w:ascii="Arial" w:cs="Arial" w:eastAsia="Arial" w:hAnsi="Arial"/>
                <w:sz w:val="15"/>
                <w:szCs w:val="15"/>
                <w:color w:val="auto"/>
                <w:w w:val="91"/>
              </w:rPr>
              <w:t>December 2020</w:t>
            </w:r>
          </w:p>
        </w:tc>
        <w:tc>
          <w:tcPr>
            <w:tcW w:w="920" w:type="dxa"/>
            <w:vAlign w:val="bottom"/>
          </w:tcPr>
          <w:p>
            <w:pPr>
              <w:jc w:val="center"/>
              <w:ind w:left="125"/>
              <w:spacing w:after="0" w:line="151" w:lineRule="exact"/>
              <w:rPr>
                <w:sz w:val="20"/>
                <w:szCs w:val="20"/>
                <w:color w:val="auto"/>
              </w:rPr>
            </w:pPr>
            <w:r>
              <w:rPr>
                <w:rFonts w:ascii="Arial" w:cs="Arial" w:eastAsia="Arial" w:hAnsi="Arial"/>
                <w:sz w:val="15"/>
                <w:szCs w:val="15"/>
                <w:color w:val="auto"/>
                <w:w w:val="90"/>
              </w:rPr>
              <w:t>2023–2025</w:t>
            </w:r>
          </w:p>
        </w:tc>
        <w:tc>
          <w:tcPr>
            <w:tcW w:w="4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5"/>
              </w:rPr>
              <w:t>6</w:t>
            </w:r>
          </w:p>
        </w:tc>
        <w:tc>
          <w:tcPr>
            <w:tcW w:w="2740" w:type="dxa"/>
            <w:vAlign w:val="bottom"/>
            <w:gridSpan w:val="2"/>
          </w:tcPr>
          <w:p>
            <w:pPr>
              <w:ind w:left="40"/>
              <w:spacing w:after="0" w:line="157" w:lineRule="exact"/>
              <w:rPr>
                <w:sz w:val="20"/>
                <w:szCs w:val="20"/>
                <w:color w:val="auto"/>
              </w:rPr>
            </w:pPr>
            <w:r>
              <w:rPr>
                <w:rFonts w:ascii="Arial" w:cs="Arial" w:eastAsia="Arial" w:hAnsi="Arial"/>
                <w:sz w:val="15"/>
                <w:szCs w:val="15"/>
                <w:i w:val="1"/>
                <w:iCs w:val="1"/>
                <w:color w:val="auto"/>
              </w:rPr>
              <w:t>Methane Becki Anne</w:t>
            </w:r>
          </w:p>
        </w:tc>
        <w:tc>
          <w:tcPr>
            <w:tcW w:w="960" w:type="dxa"/>
            <w:vAlign w:val="bottom"/>
          </w:tcPr>
          <w:p>
            <w:pPr>
              <w:jc w:val="center"/>
              <w:spacing w:after="0" w:line="157" w:lineRule="exact"/>
              <w:rPr>
                <w:sz w:val="20"/>
                <w:szCs w:val="20"/>
                <w:color w:val="auto"/>
              </w:rPr>
            </w:pPr>
            <w:r>
              <w:rPr>
                <w:rFonts w:ascii="Arial" w:cs="Arial" w:eastAsia="Arial" w:hAnsi="Arial"/>
                <w:sz w:val="15"/>
                <w:szCs w:val="15"/>
                <w:color w:val="auto"/>
                <w:w w:val="89"/>
              </w:rPr>
              <w:t>2010</w:t>
            </w:r>
          </w:p>
        </w:tc>
        <w:tc>
          <w:tcPr>
            <w:tcW w:w="300" w:type="dxa"/>
            <w:vAlign w:val="bottom"/>
          </w:tcPr>
          <w:p>
            <w:pPr>
              <w:spacing w:after="0"/>
              <w:rPr>
                <w:sz w:val="13"/>
                <w:szCs w:val="13"/>
                <w:color w:val="auto"/>
              </w:rPr>
            </w:pPr>
          </w:p>
        </w:tc>
        <w:tc>
          <w:tcPr>
            <w:tcW w:w="960" w:type="dxa"/>
            <w:vAlign w:val="bottom"/>
          </w:tcPr>
          <w:p>
            <w:pPr>
              <w:jc w:val="center"/>
              <w:spacing w:after="0" w:line="157" w:lineRule="exact"/>
              <w:rPr>
                <w:sz w:val="20"/>
                <w:szCs w:val="20"/>
                <w:color w:val="auto"/>
              </w:rPr>
            </w:pPr>
            <w:r>
              <w:rPr>
                <w:rFonts w:ascii="Arial" w:cs="Arial" w:eastAsia="Arial" w:hAnsi="Arial"/>
                <w:sz w:val="15"/>
                <w:szCs w:val="15"/>
                <w:color w:val="auto"/>
                <w:w w:val="88"/>
              </w:rPr>
              <w:t>170,000</w:t>
            </w:r>
          </w:p>
        </w:tc>
        <w:tc>
          <w:tcPr>
            <w:tcW w:w="300" w:type="dxa"/>
            <w:vAlign w:val="bottom"/>
          </w:tcPr>
          <w:p>
            <w:pPr>
              <w:spacing w:after="0"/>
              <w:rPr>
                <w:sz w:val="13"/>
                <w:szCs w:val="13"/>
                <w:color w:val="auto"/>
              </w:rPr>
            </w:pPr>
          </w:p>
        </w:tc>
        <w:tc>
          <w:tcPr>
            <w:tcW w:w="1680" w:type="dxa"/>
            <w:vAlign w:val="bottom"/>
            <w:gridSpan w:val="2"/>
          </w:tcPr>
          <w:p>
            <w:pPr>
              <w:jc w:val="center"/>
              <w:ind w:right="280"/>
              <w:spacing w:after="0" w:line="157" w:lineRule="exact"/>
              <w:rPr>
                <w:sz w:val="20"/>
                <w:szCs w:val="20"/>
                <w:color w:val="auto"/>
              </w:rPr>
            </w:pPr>
            <w:r>
              <w:rPr>
                <w:rFonts w:ascii="Arial" w:cs="Arial" w:eastAsia="Arial" w:hAnsi="Arial"/>
                <w:sz w:val="15"/>
                <w:szCs w:val="15"/>
                <w:color w:val="auto"/>
                <w:w w:val="95"/>
              </w:rPr>
              <w:t>Shell</w:t>
            </w:r>
          </w:p>
        </w:tc>
        <w:tc>
          <w:tcPr>
            <w:tcW w:w="1240" w:type="dxa"/>
            <w:vAlign w:val="bottom"/>
            <w:gridSpan w:val="2"/>
          </w:tcPr>
          <w:p>
            <w:pPr>
              <w:jc w:val="center"/>
              <w:ind w:right="260"/>
              <w:spacing w:after="0" w:line="157" w:lineRule="exact"/>
              <w:rPr>
                <w:sz w:val="20"/>
                <w:szCs w:val="20"/>
                <w:color w:val="auto"/>
              </w:rPr>
            </w:pPr>
            <w:r>
              <w:rPr>
                <w:rFonts w:ascii="Arial" w:cs="Arial" w:eastAsia="Arial" w:hAnsi="Arial"/>
                <w:sz w:val="15"/>
                <w:szCs w:val="15"/>
                <w:color w:val="auto"/>
                <w:w w:val="96"/>
              </w:rPr>
              <w:t>TFDE</w:t>
            </w:r>
          </w:p>
        </w:tc>
        <w:tc>
          <w:tcPr>
            <w:tcW w:w="2060" w:type="dxa"/>
            <w:vAlign w:val="bottom"/>
            <w:gridSpan w:val="2"/>
          </w:tcPr>
          <w:p>
            <w:pPr>
              <w:jc w:val="center"/>
              <w:ind w:right="280"/>
              <w:spacing w:after="0" w:line="157" w:lineRule="exact"/>
              <w:rPr>
                <w:sz w:val="20"/>
                <w:szCs w:val="20"/>
                <w:color w:val="auto"/>
              </w:rPr>
            </w:pPr>
            <w:r>
              <w:rPr>
                <w:rFonts w:ascii="Arial" w:cs="Arial" w:eastAsia="Arial" w:hAnsi="Arial"/>
                <w:sz w:val="15"/>
                <w:szCs w:val="15"/>
                <w:color w:val="auto"/>
                <w:w w:val="93"/>
              </w:rPr>
              <w:t>March 2024</w:t>
            </w:r>
          </w:p>
        </w:tc>
        <w:tc>
          <w:tcPr>
            <w:tcW w:w="920" w:type="dxa"/>
            <w:vAlign w:val="bottom"/>
          </w:tcPr>
          <w:p>
            <w:pPr>
              <w:jc w:val="center"/>
              <w:ind w:left="125"/>
              <w:spacing w:after="0" w:line="157" w:lineRule="exact"/>
              <w:rPr>
                <w:sz w:val="20"/>
                <w:szCs w:val="20"/>
                <w:color w:val="auto"/>
              </w:rPr>
            </w:pPr>
            <w:r>
              <w:rPr>
                <w:rFonts w:ascii="Arial" w:cs="Arial" w:eastAsia="Arial" w:hAnsi="Arial"/>
                <w:sz w:val="15"/>
                <w:szCs w:val="15"/>
                <w:color w:val="auto"/>
                <w:w w:val="90"/>
              </w:rPr>
              <w:t>2027–2029</w:t>
            </w:r>
          </w:p>
        </w:tc>
        <w:tc>
          <w:tcPr>
            <w:tcW w:w="400" w:type="dxa"/>
            <w:vAlign w:val="bottom"/>
          </w:tcPr>
          <w:p>
            <w:pPr>
              <w:jc w:val="right"/>
              <w:ind w:right="158"/>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7</w:t>
            </w:r>
          </w:p>
        </w:tc>
        <w:tc>
          <w:tcPr>
            <w:tcW w:w="2740" w:type="dxa"/>
            <w:vAlign w:val="bottom"/>
            <w:gridSpan w:val="2"/>
          </w:tcPr>
          <w:p>
            <w:pPr>
              <w:ind w:left="40"/>
              <w:spacing w:after="0" w:line="162" w:lineRule="exact"/>
              <w:rPr>
                <w:sz w:val="20"/>
                <w:szCs w:val="20"/>
                <w:color w:val="auto"/>
              </w:rPr>
            </w:pPr>
            <w:r>
              <w:rPr>
                <w:rFonts w:ascii="Arial" w:cs="Arial" w:eastAsia="Arial" w:hAnsi="Arial"/>
                <w:sz w:val="15"/>
                <w:szCs w:val="15"/>
                <w:i w:val="1"/>
                <w:iCs w:val="1"/>
                <w:color w:val="auto"/>
              </w:rPr>
              <w:t>GasLog Shanghai</w:t>
            </w:r>
          </w:p>
        </w:tc>
        <w:tc>
          <w:tcPr>
            <w:tcW w:w="960" w:type="dxa"/>
            <w:vAlign w:val="bottom"/>
          </w:tcPr>
          <w:p>
            <w:pPr>
              <w:jc w:val="center"/>
              <w:spacing w:after="0" w:line="162" w:lineRule="exact"/>
              <w:rPr>
                <w:sz w:val="20"/>
                <w:szCs w:val="20"/>
                <w:color w:val="auto"/>
              </w:rPr>
            </w:pPr>
            <w:r>
              <w:rPr>
                <w:rFonts w:ascii="Arial" w:cs="Arial" w:eastAsia="Arial" w:hAnsi="Arial"/>
                <w:sz w:val="15"/>
                <w:szCs w:val="15"/>
                <w:color w:val="auto"/>
                <w:w w:val="89"/>
              </w:rPr>
              <w:t>2013</w:t>
            </w:r>
          </w:p>
        </w:tc>
        <w:tc>
          <w:tcPr>
            <w:tcW w:w="300" w:type="dxa"/>
            <w:vAlign w:val="bottom"/>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Arial" w:cs="Arial" w:eastAsia="Arial" w:hAnsi="Arial"/>
                <w:sz w:val="15"/>
                <w:szCs w:val="15"/>
                <w:color w:val="auto"/>
                <w:w w:val="88"/>
              </w:rPr>
              <w:t>155,000</w:t>
            </w:r>
          </w:p>
        </w:tc>
        <w:tc>
          <w:tcPr>
            <w:tcW w:w="300" w:type="dxa"/>
            <w:vAlign w:val="bottom"/>
          </w:tcPr>
          <w:p>
            <w:pPr>
              <w:spacing w:after="0"/>
              <w:rPr>
                <w:sz w:val="14"/>
                <w:szCs w:val="14"/>
                <w:color w:val="auto"/>
              </w:rPr>
            </w:pPr>
          </w:p>
        </w:tc>
        <w:tc>
          <w:tcPr>
            <w:tcW w:w="1680" w:type="dxa"/>
            <w:vAlign w:val="bottom"/>
            <w:gridSpan w:val="2"/>
          </w:tcPr>
          <w:p>
            <w:pPr>
              <w:jc w:val="center"/>
              <w:ind w:right="300"/>
              <w:spacing w:after="0" w:line="163" w:lineRule="exact"/>
              <w:rPr>
                <w:sz w:val="20"/>
                <w:szCs w:val="20"/>
                <w:color w:val="auto"/>
              </w:rPr>
            </w:pPr>
            <w:r>
              <w:rPr>
                <w:rFonts w:ascii="Arial" w:cs="Arial" w:eastAsia="Arial" w:hAnsi="Arial"/>
                <w:sz w:val="12"/>
                <w:szCs w:val="12"/>
                <w:color w:val="auto"/>
              </w:rPr>
              <w:t xml:space="preserve">Spot Market </w:t>
            </w:r>
            <w:r>
              <w:rPr>
                <w:rFonts w:ascii="Arial" w:cs="Arial" w:eastAsia="Arial" w:hAnsi="Arial"/>
                <w:sz w:val="18"/>
                <w:szCs w:val="18"/>
                <w:color w:val="auto"/>
                <w:vertAlign w:val="superscript"/>
              </w:rPr>
              <w:t>(4)</w:t>
            </w:r>
          </w:p>
        </w:tc>
        <w:tc>
          <w:tcPr>
            <w:tcW w:w="1240" w:type="dxa"/>
            <w:vAlign w:val="bottom"/>
            <w:gridSpan w:val="2"/>
          </w:tcPr>
          <w:p>
            <w:pPr>
              <w:jc w:val="center"/>
              <w:ind w:right="260"/>
              <w:spacing w:after="0" w:line="162" w:lineRule="exact"/>
              <w:rPr>
                <w:sz w:val="20"/>
                <w:szCs w:val="20"/>
                <w:color w:val="auto"/>
              </w:rPr>
            </w:pPr>
            <w:r>
              <w:rPr>
                <w:rFonts w:ascii="Arial" w:cs="Arial" w:eastAsia="Arial" w:hAnsi="Arial"/>
                <w:sz w:val="15"/>
                <w:szCs w:val="15"/>
                <w:color w:val="auto"/>
                <w:w w:val="96"/>
              </w:rPr>
              <w:t>TFDE</w:t>
            </w:r>
          </w:p>
        </w:tc>
        <w:tc>
          <w:tcPr>
            <w:tcW w:w="2060" w:type="dxa"/>
            <w:vAlign w:val="bottom"/>
            <w:gridSpan w:val="2"/>
          </w:tcPr>
          <w:p>
            <w:pPr>
              <w:jc w:val="center"/>
              <w:ind w:right="280"/>
              <w:spacing w:after="0" w:line="162" w:lineRule="exact"/>
              <w:rPr>
                <w:sz w:val="20"/>
                <w:szCs w:val="20"/>
                <w:color w:val="auto"/>
              </w:rPr>
            </w:pPr>
            <w:r>
              <w:rPr>
                <w:rFonts w:ascii="Arial" w:cs="Arial" w:eastAsia="Arial" w:hAnsi="Arial"/>
                <w:sz w:val="15"/>
                <w:szCs w:val="15"/>
                <w:color w:val="auto"/>
                <w:w w:val="93"/>
              </w:rPr>
              <w:t>—</w:t>
            </w:r>
          </w:p>
        </w:tc>
        <w:tc>
          <w:tcPr>
            <w:tcW w:w="920" w:type="dxa"/>
            <w:vAlign w:val="bottom"/>
          </w:tcPr>
          <w:p>
            <w:pPr>
              <w:jc w:val="center"/>
              <w:ind w:left="325"/>
              <w:spacing w:after="0" w:line="162" w:lineRule="exact"/>
              <w:rPr>
                <w:sz w:val="20"/>
                <w:szCs w:val="20"/>
                <w:color w:val="auto"/>
              </w:rPr>
            </w:pPr>
            <w:r>
              <w:rPr>
                <w:rFonts w:ascii="Arial" w:cs="Arial" w:eastAsia="Arial" w:hAnsi="Arial"/>
                <w:sz w:val="15"/>
                <w:szCs w:val="15"/>
                <w:color w:val="auto"/>
              </w:rPr>
              <w:t>—</w:t>
            </w:r>
          </w:p>
        </w:tc>
        <w:tc>
          <w:tcPr>
            <w:tcW w:w="400" w:type="dxa"/>
            <w:vAlign w:val="bottom"/>
            <w:vMerge w:val="restart"/>
          </w:tcPr>
          <w:p>
            <w:pPr>
              <w:jc w:val="right"/>
              <w:ind w:right="178"/>
              <w:spacing w:after="0"/>
              <w:rPr>
                <w:sz w:val="20"/>
                <w:szCs w:val="20"/>
                <w:color w:val="auto"/>
              </w:rPr>
            </w:pPr>
            <w:r>
              <w:rPr>
                <w:rFonts w:ascii="Arial" w:cs="Arial" w:eastAsia="Arial" w:hAnsi="Arial"/>
                <w:sz w:val="12"/>
                <w:szCs w:val="12"/>
                <w:color w:val="auto"/>
                <w:w w:val="95"/>
              </w:rPr>
              <w:t>(5)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2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w w:val="95"/>
              </w:rPr>
              <w:t>8</w:t>
            </w:r>
          </w:p>
        </w:tc>
        <w:tc>
          <w:tcPr>
            <w:tcW w:w="2740" w:type="dxa"/>
            <w:vAlign w:val="bottom"/>
            <w:gridSpan w:val="2"/>
          </w:tcPr>
          <w:p>
            <w:pPr>
              <w:ind w:left="40"/>
              <w:spacing w:after="0" w:line="151" w:lineRule="exact"/>
              <w:rPr>
                <w:sz w:val="20"/>
                <w:szCs w:val="20"/>
                <w:color w:val="auto"/>
              </w:rPr>
            </w:pPr>
            <w:r>
              <w:rPr>
                <w:rFonts w:ascii="Arial" w:cs="Arial" w:eastAsia="Arial" w:hAnsi="Arial"/>
                <w:sz w:val="15"/>
                <w:szCs w:val="15"/>
                <w:i w:val="1"/>
                <w:iCs w:val="1"/>
                <w:color w:val="auto"/>
              </w:rPr>
              <w:t>GasLog Santiago</w:t>
            </w:r>
          </w:p>
        </w:tc>
        <w:tc>
          <w:tcPr>
            <w:tcW w:w="960" w:type="dxa"/>
            <w:vAlign w:val="bottom"/>
          </w:tcPr>
          <w:p>
            <w:pPr>
              <w:jc w:val="center"/>
              <w:spacing w:after="0" w:line="151" w:lineRule="exact"/>
              <w:rPr>
                <w:sz w:val="20"/>
                <w:szCs w:val="20"/>
                <w:color w:val="auto"/>
              </w:rPr>
            </w:pPr>
            <w:r>
              <w:rPr>
                <w:rFonts w:ascii="Arial" w:cs="Arial" w:eastAsia="Arial" w:hAnsi="Arial"/>
                <w:sz w:val="15"/>
                <w:szCs w:val="15"/>
                <w:color w:val="auto"/>
                <w:w w:val="89"/>
              </w:rPr>
              <w:t>2013</w:t>
            </w:r>
          </w:p>
        </w:tc>
        <w:tc>
          <w:tcPr>
            <w:tcW w:w="300" w:type="dxa"/>
            <w:vAlign w:val="bottom"/>
          </w:tcPr>
          <w:p>
            <w:pPr>
              <w:spacing w:after="0"/>
              <w:rPr>
                <w:sz w:val="13"/>
                <w:szCs w:val="13"/>
                <w:color w:val="auto"/>
              </w:rPr>
            </w:pPr>
          </w:p>
        </w:tc>
        <w:tc>
          <w:tcPr>
            <w:tcW w:w="960" w:type="dxa"/>
            <w:vAlign w:val="bottom"/>
          </w:tcPr>
          <w:p>
            <w:pPr>
              <w:jc w:val="center"/>
              <w:spacing w:after="0" w:line="151" w:lineRule="exact"/>
              <w:rPr>
                <w:sz w:val="20"/>
                <w:szCs w:val="20"/>
                <w:color w:val="auto"/>
              </w:rPr>
            </w:pPr>
            <w:r>
              <w:rPr>
                <w:rFonts w:ascii="Arial" w:cs="Arial" w:eastAsia="Arial" w:hAnsi="Arial"/>
                <w:sz w:val="15"/>
                <w:szCs w:val="15"/>
                <w:color w:val="auto"/>
                <w:w w:val="88"/>
              </w:rPr>
              <w:t>155,000</w:t>
            </w:r>
          </w:p>
        </w:tc>
        <w:tc>
          <w:tcPr>
            <w:tcW w:w="300" w:type="dxa"/>
            <w:vAlign w:val="bottom"/>
          </w:tcPr>
          <w:p>
            <w:pPr>
              <w:spacing w:after="0"/>
              <w:rPr>
                <w:sz w:val="13"/>
                <w:szCs w:val="13"/>
                <w:color w:val="auto"/>
              </w:rPr>
            </w:pPr>
          </w:p>
        </w:tc>
        <w:tc>
          <w:tcPr>
            <w:tcW w:w="1680" w:type="dxa"/>
            <w:vAlign w:val="bottom"/>
            <w:gridSpan w:val="2"/>
          </w:tcPr>
          <w:p>
            <w:pPr>
              <w:jc w:val="center"/>
              <w:ind w:right="280"/>
              <w:spacing w:after="0" w:line="151" w:lineRule="exact"/>
              <w:rPr>
                <w:sz w:val="20"/>
                <w:szCs w:val="20"/>
                <w:color w:val="auto"/>
              </w:rPr>
            </w:pPr>
            <w:r>
              <w:rPr>
                <w:rFonts w:ascii="Arial" w:cs="Arial" w:eastAsia="Arial" w:hAnsi="Arial"/>
                <w:sz w:val="15"/>
                <w:szCs w:val="15"/>
                <w:color w:val="auto"/>
                <w:w w:val="92"/>
              </w:rPr>
              <w:t>New Customer</w:t>
            </w:r>
          </w:p>
        </w:tc>
        <w:tc>
          <w:tcPr>
            <w:tcW w:w="1240" w:type="dxa"/>
            <w:vAlign w:val="bottom"/>
            <w:gridSpan w:val="2"/>
          </w:tcPr>
          <w:p>
            <w:pPr>
              <w:jc w:val="center"/>
              <w:ind w:right="260"/>
              <w:spacing w:after="0" w:line="151" w:lineRule="exact"/>
              <w:rPr>
                <w:sz w:val="20"/>
                <w:szCs w:val="20"/>
                <w:color w:val="auto"/>
              </w:rPr>
            </w:pPr>
            <w:r>
              <w:rPr>
                <w:rFonts w:ascii="Arial" w:cs="Arial" w:eastAsia="Arial" w:hAnsi="Arial"/>
                <w:sz w:val="15"/>
                <w:szCs w:val="15"/>
                <w:color w:val="auto"/>
                <w:w w:val="96"/>
              </w:rPr>
              <w:t>TFDE</w:t>
            </w:r>
          </w:p>
        </w:tc>
        <w:tc>
          <w:tcPr>
            <w:tcW w:w="2060" w:type="dxa"/>
            <w:vAlign w:val="bottom"/>
            <w:gridSpan w:val="2"/>
          </w:tcPr>
          <w:p>
            <w:pPr>
              <w:jc w:val="center"/>
              <w:ind w:right="280"/>
              <w:spacing w:after="0" w:line="151" w:lineRule="exact"/>
              <w:rPr>
                <w:sz w:val="20"/>
                <w:szCs w:val="20"/>
                <w:color w:val="auto"/>
              </w:rPr>
            </w:pPr>
            <w:r>
              <w:rPr>
                <w:rFonts w:ascii="Arial" w:cs="Arial" w:eastAsia="Arial" w:hAnsi="Arial"/>
                <w:sz w:val="15"/>
                <w:szCs w:val="15"/>
                <w:color w:val="auto"/>
                <w:w w:val="91"/>
              </w:rPr>
              <w:t>December 2021</w:t>
            </w:r>
          </w:p>
        </w:tc>
        <w:tc>
          <w:tcPr>
            <w:tcW w:w="920" w:type="dxa"/>
            <w:vAlign w:val="bottom"/>
          </w:tcPr>
          <w:p>
            <w:pPr>
              <w:jc w:val="center"/>
              <w:ind w:left="145"/>
              <w:spacing w:after="0" w:line="151" w:lineRule="exact"/>
              <w:rPr>
                <w:sz w:val="20"/>
                <w:szCs w:val="20"/>
                <w:color w:val="auto"/>
              </w:rPr>
            </w:pPr>
            <w:r>
              <w:rPr>
                <w:rFonts w:ascii="Arial" w:cs="Arial" w:eastAsia="Arial" w:hAnsi="Arial"/>
                <w:sz w:val="15"/>
                <w:szCs w:val="15"/>
                <w:color w:val="auto"/>
                <w:w w:val="91"/>
              </w:rPr>
              <w:t>2022-2028</w:t>
            </w:r>
          </w:p>
        </w:tc>
        <w:tc>
          <w:tcPr>
            <w:tcW w:w="4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9</w:t>
            </w:r>
          </w:p>
        </w:tc>
        <w:tc>
          <w:tcPr>
            <w:tcW w:w="2740" w:type="dxa"/>
            <w:vAlign w:val="bottom"/>
            <w:gridSpan w:val="2"/>
          </w:tcPr>
          <w:p>
            <w:pPr>
              <w:ind w:left="40"/>
              <w:spacing w:after="0" w:line="162" w:lineRule="exact"/>
              <w:rPr>
                <w:sz w:val="20"/>
                <w:szCs w:val="20"/>
                <w:color w:val="auto"/>
              </w:rPr>
            </w:pPr>
            <w:r>
              <w:rPr>
                <w:rFonts w:ascii="Arial" w:cs="Arial" w:eastAsia="Arial" w:hAnsi="Arial"/>
                <w:sz w:val="15"/>
                <w:szCs w:val="15"/>
                <w:i w:val="1"/>
                <w:iCs w:val="1"/>
                <w:color w:val="auto"/>
              </w:rPr>
              <w:t>GasLog Sydney</w:t>
            </w:r>
          </w:p>
        </w:tc>
        <w:tc>
          <w:tcPr>
            <w:tcW w:w="960" w:type="dxa"/>
            <w:vAlign w:val="bottom"/>
          </w:tcPr>
          <w:p>
            <w:pPr>
              <w:jc w:val="center"/>
              <w:spacing w:after="0" w:line="162" w:lineRule="exact"/>
              <w:rPr>
                <w:sz w:val="20"/>
                <w:szCs w:val="20"/>
                <w:color w:val="auto"/>
              </w:rPr>
            </w:pPr>
            <w:r>
              <w:rPr>
                <w:rFonts w:ascii="Arial" w:cs="Arial" w:eastAsia="Arial" w:hAnsi="Arial"/>
                <w:sz w:val="15"/>
                <w:szCs w:val="15"/>
                <w:color w:val="auto"/>
                <w:w w:val="89"/>
              </w:rPr>
              <w:t>2013</w:t>
            </w:r>
          </w:p>
        </w:tc>
        <w:tc>
          <w:tcPr>
            <w:tcW w:w="300" w:type="dxa"/>
            <w:vAlign w:val="bottom"/>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Arial" w:cs="Arial" w:eastAsia="Arial" w:hAnsi="Arial"/>
                <w:sz w:val="15"/>
                <w:szCs w:val="15"/>
                <w:color w:val="auto"/>
                <w:w w:val="88"/>
              </w:rPr>
              <w:t>155,000</w:t>
            </w:r>
          </w:p>
        </w:tc>
        <w:tc>
          <w:tcPr>
            <w:tcW w:w="300" w:type="dxa"/>
            <w:vAlign w:val="bottom"/>
          </w:tcPr>
          <w:p>
            <w:pPr>
              <w:spacing w:after="0"/>
              <w:rPr>
                <w:sz w:val="14"/>
                <w:szCs w:val="14"/>
                <w:color w:val="auto"/>
              </w:rPr>
            </w:pPr>
          </w:p>
        </w:tc>
        <w:tc>
          <w:tcPr>
            <w:tcW w:w="1680" w:type="dxa"/>
            <w:vAlign w:val="bottom"/>
            <w:gridSpan w:val="2"/>
          </w:tcPr>
          <w:p>
            <w:pPr>
              <w:jc w:val="center"/>
              <w:ind w:right="280"/>
              <w:spacing w:after="0" w:line="163" w:lineRule="exact"/>
              <w:rPr>
                <w:sz w:val="20"/>
                <w:szCs w:val="20"/>
                <w:color w:val="auto"/>
              </w:rPr>
            </w:pPr>
            <w:r>
              <w:rPr>
                <w:rFonts w:ascii="Arial" w:cs="Arial" w:eastAsia="Arial" w:hAnsi="Arial"/>
                <w:sz w:val="12"/>
                <w:szCs w:val="12"/>
                <w:color w:val="auto"/>
              </w:rPr>
              <w:t xml:space="preserve">Cheniere </w:t>
            </w:r>
            <w:r>
              <w:rPr>
                <w:rFonts w:ascii="Arial" w:cs="Arial" w:eastAsia="Arial" w:hAnsi="Arial"/>
                <w:sz w:val="18"/>
                <w:szCs w:val="18"/>
                <w:color w:val="auto"/>
                <w:vertAlign w:val="superscript"/>
              </w:rPr>
              <w:t>(6)</w:t>
            </w:r>
          </w:p>
        </w:tc>
        <w:tc>
          <w:tcPr>
            <w:tcW w:w="1240" w:type="dxa"/>
            <w:vAlign w:val="bottom"/>
            <w:gridSpan w:val="2"/>
          </w:tcPr>
          <w:p>
            <w:pPr>
              <w:jc w:val="center"/>
              <w:ind w:right="260"/>
              <w:spacing w:after="0" w:line="162" w:lineRule="exact"/>
              <w:rPr>
                <w:sz w:val="20"/>
                <w:szCs w:val="20"/>
                <w:color w:val="auto"/>
              </w:rPr>
            </w:pPr>
            <w:r>
              <w:rPr>
                <w:rFonts w:ascii="Arial" w:cs="Arial" w:eastAsia="Arial" w:hAnsi="Arial"/>
                <w:sz w:val="15"/>
                <w:szCs w:val="15"/>
                <w:color w:val="auto"/>
                <w:w w:val="96"/>
              </w:rPr>
              <w:t>TFDE</w:t>
            </w:r>
          </w:p>
        </w:tc>
        <w:tc>
          <w:tcPr>
            <w:tcW w:w="2060" w:type="dxa"/>
            <w:vAlign w:val="bottom"/>
            <w:gridSpan w:val="2"/>
          </w:tcPr>
          <w:p>
            <w:pPr>
              <w:jc w:val="center"/>
              <w:ind w:right="280"/>
              <w:spacing w:after="0" w:line="162" w:lineRule="exact"/>
              <w:rPr>
                <w:sz w:val="20"/>
                <w:szCs w:val="20"/>
                <w:color w:val="auto"/>
              </w:rPr>
            </w:pPr>
            <w:r>
              <w:rPr>
                <w:rFonts w:ascii="Arial" w:cs="Arial" w:eastAsia="Arial" w:hAnsi="Arial"/>
                <w:sz w:val="15"/>
                <w:szCs w:val="15"/>
                <w:color w:val="auto"/>
                <w:w w:val="88"/>
              </w:rPr>
              <w:t>June 2020</w:t>
            </w:r>
          </w:p>
        </w:tc>
        <w:tc>
          <w:tcPr>
            <w:tcW w:w="920" w:type="dxa"/>
            <w:vAlign w:val="bottom"/>
          </w:tcPr>
          <w:p>
            <w:pPr>
              <w:jc w:val="center"/>
              <w:ind w:left="145"/>
              <w:spacing w:after="0" w:line="162" w:lineRule="exact"/>
              <w:rPr>
                <w:sz w:val="20"/>
                <w:szCs w:val="20"/>
                <w:color w:val="auto"/>
              </w:rPr>
            </w:pPr>
            <w:r>
              <w:rPr>
                <w:rFonts w:ascii="Arial" w:cs="Arial" w:eastAsia="Arial" w:hAnsi="Arial"/>
                <w:sz w:val="15"/>
                <w:szCs w:val="15"/>
                <w:color w:val="auto"/>
                <w:w w:val="91"/>
              </w:rPr>
              <w:t>2020-2021</w:t>
            </w:r>
          </w:p>
        </w:tc>
        <w:tc>
          <w:tcPr>
            <w:tcW w:w="400" w:type="dxa"/>
            <w:vAlign w:val="bottom"/>
          </w:tcPr>
          <w:p>
            <w:pPr>
              <w:jc w:val="right"/>
              <w:ind w:right="178"/>
              <w:spacing w:after="0"/>
              <w:rPr>
                <w:sz w:val="20"/>
                <w:szCs w:val="20"/>
                <w:color w:val="auto"/>
              </w:rPr>
            </w:pPr>
            <w:r>
              <w:rPr>
                <w:rFonts w:ascii="Arial" w:cs="Arial" w:eastAsia="Arial" w:hAnsi="Arial"/>
                <w:sz w:val="12"/>
                <w:szCs w:val="12"/>
                <w:color w:val="auto"/>
                <w:w w:val="95"/>
              </w:rPr>
              <w:t>(7)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5"/>
              </w:rPr>
              <w:t>10</w:t>
            </w:r>
          </w:p>
        </w:tc>
        <w:tc>
          <w:tcPr>
            <w:tcW w:w="2740" w:type="dxa"/>
            <w:vAlign w:val="bottom"/>
            <w:gridSpan w:val="2"/>
          </w:tcPr>
          <w:p>
            <w:pPr>
              <w:ind w:left="40"/>
              <w:spacing w:after="0" w:line="157" w:lineRule="exact"/>
              <w:rPr>
                <w:sz w:val="20"/>
                <w:szCs w:val="20"/>
                <w:color w:val="auto"/>
              </w:rPr>
            </w:pPr>
            <w:r>
              <w:rPr>
                <w:rFonts w:ascii="Arial" w:cs="Arial" w:eastAsia="Arial" w:hAnsi="Arial"/>
                <w:sz w:val="15"/>
                <w:szCs w:val="15"/>
                <w:i w:val="1"/>
                <w:iCs w:val="1"/>
                <w:color w:val="auto"/>
              </w:rPr>
              <w:t>GasLog Seattle</w:t>
            </w:r>
          </w:p>
        </w:tc>
        <w:tc>
          <w:tcPr>
            <w:tcW w:w="960" w:type="dxa"/>
            <w:vAlign w:val="bottom"/>
          </w:tcPr>
          <w:p>
            <w:pPr>
              <w:jc w:val="center"/>
              <w:spacing w:after="0" w:line="157" w:lineRule="exact"/>
              <w:rPr>
                <w:sz w:val="20"/>
                <w:szCs w:val="20"/>
                <w:color w:val="auto"/>
              </w:rPr>
            </w:pPr>
            <w:r>
              <w:rPr>
                <w:rFonts w:ascii="Arial" w:cs="Arial" w:eastAsia="Arial" w:hAnsi="Arial"/>
                <w:sz w:val="15"/>
                <w:szCs w:val="15"/>
                <w:color w:val="auto"/>
                <w:w w:val="89"/>
              </w:rPr>
              <w:t>2013</w:t>
            </w:r>
          </w:p>
        </w:tc>
        <w:tc>
          <w:tcPr>
            <w:tcW w:w="300" w:type="dxa"/>
            <w:vAlign w:val="bottom"/>
          </w:tcPr>
          <w:p>
            <w:pPr>
              <w:spacing w:after="0"/>
              <w:rPr>
                <w:sz w:val="13"/>
                <w:szCs w:val="13"/>
                <w:color w:val="auto"/>
              </w:rPr>
            </w:pPr>
          </w:p>
        </w:tc>
        <w:tc>
          <w:tcPr>
            <w:tcW w:w="960" w:type="dxa"/>
            <w:vAlign w:val="bottom"/>
          </w:tcPr>
          <w:p>
            <w:pPr>
              <w:jc w:val="center"/>
              <w:spacing w:after="0" w:line="157" w:lineRule="exact"/>
              <w:rPr>
                <w:sz w:val="20"/>
                <w:szCs w:val="20"/>
                <w:color w:val="auto"/>
              </w:rPr>
            </w:pPr>
            <w:r>
              <w:rPr>
                <w:rFonts w:ascii="Arial" w:cs="Arial" w:eastAsia="Arial" w:hAnsi="Arial"/>
                <w:sz w:val="15"/>
                <w:szCs w:val="15"/>
                <w:color w:val="auto"/>
                <w:w w:val="88"/>
              </w:rPr>
              <w:t>155,000</w:t>
            </w:r>
          </w:p>
        </w:tc>
        <w:tc>
          <w:tcPr>
            <w:tcW w:w="300" w:type="dxa"/>
            <w:vAlign w:val="bottom"/>
          </w:tcPr>
          <w:p>
            <w:pPr>
              <w:spacing w:after="0"/>
              <w:rPr>
                <w:sz w:val="13"/>
                <w:szCs w:val="13"/>
                <w:color w:val="auto"/>
              </w:rPr>
            </w:pPr>
          </w:p>
        </w:tc>
        <w:tc>
          <w:tcPr>
            <w:tcW w:w="1680" w:type="dxa"/>
            <w:vAlign w:val="bottom"/>
            <w:gridSpan w:val="2"/>
          </w:tcPr>
          <w:p>
            <w:pPr>
              <w:jc w:val="center"/>
              <w:ind w:right="280"/>
              <w:spacing w:after="0" w:line="157" w:lineRule="exact"/>
              <w:rPr>
                <w:sz w:val="20"/>
                <w:szCs w:val="20"/>
                <w:color w:val="auto"/>
              </w:rPr>
            </w:pPr>
            <w:r>
              <w:rPr>
                <w:rFonts w:ascii="Arial" w:cs="Arial" w:eastAsia="Arial" w:hAnsi="Arial"/>
                <w:sz w:val="15"/>
                <w:szCs w:val="15"/>
                <w:color w:val="auto"/>
                <w:w w:val="95"/>
              </w:rPr>
              <w:t>Shell</w:t>
            </w:r>
          </w:p>
        </w:tc>
        <w:tc>
          <w:tcPr>
            <w:tcW w:w="1240" w:type="dxa"/>
            <w:vAlign w:val="bottom"/>
            <w:gridSpan w:val="2"/>
          </w:tcPr>
          <w:p>
            <w:pPr>
              <w:jc w:val="center"/>
              <w:ind w:right="260"/>
              <w:spacing w:after="0" w:line="157" w:lineRule="exact"/>
              <w:rPr>
                <w:sz w:val="20"/>
                <w:szCs w:val="20"/>
                <w:color w:val="auto"/>
              </w:rPr>
            </w:pPr>
            <w:r>
              <w:rPr>
                <w:rFonts w:ascii="Arial" w:cs="Arial" w:eastAsia="Arial" w:hAnsi="Arial"/>
                <w:sz w:val="15"/>
                <w:szCs w:val="15"/>
                <w:color w:val="auto"/>
                <w:w w:val="96"/>
              </w:rPr>
              <w:t>TFDE</w:t>
            </w:r>
          </w:p>
        </w:tc>
        <w:tc>
          <w:tcPr>
            <w:tcW w:w="2060" w:type="dxa"/>
            <w:vAlign w:val="bottom"/>
            <w:gridSpan w:val="2"/>
          </w:tcPr>
          <w:p>
            <w:pPr>
              <w:jc w:val="center"/>
              <w:ind w:right="280"/>
              <w:spacing w:after="0" w:line="157" w:lineRule="exact"/>
              <w:rPr>
                <w:sz w:val="20"/>
                <w:szCs w:val="20"/>
                <w:color w:val="auto"/>
              </w:rPr>
            </w:pPr>
            <w:r>
              <w:rPr>
                <w:rFonts w:ascii="Arial" w:cs="Arial" w:eastAsia="Arial" w:hAnsi="Arial"/>
                <w:sz w:val="15"/>
                <w:szCs w:val="15"/>
                <w:color w:val="auto"/>
                <w:w w:val="88"/>
              </w:rPr>
              <w:t>June 2021</w:t>
            </w:r>
          </w:p>
        </w:tc>
        <w:tc>
          <w:tcPr>
            <w:tcW w:w="920" w:type="dxa"/>
            <w:vAlign w:val="bottom"/>
          </w:tcPr>
          <w:p>
            <w:pPr>
              <w:jc w:val="center"/>
              <w:ind w:left="325"/>
              <w:spacing w:after="0" w:line="157" w:lineRule="exact"/>
              <w:rPr>
                <w:sz w:val="20"/>
                <w:szCs w:val="20"/>
                <w:color w:val="auto"/>
              </w:rPr>
            </w:pPr>
            <w:r>
              <w:rPr>
                <w:rFonts w:ascii="Arial" w:cs="Arial" w:eastAsia="Arial" w:hAnsi="Arial"/>
                <w:sz w:val="15"/>
                <w:szCs w:val="15"/>
                <w:color w:val="auto"/>
              </w:rPr>
              <w:t>—</w:t>
            </w:r>
          </w:p>
        </w:tc>
        <w:tc>
          <w:tcPr>
            <w:tcW w:w="400" w:type="dxa"/>
            <w:vAlign w:val="bottom"/>
            <w:vMerge w:val="restart"/>
          </w:tcPr>
          <w:p>
            <w:pPr>
              <w:jc w:val="right"/>
              <w:ind w:right="158"/>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w w:val="95"/>
              </w:rPr>
              <w:t>11</w:t>
            </w:r>
          </w:p>
        </w:tc>
        <w:tc>
          <w:tcPr>
            <w:tcW w:w="2740" w:type="dxa"/>
            <w:vAlign w:val="bottom"/>
            <w:gridSpan w:val="2"/>
          </w:tcPr>
          <w:p>
            <w:pPr>
              <w:ind w:left="40"/>
              <w:spacing w:after="0" w:line="151" w:lineRule="exact"/>
              <w:rPr>
                <w:sz w:val="20"/>
                <w:szCs w:val="20"/>
                <w:color w:val="auto"/>
              </w:rPr>
            </w:pPr>
            <w:r>
              <w:rPr>
                <w:rFonts w:ascii="Arial" w:cs="Arial" w:eastAsia="Arial" w:hAnsi="Arial"/>
                <w:sz w:val="15"/>
                <w:szCs w:val="15"/>
                <w:i w:val="1"/>
                <w:iCs w:val="1"/>
                <w:color w:val="auto"/>
              </w:rPr>
              <w:t>Solaris</w:t>
            </w:r>
          </w:p>
        </w:tc>
        <w:tc>
          <w:tcPr>
            <w:tcW w:w="960" w:type="dxa"/>
            <w:vAlign w:val="bottom"/>
          </w:tcPr>
          <w:p>
            <w:pPr>
              <w:jc w:val="center"/>
              <w:spacing w:after="0" w:line="151" w:lineRule="exact"/>
              <w:rPr>
                <w:sz w:val="20"/>
                <w:szCs w:val="20"/>
                <w:color w:val="auto"/>
              </w:rPr>
            </w:pPr>
            <w:r>
              <w:rPr>
                <w:rFonts w:ascii="Arial" w:cs="Arial" w:eastAsia="Arial" w:hAnsi="Arial"/>
                <w:sz w:val="15"/>
                <w:szCs w:val="15"/>
                <w:color w:val="auto"/>
                <w:w w:val="89"/>
              </w:rPr>
              <w:t>2014</w:t>
            </w:r>
          </w:p>
        </w:tc>
        <w:tc>
          <w:tcPr>
            <w:tcW w:w="300" w:type="dxa"/>
            <w:vAlign w:val="bottom"/>
          </w:tcPr>
          <w:p>
            <w:pPr>
              <w:spacing w:after="0"/>
              <w:rPr>
                <w:sz w:val="13"/>
                <w:szCs w:val="13"/>
                <w:color w:val="auto"/>
              </w:rPr>
            </w:pPr>
          </w:p>
        </w:tc>
        <w:tc>
          <w:tcPr>
            <w:tcW w:w="960" w:type="dxa"/>
            <w:vAlign w:val="bottom"/>
          </w:tcPr>
          <w:p>
            <w:pPr>
              <w:jc w:val="center"/>
              <w:spacing w:after="0" w:line="151" w:lineRule="exact"/>
              <w:rPr>
                <w:sz w:val="20"/>
                <w:szCs w:val="20"/>
                <w:color w:val="auto"/>
              </w:rPr>
            </w:pPr>
            <w:r>
              <w:rPr>
                <w:rFonts w:ascii="Arial" w:cs="Arial" w:eastAsia="Arial" w:hAnsi="Arial"/>
                <w:sz w:val="15"/>
                <w:szCs w:val="15"/>
                <w:color w:val="auto"/>
                <w:w w:val="88"/>
              </w:rPr>
              <w:t>155,000</w:t>
            </w:r>
          </w:p>
        </w:tc>
        <w:tc>
          <w:tcPr>
            <w:tcW w:w="300" w:type="dxa"/>
            <w:vAlign w:val="bottom"/>
          </w:tcPr>
          <w:p>
            <w:pPr>
              <w:spacing w:after="0"/>
              <w:rPr>
                <w:sz w:val="13"/>
                <w:szCs w:val="13"/>
                <w:color w:val="auto"/>
              </w:rPr>
            </w:pPr>
          </w:p>
        </w:tc>
        <w:tc>
          <w:tcPr>
            <w:tcW w:w="1680" w:type="dxa"/>
            <w:vAlign w:val="bottom"/>
            <w:gridSpan w:val="2"/>
          </w:tcPr>
          <w:p>
            <w:pPr>
              <w:jc w:val="center"/>
              <w:ind w:right="280"/>
              <w:spacing w:after="0" w:line="151" w:lineRule="exact"/>
              <w:rPr>
                <w:sz w:val="20"/>
                <w:szCs w:val="20"/>
                <w:color w:val="auto"/>
              </w:rPr>
            </w:pPr>
            <w:r>
              <w:rPr>
                <w:rFonts w:ascii="Arial" w:cs="Arial" w:eastAsia="Arial" w:hAnsi="Arial"/>
                <w:sz w:val="15"/>
                <w:szCs w:val="15"/>
                <w:color w:val="auto"/>
                <w:w w:val="95"/>
              </w:rPr>
              <w:t>Shell</w:t>
            </w:r>
          </w:p>
        </w:tc>
        <w:tc>
          <w:tcPr>
            <w:tcW w:w="1240" w:type="dxa"/>
            <w:vAlign w:val="bottom"/>
            <w:gridSpan w:val="2"/>
          </w:tcPr>
          <w:p>
            <w:pPr>
              <w:jc w:val="center"/>
              <w:ind w:right="260"/>
              <w:spacing w:after="0" w:line="151" w:lineRule="exact"/>
              <w:rPr>
                <w:sz w:val="20"/>
                <w:szCs w:val="20"/>
                <w:color w:val="auto"/>
              </w:rPr>
            </w:pPr>
            <w:r>
              <w:rPr>
                <w:rFonts w:ascii="Arial" w:cs="Arial" w:eastAsia="Arial" w:hAnsi="Arial"/>
                <w:sz w:val="15"/>
                <w:szCs w:val="15"/>
                <w:color w:val="auto"/>
                <w:w w:val="96"/>
              </w:rPr>
              <w:t>TFDE</w:t>
            </w:r>
          </w:p>
        </w:tc>
        <w:tc>
          <w:tcPr>
            <w:tcW w:w="2060" w:type="dxa"/>
            <w:vAlign w:val="bottom"/>
            <w:gridSpan w:val="2"/>
          </w:tcPr>
          <w:p>
            <w:pPr>
              <w:jc w:val="center"/>
              <w:ind w:right="280"/>
              <w:spacing w:after="0" w:line="151" w:lineRule="exact"/>
              <w:rPr>
                <w:sz w:val="20"/>
                <w:szCs w:val="20"/>
                <w:color w:val="auto"/>
              </w:rPr>
            </w:pPr>
            <w:r>
              <w:rPr>
                <w:rFonts w:ascii="Arial" w:cs="Arial" w:eastAsia="Arial" w:hAnsi="Arial"/>
                <w:sz w:val="15"/>
                <w:szCs w:val="15"/>
                <w:color w:val="auto"/>
                <w:w w:val="88"/>
              </w:rPr>
              <w:t>June 2021</w:t>
            </w:r>
          </w:p>
        </w:tc>
        <w:tc>
          <w:tcPr>
            <w:tcW w:w="920" w:type="dxa"/>
            <w:vAlign w:val="bottom"/>
          </w:tcPr>
          <w:p>
            <w:pPr>
              <w:jc w:val="center"/>
              <w:ind w:left="125"/>
              <w:spacing w:after="0" w:line="151" w:lineRule="exact"/>
              <w:rPr>
                <w:sz w:val="20"/>
                <w:szCs w:val="20"/>
                <w:color w:val="auto"/>
              </w:rPr>
            </w:pPr>
            <w:r>
              <w:rPr>
                <w:rFonts w:ascii="Arial" w:cs="Arial" w:eastAsia="Arial" w:hAnsi="Arial"/>
                <w:sz w:val="15"/>
                <w:szCs w:val="15"/>
                <w:color w:val="auto"/>
                <w:w w:val="90"/>
              </w:rPr>
              <w:t>2026–2031</w:t>
            </w:r>
          </w:p>
        </w:tc>
        <w:tc>
          <w:tcPr>
            <w:tcW w:w="4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20" w:type="dxa"/>
            <w:vAlign w:val="bottom"/>
          </w:tcPr>
          <w:p>
            <w:pPr>
              <w:jc w:val="center"/>
              <w:spacing w:after="0"/>
              <w:rPr>
                <w:sz w:val="20"/>
                <w:szCs w:val="20"/>
                <w:color w:val="auto"/>
              </w:rPr>
            </w:pPr>
            <w:r>
              <w:rPr>
                <w:rFonts w:ascii="Arial" w:cs="Arial" w:eastAsia="Arial" w:hAnsi="Arial"/>
                <w:sz w:val="15"/>
                <w:szCs w:val="15"/>
                <w:b w:val="1"/>
                <w:bCs w:val="1"/>
                <w:color w:val="auto"/>
                <w:w w:val="95"/>
              </w:rPr>
              <w:t>12</w:t>
            </w:r>
          </w:p>
        </w:tc>
        <w:tc>
          <w:tcPr>
            <w:tcW w:w="2740" w:type="dxa"/>
            <w:vAlign w:val="bottom"/>
            <w:gridSpan w:val="2"/>
          </w:tcPr>
          <w:p>
            <w:pPr>
              <w:ind w:left="40"/>
              <w:spacing w:after="0"/>
              <w:rPr>
                <w:sz w:val="20"/>
                <w:szCs w:val="20"/>
                <w:color w:val="auto"/>
              </w:rPr>
            </w:pPr>
            <w:r>
              <w:rPr>
                <w:rFonts w:ascii="Arial" w:cs="Arial" w:eastAsia="Arial" w:hAnsi="Arial"/>
                <w:sz w:val="15"/>
                <w:szCs w:val="15"/>
                <w:i w:val="1"/>
                <w:iCs w:val="1"/>
                <w:color w:val="auto"/>
              </w:rPr>
              <w:t>GasLog Greece</w:t>
            </w:r>
          </w:p>
        </w:tc>
        <w:tc>
          <w:tcPr>
            <w:tcW w:w="960" w:type="dxa"/>
            <w:vAlign w:val="bottom"/>
          </w:tcPr>
          <w:p>
            <w:pPr>
              <w:jc w:val="center"/>
              <w:spacing w:after="0"/>
              <w:rPr>
                <w:sz w:val="20"/>
                <w:szCs w:val="20"/>
                <w:color w:val="auto"/>
              </w:rPr>
            </w:pPr>
            <w:r>
              <w:rPr>
                <w:rFonts w:ascii="Arial" w:cs="Arial" w:eastAsia="Arial" w:hAnsi="Arial"/>
                <w:sz w:val="15"/>
                <w:szCs w:val="15"/>
                <w:color w:val="auto"/>
                <w:w w:val="89"/>
              </w:rPr>
              <w:t>2016</w:t>
            </w:r>
          </w:p>
        </w:tc>
        <w:tc>
          <w:tcPr>
            <w:tcW w:w="3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5"/>
                <w:szCs w:val="15"/>
                <w:color w:val="auto"/>
                <w:w w:val="88"/>
              </w:rPr>
              <w:t>174,000</w:t>
            </w:r>
          </w:p>
        </w:tc>
        <w:tc>
          <w:tcPr>
            <w:tcW w:w="30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5"/>
                <w:szCs w:val="15"/>
                <w:color w:val="auto"/>
                <w:w w:val="95"/>
              </w:rPr>
              <w:t>Shell</w:t>
            </w:r>
          </w:p>
        </w:tc>
        <w:tc>
          <w:tcPr>
            <w:tcW w:w="1240" w:type="dxa"/>
            <w:vAlign w:val="bottom"/>
            <w:gridSpan w:val="2"/>
          </w:tcPr>
          <w:p>
            <w:pPr>
              <w:jc w:val="center"/>
              <w:ind w:right="260"/>
              <w:spacing w:after="0"/>
              <w:rPr>
                <w:sz w:val="20"/>
                <w:szCs w:val="20"/>
                <w:color w:val="auto"/>
              </w:rPr>
            </w:pPr>
            <w:r>
              <w:rPr>
                <w:rFonts w:ascii="Arial" w:cs="Arial" w:eastAsia="Arial" w:hAnsi="Arial"/>
                <w:sz w:val="15"/>
                <w:szCs w:val="15"/>
                <w:color w:val="auto"/>
                <w:w w:val="96"/>
              </w:rPr>
              <w:t>TFDE</w:t>
            </w:r>
          </w:p>
        </w:tc>
        <w:tc>
          <w:tcPr>
            <w:tcW w:w="2060" w:type="dxa"/>
            <w:vAlign w:val="bottom"/>
            <w:gridSpan w:val="2"/>
          </w:tcPr>
          <w:p>
            <w:pPr>
              <w:jc w:val="center"/>
              <w:ind w:right="280"/>
              <w:spacing w:after="0"/>
              <w:rPr>
                <w:sz w:val="20"/>
                <w:szCs w:val="20"/>
                <w:color w:val="auto"/>
              </w:rPr>
            </w:pPr>
            <w:r>
              <w:rPr>
                <w:rFonts w:ascii="Arial" w:cs="Arial" w:eastAsia="Arial" w:hAnsi="Arial"/>
                <w:sz w:val="15"/>
                <w:szCs w:val="15"/>
                <w:color w:val="auto"/>
                <w:w w:val="93"/>
              </w:rPr>
              <w:t>March 2026</w:t>
            </w:r>
          </w:p>
        </w:tc>
        <w:tc>
          <w:tcPr>
            <w:tcW w:w="920" w:type="dxa"/>
            <w:vAlign w:val="bottom"/>
          </w:tcPr>
          <w:p>
            <w:pPr>
              <w:jc w:val="center"/>
              <w:ind w:left="325"/>
              <w:spacing w:after="0" w:line="186" w:lineRule="exact"/>
              <w:rPr>
                <w:sz w:val="20"/>
                <w:szCs w:val="20"/>
                <w:color w:val="auto"/>
              </w:rPr>
            </w:pPr>
            <w:r>
              <w:rPr>
                <w:rFonts w:ascii="Arial" w:cs="Arial" w:eastAsia="Arial" w:hAnsi="Arial"/>
                <w:sz w:val="14"/>
                <w:szCs w:val="14"/>
                <w:color w:val="auto"/>
                <w:w w:val="91"/>
              </w:rPr>
              <w:t xml:space="preserve">2031 </w:t>
            </w:r>
            <w:r>
              <w:rPr>
                <w:rFonts w:ascii="Arial" w:cs="Arial" w:eastAsia="Arial" w:hAnsi="Arial"/>
                <w:sz w:val="21"/>
                <w:szCs w:val="21"/>
                <w:color w:val="auto"/>
                <w:w w:val="91"/>
                <w:vertAlign w:val="superscript"/>
              </w:rPr>
              <w:t>(9)</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20" w:type="dxa"/>
            <w:vAlign w:val="bottom"/>
            <w:shd w:val="clear" w:color="auto" w:fill="CCEEFF"/>
          </w:tcPr>
          <w:p>
            <w:pPr>
              <w:jc w:val="center"/>
              <w:spacing w:after="0" w:line="157" w:lineRule="exact"/>
              <w:rPr>
                <w:sz w:val="20"/>
                <w:szCs w:val="20"/>
                <w:color w:val="auto"/>
              </w:rPr>
            </w:pPr>
            <w:r>
              <w:rPr>
                <w:rFonts w:ascii="Arial" w:cs="Arial" w:eastAsia="Arial" w:hAnsi="Arial"/>
                <w:sz w:val="15"/>
                <w:szCs w:val="15"/>
                <w:b w:val="1"/>
                <w:bCs w:val="1"/>
                <w:color w:val="auto"/>
                <w:w w:val="95"/>
              </w:rPr>
              <w:t>13</w:t>
            </w:r>
          </w:p>
        </w:tc>
        <w:tc>
          <w:tcPr>
            <w:tcW w:w="274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5"/>
                <w:szCs w:val="15"/>
                <w:i w:val="1"/>
                <w:iCs w:val="1"/>
                <w:color w:val="auto"/>
              </w:rPr>
              <w:t>GasLog Geneva</w:t>
            </w:r>
          </w:p>
        </w:tc>
        <w:tc>
          <w:tcPr>
            <w:tcW w:w="960" w:type="dxa"/>
            <w:vAlign w:val="bottom"/>
            <w:shd w:val="clear" w:color="auto" w:fill="CCEEFF"/>
          </w:tcPr>
          <w:p>
            <w:pPr>
              <w:jc w:val="center"/>
              <w:spacing w:after="0" w:line="157" w:lineRule="exact"/>
              <w:rPr>
                <w:sz w:val="20"/>
                <w:szCs w:val="20"/>
                <w:color w:val="auto"/>
              </w:rPr>
            </w:pPr>
            <w:r>
              <w:rPr>
                <w:rFonts w:ascii="Arial" w:cs="Arial" w:eastAsia="Arial" w:hAnsi="Arial"/>
                <w:sz w:val="15"/>
                <w:szCs w:val="15"/>
                <w:color w:val="auto"/>
                <w:w w:val="89"/>
              </w:rPr>
              <w:t>2016</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line="157" w:lineRule="exact"/>
              <w:rPr>
                <w:sz w:val="20"/>
                <w:szCs w:val="20"/>
                <w:color w:val="auto"/>
              </w:rPr>
            </w:pPr>
            <w:r>
              <w:rPr>
                <w:rFonts w:ascii="Arial" w:cs="Arial" w:eastAsia="Arial" w:hAnsi="Arial"/>
                <w:sz w:val="15"/>
                <w:szCs w:val="15"/>
                <w:color w:val="auto"/>
                <w:w w:val="88"/>
              </w:rPr>
              <w:t>174,000</w:t>
            </w:r>
          </w:p>
        </w:tc>
        <w:tc>
          <w:tcPr>
            <w:tcW w:w="3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center"/>
              <w:ind w:right="280"/>
              <w:spacing w:after="0" w:line="157" w:lineRule="exact"/>
              <w:rPr>
                <w:sz w:val="20"/>
                <w:szCs w:val="20"/>
                <w:color w:val="auto"/>
              </w:rPr>
            </w:pPr>
            <w:r>
              <w:rPr>
                <w:rFonts w:ascii="Arial" w:cs="Arial" w:eastAsia="Arial" w:hAnsi="Arial"/>
                <w:sz w:val="15"/>
                <w:szCs w:val="15"/>
                <w:color w:val="auto"/>
                <w:w w:val="95"/>
              </w:rPr>
              <w:t>Shell</w:t>
            </w:r>
          </w:p>
        </w:tc>
        <w:tc>
          <w:tcPr>
            <w:tcW w:w="1240" w:type="dxa"/>
            <w:vAlign w:val="bottom"/>
            <w:gridSpan w:val="2"/>
            <w:shd w:val="clear" w:color="auto" w:fill="CCEEFF"/>
          </w:tcPr>
          <w:p>
            <w:pPr>
              <w:jc w:val="center"/>
              <w:ind w:right="260"/>
              <w:spacing w:after="0" w:line="157" w:lineRule="exact"/>
              <w:rPr>
                <w:sz w:val="20"/>
                <w:szCs w:val="20"/>
                <w:color w:val="auto"/>
              </w:rPr>
            </w:pPr>
            <w:r>
              <w:rPr>
                <w:rFonts w:ascii="Arial" w:cs="Arial" w:eastAsia="Arial" w:hAnsi="Arial"/>
                <w:sz w:val="15"/>
                <w:szCs w:val="15"/>
                <w:color w:val="auto"/>
                <w:w w:val="96"/>
              </w:rPr>
              <w:t>TFDE</w:t>
            </w:r>
          </w:p>
        </w:tc>
        <w:tc>
          <w:tcPr>
            <w:tcW w:w="2060" w:type="dxa"/>
            <w:vAlign w:val="bottom"/>
            <w:gridSpan w:val="2"/>
            <w:shd w:val="clear" w:color="auto" w:fill="CCEEFF"/>
          </w:tcPr>
          <w:p>
            <w:pPr>
              <w:jc w:val="center"/>
              <w:ind w:right="280"/>
              <w:spacing w:after="0" w:line="157" w:lineRule="exact"/>
              <w:rPr>
                <w:sz w:val="20"/>
                <w:szCs w:val="20"/>
                <w:color w:val="auto"/>
              </w:rPr>
            </w:pPr>
            <w:r>
              <w:rPr>
                <w:rFonts w:ascii="Arial" w:cs="Arial" w:eastAsia="Arial" w:hAnsi="Arial"/>
                <w:sz w:val="15"/>
                <w:szCs w:val="15"/>
                <w:color w:val="auto"/>
                <w:w w:val="88"/>
              </w:rPr>
              <w:t>September 2023</w:t>
            </w:r>
          </w:p>
        </w:tc>
        <w:tc>
          <w:tcPr>
            <w:tcW w:w="1440" w:type="dxa"/>
            <w:vAlign w:val="bottom"/>
            <w:gridSpan w:val="3"/>
            <w:shd w:val="clear" w:color="auto" w:fill="CCEEFF"/>
          </w:tcPr>
          <w:p>
            <w:pPr>
              <w:jc w:val="center"/>
              <w:ind w:right="120"/>
              <w:spacing w:after="0" w:line="157" w:lineRule="exact"/>
              <w:rPr>
                <w:sz w:val="20"/>
                <w:szCs w:val="20"/>
                <w:color w:val="auto"/>
              </w:rPr>
            </w:pPr>
            <w:r>
              <w:rPr>
                <w:rFonts w:ascii="Arial" w:cs="Arial" w:eastAsia="Arial" w:hAnsi="Arial"/>
                <w:sz w:val="15"/>
                <w:szCs w:val="15"/>
                <w:color w:val="auto"/>
                <w:w w:val="87"/>
              </w:rPr>
              <w:t xml:space="preserve">2028–2031 </w:t>
            </w:r>
            <w:r>
              <w:rPr>
                <w:rFonts w:ascii="Arial" w:cs="Arial" w:eastAsia="Arial" w:hAnsi="Arial"/>
                <w:sz w:val="18"/>
                <w:szCs w:val="18"/>
                <w:color w:val="auto"/>
                <w:w w:val="87"/>
                <w:vertAlign w:val="superscript"/>
              </w:rPr>
              <w:t>(10)</w:t>
            </w:r>
          </w:p>
        </w:tc>
        <w:tc>
          <w:tcPr>
            <w:tcW w:w="0" w:type="dxa"/>
            <w:vAlign w:val="bottom"/>
          </w:tcPr>
          <w:p>
            <w:pPr>
              <w:spacing w:after="0"/>
              <w:rPr>
                <w:sz w:val="1"/>
                <w:szCs w:val="1"/>
                <w:color w:val="auto"/>
              </w:rPr>
            </w:pPr>
          </w:p>
        </w:tc>
      </w:tr>
      <w:tr>
        <w:trPr>
          <w:trHeight w:val="248"/>
        </w:trPr>
        <w:tc>
          <w:tcPr>
            <w:tcW w:w="320" w:type="dxa"/>
            <w:vAlign w:val="bottom"/>
          </w:tcPr>
          <w:p>
            <w:pPr>
              <w:jc w:val="center"/>
              <w:spacing w:after="0"/>
              <w:rPr>
                <w:sz w:val="20"/>
                <w:szCs w:val="20"/>
                <w:color w:val="auto"/>
              </w:rPr>
            </w:pPr>
            <w:r>
              <w:rPr>
                <w:rFonts w:ascii="Arial" w:cs="Arial" w:eastAsia="Arial" w:hAnsi="Arial"/>
                <w:sz w:val="15"/>
                <w:szCs w:val="15"/>
                <w:b w:val="1"/>
                <w:bCs w:val="1"/>
                <w:color w:val="auto"/>
                <w:w w:val="95"/>
              </w:rPr>
              <w:t>14</w:t>
            </w:r>
          </w:p>
        </w:tc>
        <w:tc>
          <w:tcPr>
            <w:tcW w:w="2740" w:type="dxa"/>
            <w:vAlign w:val="bottom"/>
            <w:gridSpan w:val="2"/>
          </w:tcPr>
          <w:p>
            <w:pPr>
              <w:ind w:left="40"/>
              <w:spacing w:after="0"/>
              <w:rPr>
                <w:sz w:val="20"/>
                <w:szCs w:val="20"/>
                <w:color w:val="auto"/>
              </w:rPr>
            </w:pPr>
            <w:r>
              <w:rPr>
                <w:rFonts w:ascii="Arial" w:cs="Arial" w:eastAsia="Arial" w:hAnsi="Arial"/>
                <w:sz w:val="15"/>
                <w:szCs w:val="15"/>
                <w:i w:val="1"/>
                <w:iCs w:val="1"/>
                <w:color w:val="auto"/>
              </w:rPr>
              <w:t>GasLog Gibraltar</w:t>
            </w:r>
          </w:p>
        </w:tc>
        <w:tc>
          <w:tcPr>
            <w:tcW w:w="960" w:type="dxa"/>
            <w:vAlign w:val="bottom"/>
          </w:tcPr>
          <w:p>
            <w:pPr>
              <w:jc w:val="center"/>
              <w:spacing w:after="0"/>
              <w:rPr>
                <w:sz w:val="20"/>
                <w:szCs w:val="20"/>
                <w:color w:val="auto"/>
              </w:rPr>
            </w:pPr>
            <w:r>
              <w:rPr>
                <w:rFonts w:ascii="Arial" w:cs="Arial" w:eastAsia="Arial" w:hAnsi="Arial"/>
                <w:sz w:val="15"/>
                <w:szCs w:val="15"/>
                <w:color w:val="auto"/>
                <w:w w:val="89"/>
              </w:rPr>
              <w:t>2016</w:t>
            </w:r>
          </w:p>
        </w:tc>
        <w:tc>
          <w:tcPr>
            <w:tcW w:w="3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5"/>
                <w:szCs w:val="15"/>
                <w:color w:val="auto"/>
                <w:w w:val="88"/>
              </w:rPr>
              <w:t>174,000</w:t>
            </w:r>
          </w:p>
        </w:tc>
        <w:tc>
          <w:tcPr>
            <w:tcW w:w="300" w:type="dxa"/>
            <w:vAlign w:val="bottom"/>
          </w:tcPr>
          <w:p>
            <w:pPr>
              <w:spacing w:after="0"/>
              <w:rPr>
                <w:sz w:val="21"/>
                <w:szCs w:val="21"/>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5"/>
                <w:szCs w:val="15"/>
                <w:color w:val="auto"/>
                <w:w w:val="95"/>
              </w:rPr>
              <w:t>Shell</w:t>
            </w:r>
          </w:p>
        </w:tc>
        <w:tc>
          <w:tcPr>
            <w:tcW w:w="1240" w:type="dxa"/>
            <w:vAlign w:val="bottom"/>
            <w:gridSpan w:val="2"/>
          </w:tcPr>
          <w:p>
            <w:pPr>
              <w:jc w:val="center"/>
              <w:ind w:right="260"/>
              <w:spacing w:after="0"/>
              <w:rPr>
                <w:sz w:val="20"/>
                <w:szCs w:val="20"/>
                <w:color w:val="auto"/>
              </w:rPr>
            </w:pPr>
            <w:r>
              <w:rPr>
                <w:rFonts w:ascii="Arial" w:cs="Arial" w:eastAsia="Arial" w:hAnsi="Arial"/>
                <w:sz w:val="15"/>
                <w:szCs w:val="15"/>
                <w:color w:val="auto"/>
                <w:w w:val="96"/>
              </w:rPr>
              <w:t>TFDE</w:t>
            </w:r>
          </w:p>
        </w:tc>
        <w:tc>
          <w:tcPr>
            <w:tcW w:w="2060" w:type="dxa"/>
            <w:vAlign w:val="bottom"/>
            <w:gridSpan w:val="2"/>
          </w:tcPr>
          <w:p>
            <w:pPr>
              <w:jc w:val="center"/>
              <w:ind w:right="280"/>
              <w:spacing w:after="0"/>
              <w:rPr>
                <w:sz w:val="20"/>
                <w:szCs w:val="20"/>
                <w:color w:val="auto"/>
              </w:rPr>
            </w:pPr>
            <w:r>
              <w:rPr>
                <w:rFonts w:ascii="Arial" w:cs="Arial" w:eastAsia="Arial" w:hAnsi="Arial"/>
                <w:sz w:val="15"/>
                <w:szCs w:val="15"/>
                <w:color w:val="auto"/>
                <w:w w:val="90"/>
              </w:rPr>
              <w:t>October 2023</w:t>
            </w:r>
          </w:p>
        </w:tc>
        <w:tc>
          <w:tcPr>
            <w:tcW w:w="1440" w:type="dxa"/>
            <w:vAlign w:val="bottom"/>
            <w:gridSpan w:val="3"/>
          </w:tcPr>
          <w:p>
            <w:pPr>
              <w:jc w:val="center"/>
              <w:ind w:right="120"/>
              <w:spacing w:after="0"/>
              <w:rPr>
                <w:sz w:val="20"/>
                <w:szCs w:val="20"/>
                <w:color w:val="auto"/>
              </w:rPr>
            </w:pPr>
            <w:r>
              <w:rPr>
                <w:rFonts w:ascii="Arial" w:cs="Arial" w:eastAsia="Arial" w:hAnsi="Arial"/>
                <w:sz w:val="15"/>
                <w:szCs w:val="15"/>
                <w:color w:val="auto"/>
                <w:w w:val="87"/>
              </w:rPr>
              <w:t xml:space="preserve">2028–2031 </w:t>
            </w:r>
            <w:r>
              <w:rPr>
                <w:rFonts w:ascii="Arial" w:cs="Arial" w:eastAsia="Arial" w:hAnsi="Arial"/>
                <w:sz w:val="18"/>
                <w:szCs w:val="18"/>
                <w:color w:val="auto"/>
                <w:w w:val="87"/>
                <w:vertAlign w:val="superscript"/>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-1659890</wp:posOffset>
            </wp:positionV>
            <wp:extent cx="7625080" cy="108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25080" cy="1085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-1451610</wp:posOffset>
            </wp:positionV>
            <wp:extent cx="7625080" cy="2990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25080" cy="2990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-1052830</wp:posOffset>
            </wp:positionV>
            <wp:extent cx="7625080" cy="996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25080" cy="996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-854075</wp:posOffset>
            </wp:positionV>
            <wp:extent cx="7625080" cy="996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25080" cy="996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-654685</wp:posOffset>
            </wp:positionV>
            <wp:extent cx="7625080" cy="996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25080" cy="996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-455295</wp:posOffset>
            </wp:positionV>
            <wp:extent cx="7625080" cy="996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25080" cy="996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160020</wp:posOffset>
            </wp:positionV>
            <wp:extent cx="19291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341" w:lineRule="exact"/>
        <w:rPr>
          <w:sz w:val="20"/>
          <w:szCs w:val="20"/>
          <w:color w:val="auto"/>
        </w:rPr>
      </w:pPr>
    </w:p>
    <w:p>
      <w:pPr>
        <w:ind w:left="346" w:right="240" w:hanging="346"/>
        <w:spacing w:after="0" w:line="213" w:lineRule="auto"/>
        <w:tabs>
          <w:tab w:leader="none" w:pos="342"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 xml:space="preserve">GasLog Partners has secured a one-year charter for either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or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(as nominated by the Partnership) commencing in either November or December 2019 at the Partnership’s option.</w:t>
      </w:r>
    </w:p>
    <w:p>
      <w:pPr>
        <w:spacing w:after="0" w:line="123" w:lineRule="exact"/>
        <w:rPr>
          <w:rFonts w:ascii="Arial" w:cs="Arial" w:eastAsia="Arial" w:hAnsi="Arial"/>
          <w:sz w:val="19"/>
          <w:szCs w:val="19"/>
          <w:color w:val="auto"/>
          <w:vertAlign w:val="superscript"/>
        </w:rPr>
      </w:pPr>
    </w:p>
    <w:p>
      <w:pPr>
        <w:ind w:left="346" w:right="60" w:hanging="346"/>
        <w:spacing w:after="0" w:line="213" w:lineRule="auto"/>
        <w:tabs>
          <w:tab w:leader="none" w:pos="342"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Charterer may extend the term of this time charter for a period ranging from one to four years, provided that the charterer gives us advance notice of declaration. The period shown reflects the expiration of the minimum optional period and the maximum optional period.</w:t>
      </w:r>
    </w:p>
    <w:p>
      <w:pPr>
        <w:spacing w:after="0" w:line="123" w:lineRule="exact"/>
        <w:rPr>
          <w:rFonts w:ascii="Arial" w:cs="Arial" w:eastAsia="Arial" w:hAnsi="Arial"/>
          <w:sz w:val="19"/>
          <w:szCs w:val="19"/>
          <w:color w:val="auto"/>
          <w:vertAlign w:val="superscript"/>
        </w:rPr>
      </w:pPr>
    </w:p>
    <w:p>
      <w:pPr>
        <w:ind w:left="346" w:right="180" w:hanging="346"/>
        <w:spacing w:after="0" w:line="213" w:lineRule="auto"/>
        <w:tabs>
          <w:tab w:leader="none" w:pos="342"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Charterer may extend the term of the related charters for one extension period of three or five years, and each charter requires that the charterer gives us advance notice of its exercise of any extension option. The period shown reflects the expiration of the minimum optional period and the maximum optional period.</w:t>
      </w:r>
    </w:p>
    <w:p>
      <w:pPr>
        <w:spacing w:after="0" w:line="96" w:lineRule="exact"/>
        <w:rPr>
          <w:rFonts w:ascii="Arial" w:cs="Arial" w:eastAsia="Arial" w:hAnsi="Arial"/>
          <w:sz w:val="19"/>
          <w:szCs w:val="19"/>
          <w:color w:val="auto"/>
          <w:vertAlign w:val="superscript"/>
        </w:rPr>
      </w:pPr>
    </w:p>
    <w:p>
      <w:pPr>
        <w:ind w:left="346" w:hanging="346"/>
        <w:spacing w:after="0"/>
        <w:tabs>
          <w:tab w:leader="none" w:pos="346"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The vessel is currently operating in the spot market under the Cool Pool.</w:t>
      </w:r>
    </w:p>
    <w:p>
      <w:pPr>
        <w:spacing w:after="0" w:line="122" w:lineRule="exact"/>
        <w:rPr>
          <w:rFonts w:ascii="Arial" w:cs="Arial" w:eastAsia="Arial" w:hAnsi="Arial"/>
          <w:sz w:val="19"/>
          <w:szCs w:val="19"/>
          <w:color w:val="auto"/>
          <w:vertAlign w:val="superscript"/>
        </w:rPr>
      </w:pPr>
    </w:p>
    <w:p>
      <w:pPr>
        <w:ind w:left="346" w:right="180" w:hanging="346"/>
        <w:spacing w:after="0" w:line="213" w:lineRule="auto"/>
        <w:tabs>
          <w:tab w:leader="none" w:pos="342"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Charterer may extend the term of this time charter for a period ranging from one to seven years, provided that the charterer gives us advance notice of declaration. The period shown reflects the expiration of the minimum optional period and the maximum optional period.</w:t>
      </w:r>
    </w:p>
    <w:p>
      <w:pPr>
        <w:spacing w:after="0" w:line="96" w:lineRule="exact"/>
        <w:rPr>
          <w:rFonts w:ascii="Arial" w:cs="Arial" w:eastAsia="Arial" w:hAnsi="Arial"/>
          <w:sz w:val="19"/>
          <w:szCs w:val="19"/>
          <w:color w:val="auto"/>
          <w:vertAlign w:val="superscript"/>
        </w:rPr>
      </w:pPr>
    </w:p>
    <w:p>
      <w:pPr>
        <w:ind w:left="346" w:hanging="346"/>
        <w:spacing w:after="0"/>
        <w:tabs>
          <w:tab w:leader="none" w:pos="346"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The vessel began an 18-month charter with Cheniere in December 2018.</w:t>
      </w:r>
    </w:p>
    <w:p>
      <w:pPr>
        <w:spacing w:after="0" w:line="122" w:lineRule="exact"/>
        <w:rPr>
          <w:rFonts w:ascii="Arial" w:cs="Arial" w:eastAsia="Arial" w:hAnsi="Arial"/>
          <w:sz w:val="19"/>
          <w:szCs w:val="19"/>
          <w:color w:val="auto"/>
          <w:vertAlign w:val="superscript"/>
        </w:rPr>
      </w:pPr>
    </w:p>
    <w:p>
      <w:pPr>
        <w:ind w:left="346" w:right="40" w:hanging="346"/>
        <w:spacing w:after="0" w:line="213" w:lineRule="auto"/>
        <w:tabs>
          <w:tab w:leader="none" w:pos="342"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Charterer may extend the term of this time charter for a period ranging from six to twelve months, provided that the charterer gives us advance notice of declaration. The period shown reflects the expiration of the minimum optional period and the maximum optional period.</w:t>
      </w:r>
    </w:p>
    <w:p>
      <w:pPr>
        <w:spacing w:after="0" w:line="123" w:lineRule="exact"/>
        <w:rPr>
          <w:rFonts w:ascii="Arial" w:cs="Arial" w:eastAsia="Arial" w:hAnsi="Arial"/>
          <w:sz w:val="19"/>
          <w:szCs w:val="19"/>
          <w:color w:val="auto"/>
          <w:vertAlign w:val="superscript"/>
        </w:rPr>
      </w:pPr>
    </w:p>
    <w:p>
      <w:pPr>
        <w:ind w:left="346" w:right="200" w:hanging="346"/>
        <w:spacing w:after="0" w:line="213" w:lineRule="auto"/>
        <w:tabs>
          <w:tab w:leader="none" w:pos="342"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Charterer may extend the term of this time charter for a period ranging from five to ten years, provided that the charterer gives us advance notice of its exercise of any extension option. The period shown reflects the expiration of the minimum optional period and the maximum optional period.</w:t>
      </w:r>
    </w:p>
    <w:p>
      <w:pPr>
        <w:spacing w:after="0" w:line="96" w:lineRule="exact"/>
        <w:rPr>
          <w:rFonts w:ascii="Arial" w:cs="Arial" w:eastAsia="Arial" w:hAnsi="Arial"/>
          <w:sz w:val="19"/>
          <w:szCs w:val="19"/>
          <w:color w:val="auto"/>
          <w:vertAlign w:val="superscript"/>
        </w:rPr>
      </w:pPr>
    </w:p>
    <w:p>
      <w:pPr>
        <w:ind w:left="346" w:hanging="346"/>
        <w:spacing w:after="0"/>
        <w:tabs>
          <w:tab w:leader="none" w:pos="346"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Charterer may extend the term of the time charter for a period of five years, provided that the charterer gives us advance notice of declaration.</w:t>
      </w:r>
    </w:p>
    <w:p>
      <w:pPr>
        <w:spacing w:after="0" w:line="122" w:lineRule="exact"/>
        <w:rPr>
          <w:rFonts w:ascii="Arial" w:cs="Arial" w:eastAsia="Arial" w:hAnsi="Arial"/>
          <w:sz w:val="19"/>
          <w:szCs w:val="19"/>
          <w:color w:val="auto"/>
          <w:vertAlign w:val="superscript"/>
        </w:rPr>
      </w:pPr>
    </w:p>
    <w:p>
      <w:pPr>
        <w:ind w:left="346" w:right="40" w:hanging="346"/>
        <w:spacing w:after="0" w:line="213" w:lineRule="auto"/>
        <w:tabs>
          <w:tab w:leader="none" w:pos="333"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9"/>
          <w:szCs w:val="19"/>
          <w:b w:val="1"/>
          <w:bCs w:val="1"/>
          <w:u w:val="single" w:color="auto"/>
          <w:color w:val="auto"/>
        </w:rPr>
        <w:t>LNG Market Update and Outlook</w:t>
      </w:r>
    </w:p>
    <w:p>
      <w:pPr>
        <w:spacing w:after="0" w:line="244" w:lineRule="exact"/>
        <w:rPr>
          <w:sz w:val="20"/>
          <w:szCs w:val="20"/>
          <w:color w:val="auto"/>
        </w:rPr>
      </w:pPr>
    </w:p>
    <w:p>
      <w:pPr>
        <w:ind w:left="6" w:right="120"/>
        <w:spacing w:after="0" w:line="291" w:lineRule="auto"/>
        <w:rPr>
          <w:sz w:val="20"/>
          <w:szCs w:val="20"/>
          <w:color w:val="auto"/>
        </w:rPr>
      </w:pPr>
      <w:r>
        <w:rPr>
          <w:rFonts w:ascii="Arial" w:cs="Arial" w:eastAsia="Arial" w:hAnsi="Arial"/>
          <w:sz w:val="17"/>
          <w:szCs w:val="17"/>
          <w:color w:val="auto"/>
        </w:rPr>
        <w:t>LNG demand, as estimated by Wood Mackenzie, is expected to have increased by 9%, from 288 million tonnes per annum (“mtpa”) in 2017 to 313 mtpa in 2018. According to China’s General Administration of Customs, China’s LNG imports increased by approximately 16 mtpa, or 41% to 54 mtpa in 2018, driven mainly by continued coal-to-gas switching in the industrial, commercial and residential sectors. South Korea, Pakistan, Thailand and Mexico also experienced strong growth in LNG imports during 2018. The outlook remains robust, with Wood Mackenzie forecasting compound annual growth in global LNG demand of 6% between 2018 and 2025. This growth is expected to be broad-based, with Wood Mackenzie forecasting that South East Asia (excluding India) and Europe will account for approximately 70% of the 148 mtpa net increase in demand between 2018 and 2025.</w:t>
      </w:r>
    </w:p>
    <w:p>
      <w:pPr>
        <w:spacing w:after="0" w:line="175" w:lineRule="exact"/>
        <w:rPr>
          <w:sz w:val="20"/>
          <w:szCs w:val="20"/>
          <w:color w:val="auto"/>
        </w:rPr>
      </w:pPr>
    </w:p>
    <w:p>
      <w:pPr>
        <w:ind w:left="6"/>
        <w:spacing w:after="0"/>
        <w:rPr>
          <w:sz w:val="20"/>
          <w:szCs w:val="20"/>
          <w:color w:val="auto"/>
        </w:rPr>
      </w:pPr>
      <w:r>
        <w:rPr>
          <w:rFonts w:ascii="Arial" w:cs="Arial" w:eastAsia="Arial" w:hAnsi="Arial"/>
          <w:sz w:val="18"/>
          <w:szCs w:val="18"/>
          <w:color w:val="auto"/>
        </w:rPr>
        <w:t>According to Wood Mackenzie, global LNG supply in 2018 totaled 326 million tonnes (“mt”), or a 9% increase on 2017. Several new LNG supply</w:t>
      </w:r>
    </w:p>
    <w:p>
      <w:pPr>
        <w:spacing w:after="0" w:line="249"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13" w:right="120" w:bottom="1440" w:gutter="0" w:footer="0" w:header="0"/>
        </w:sectPr>
      </w:pPr>
    </w:p>
    <w:bookmarkStart w:id="8" w:name="page9"/>
    <w:bookmarkEnd w:id="8"/>
    <w:p>
      <w:pPr>
        <w:ind w:left="6" w:right="200"/>
        <w:spacing w:after="0" w:line="277" w:lineRule="auto"/>
        <w:rPr>
          <w:sz w:val="20"/>
          <w:szCs w:val="20"/>
          <w:color w:val="auto"/>
        </w:rPr>
      </w:pPr>
      <w:r>
        <w:rPr>
          <w:rFonts w:ascii="Arial" w:cs="Arial" w:eastAsia="Arial" w:hAnsi="Arial"/>
          <w:sz w:val="18"/>
          <w:szCs w:val="18"/>
          <w:color w:val="auto"/>
        </w:rPr>
        <w:t>projects and the ramp-up of existing facilities contributed to the increase in LNG production in 2018. During the year, new production started in the United States (Cove Point, Corpus Christi Train 1 and Sabine Pass Train 5), Australia (Wheatstone Train 2, Ichthys), Russia (Yamal Trains 2 &amp; 3) and Cameroon Floating LNG. Supply from existing liquefaction facilities in Egypt, Trinidad and Tobago and Oman also increased following successful efforts to raise domestic gas production. Downtime at existing facilities in Malaysia and Russia partially offset these gains.</w:t>
      </w:r>
    </w:p>
    <w:p>
      <w:pPr>
        <w:spacing w:after="0" w:line="185" w:lineRule="exact"/>
        <w:rPr>
          <w:sz w:val="20"/>
          <w:szCs w:val="20"/>
          <w:color w:val="auto"/>
        </w:rPr>
      </w:pPr>
    </w:p>
    <w:p>
      <w:pPr>
        <w:ind w:left="6" w:right="140"/>
        <w:spacing w:after="0" w:line="259" w:lineRule="auto"/>
        <w:rPr>
          <w:sz w:val="20"/>
          <w:szCs w:val="20"/>
          <w:color w:val="auto"/>
        </w:rPr>
      </w:pPr>
      <w:r>
        <w:rPr>
          <w:rFonts w:ascii="Arial" w:cs="Arial" w:eastAsia="Arial" w:hAnsi="Arial"/>
          <w:sz w:val="19"/>
          <w:szCs w:val="19"/>
          <w:color w:val="auto"/>
        </w:rPr>
        <w:t>Based on Wood Mackenzie’s current forecasts, 2019 is anticipated to be the strongest year ever for supply growth in the LNG market, with supply expected to increase by 40 mtpa to 366 mtpa, a 12% increase on 2018. This includes new LNG production from Elba Island, Cameron, Freeport and Corpus Christi Train 2 in the United States, the Prelude floating LNG project offshore Australia, further increases in Russia’s output and the continued ramp-up of projects which were brought onstream in 2018.</w:t>
      </w:r>
    </w:p>
    <w:p>
      <w:pPr>
        <w:spacing w:after="0" w:line="198" w:lineRule="exact"/>
        <w:rPr>
          <w:sz w:val="20"/>
          <w:szCs w:val="20"/>
          <w:color w:val="auto"/>
        </w:rPr>
      </w:pPr>
    </w:p>
    <w:p>
      <w:pPr>
        <w:ind w:left="6" w:right="80"/>
        <w:spacing w:after="0" w:line="255" w:lineRule="auto"/>
        <w:rPr>
          <w:sz w:val="20"/>
          <w:szCs w:val="20"/>
          <w:color w:val="auto"/>
        </w:rPr>
      </w:pPr>
      <w:r>
        <w:rPr>
          <w:rFonts w:ascii="Arial" w:cs="Arial" w:eastAsia="Arial" w:hAnsi="Arial"/>
          <w:sz w:val="19"/>
          <w:szCs w:val="19"/>
          <w:color w:val="auto"/>
        </w:rPr>
        <w:t>During 2018, three new LNG liquefaction projects reached Final Investment Decision (“FID”), underpinning further LNG supply growth during the next decade. LNG Canada (14 mtpa) in western Canada, Corpus Christi Train 3 (4.5 mtpa) in the United States and the Greater Tortue Ahmeyim project offshore Mauritania and Senegal (2.5 mtpa) were all approved during the year. According to Wood Mackenzie, proposed projects in the United States with a combined capacity of approximately 35 mtpa are expected to gain investment approval in 2019. Outside the United States, Qatar is aiming to take FID on an expansion of existing facilities from 77 to 110 mtpa. New projects offshore Mozambique (28 mtpa) and the Arctic LNG-2 project (20 mtpa) in Russia are also expected by Wood Mackenzie to be approved in 2019.</w:t>
      </w:r>
    </w:p>
    <w:p>
      <w:pPr>
        <w:spacing w:after="0" w:line="204" w:lineRule="exact"/>
        <w:rPr>
          <w:sz w:val="20"/>
          <w:szCs w:val="20"/>
          <w:color w:val="auto"/>
        </w:rPr>
      </w:pPr>
    </w:p>
    <w:p>
      <w:pPr>
        <w:ind w:left="6" w:right="160"/>
        <w:spacing w:after="0" w:line="256" w:lineRule="auto"/>
        <w:rPr>
          <w:sz w:val="20"/>
          <w:szCs w:val="20"/>
          <w:color w:val="auto"/>
        </w:rPr>
      </w:pPr>
      <w:r>
        <w:rPr>
          <w:rFonts w:ascii="Arial" w:cs="Arial" w:eastAsia="Arial" w:hAnsi="Arial"/>
          <w:sz w:val="19"/>
          <w:szCs w:val="19"/>
          <w:color w:val="auto"/>
        </w:rPr>
        <w:t>In parallel with the progress on new supply FIDs, in 2018 there was a significant increase in the number of announced long-term LNG off-take contracts. According to Wood Mackenzie and company disclosures, 48 mtpa of long-term (defined as greater than 5 years’ duration) off-take contracts were signed in 2018, compared to 25 mtpa in 2017. The nature of the LNG marketplace also continued to evolve. According to the Financial Times, the top three independent commodity traders increased their delivered LNG volumes by almost 40% to 31 mt in 2018, taking market share from traditional participants such as national oil companies and major integrated oil companies.</w:t>
      </w:r>
    </w:p>
    <w:p>
      <w:pPr>
        <w:spacing w:after="0" w:line="204" w:lineRule="exact"/>
        <w:rPr>
          <w:sz w:val="20"/>
          <w:szCs w:val="20"/>
          <w:color w:val="auto"/>
        </w:rPr>
      </w:pPr>
    </w:p>
    <w:p>
      <w:pPr>
        <w:ind w:left="6" w:right="80"/>
        <w:spacing w:after="0" w:line="253" w:lineRule="auto"/>
        <w:rPr>
          <w:sz w:val="20"/>
          <w:szCs w:val="20"/>
          <w:color w:val="auto"/>
        </w:rPr>
      </w:pPr>
      <w:r>
        <w:rPr>
          <w:rFonts w:ascii="Arial" w:cs="Arial" w:eastAsia="Arial" w:hAnsi="Arial"/>
          <w:sz w:val="19"/>
          <w:szCs w:val="19"/>
          <w:color w:val="auto"/>
        </w:rPr>
        <w:t>In the LNG shipping spot market, TFDE headline rates, as reported by Clarksons, averaged $89,000 per day in 2018, a 93% increase on 2017 levels. Headline TFDE rates rose significantly in the fourth quarter of 2018 and reached all-time highs of $190,000 per day in November 2018 following a marked decrease in spot ship availability. Average headline TFDE rates in the fourth quarter of 2018 were $150,000 per day. Headline rates for Steam vessels also reached multi-year highs of $98,000 per day in late 2018. In recent weeks, normal weather and ample inventory levels in key Asian markets have resulted in falling Asian LNG prices, reducing the incentive to move LNG cargoes from the Atlantic to the Pacific Basin and resulting in rising prompt vessel availability and falling spot rates. Headline TFDE spot rates are currently assessed at $69,000 per day. Notwithstanding the recent fall and anticipated seasonality in the spring shoulder months, we continue to believe that the medium-term outlook for spot rates through 2019 and 2020 is positive given supportive LNG commodity fundamentals and LNG shipping supply and demand. However, spot rates may be prone to further periods of seasonality and volatility similar to that seen during 2018.</w:t>
      </w:r>
    </w:p>
    <w:p>
      <w:pPr>
        <w:spacing w:after="0" w:line="209" w:lineRule="exact"/>
        <w:rPr>
          <w:sz w:val="20"/>
          <w:szCs w:val="20"/>
          <w:color w:val="auto"/>
        </w:rPr>
      </w:pPr>
    </w:p>
    <w:p>
      <w:pPr>
        <w:ind w:left="6" w:right="60"/>
        <w:spacing w:after="0" w:line="263" w:lineRule="auto"/>
        <w:rPr>
          <w:sz w:val="20"/>
          <w:szCs w:val="20"/>
          <w:color w:val="auto"/>
        </w:rPr>
      </w:pPr>
      <w:r>
        <w:rPr>
          <w:rFonts w:ascii="Arial" w:cs="Arial" w:eastAsia="Arial" w:hAnsi="Arial"/>
          <w:sz w:val="19"/>
          <w:szCs w:val="19"/>
          <w:color w:val="auto"/>
        </w:rPr>
        <w:t>During 2018 there was a significant increase in term chartering activity. Based on Poten data, charters between 181 days to seven years duration increased to 19% of total fixtures in 2018, from 5% in 2017. Our expectation of structural tightness in the LNG carrier market, combined with increasing spot vessel availability, could result in this trend continuing in 2019 and beyond.</w:t>
      </w:r>
    </w:p>
    <w:p>
      <w:pPr>
        <w:spacing w:after="0" w:line="194" w:lineRule="exact"/>
        <w:rPr>
          <w:sz w:val="20"/>
          <w:szCs w:val="20"/>
          <w:color w:val="auto"/>
        </w:rPr>
      </w:pPr>
    </w:p>
    <w:p>
      <w:pPr>
        <w:ind w:left="6"/>
        <w:spacing w:after="0" w:line="272" w:lineRule="auto"/>
        <w:rPr>
          <w:sz w:val="20"/>
          <w:szCs w:val="20"/>
          <w:color w:val="auto"/>
        </w:rPr>
      </w:pPr>
      <w:r>
        <w:rPr>
          <w:rFonts w:ascii="Arial" w:cs="Arial" w:eastAsia="Arial" w:hAnsi="Arial"/>
          <w:sz w:val="18"/>
          <w:szCs w:val="18"/>
          <w:color w:val="auto"/>
        </w:rPr>
        <w:t>According to Poten, there were 62 orders for dedicated LNG carrier newbuilds in 2018, an all-time high. The orderbook now totals 107 dedicated LNG carriers (&gt;100,000 cbm), of which 67% are backed by long-term contracts. The positive outlook for LNG commodity and LNG shipping markets, as well as historically low newbuild prices, resulted in both existing LNG carrier owners and new entrants ordering new vessels. Based on 2018 newbuilding orders and current forecasts of LNG supply growth, we now believe that the LNG shipping market is heading towards a balanced state early next decade. As such, the requirement for additional shipping capacity in this period has now been largely addressed. This implies that newbuilding order activity in 2019 needs to slow relative to 2018 levels in order to reduce the risk of vessel oversupply.</w:t>
      </w:r>
    </w:p>
    <w:p>
      <w:pPr>
        <w:spacing w:after="0" w:line="184"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Contracted Charter Revenues</w:t>
      </w:r>
    </w:p>
    <w:p>
      <w:pPr>
        <w:spacing w:after="0" w:line="244" w:lineRule="exact"/>
        <w:rPr>
          <w:sz w:val="20"/>
          <w:szCs w:val="20"/>
          <w:color w:val="auto"/>
        </w:rPr>
      </w:pPr>
    </w:p>
    <w:p>
      <w:pPr>
        <w:ind w:left="346"/>
        <w:spacing w:after="0"/>
        <w:rPr>
          <w:sz w:val="20"/>
          <w:szCs w:val="20"/>
          <w:color w:val="auto"/>
        </w:rPr>
      </w:pPr>
      <w:r>
        <w:rPr>
          <w:rFonts w:ascii="Arial" w:cs="Arial" w:eastAsia="Arial" w:hAnsi="Arial"/>
          <w:sz w:val="19"/>
          <w:szCs w:val="19"/>
          <w:color w:val="auto"/>
        </w:rPr>
        <w:t>The following table summarizes GasLog Partners’ contracted charter revenues and vessel utilization as of December 31, 2018:</w:t>
      </w:r>
    </w:p>
    <w:p>
      <w:pPr>
        <w:spacing w:after="0" w:line="229" w:lineRule="exact"/>
        <w:rPr>
          <w:sz w:val="20"/>
          <w:szCs w:val="20"/>
          <w:color w:val="auto"/>
        </w:rPr>
      </w:pPr>
    </w:p>
    <w:tbl>
      <w:tblPr>
        <w:tblLayout w:type="fixed"/>
        <w:tblInd w:w="486" w:type="dxa"/>
        <w:tblCellMar>
          <w:top w:w="0" w:type="dxa"/>
          <w:left w:w="0" w:type="dxa"/>
          <w:bottom w:w="0" w:type="dxa"/>
          <w:right w:w="0" w:type="dxa"/>
        </w:tblCellMar>
      </w:tblPr>
      <w:tr>
        <w:trPr>
          <w:trHeight w:val="180"/>
        </w:trPr>
        <w:tc>
          <w:tcPr>
            <w:tcW w:w="436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5"/>
                <w:szCs w:val="15"/>
                <w:b w:val="1"/>
                <w:bCs w:val="1"/>
                <w:color w:val="auto"/>
              </w:rPr>
              <w:t>For the years ending December 31,</w:t>
            </w:r>
          </w:p>
        </w:tc>
        <w:tc>
          <w:tcPr>
            <w:tcW w:w="1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1"/>
        </w:trPr>
        <w:tc>
          <w:tcPr>
            <w:tcW w:w="4360" w:type="dxa"/>
            <w:vAlign w:val="bottom"/>
          </w:tcPr>
          <w:p>
            <w:pPr>
              <w:spacing w:after="0"/>
              <w:rPr>
                <w:sz w:val="13"/>
                <w:szCs w:val="13"/>
                <w:color w:val="auto"/>
              </w:rPr>
            </w:pPr>
          </w:p>
        </w:tc>
        <w:tc>
          <w:tcPr>
            <w:tcW w:w="1260" w:type="dxa"/>
            <w:vAlign w:val="bottom"/>
            <w:tcBorders>
              <w:bottom w:val="single" w:sz="8" w:color="auto"/>
            </w:tcBorders>
          </w:tcPr>
          <w:p>
            <w:pPr>
              <w:jc w:val="right"/>
              <w:ind w:right="548"/>
              <w:spacing w:after="0" w:line="151" w:lineRule="exact"/>
              <w:rPr>
                <w:sz w:val="20"/>
                <w:szCs w:val="20"/>
                <w:color w:val="auto"/>
              </w:rPr>
            </w:pPr>
            <w:r>
              <w:rPr>
                <w:rFonts w:ascii="Arial" w:cs="Arial" w:eastAsia="Arial" w:hAnsi="Arial"/>
                <w:sz w:val="15"/>
                <w:szCs w:val="15"/>
                <w:b w:val="1"/>
                <w:bCs w:val="1"/>
                <w:color w:val="auto"/>
              </w:rPr>
              <w:t>2019</w:t>
            </w:r>
          </w:p>
        </w:tc>
        <w:tc>
          <w:tcPr>
            <w:tcW w:w="1120" w:type="dxa"/>
            <w:vAlign w:val="bottom"/>
            <w:tcBorders>
              <w:bottom w:val="single" w:sz="8" w:color="auto"/>
            </w:tcBorders>
          </w:tcPr>
          <w:p>
            <w:pPr>
              <w:jc w:val="right"/>
              <w:ind w:right="552"/>
              <w:spacing w:after="0" w:line="151" w:lineRule="exact"/>
              <w:rPr>
                <w:sz w:val="20"/>
                <w:szCs w:val="20"/>
                <w:color w:val="auto"/>
              </w:rPr>
            </w:pPr>
            <w:r>
              <w:rPr>
                <w:rFonts w:ascii="Arial" w:cs="Arial" w:eastAsia="Arial" w:hAnsi="Arial"/>
                <w:sz w:val="15"/>
                <w:szCs w:val="15"/>
                <w:b w:val="1"/>
                <w:bCs w:val="1"/>
                <w:color w:val="auto"/>
              </w:rPr>
              <w:t>2020</w:t>
            </w:r>
          </w:p>
        </w:tc>
        <w:tc>
          <w:tcPr>
            <w:tcW w:w="1100" w:type="dxa"/>
            <w:vAlign w:val="bottom"/>
            <w:tcBorders>
              <w:bottom w:val="single" w:sz="8" w:color="auto"/>
            </w:tcBorders>
          </w:tcPr>
          <w:p>
            <w:pPr>
              <w:jc w:val="right"/>
              <w:ind w:right="548"/>
              <w:spacing w:after="0" w:line="151" w:lineRule="exact"/>
              <w:rPr>
                <w:sz w:val="20"/>
                <w:szCs w:val="20"/>
                <w:color w:val="auto"/>
              </w:rPr>
            </w:pPr>
            <w:r>
              <w:rPr>
                <w:rFonts w:ascii="Arial" w:cs="Arial" w:eastAsia="Arial" w:hAnsi="Arial"/>
                <w:sz w:val="15"/>
                <w:szCs w:val="15"/>
                <w:b w:val="1"/>
                <w:bCs w:val="1"/>
                <w:color w:val="auto"/>
              </w:rPr>
              <w:t>2021</w:t>
            </w:r>
          </w:p>
        </w:tc>
        <w:tc>
          <w:tcPr>
            <w:tcW w:w="1040" w:type="dxa"/>
            <w:vAlign w:val="bottom"/>
            <w:tcBorders>
              <w:bottom w:val="single" w:sz="8" w:color="auto"/>
            </w:tcBorders>
          </w:tcPr>
          <w:p>
            <w:pPr>
              <w:jc w:val="right"/>
              <w:ind w:right="468"/>
              <w:spacing w:after="0" w:line="151" w:lineRule="exact"/>
              <w:rPr>
                <w:sz w:val="20"/>
                <w:szCs w:val="20"/>
                <w:color w:val="auto"/>
              </w:rPr>
            </w:pPr>
            <w:r>
              <w:rPr>
                <w:rFonts w:ascii="Arial" w:cs="Arial" w:eastAsia="Arial" w:hAnsi="Arial"/>
                <w:sz w:val="15"/>
                <w:szCs w:val="15"/>
                <w:b w:val="1"/>
                <w:bCs w:val="1"/>
                <w:color w:val="auto"/>
              </w:rPr>
              <w:t>2022</w:t>
            </w:r>
          </w:p>
        </w:tc>
        <w:tc>
          <w:tcPr>
            <w:tcW w:w="1180" w:type="dxa"/>
            <w:vAlign w:val="bottom"/>
            <w:tcBorders>
              <w:bottom w:val="single" w:sz="8" w:color="auto"/>
            </w:tcBorders>
          </w:tcPr>
          <w:p>
            <w:pPr>
              <w:jc w:val="right"/>
              <w:ind w:right="368"/>
              <w:spacing w:after="0" w:line="151" w:lineRule="exact"/>
              <w:rPr>
                <w:sz w:val="20"/>
                <w:szCs w:val="20"/>
                <w:color w:val="auto"/>
              </w:rPr>
            </w:pPr>
            <w:r>
              <w:rPr>
                <w:rFonts w:ascii="Arial" w:cs="Arial" w:eastAsia="Arial" w:hAnsi="Arial"/>
                <w:sz w:val="15"/>
                <w:szCs w:val="15"/>
                <w:b w:val="1"/>
                <w:bCs w:val="1"/>
                <w:color w:val="auto"/>
                <w:w w:val="97"/>
              </w:rPr>
              <w:t>2023-2026</w:t>
            </w:r>
          </w:p>
        </w:tc>
        <w:tc>
          <w:tcPr>
            <w:tcW w:w="800" w:type="dxa"/>
            <w:vAlign w:val="bottom"/>
            <w:tcBorders>
              <w:bottom w:val="single" w:sz="8" w:color="auto"/>
            </w:tcBorders>
          </w:tcPr>
          <w:p>
            <w:pPr>
              <w:jc w:val="right"/>
              <w:ind w:right="208"/>
              <w:spacing w:after="0" w:line="151" w:lineRule="exact"/>
              <w:rPr>
                <w:sz w:val="20"/>
                <w:szCs w:val="20"/>
                <w:color w:val="auto"/>
              </w:rPr>
            </w:pPr>
            <w:r>
              <w:rPr>
                <w:rFonts w:ascii="Arial" w:cs="Arial" w:eastAsia="Arial" w:hAnsi="Arial"/>
                <w:sz w:val="15"/>
                <w:szCs w:val="15"/>
                <w:b w:val="1"/>
                <w:bCs w:val="1"/>
                <w:color w:val="auto"/>
              </w:rPr>
              <w:t>Total</w:t>
            </w:r>
          </w:p>
        </w:tc>
        <w:tc>
          <w:tcPr>
            <w:tcW w:w="180" w:type="dxa"/>
            <w:vAlign w:val="bottom"/>
          </w:tcPr>
          <w:p>
            <w:pPr>
              <w:spacing w:after="0"/>
              <w:rPr>
                <w:sz w:val="13"/>
                <w:szCs w:val="13"/>
                <w:color w:val="auto"/>
              </w:rPr>
            </w:pPr>
          </w:p>
        </w:tc>
      </w:tr>
      <w:tr>
        <w:trPr>
          <w:trHeight w:val="151"/>
        </w:trPr>
        <w:tc>
          <w:tcPr>
            <w:tcW w:w="4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440" w:type="dxa"/>
            <w:vAlign w:val="bottom"/>
            <w:gridSpan w:val="4"/>
          </w:tcPr>
          <w:p>
            <w:pPr>
              <w:jc w:val="right"/>
              <w:ind w:right="528"/>
              <w:spacing w:after="0" w:line="151" w:lineRule="exact"/>
              <w:rPr>
                <w:sz w:val="20"/>
                <w:szCs w:val="20"/>
                <w:color w:val="auto"/>
              </w:rPr>
            </w:pPr>
            <w:r>
              <w:rPr>
                <w:rFonts w:ascii="Arial" w:cs="Arial" w:eastAsia="Arial" w:hAnsi="Arial"/>
                <w:sz w:val="15"/>
                <w:szCs w:val="15"/>
                <w:b w:val="1"/>
                <w:bCs w:val="1"/>
                <w:color w:val="auto"/>
                <w:w w:val="93"/>
              </w:rPr>
              <w:t>(in millions of U.S. dollars, except days and percentages)</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8"/>
        </w:trPr>
        <w:tc>
          <w:tcPr>
            <w:tcW w:w="4360" w:type="dxa"/>
            <w:vAlign w:val="bottom"/>
            <w:shd w:val="clear" w:color="auto" w:fill="CCEEFF"/>
          </w:tcPr>
          <w:p>
            <w:pPr>
              <w:spacing w:after="0" w:line="228" w:lineRule="exact"/>
              <w:rPr>
                <w:sz w:val="20"/>
                <w:szCs w:val="20"/>
                <w:color w:val="auto"/>
              </w:rPr>
            </w:pPr>
            <w:r>
              <w:rPr>
                <w:rFonts w:ascii="Arial" w:cs="Arial" w:eastAsia="Arial" w:hAnsi="Arial"/>
                <w:sz w:val="19"/>
                <w:szCs w:val="19"/>
                <w:color w:val="auto"/>
              </w:rPr>
              <w:t>Contracted time charter revenues</w:t>
            </w:r>
            <w:r>
              <w:rPr>
                <w:rFonts w:ascii="Arial" w:cs="Arial" w:eastAsia="Arial" w:hAnsi="Arial"/>
                <w:sz w:val="24"/>
                <w:szCs w:val="24"/>
                <w:color w:val="auto"/>
                <w:vertAlign w:val="superscript"/>
              </w:rPr>
              <w:t>(1)(2)(3)(4)</w:t>
            </w:r>
          </w:p>
        </w:tc>
        <w:tc>
          <w:tcPr>
            <w:tcW w:w="1260" w:type="dxa"/>
            <w:vAlign w:val="bottom"/>
            <w:shd w:val="clear" w:color="auto" w:fill="CCEEFF"/>
          </w:tcPr>
          <w:p>
            <w:pPr>
              <w:jc w:val="right"/>
              <w:ind w:right="228"/>
              <w:spacing w:after="0"/>
              <w:rPr>
                <w:sz w:val="20"/>
                <w:szCs w:val="20"/>
                <w:color w:val="auto"/>
              </w:rPr>
            </w:pPr>
            <w:r>
              <w:rPr>
                <w:rFonts w:ascii="Arial" w:cs="Arial" w:eastAsia="Arial" w:hAnsi="Arial"/>
                <w:sz w:val="19"/>
                <w:szCs w:val="19"/>
                <w:color w:val="auto"/>
              </w:rPr>
              <w:t>327.1</w:t>
            </w: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9"/>
                <w:szCs w:val="19"/>
                <w:color w:val="auto"/>
              </w:rPr>
              <w:t>251.5</w:t>
            </w:r>
          </w:p>
        </w:tc>
        <w:tc>
          <w:tcPr>
            <w:tcW w:w="1100" w:type="dxa"/>
            <w:vAlign w:val="bottom"/>
            <w:shd w:val="clear" w:color="auto" w:fill="CCEEFF"/>
          </w:tcPr>
          <w:p>
            <w:pPr>
              <w:jc w:val="right"/>
              <w:ind w:right="228"/>
              <w:spacing w:after="0"/>
              <w:rPr>
                <w:sz w:val="20"/>
                <w:szCs w:val="20"/>
                <w:color w:val="auto"/>
              </w:rPr>
            </w:pPr>
            <w:r>
              <w:rPr>
                <w:rFonts w:ascii="Arial" w:cs="Arial" w:eastAsia="Arial" w:hAnsi="Arial"/>
                <w:sz w:val="19"/>
                <w:szCs w:val="19"/>
                <w:color w:val="auto"/>
              </w:rPr>
              <w:t>157.4</w:t>
            </w:r>
          </w:p>
        </w:tc>
        <w:tc>
          <w:tcPr>
            <w:tcW w:w="1040" w:type="dxa"/>
            <w:vAlign w:val="bottom"/>
            <w:shd w:val="clear" w:color="auto" w:fill="CCEEFF"/>
          </w:tcPr>
          <w:p>
            <w:pPr>
              <w:jc w:val="right"/>
              <w:ind w:right="148"/>
              <w:spacing w:after="0"/>
              <w:rPr>
                <w:sz w:val="20"/>
                <w:szCs w:val="20"/>
                <w:color w:val="auto"/>
              </w:rPr>
            </w:pPr>
            <w:r>
              <w:rPr>
                <w:rFonts w:ascii="Arial" w:cs="Arial" w:eastAsia="Arial" w:hAnsi="Arial"/>
                <w:sz w:val="19"/>
                <w:szCs w:val="19"/>
                <w:color w:val="auto"/>
              </w:rPr>
              <w:t>120.6</w:t>
            </w:r>
          </w:p>
        </w:tc>
        <w:tc>
          <w:tcPr>
            <w:tcW w:w="1180" w:type="dxa"/>
            <w:vAlign w:val="bottom"/>
            <w:shd w:val="clear" w:color="auto" w:fill="CCEEFF"/>
          </w:tcPr>
          <w:p>
            <w:pPr>
              <w:jc w:val="right"/>
              <w:ind w:right="228"/>
              <w:spacing w:after="0"/>
              <w:rPr>
                <w:sz w:val="20"/>
                <w:szCs w:val="20"/>
                <w:color w:val="auto"/>
              </w:rPr>
            </w:pPr>
            <w:r>
              <w:rPr>
                <w:rFonts w:ascii="Arial" w:cs="Arial" w:eastAsia="Arial" w:hAnsi="Arial"/>
                <w:sz w:val="19"/>
                <w:szCs w:val="19"/>
                <w:color w:val="auto"/>
              </w:rPr>
              <w:t>183.6</w:t>
            </w:r>
          </w:p>
        </w:tc>
        <w:tc>
          <w:tcPr>
            <w:tcW w:w="8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1,040.2</w:t>
            </w:r>
          </w:p>
        </w:tc>
        <w:tc>
          <w:tcPr>
            <w:tcW w:w="180" w:type="dxa"/>
            <w:vAlign w:val="bottom"/>
            <w:shd w:val="clear" w:color="auto" w:fill="CCEEFF"/>
          </w:tcPr>
          <w:p>
            <w:pPr>
              <w:spacing w:after="0"/>
              <w:rPr>
                <w:sz w:val="19"/>
                <w:szCs w:val="19"/>
                <w:color w:val="auto"/>
              </w:rPr>
            </w:pPr>
          </w:p>
        </w:tc>
      </w:tr>
      <w:tr>
        <w:trPr>
          <w:trHeight w:val="228"/>
        </w:trPr>
        <w:tc>
          <w:tcPr>
            <w:tcW w:w="4360" w:type="dxa"/>
            <w:vAlign w:val="bottom"/>
          </w:tcPr>
          <w:p>
            <w:pPr>
              <w:spacing w:after="0" w:line="228" w:lineRule="exact"/>
              <w:rPr>
                <w:sz w:val="20"/>
                <w:szCs w:val="20"/>
                <w:color w:val="auto"/>
              </w:rPr>
            </w:pPr>
            <w:r>
              <w:rPr>
                <w:rFonts w:ascii="Arial" w:cs="Arial" w:eastAsia="Arial" w:hAnsi="Arial"/>
                <w:sz w:val="19"/>
                <w:szCs w:val="19"/>
                <w:color w:val="auto"/>
              </w:rPr>
              <w:t>Total contracted days</w:t>
            </w:r>
            <w:r>
              <w:rPr>
                <w:rFonts w:ascii="Arial" w:cs="Arial" w:eastAsia="Arial" w:hAnsi="Arial"/>
                <w:sz w:val="24"/>
                <w:szCs w:val="24"/>
                <w:color w:val="auto"/>
                <w:vertAlign w:val="superscript"/>
              </w:rPr>
              <w:t>(1)(2)</w:t>
            </w:r>
          </w:p>
        </w:tc>
        <w:tc>
          <w:tcPr>
            <w:tcW w:w="1260" w:type="dxa"/>
            <w:vAlign w:val="bottom"/>
          </w:tcPr>
          <w:p>
            <w:pPr>
              <w:jc w:val="right"/>
              <w:ind w:right="228"/>
              <w:spacing w:after="0"/>
              <w:rPr>
                <w:sz w:val="20"/>
                <w:szCs w:val="20"/>
                <w:color w:val="auto"/>
              </w:rPr>
            </w:pPr>
            <w:r>
              <w:rPr>
                <w:rFonts w:ascii="Arial" w:cs="Arial" w:eastAsia="Arial" w:hAnsi="Arial"/>
                <w:sz w:val="19"/>
                <w:szCs w:val="19"/>
                <w:color w:val="auto"/>
              </w:rPr>
              <w:t>4,623</w:t>
            </w:r>
          </w:p>
        </w:tc>
        <w:tc>
          <w:tcPr>
            <w:tcW w:w="1120" w:type="dxa"/>
            <w:vAlign w:val="bottom"/>
          </w:tcPr>
          <w:p>
            <w:pPr>
              <w:jc w:val="right"/>
              <w:ind w:right="232"/>
              <w:spacing w:after="0"/>
              <w:rPr>
                <w:sz w:val="20"/>
                <w:szCs w:val="20"/>
                <w:color w:val="auto"/>
              </w:rPr>
            </w:pPr>
            <w:r>
              <w:rPr>
                <w:rFonts w:ascii="Arial" w:cs="Arial" w:eastAsia="Arial" w:hAnsi="Arial"/>
                <w:sz w:val="19"/>
                <w:szCs w:val="19"/>
                <w:color w:val="auto"/>
              </w:rPr>
              <w:t>3,597</w:t>
            </w:r>
          </w:p>
        </w:tc>
        <w:tc>
          <w:tcPr>
            <w:tcW w:w="1100" w:type="dxa"/>
            <w:vAlign w:val="bottom"/>
          </w:tcPr>
          <w:p>
            <w:pPr>
              <w:jc w:val="right"/>
              <w:ind w:right="228"/>
              <w:spacing w:after="0"/>
              <w:rPr>
                <w:sz w:val="20"/>
                <w:szCs w:val="20"/>
                <w:color w:val="auto"/>
              </w:rPr>
            </w:pPr>
            <w:r>
              <w:rPr>
                <w:rFonts w:ascii="Arial" w:cs="Arial" w:eastAsia="Arial" w:hAnsi="Arial"/>
                <w:sz w:val="19"/>
                <w:szCs w:val="19"/>
                <w:color w:val="auto"/>
              </w:rPr>
              <w:t>2,072</w:t>
            </w:r>
          </w:p>
        </w:tc>
        <w:tc>
          <w:tcPr>
            <w:tcW w:w="1040" w:type="dxa"/>
            <w:vAlign w:val="bottom"/>
          </w:tcPr>
          <w:p>
            <w:pPr>
              <w:jc w:val="right"/>
              <w:ind w:right="148"/>
              <w:spacing w:after="0"/>
              <w:rPr>
                <w:sz w:val="20"/>
                <w:szCs w:val="20"/>
                <w:color w:val="auto"/>
              </w:rPr>
            </w:pPr>
            <w:r>
              <w:rPr>
                <w:rFonts w:ascii="Arial" w:cs="Arial" w:eastAsia="Arial" w:hAnsi="Arial"/>
                <w:sz w:val="19"/>
                <w:szCs w:val="19"/>
                <w:color w:val="auto"/>
              </w:rPr>
              <w:t>1,460</w:t>
            </w:r>
          </w:p>
        </w:tc>
        <w:tc>
          <w:tcPr>
            <w:tcW w:w="1180" w:type="dxa"/>
            <w:vAlign w:val="bottom"/>
          </w:tcPr>
          <w:p>
            <w:pPr>
              <w:jc w:val="right"/>
              <w:ind w:right="228"/>
              <w:spacing w:after="0"/>
              <w:rPr>
                <w:sz w:val="20"/>
                <w:szCs w:val="20"/>
                <w:color w:val="auto"/>
              </w:rPr>
            </w:pPr>
            <w:r>
              <w:rPr>
                <w:rFonts w:ascii="Arial" w:cs="Arial" w:eastAsia="Arial" w:hAnsi="Arial"/>
                <w:sz w:val="19"/>
                <w:szCs w:val="19"/>
                <w:color w:val="auto"/>
              </w:rPr>
              <w:t>2,188</w:t>
            </w:r>
          </w:p>
        </w:tc>
        <w:tc>
          <w:tcPr>
            <w:tcW w:w="800" w:type="dxa"/>
            <w:vAlign w:val="bottom"/>
          </w:tcPr>
          <w:p>
            <w:pPr>
              <w:jc w:val="right"/>
              <w:spacing w:after="0"/>
              <w:rPr>
                <w:sz w:val="20"/>
                <w:szCs w:val="20"/>
                <w:color w:val="auto"/>
              </w:rPr>
            </w:pPr>
            <w:r>
              <w:rPr>
                <w:rFonts w:ascii="Arial" w:cs="Arial" w:eastAsia="Arial" w:hAnsi="Arial"/>
                <w:sz w:val="19"/>
                <w:szCs w:val="19"/>
                <w:color w:val="auto"/>
              </w:rPr>
              <w:t>13,940</w:t>
            </w:r>
          </w:p>
        </w:tc>
        <w:tc>
          <w:tcPr>
            <w:tcW w:w="180" w:type="dxa"/>
            <w:vAlign w:val="bottom"/>
          </w:tcPr>
          <w:p>
            <w:pPr>
              <w:spacing w:after="0"/>
              <w:rPr>
                <w:sz w:val="19"/>
                <w:szCs w:val="19"/>
                <w:color w:val="auto"/>
              </w:rPr>
            </w:pPr>
          </w:p>
        </w:tc>
      </w:tr>
      <w:tr>
        <w:trPr>
          <w:trHeight w:val="228"/>
        </w:trPr>
        <w:tc>
          <w:tcPr>
            <w:tcW w:w="4360" w:type="dxa"/>
            <w:vAlign w:val="bottom"/>
            <w:shd w:val="clear" w:color="auto" w:fill="CCEEFF"/>
          </w:tcPr>
          <w:p>
            <w:pPr>
              <w:spacing w:after="0" w:line="228" w:lineRule="exact"/>
              <w:rPr>
                <w:sz w:val="20"/>
                <w:szCs w:val="20"/>
                <w:color w:val="auto"/>
              </w:rPr>
            </w:pPr>
            <w:r>
              <w:rPr>
                <w:rFonts w:ascii="Arial" w:cs="Arial" w:eastAsia="Arial" w:hAnsi="Arial"/>
                <w:sz w:val="19"/>
                <w:szCs w:val="19"/>
                <w:color w:val="auto"/>
              </w:rPr>
              <w:t>Total available days</w:t>
            </w:r>
            <w:r>
              <w:rPr>
                <w:rFonts w:ascii="Arial" w:cs="Arial" w:eastAsia="Arial" w:hAnsi="Arial"/>
                <w:sz w:val="24"/>
                <w:szCs w:val="24"/>
                <w:color w:val="auto"/>
                <w:vertAlign w:val="superscript"/>
              </w:rPr>
              <w:t>(5)</w:t>
            </w:r>
          </w:p>
        </w:tc>
        <w:tc>
          <w:tcPr>
            <w:tcW w:w="1260" w:type="dxa"/>
            <w:vAlign w:val="bottom"/>
            <w:shd w:val="clear" w:color="auto" w:fill="CCEEFF"/>
          </w:tcPr>
          <w:p>
            <w:pPr>
              <w:jc w:val="right"/>
              <w:ind w:right="228"/>
              <w:spacing w:after="0"/>
              <w:rPr>
                <w:sz w:val="20"/>
                <w:szCs w:val="20"/>
                <w:color w:val="auto"/>
              </w:rPr>
            </w:pPr>
            <w:r>
              <w:rPr>
                <w:rFonts w:ascii="Arial" w:cs="Arial" w:eastAsia="Arial" w:hAnsi="Arial"/>
                <w:sz w:val="19"/>
                <w:szCs w:val="19"/>
                <w:color w:val="auto"/>
              </w:rPr>
              <w:t>5,080</w:t>
            </w: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9"/>
                <w:szCs w:val="19"/>
                <w:color w:val="auto"/>
              </w:rPr>
              <w:t>5,004</w:t>
            </w:r>
          </w:p>
        </w:tc>
        <w:tc>
          <w:tcPr>
            <w:tcW w:w="1100" w:type="dxa"/>
            <w:vAlign w:val="bottom"/>
            <w:shd w:val="clear" w:color="auto" w:fill="CCEEFF"/>
          </w:tcPr>
          <w:p>
            <w:pPr>
              <w:jc w:val="right"/>
              <w:ind w:right="228"/>
              <w:spacing w:after="0"/>
              <w:rPr>
                <w:sz w:val="20"/>
                <w:szCs w:val="20"/>
                <w:color w:val="auto"/>
              </w:rPr>
            </w:pPr>
            <w:r>
              <w:rPr>
                <w:rFonts w:ascii="Arial" w:cs="Arial" w:eastAsia="Arial" w:hAnsi="Arial"/>
                <w:sz w:val="19"/>
                <w:szCs w:val="19"/>
                <w:color w:val="auto"/>
              </w:rPr>
              <w:t>4,960</w:t>
            </w:r>
          </w:p>
        </w:tc>
        <w:tc>
          <w:tcPr>
            <w:tcW w:w="1040" w:type="dxa"/>
            <w:vAlign w:val="bottom"/>
            <w:shd w:val="clear" w:color="auto" w:fill="CCEEFF"/>
          </w:tcPr>
          <w:p>
            <w:pPr>
              <w:jc w:val="right"/>
              <w:ind w:right="148"/>
              <w:spacing w:after="0"/>
              <w:rPr>
                <w:sz w:val="20"/>
                <w:szCs w:val="20"/>
                <w:color w:val="auto"/>
              </w:rPr>
            </w:pPr>
            <w:r>
              <w:rPr>
                <w:rFonts w:ascii="Arial" w:cs="Arial" w:eastAsia="Arial" w:hAnsi="Arial"/>
                <w:sz w:val="19"/>
                <w:szCs w:val="19"/>
                <w:color w:val="auto"/>
              </w:rPr>
              <w:t>5,110</w:t>
            </w:r>
          </w:p>
        </w:tc>
        <w:tc>
          <w:tcPr>
            <w:tcW w:w="1180" w:type="dxa"/>
            <w:vAlign w:val="bottom"/>
            <w:shd w:val="clear" w:color="auto" w:fill="CCEEFF"/>
          </w:tcPr>
          <w:p>
            <w:pPr>
              <w:jc w:val="right"/>
              <w:ind w:right="228"/>
              <w:spacing w:after="0"/>
              <w:rPr>
                <w:sz w:val="20"/>
                <w:szCs w:val="20"/>
                <w:color w:val="auto"/>
              </w:rPr>
            </w:pPr>
            <w:r>
              <w:rPr>
                <w:rFonts w:ascii="Arial" w:cs="Arial" w:eastAsia="Arial" w:hAnsi="Arial"/>
                <w:sz w:val="19"/>
                <w:szCs w:val="19"/>
                <w:color w:val="auto"/>
              </w:rPr>
              <w:t>20,034</w:t>
            </w:r>
          </w:p>
        </w:tc>
        <w:tc>
          <w:tcPr>
            <w:tcW w:w="8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40,188</w:t>
            </w:r>
          </w:p>
        </w:tc>
        <w:tc>
          <w:tcPr>
            <w:tcW w:w="180" w:type="dxa"/>
            <w:vAlign w:val="bottom"/>
            <w:shd w:val="clear" w:color="auto" w:fill="CCEEFF"/>
          </w:tcPr>
          <w:p>
            <w:pPr>
              <w:spacing w:after="0"/>
              <w:rPr>
                <w:sz w:val="19"/>
                <w:szCs w:val="19"/>
                <w:color w:val="auto"/>
              </w:rPr>
            </w:pPr>
          </w:p>
        </w:tc>
      </w:tr>
      <w:tr>
        <w:trPr>
          <w:trHeight w:val="228"/>
        </w:trPr>
        <w:tc>
          <w:tcPr>
            <w:tcW w:w="4360" w:type="dxa"/>
            <w:vAlign w:val="bottom"/>
          </w:tcPr>
          <w:p>
            <w:pPr>
              <w:spacing w:after="0" w:line="228" w:lineRule="exact"/>
              <w:rPr>
                <w:sz w:val="20"/>
                <w:szCs w:val="20"/>
                <w:color w:val="auto"/>
              </w:rPr>
            </w:pPr>
            <w:r>
              <w:rPr>
                <w:rFonts w:ascii="Arial" w:cs="Arial" w:eastAsia="Arial" w:hAnsi="Arial"/>
                <w:sz w:val="19"/>
                <w:szCs w:val="19"/>
                <w:color w:val="auto"/>
              </w:rPr>
              <w:t>Total unfixed days</w:t>
            </w:r>
            <w:r>
              <w:rPr>
                <w:rFonts w:ascii="Arial" w:cs="Arial" w:eastAsia="Arial" w:hAnsi="Arial"/>
                <w:sz w:val="24"/>
                <w:szCs w:val="24"/>
                <w:color w:val="auto"/>
                <w:vertAlign w:val="superscript"/>
              </w:rPr>
              <w:t>(6)</w:t>
            </w:r>
          </w:p>
        </w:tc>
        <w:tc>
          <w:tcPr>
            <w:tcW w:w="1260" w:type="dxa"/>
            <w:vAlign w:val="bottom"/>
          </w:tcPr>
          <w:p>
            <w:pPr>
              <w:jc w:val="right"/>
              <w:ind w:right="228"/>
              <w:spacing w:after="0"/>
              <w:rPr>
                <w:sz w:val="20"/>
                <w:szCs w:val="20"/>
                <w:color w:val="auto"/>
              </w:rPr>
            </w:pPr>
            <w:r>
              <w:rPr>
                <w:rFonts w:ascii="Arial" w:cs="Arial" w:eastAsia="Arial" w:hAnsi="Arial"/>
                <w:sz w:val="19"/>
                <w:szCs w:val="19"/>
                <w:color w:val="auto"/>
              </w:rPr>
              <w:t>457</w:t>
            </w:r>
          </w:p>
        </w:tc>
        <w:tc>
          <w:tcPr>
            <w:tcW w:w="1120" w:type="dxa"/>
            <w:vAlign w:val="bottom"/>
          </w:tcPr>
          <w:p>
            <w:pPr>
              <w:jc w:val="right"/>
              <w:ind w:right="232"/>
              <w:spacing w:after="0"/>
              <w:rPr>
                <w:sz w:val="20"/>
                <w:szCs w:val="20"/>
                <w:color w:val="auto"/>
              </w:rPr>
            </w:pPr>
            <w:r>
              <w:rPr>
                <w:rFonts w:ascii="Arial" w:cs="Arial" w:eastAsia="Arial" w:hAnsi="Arial"/>
                <w:sz w:val="19"/>
                <w:szCs w:val="19"/>
                <w:color w:val="auto"/>
              </w:rPr>
              <w:t>1,407</w:t>
            </w:r>
          </w:p>
        </w:tc>
        <w:tc>
          <w:tcPr>
            <w:tcW w:w="1100" w:type="dxa"/>
            <w:vAlign w:val="bottom"/>
          </w:tcPr>
          <w:p>
            <w:pPr>
              <w:jc w:val="right"/>
              <w:ind w:right="228"/>
              <w:spacing w:after="0"/>
              <w:rPr>
                <w:sz w:val="20"/>
                <w:szCs w:val="20"/>
                <w:color w:val="auto"/>
              </w:rPr>
            </w:pPr>
            <w:r>
              <w:rPr>
                <w:rFonts w:ascii="Arial" w:cs="Arial" w:eastAsia="Arial" w:hAnsi="Arial"/>
                <w:sz w:val="19"/>
                <w:szCs w:val="19"/>
                <w:color w:val="auto"/>
              </w:rPr>
              <w:t>2,888</w:t>
            </w:r>
          </w:p>
        </w:tc>
        <w:tc>
          <w:tcPr>
            <w:tcW w:w="1040" w:type="dxa"/>
            <w:vAlign w:val="bottom"/>
          </w:tcPr>
          <w:p>
            <w:pPr>
              <w:jc w:val="right"/>
              <w:ind w:right="148"/>
              <w:spacing w:after="0"/>
              <w:rPr>
                <w:sz w:val="20"/>
                <w:szCs w:val="20"/>
                <w:color w:val="auto"/>
              </w:rPr>
            </w:pPr>
            <w:r>
              <w:rPr>
                <w:rFonts w:ascii="Arial" w:cs="Arial" w:eastAsia="Arial" w:hAnsi="Arial"/>
                <w:sz w:val="19"/>
                <w:szCs w:val="19"/>
                <w:color w:val="auto"/>
              </w:rPr>
              <w:t>3,650</w:t>
            </w:r>
          </w:p>
        </w:tc>
        <w:tc>
          <w:tcPr>
            <w:tcW w:w="1180" w:type="dxa"/>
            <w:vAlign w:val="bottom"/>
          </w:tcPr>
          <w:p>
            <w:pPr>
              <w:jc w:val="right"/>
              <w:ind w:right="228"/>
              <w:spacing w:after="0"/>
              <w:rPr>
                <w:sz w:val="20"/>
                <w:szCs w:val="20"/>
                <w:color w:val="auto"/>
              </w:rPr>
            </w:pPr>
            <w:r>
              <w:rPr>
                <w:rFonts w:ascii="Arial" w:cs="Arial" w:eastAsia="Arial" w:hAnsi="Arial"/>
                <w:sz w:val="19"/>
                <w:szCs w:val="19"/>
                <w:color w:val="auto"/>
              </w:rPr>
              <w:t>17,846</w:t>
            </w:r>
          </w:p>
        </w:tc>
        <w:tc>
          <w:tcPr>
            <w:tcW w:w="800" w:type="dxa"/>
            <w:vAlign w:val="bottom"/>
          </w:tcPr>
          <w:p>
            <w:pPr>
              <w:jc w:val="right"/>
              <w:spacing w:after="0"/>
              <w:rPr>
                <w:sz w:val="20"/>
                <w:szCs w:val="20"/>
                <w:color w:val="auto"/>
              </w:rPr>
            </w:pPr>
            <w:r>
              <w:rPr>
                <w:rFonts w:ascii="Arial" w:cs="Arial" w:eastAsia="Arial" w:hAnsi="Arial"/>
                <w:sz w:val="19"/>
                <w:szCs w:val="19"/>
                <w:color w:val="auto"/>
              </w:rPr>
              <w:t>26,248</w:t>
            </w:r>
          </w:p>
        </w:tc>
        <w:tc>
          <w:tcPr>
            <w:tcW w:w="180" w:type="dxa"/>
            <w:vAlign w:val="bottom"/>
          </w:tcPr>
          <w:p>
            <w:pPr>
              <w:spacing w:after="0"/>
              <w:rPr>
                <w:sz w:val="19"/>
                <w:szCs w:val="19"/>
                <w:color w:val="auto"/>
              </w:rPr>
            </w:pPr>
          </w:p>
        </w:tc>
      </w:tr>
      <w:tr>
        <w:trPr>
          <w:trHeight w:val="214"/>
        </w:trPr>
        <w:tc>
          <w:tcPr>
            <w:tcW w:w="4360" w:type="dxa"/>
            <w:vAlign w:val="bottom"/>
            <w:shd w:val="clear" w:color="auto" w:fill="CCEEFF"/>
          </w:tcPr>
          <w:p>
            <w:pPr>
              <w:spacing w:after="0" w:line="214" w:lineRule="exact"/>
              <w:rPr>
                <w:sz w:val="20"/>
                <w:szCs w:val="20"/>
                <w:color w:val="auto"/>
              </w:rPr>
            </w:pPr>
            <w:r>
              <w:rPr>
                <w:rFonts w:ascii="Arial" w:cs="Arial" w:eastAsia="Arial" w:hAnsi="Arial"/>
                <w:sz w:val="19"/>
                <w:szCs w:val="19"/>
                <w:color w:val="auto"/>
              </w:rPr>
              <w:t>Percentage of total contracted days/total available</w:t>
            </w: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42"/>
        </w:trPr>
        <w:tc>
          <w:tcPr>
            <w:tcW w:w="4360" w:type="dxa"/>
            <w:vAlign w:val="bottom"/>
            <w:shd w:val="clear" w:color="auto" w:fill="CCEEFF"/>
          </w:tcPr>
          <w:p>
            <w:pPr>
              <w:ind w:left="180"/>
              <w:spacing w:after="0"/>
              <w:rPr>
                <w:sz w:val="20"/>
                <w:szCs w:val="20"/>
                <w:color w:val="auto"/>
              </w:rPr>
            </w:pPr>
            <w:r>
              <w:rPr>
                <w:rFonts w:ascii="Arial" w:cs="Arial" w:eastAsia="Arial" w:hAnsi="Arial"/>
                <w:sz w:val="19"/>
                <w:szCs w:val="19"/>
                <w:color w:val="auto"/>
              </w:rPr>
              <w:t>days%</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9"/>
                <w:szCs w:val="19"/>
                <w:color w:val="auto"/>
              </w:rPr>
              <w:t>91.0%</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9"/>
                <w:szCs w:val="19"/>
                <w:color w:val="auto"/>
              </w:rPr>
              <w:t>71.9%</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9"/>
                <w:szCs w:val="19"/>
                <w:color w:val="auto"/>
              </w:rPr>
              <w:t>41.8%</w:t>
            </w:r>
          </w:p>
        </w:tc>
        <w:tc>
          <w:tcPr>
            <w:tcW w:w="10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28.6%</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9"/>
                <w:szCs w:val="19"/>
                <w:color w:val="auto"/>
              </w:rPr>
              <w:t>10.9%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34.7%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19291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346" w:right="140" w:hanging="346"/>
        <w:spacing w:after="0" w:line="213" w:lineRule="auto"/>
        <w:tabs>
          <w:tab w:leader="none" w:pos="342"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Reflects time charter revenues and contracted days for the 14 LNG carriers in our fleet as of December 31, 2018. Does not include charter revenues for the vessel operating in the spot/short-term market under the Cool Pool.</w:t>
      </w:r>
    </w:p>
    <w:p>
      <w:pPr>
        <w:spacing w:after="0" w:line="123" w:lineRule="exact"/>
        <w:rPr>
          <w:rFonts w:ascii="Arial" w:cs="Arial" w:eastAsia="Arial" w:hAnsi="Arial"/>
          <w:sz w:val="19"/>
          <w:szCs w:val="19"/>
          <w:color w:val="auto"/>
          <w:vertAlign w:val="superscript"/>
        </w:rPr>
      </w:pPr>
    </w:p>
    <w:p>
      <w:pPr>
        <w:ind w:left="346" w:right="240" w:hanging="346"/>
        <w:spacing w:after="0" w:line="213" w:lineRule="auto"/>
        <w:tabs>
          <w:tab w:leader="none" w:pos="342"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Our ships are scheduled to undergo dry-docking once every five years. Revenue calculations assume 365 revenue days per ship per annum, with 30 off-hire days when each ship undergoes scheduled dry-docking.</w:t>
      </w:r>
    </w:p>
    <w:p>
      <w:pPr>
        <w:spacing w:after="0" w:line="96" w:lineRule="exact"/>
        <w:rPr>
          <w:rFonts w:ascii="Arial" w:cs="Arial" w:eastAsia="Arial" w:hAnsi="Arial"/>
          <w:sz w:val="19"/>
          <w:szCs w:val="19"/>
          <w:color w:val="auto"/>
          <w:vertAlign w:val="superscript"/>
        </w:rPr>
      </w:pPr>
    </w:p>
    <w:p>
      <w:pPr>
        <w:ind w:left="346" w:hanging="346"/>
        <w:spacing w:after="0"/>
        <w:tabs>
          <w:tab w:leader="none" w:pos="346"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For time charters that include an operating cost component, revenue calculations include an estimate of the amount of that operating cost component.</w:t>
      </w:r>
    </w:p>
    <w:p>
      <w:pPr>
        <w:spacing w:after="0" w:line="19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6"/>
          </w:cols>
          <w:pgMar w:left="114" w:top="213" w:right="140" w:bottom="225" w:gutter="0" w:footer="0" w:header="0"/>
        </w:sectPr>
      </w:pPr>
    </w:p>
    <w:bookmarkStart w:id="9" w:name="page10"/>
    <w:bookmarkEnd w:id="9"/>
    <w:p>
      <w:pPr>
        <w:ind w:left="346" w:hanging="346"/>
        <w:spacing w:after="0"/>
        <w:tabs>
          <w:tab w:leader="none" w:pos="346"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Revenue calculations assume no exercise of any option to extend the terms of the charters.</w:t>
      </w:r>
    </w:p>
    <w:p>
      <w:pPr>
        <w:spacing w:after="0" w:line="95" w:lineRule="exact"/>
        <w:rPr>
          <w:rFonts w:ascii="Arial" w:cs="Arial" w:eastAsia="Arial" w:hAnsi="Arial"/>
          <w:sz w:val="19"/>
          <w:szCs w:val="19"/>
          <w:color w:val="auto"/>
          <w:vertAlign w:val="superscript"/>
        </w:rPr>
      </w:pPr>
    </w:p>
    <w:p>
      <w:pPr>
        <w:ind w:left="346" w:hanging="346"/>
        <w:spacing w:after="0"/>
        <w:tabs>
          <w:tab w:leader="none" w:pos="346"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Available days represent total calendar days after deducting 30 off-hire days when the ship undergoes scheduled dry-docking.</w:t>
      </w:r>
    </w:p>
    <w:p>
      <w:pPr>
        <w:spacing w:after="0" w:line="95" w:lineRule="exact"/>
        <w:rPr>
          <w:rFonts w:ascii="Arial" w:cs="Arial" w:eastAsia="Arial" w:hAnsi="Arial"/>
          <w:sz w:val="19"/>
          <w:szCs w:val="19"/>
          <w:color w:val="auto"/>
          <w:vertAlign w:val="superscript"/>
        </w:rPr>
      </w:pPr>
    </w:p>
    <w:p>
      <w:pPr>
        <w:ind w:left="346" w:hanging="346"/>
        <w:spacing w:after="0"/>
        <w:tabs>
          <w:tab w:leader="none" w:pos="346"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Represents available days for the ships after the expiration of the existing charters (assuming charterers do not exercise any option to extend the terms of the charters).</w:t>
      </w:r>
    </w:p>
    <w:p>
      <w:pPr>
        <w:spacing w:after="0" w:line="198" w:lineRule="exact"/>
        <w:rPr>
          <w:sz w:val="20"/>
          <w:szCs w:val="20"/>
          <w:color w:val="auto"/>
        </w:rPr>
      </w:pPr>
    </w:p>
    <w:p>
      <w:pPr>
        <w:ind w:left="6" w:right="20" w:firstLine="205"/>
        <w:spacing w:after="0" w:line="283" w:lineRule="auto"/>
        <w:rPr>
          <w:sz w:val="20"/>
          <w:szCs w:val="20"/>
          <w:color w:val="auto"/>
        </w:rPr>
      </w:pPr>
      <w:r>
        <w:rPr>
          <w:rFonts w:ascii="Arial" w:cs="Arial" w:eastAsia="Arial" w:hAnsi="Arial"/>
          <w:sz w:val="17"/>
          <w:szCs w:val="17"/>
          <w:color w:val="auto"/>
        </w:rPr>
        <w:t>The table above provides information about our contracted charter revenues and ship utilization based on contracts in effect for the 14 LNG carriers in our fleet as of December 31, 2018. The table reflects only our contracted charter revenues for the ships in our owned fleet for which we have secured time charters, and it does not reflect the costs or expenses we will incur in fulfilling our obligations under the charters. In particular, the table does not reflect any revenues from the vessel that is operating in the Cool Pool, any time charter revenues from any additional ships we may acquire in the future, nor does it reflect the options under our time charters that permit our charterers to extend the time charter terms for successive multi-year periods at comparable charter hire rates. The entry into a time charter contract for the vessel operating in the Cool Pool, or the exercise of the options to extend the terms of our existing charters would result in an increase in the number of contracted days and the contracted revenues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February 12, 2018. For these reasons, the contracted charter revenues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80" w:lineRule="exact"/>
        <w:rPr>
          <w:sz w:val="20"/>
          <w:szCs w:val="20"/>
          <w:color w:val="auto"/>
        </w:rPr>
      </w:pPr>
    </w:p>
    <w:p>
      <w:pPr>
        <w:ind w:left="6"/>
        <w:spacing w:after="0"/>
        <w:rPr>
          <w:sz w:val="20"/>
          <w:szCs w:val="20"/>
          <w:color w:val="auto"/>
        </w:rPr>
      </w:pPr>
      <w:r>
        <w:rPr>
          <w:rFonts w:ascii="Arial" w:cs="Arial" w:eastAsia="Arial" w:hAnsi="Arial"/>
          <w:sz w:val="19"/>
          <w:szCs w:val="19"/>
          <w:b w:val="1"/>
          <w:bCs w:val="1"/>
          <w:u w:val="single" w:color="auto"/>
          <w:color w:val="auto"/>
        </w:rPr>
        <w:t>Conference Call</w:t>
      </w:r>
    </w:p>
    <w:p>
      <w:pPr>
        <w:spacing w:after="0" w:line="244" w:lineRule="exact"/>
        <w:rPr>
          <w:sz w:val="20"/>
          <w:szCs w:val="20"/>
          <w:color w:val="auto"/>
        </w:rPr>
      </w:pPr>
    </w:p>
    <w:p>
      <w:pPr>
        <w:ind w:left="6" w:right="40"/>
        <w:spacing w:after="0" w:line="263" w:lineRule="auto"/>
        <w:rPr>
          <w:sz w:val="20"/>
          <w:szCs w:val="20"/>
          <w:color w:val="auto"/>
        </w:rPr>
      </w:pPr>
      <w:r>
        <w:rPr>
          <w:rFonts w:ascii="Arial" w:cs="Arial" w:eastAsia="Arial" w:hAnsi="Arial"/>
          <w:sz w:val="19"/>
          <w:szCs w:val="19"/>
          <w:color w:val="auto"/>
        </w:rPr>
        <w:t>GasLog Partners will host a conference call to discuss its results for the fourth quarter of 2018 at 8:30 a.m. EST (1:30 p.m. GMT) on Wednesday, January 30, 2019. Andrew Orekar, Chief Executive Officer, and Alastair Maxwell, Chief Financial Officer, will review the Partnership’s operational and financial performance for the period. Management’s presentation will be followed by a Q&amp;A session.</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9"/>
          <w:szCs w:val="19"/>
          <w:color w:val="auto"/>
        </w:rPr>
        <w:t>The dial-in numbers for the conference call are as follows:</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9"/>
          <w:szCs w:val="19"/>
          <w:color w:val="auto"/>
        </w:rPr>
        <w:t>+1 855 253 8928 (USA)</w:t>
      </w:r>
    </w:p>
    <w:p>
      <w:pPr>
        <w:spacing w:after="0" w:line="10" w:lineRule="exact"/>
        <w:rPr>
          <w:sz w:val="20"/>
          <w:szCs w:val="20"/>
          <w:color w:val="auto"/>
        </w:rPr>
      </w:pPr>
    </w:p>
    <w:p>
      <w:pPr>
        <w:ind w:left="6"/>
        <w:spacing w:after="0"/>
        <w:rPr>
          <w:sz w:val="20"/>
          <w:szCs w:val="20"/>
          <w:color w:val="auto"/>
        </w:rPr>
      </w:pPr>
      <w:r>
        <w:rPr>
          <w:rFonts w:ascii="Arial" w:cs="Arial" w:eastAsia="Arial" w:hAnsi="Arial"/>
          <w:sz w:val="19"/>
          <w:szCs w:val="19"/>
          <w:color w:val="auto"/>
        </w:rPr>
        <w:t>+44 20 3107 0289 (United Kingdom)</w:t>
      </w:r>
    </w:p>
    <w:p>
      <w:pPr>
        <w:spacing w:after="0" w:line="10" w:lineRule="exact"/>
        <w:rPr>
          <w:sz w:val="20"/>
          <w:szCs w:val="20"/>
          <w:color w:val="auto"/>
        </w:rPr>
      </w:pPr>
    </w:p>
    <w:p>
      <w:pPr>
        <w:ind w:left="6"/>
        <w:spacing w:after="0"/>
        <w:rPr>
          <w:sz w:val="20"/>
          <w:szCs w:val="20"/>
          <w:color w:val="auto"/>
        </w:rPr>
      </w:pPr>
      <w:r>
        <w:rPr>
          <w:rFonts w:ascii="Arial" w:cs="Arial" w:eastAsia="Arial" w:hAnsi="Arial"/>
          <w:sz w:val="19"/>
          <w:szCs w:val="19"/>
          <w:color w:val="auto"/>
        </w:rPr>
        <w:t>+33 1 70 80 71 53 (France)</w:t>
      </w:r>
    </w:p>
    <w:p>
      <w:pPr>
        <w:spacing w:after="0" w:line="10" w:lineRule="exact"/>
        <w:rPr>
          <w:sz w:val="20"/>
          <w:szCs w:val="20"/>
          <w:color w:val="auto"/>
        </w:rPr>
      </w:pPr>
    </w:p>
    <w:p>
      <w:pPr>
        <w:ind w:left="6"/>
        <w:spacing w:after="0"/>
        <w:rPr>
          <w:sz w:val="20"/>
          <w:szCs w:val="20"/>
          <w:color w:val="auto"/>
        </w:rPr>
      </w:pPr>
      <w:r>
        <w:rPr>
          <w:rFonts w:ascii="Arial" w:cs="Arial" w:eastAsia="Arial" w:hAnsi="Arial"/>
          <w:sz w:val="19"/>
          <w:szCs w:val="19"/>
          <w:color w:val="auto"/>
        </w:rPr>
        <w:t>+852 3011 4522 (Hong Kong)</w:t>
      </w:r>
    </w:p>
    <w:p>
      <w:pPr>
        <w:spacing w:after="0" w:line="225" w:lineRule="exact"/>
        <w:rPr>
          <w:sz w:val="20"/>
          <w:szCs w:val="20"/>
          <w:color w:val="auto"/>
        </w:rPr>
      </w:pPr>
    </w:p>
    <w:p>
      <w:pPr>
        <w:ind w:left="6"/>
        <w:spacing w:after="0"/>
        <w:rPr>
          <w:sz w:val="20"/>
          <w:szCs w:val="20"/>
          <w:color w:val="auto"/>
        </w:rPr>
      </w:pPr>
      <w:r>
        <w:rPr>
          <w:rFonts w:ascii="Arial" w:cs="Arial" w:eastAsia="Arial" w:hAnsi="Arial"/>
          <w:sz w:val="19"/>
          <w:szCs w:val="19"/>
          <w:color w:val="auto"/>
        </w:rPr>
        <w:t>Conference ID: 5598875</w:t>
      </w:r>
    </w:p>
    <w:p>
      <w:pPr>
        <w:spacing w:after="0" w:line="238" w:lineRule="exact"/>
        <w:rPr>
          <w:sz w:val="20"/>
          <w:szCs w:val="20"/>
          <w:color w:val="auto"/>
        </w:rPr>
      </w:pPr>
    </w:p>
    <w:p>
      <w:pPr>
        <w:ind w:left="6" w:right="2840"/>
        <w:spacing w:after="0" w:line="275" w:lineRule="auto"/>
        <w:rPr>
          <w:sz w:val="20"/>
          <w:szCs w:val="20"/>
          <w:color w:val="auto"/>
        </w:rPr>
      </w:pPr>
      <w:r>
        <w:rPr>
          <w:rFonts w:ascii="Arial" w:cs="Arial" w:eastAsia="Arial" w:hAnsi="Arial"/>
          <w:sz w:val="19"/>
          <w:szCs w:val="19"/>
          <w:color w:val="auto"/>
        </w:rPr>
        <w:t>A live webcast of the conference call will also be available on the Investor Relations page of the Partnership’s website at http://www.gaslogmlp.com/investor-relations.</w:t>
      </w:r>
    </w:p>
    <w:p>
      <w:pPr>
        <w:spacing w:after="0" w:line="184" w:lineRule="exact"/>
        <w:rPr>
          <w:sz w:val="20"/>
          <w:szCs w:val="20"/>
          <w:color w:val="auto"/>
        </w:rPr>
      </w:pPr>
    </w:p>
    <w:p>
      <w:pPr>
        <w:ind w:left="6" w:right="160"/>
        <w:spacing w:after="0" w:line="275" w:lineRule="auto"/>
        <w:rPr>
          <w:sz w:val="20"/>
          <w:szCs w:val="20"/>
          <w:color w:val="auto"/>
        </w:rPr>
      </w:pPr>
      <w:r>
        <w:rPr>
          <w:rFonts w:ascii="Arial" w:cs="Arial" w:eastAsia="Arial" w:hAnsi="Arial"/>
          <w:sz w:val="19"/>
          <w:szCs w:val="19"/>
          <w:color w:val="auto"/>
        </w:rPr>
        <w:t>For those unable to participate in the conference call, a replay of the webcast will be available on the Investor Relations page of the Partnership’s website at http://www.gaslogmlp.com/investor-relations.</w:t>
      </w:r>
    </w:p>
    <w:p>
      <w:pPr>
        <w:spacing w:after="0" w:line="178" w:lineRule="exact"/>
        <w:rPr>
          <w:sz w:val="20"/>
          <w:szCs w:val="20"/>
          <w:color w:val="auto"/>
        </w:rPr>
      </w:pPr>
    </w:p>
    <w:p>
      <w:pPr>
        <w:ind w:left="6"/>
        <w:spacing w:after="0"/>
        <w:rPr>
          <w:sz w:val="20"/>
          <w:szCs w:val="20"/>
          <w:color w:val="auto"/>
        </w:rPr>
      </w:pPr>
      <w:r>
        <w:rPr>
          <w:rFonts w:ascii="Arial" w:cs="Arial" w:eastAsia="Arial" w:hAnsi="Arial"/>
          <w:sz w:val="19"/>
          <w:szCs w:val="19"/>
          <w:b w:val="1"/>
          <w:bCs w:val="1"/>
          <w:u w:val="single" w:color="auto"/>
          <w:color w:val="auto"/>
        </w:rPr>
        <w:t>About GasLog Partners</w:t>
      </w:r>
    </w:p>
    <w:p>
      <w:pPr>
        <w:spacing w:after="0" w:line="244" w:lineRule="exact"/>
        <w:rPr>
          <w:sz w:val="20"/>
          <w:szCs w:val="20"/>
          <w:color w:val="auto"/>
        </w:rPr>
      </w:pPr>
    </w:p>
    <w:p>
      <w:pPr>
        <w:jc w:val="both"/>
        <w:ind w:left="6"/>
        <w:spacing w:after="0" w:line="308" w:lineRule="auto"/>
        <w:rPr>
          <w:sz w:val="20"/>
          <w:szCs w:val="20"/>
          <w:color w:val="auto"/>
        </w:rPr>
      </w:pPr>
      <w:r>
        <w:rPr>
          <w:rFonts w:ascii="Arial" w:cs="Arial" w:eastAsia="Arial" w:hAnsi="Arial"/>
          <w:sz w:val="17"/>
          <w:szCs w:val="17"/>
          <w:color w:val="auto"/>
        </w:rPr>
        <w:t>GasLog Partners is a growth-oriented master limited partnership focused on owning, operating and acquiring LNG carriers under multi-year charters. GasLog Partners’ fleet consists of 14 LNG carriers with an average carrying capacity of approximately 157,000 cbm. GasLog Partners’ principal executive offices are located at Gildo Pastor Center, 7 Rue du Gabian, MC 98000, Monaco. Visit GasLog Partners’ website at http://www.gaslogmlp.com</w:t>
      </w:r>
    </w:p>
    <w:p>
      <w:pPr>
        <w:spacing w:after="0" w:line="160"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182" w:right="120" w:bottom="1440" w:gutter="0" w:footer="0" w:header="0"/>
        </w:sectPr>
      </w:pPr>
    </w:p>
    <w:bookmarkStart w:id="10" w:name="page11"/>
    <w:bookmarkEnd w:id="10"/>
    <w:p>
      <w:pPr>
        <w:spacing w:after="0"/>
        <w:rPr>
          <w:sz w:val="20"/>
          <w:szCs w:val="20"/>
          <w:color w:val="auto"/>
        </w:rPr>
      </w:pPr>
      <w:r>
        <w:rPr>
          <w:rFonts w:ascii="Arial" w:cs="Arial" w:eastAsia="Arial" w:hAnsi="Arial"/>
          <w:sz w:val="19"/>
          <w:szCs w:val="19"/>
          <w:b w:val="1"/>
          <w:bCs w:val="1"/>
          <w:u w:val="single" w:color="auto"/>
          <w:color w:val="auto"/>
        </w:rPr>
        <w:t>Forward-Looking Statements</w:t>
      </w:r>
    </w:p>
    <w:p>
      <w:pPr>
        <w:spacing w:after="0" w:line="24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Factors that might cause future results and outcomes to differ include, but are not limited to, the following:</w:t>
      </w:r>
    </w:p>
    <w:p>
      <w:pPr>
        <w:spacing w:after="0" w:line="238" w:lineRule="exact"/>
        <w:rPr>
          <w:sz w:val="20"/>
          <w:szCs w:val="20"/>
          <w:color w:val="auto"/>
        </w:rPr>
      </w:pPr>
    </w:p>
    <w:p>
      <w:pPr>
        <w:ind w:left="680" w:right="60" w:hanging="344"/>
        <w:spacing w:after="0" w:line="257" w:lineRule="auto"/>
        <w:tabs>
          <w:tab w:leader="none" w:pos="642" w:val="left"/>
        </w:tabs>
        <w:numPr>
          <w:ilvl w:val="0"/>
          <w:numId w:val="9"/>
        </w:numPr>
        <w:rPr>
          <w:rFonts w:ascii="Arial" w:cs="Arial" w:eastAsia="Arial" w:hAnsi="Arial"/>
          <w:sz w:val="19"/>
          <w:szCs w:val="19"/>
          <w:color w:val="auto"/>
        </w:rPr>
      </w:pPr>
      <w:r>
        <w:rPr>
          <w:rFonts w:ascii="Arial" w:cs="Arial" w:eastAsia="Arial" w:hAnsi="Arial"/>
          <w:sz w:val="19"/>
          <w:szCs w:val="19"/>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9"/>
          <w:szCs w:val="19"/>
          <w:color w:val="auto"/>
        </w:rPr>
      </w:pPr>
    </w:p>
    <w:p>
      <w:pPr>
        <w:ind w:left="640" w:hanging="304"/>
        <w:spacing w:after="0"/>
        <w:tabs>
          <w:tab w:leader="none" w:pos="640" w:val="left"/>
        </w:tabs>
        <w:numPr>
          <w:ilvl w:val="0"/>
          <w:numId w:val="9"/>
        </w:numPr>
        <w:rPr>
          <w:rFonts w:ascii="Arial" w:cs="Arial" w:eastAsia="Arial" w:hAnsi="Arial"/>
          <w:sz w:val="19"/>
          <w:szCs w:val="19"/>
          <w:color w:val="auto"/>
        </w:rPr>
      </w:pPr>
      <w:r>
        <w:rPr>
          <w:rFonts w:ascii="Arial" w:cs="Arial" w:eastAsia="Arial" w:hAnsi="Arial"/>
          <w:sz w:val="19"/>
          <w:szCs w:val="19"/>
          <w:color w:val="auto"/>
        </w:rPr>
        <w:t>fluctuations in charter hire rates and vessel values;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9"/>
        </w:numPr>
        <w:rPr>
          <w:rFonts w:ascii="Arial" w:cs="Arial" w:eastAsia="Arial" w:hAnsi="Arial"/>
          <w:sz w:val="19"/>
          <w:szCs w:val="19"/>
          <w:color w:val="auto"/>
        </w:rPr>
      </w:pPr>
      <w:r>
        <w:rPr>
          <w:rFonts w:ascii="Arial" w:cs="Arial" w:eastAsia="Arial" w:hAnsi="Arial"/>
          <w:sz w:val="19"/>
          <w:szCs w:val="19"/>
          <w:color w:val="auto"/>
        </w:rPr>
        <w:t>our ability to secure new multi-year charters at economically attractive rates;</w:t>
      </w:r>
    </w:p>
    <w:p>
      <w:pPr>
        <w:spacing w:after="0" w:line="9" w:lineRule="exact"/>
        <w:rPr>
          <w:rFonts w:ascii="Arial" w:cs="Arial" w:eastAsia="Arial" w:hAnsi="Arial"/>
          <w:sz w:val="19"/>
          <w:szCs w:val="19"/>
          <w:color w:val="auto"/>
        </w:rPr>
      </w:pPr>
    </w:p>
    <w:p>
      <w:pPr>
        <w:ind w:left="680" w:right="460" w:hanging="344"/>
        <w:spacing w:after="0" w:line="250" w:lineRule="auto"/>
        <w:tabs>
          <w:tab w:leader="none" w:pos="642" w:val="left"/>
        </w:tabs>
        <w:numPr>
          <w:ilvl w:val="0"/>
          <w:numId w:val="9"/>
        </w:numPr>
        <w:rPr>
          <w:rFonts w:ascii="Arial" w:cs="Arial" w:eastAsia="Arial" w:hAnsi="Arial"/>
          <w:sz w:val="19"/>
          <w:szCs w:val="19"/>
          <w:color w:val="auto"/>
        </w:rPr>
      </w:pPr>
      <w:r>
        <w:rPr>
          <w:rFonts w:ascii="Arial" w:cs="Arial" w:eastAsia="Arial" w:hAnsi="Arial"/>
          <w:sz w:val="19"/>
          <w:szCs w:val="19"/>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spacing w:after="0" w:line="1" w:lineRule="exact"/>
        <w:rPr>
          <w:rFonts w:ascii="Arial" w:cs="Arial" w:eastAsia="Arial" w:hAnsi="Arial"/>
          <w:sz w:val="19"/>
          <w:szCs w:val="19"/>
          <w:color w:val="auto"/>
        </w:rPr>
      </w:pPr>
    </w:p>
    <w:p>
      <w:pPr>
        <w:ind w:left="640" w:hanging="304"/>
        <w:spacing w:after="0"/>
        <w:tabs>
          <w:tab w:leader="none" w:pos="640" w:val="left"/>
        </w:tabs>
        <w:numPr>
          <w:ilvl w:val="0"/>
          <w:numId w:val="9"/>
        </w:numPr>
        <w:rPr>
          <w:rFonts w:ascii="Arial" w:cs="Arial" w:eastAsia="Arial" w:hAnsi="Arial"/>
          <w:sz w:val="19"/>
          <w:szCs w:val="19"/>
          <w:color w:val="auto"/>
        </w:rPr>
      </w:pPr>
      <w:r>
        <w:rPr>
          <w:rFonts w:ascii="Arial" w:cs="Arial" w:eastAsia="Arial" w:hAnsi="Arial"/>
          <w:sz w:val="19"/>
          <w:szCs w:val="19"/>
          <w:color w:val="auto"/>
        </w:rPr>
        <w:t>changes in our operating expenses, including crew wages, maintenance, dry-docking and insurance costs and bunker prices;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off-hire days and dry-docking requirements including our ability to complete scheduled dry-dockings on time and within budget;</w:t>
      </w:r>
    </w:p>
    <w:p>
      <w:pPr>
        <w:spacing w:after="0" w:line="21" w:lineRule="exact"/>
        <w:rPr>
          <w:rFonts w:ascii="Arial" w:cs="Arial" w:eastAsia="Arial" w:hAnsi="Arial"/>
          <w:sz w:val="18"/>
          <w:szCs w:val="18"/>
          <w:color w:val="auto"/>
        </w:rPr>
      </w:pPr>
    </w:p>
    <w:p>
      <w:pPr>
        <w:ind w:left="640" w:hanging="304"/>
        <w:spacing w:after="0"/>
        <w:tabs>
          <w:tab w:leader="none" w:pos="640" w:val="left"/>
        </w:tabs>
        <w:numPr>
          <w:ilvl w:val="0"/>
          <w:numId w:val="9"/>
        </w:numPr>
        <w:rPr>
          <w:rFonts w:ascii="Arial" w:cs="Arial" w:eastAsia="Arial" w:hAnsi="Arial"/>
          <w:sz w:val="19"/>
          <w:szCs w:val="19"/>
          <w:color w:val="auto"/>
        </w:rPr>
      </w:pPr>
      <w:r>
        <w:rPr>
          <w:rFonts w:ascii="Arial" w:cs="Arial" w:eastAsia="Arial" w:hAnsi="Arial"/>
          <w:sz w:val="19"/>
          <w:szCs w:val="19"/>
          <w:color w:val="auto"/>
        </w:rPr>
        <w:t>planned capital expenditures and availability of capital resources to fund capital expenditures;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9"/>
        </w:numPr>
        <w:rPr>
          <w:rFonts w:ascii="Arial" w:cs="Arial" w:eastAsia="Arial" w:hAnsi="Arial"/>
          <w:sz w:val="19"/>
          <w:szCs w:val="19"/>
          <w:color w:val="auto"/>
        </w:rPr>
      </w:pPr>
      <w:r>
        <w:rPr>
          <w:rFonts w:ascii="Arial" w:cs="Arial" w:eastAsia="Arial" w:hAnsi="Arial"/>
          <w:sz w:val="19"/>
          <w:szCs w:val="19"/>
          <w:color w:val="auto"/>
        </w:rPr>
        <w:t>fluctuations in prices for crude oil, petroleum products and natural gas;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9"/>
        </w:numPr>
        <w:rPr>
          <w:rFonts w:ascii="Arial" w:cs="Arial" w:eastAsia="Arial" w:hAnsi="Arial"/>
          <w:sz w:val="19"/>
          <w:szCs w:val="19"/>
          <w:color w:val="auto"/>
        </w:rPr>
      </w:pPr>
      <w:r>
        <w:rPr>
          <w:rFonts w:ascii="Arial" w:cs="Arial" w:eastAsia="Arial" w:hAnsi="Arial"/>
          <w:sz w:val="19"/>
          <w:szCs w:val="19"/>
          <w:color w:val="auto"/>
        </w:rPr>
        <w:t>fluctuations in exchange rates, especially US dollar and Euro;</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expand our portfolio by acquiring vessels through our drop-down pipeline with GasLog or by acquiring other assets from third parties;</w:t>
      </w:r>
    </w:p>
    <w:p>
      <w:pPr>
        <w:spacing w:after="0" w:line="32" w:lineRule="exact"/>
        <w:rPr>
          <w:rFonts w:ascii="Arial" w:cs="Arial" w:eastAsia="Arial" w:hAnsi="Arial"/>
          <w:sz w:val="17"/>
          <w:szCs w:val="17"/>
          <w:color w:val="auto"/>
        </w:rPr>
      </w:pPr>
    </w:p>
    <w:p>
      <w:pPr>
        <w:ind w:left="640" w:hanging="304"/>
        <w:spacing w:after="0"/>
        <w:tabs>
          <w:tab w:leader="none" w:pos="640" w:val="left"/>
        </w:tabs>
        <w:numPr>
          <w:ilvl w:val="0"/>
          <w:numId w:val="9"/>
        </w:numPr>
        <w:rPr>
          <w:rFonts w:ascii="Arial" w:cs="Arial" w:eastAsia="Arial" w:hAnsi="Arial"/>
          <w:sz w:val="19"/>
          <w:szCs w:val="19"/>
          <w:color w:val="auto"/>
        </w:rPr>
      </w:pPr>
      <w:r>
        <w:rPr>
          <w:rFonts w:ascii="Arial" w:cs="Arial" w:eastAsia="Arial" w:hAnsi="Arial"/>
          <w:sz w:val="19"/>
          <w:szCs w:val="19"/>
          <w:color w:val="auto"/>
        </w:rPr>
        <w:t>our ability to leverage GasLog’s relationships and reputation in the shipping industry;</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GasLog to maintain long-term relationships with major energy companies and major LNG producers, marketers and consumers;</w:t>
      </w:r>
    </w:p>
    <w:p>
      <w:pPr>
        <w:spacing w:after="0" w:line="21" w:lineRule="exact"/>
        <w:rPr>
          <w:rFonts w:ascii="Arial" w:cs="Arial" w:eastAsia="Arial" w:hAnsi="Arial"/>
          <w:sz w:val="18"/>
          <w:szCs w:val="18"/>
          <w:color w:val="auto"/>
        </w:rPr>
      </w:pPr>
    </w:p>
    <w:p>
      <w:pPr>
        <w:ind w:left="680" w:right="500" w:hanging="344"/>
        <w:spacing w:after="0" w:line="250" w:lineRule="auto"/>
        <w:tabs>
          <w:tab w:leader="none" w:pos="642" w:val="left"/>
        </w:tabs>
        <w:numPr>
          <w:ilvl w:val="0"/>
          <w:numId w:val="9"/>
        </w:numPr>
        <w:rPr>
          <w:rFonts w:ascii="Arial" w:cs="Arial" w:eastAsia="Arial" w:hAnsi="Arial"/>
          <w:sz w:val="19"/>
          <w:szCs w:val="19"/>
          <w:color w:val="auto"/>
        </w:rPr>
      </w:pPr>
      <w:r>
        <w:rPr>
          <w:rFonts w:ascii="Arial" w:cs="Arial" w:eastAsia="Arial" w:hAnsi="Arial"/>
          <w:sz w:val="19"/>
          <w:szCs w:val="19"/>
          <w:color w:val="auto"/>
        </w:rPr>
        <w:t>GasLog’s relationships with its employees and ship crews, its ability to retain key employees and provide services to us, and the availability of skilled labor, ship crews and management;</w:t>
      </w:r>
    </w:p>
    <w:p>
      <w:pPr>
        <w:spacing w:after="0" w:line="1" w:lineRule="exact"/>
        <w:rPr>
          <w:rFonts w:ascii="Arial" w:cs="Arial" w:eastAsia="Arial" w:hAnsi="Arial"/>
          <w:sz w:val="19"/>
          <w:szCs w:val="19"/>
          <w:color w:val="auto"/>
        </w:rPr>
      </w:pPr>
    </w:p>
    <w:p>
      <w:pPr>
        <w:ind w:left="640" w:hanging="304"/>
        <w:spacing w:after="0"/>
        <w:tabs>
          <w:tab w:leader="none" w:pos="640" w:val="left"/>
        </w:tabs>
        <w:numPr>
          <w:ilvl w:val="0"/>
          <w:numId w:val="9"/>
        </w:numPr>
        <w:rPr>
          <w:rFonts w:ascii="Arial" w:cs="Arial" w:eastAsia="Arial" w:hAnsi="Arial"/>
          <w:sz w:val="19"/>
          <w:szCs w:val="19"/>
          <w:color w:val="auto"/>
        </w:rPr>
      </w:pPr>
      <w:r>
        <w:rPr>
          <w:rFonts w:ascii="Arial" w:cs="Arial" w:eastAsia="Arial" w:hAnsi="Arial"/>
          <w:sz w:val="19"/>
          <w:szCs w:val="19"/>
          <w:color w:val="auto"/>
        </w:rPr>
        <w:t>changes in the ownership of our charterers;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9"/>
        </w:numPr>
        <w:rPr>
          <w:rFonts w:ascii="Arial" w:cs="Arial" w:eastAsia="Arial" w:hAnsi="Arial"/>
          <w:sz w:val="19"/>
          <w:szCs w:val="19"/>
          <w:color w:val="auto"/>
        </w:rPr>
      </w:pPr>
      <w:r>
        <w:rPr>
          <w:rFonts w:ascii="Arial" w:cs="Arial" w:eastAsia="Arial" w:hAnsi="Arial"/>
          <w:sz w:val="19"/>
          <w:szCs w:val="19"/>
          <w:color w:val="auto"/>
        </w:rPr>
        <w:t>our customers’ performance of their obligations under our time charters and other contracts;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9"/>
        </w:numPr>
        <w:rPr>
          <w:rFonts w:ascii="Arial" w:cs="Arial" w:eastAsia="Arial" w:hAnsi="Arial"/>
          <w:sz w:val="19"/>
          <w:szCs w:val="19"/>
          <w:color w:val="auto"/>
        </w:rPr>
      </w:pPr>
      <w:r>
        <w:rPr>
          <w:rFonts w:ascii="Arial" w:cs="Arial" w:eastAsia="Arial" w:hAnsi="Arial"/>
          <w:sz w:val="19"/>
          <w:szCs w:val="19"/>
          <w:color w:val="auto"/>
        </w:rPr>
        <w:t>our future operating performance, financial condition, liquidity and cash available for distributions;</w:t>
      </w:r>
    </w:p>
    <w:p>
      <w:pPr>
        <w:spacing w:after="0" w:line="9" w:lineRule="exact"/>
        <w:rPr>
          <w:rFonts w:ascii="Arial" w:cs="Arial" w:eastAsia="Arial" w:hAnsi="Arial"/>
          <w:sz w:val="19"/>
          <w:szCs w:val="19"/>
          <w:color w:val="auto"/>
        </w:rPr>
      </w:pPr>
    </w:p>
    <w:p>
      <w:pPr>
        <w:ind w:left="680" w:right="200" w:hanging="344"/>
        <w:spacing w:after="0" w:line="250" w:lineRule="auto"/>
        <w:tabs>
          <w:tab w:leader="none" w:pos="642" w:val="left"/>
        </w:tabs>
        <w:numPr>
          <w:ilvl w:val="0"/>
          <w:numId w:val="9"/>
        </w:numPr>
        <w:rPr>
          <w:rFonts w:ascii="Arial" w:cs="Arial" w:eastAsia="Arial" w:hAnsi="Arial"/>
          <w:sz w:val="19"/>
          <w:szCs w:val="19"/>
          <w:color w:val="auto"/>
        </w:rPr>
      </w:pPr>
      <w:r>
        <w:rPr>
          <w:rFonts w:ascii="Arial" w:cs="Arial" w:eastAsia="Arial" w:hAnsi="Arial"/>
          <w:sz w:val="19"/>
          <w:szCs w:val="19"/>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1" w:lineRule="exact"/>
        <w:rPr>
          <w:rFonts w:ascii="Arial" w:cs="Arial" w:eastAsia="Arial" w:hAnsi="Arial"/>
          <w:sz w:val="19"/>
          <w:szCs w:val="19"/>
          <w:color w:val="auto"/>
        </w:rPr>
      </w:pPr>
    </w:p>
    <w:p>
      <w:pPr>
        <w:ind w:left="640" w:hanging="30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w:t>
      </w:r>
    </w:p>
    <w:p>
      <w:pPr>
        <w:spacing w:after="0" w:line="21" w:lineRule="exact"/>
        <w:rPr>
          <w:rFonts w:ascii="Arial" w:cs="Arial" w:eastAsia="Arial" w:hAnsi="Arial"/>
          <w:sz w:val="18"/>
          <w:szCs w:val="18"/>
          <w:color w:val="auto"/>
        </w:rPr>
      </w:pPr>
    </w:p>
    <w:p>
      <w:pPr>
        <w:ind w:left="640" w:hanging="304"/>
        <w:spacing w:after="0"/>
        <w:tabs>
          <w:tab w:leader="none" w:pos="640" w:val="left"/>
        </w:tabs>
        <w:numPr>
          <w:ilvl w:val="0"/>
          <w:numId w:val="9"/>
        </w:numPr>
        <w:rPr>
          <w:rFonts w:ascii="Arial" w:cs="Arial" w:eastAsia="Arial" w:hAnsi="Arial"/>
          <w:sz w:val="19"/>
          <w:szCs w:val="19"/>
          <w:color w:val="auto"/>
        </w:rPr>
      </w:pPr>
      <w:r>
        <w:rPr>
          <w:rFonts w:ascii="Arial" w:cs="Arial" w:eastAsia="Arial" w:hAnsi="Arial"/>
          <w:sz w:val="19"/>
          <w:szCs w:val="19"/>
          <w:color w:val="auto"/>
        </w:rPr>
        <w:t>risks inherent in ship operations, including the discharge of pollutants;</w:t>
      </w:r>
    </w:p>
    <w:p>
      <w:pPr>
        <w:spacing w:after="0" w:line="9" w:lineRule="exact"/>
        <w:rPr>
          <w:rFonts w:ascii="Arial" w:cs="Arial" w:eastAsia="Arial" w:hAnsi="Arial"/>
          <w:sz w:val="19"/>
          <w:szCs w:val="19"/>
          <w:color w:val="auto"/>
        </w:rPr>
      </w:pPr>
    </w:p>
    <w:p>
      <w:pPr>
        <w:ind w:left="680" w:right="100" w:hanging="344"/>
        <w:spacing w:after="0" w:line="250" w:lineRule="auto"/>
        <w:tabs>
          <w:tab w:leader="none" w:pos="642" w:val="left"/>
        </w:tabs>
        <w:numPr>
          <w:ilvl w:val="0"/>
          <w:numId w:val="9"/>
        </w:numPr>
        <w:rPr>
          <w:rFonts w:ascii="Arial" w:cs="Arial" w:eastAsia="Arial" w:hAnsi="Arial"/>
          <w:sz w:val="19"/>
          <w:szCs w:val="19"/>
          <w:color w:val="auto"/>
        </w:rPr>
      </w:pPr>
      <w:r>
        <w:rPr>
          <w:rFonts w:ascii="Arial" w:cs="Arial" w:eastAsia="Arial" w:hAnsi="Arial"/>
          <w:sz w:val="19"/>
          <w:szCs w:val="19"/>
          <w:color w:val="auto"/>
        </w:rPr>
        <w:t>any malfunction or disruption of information technology systems and networks that our operations rely on or any impact of a possible cybersecurity event;</w:t>
      </w:r>
    </w:p>
    <w:p>
      <w:pPr>
        <w:spacing w:after="0" w:line="1" w:lineRule="exact"/>
        <w:rPr>
          <w:rFonts w:ascii="Arial" w:cs="Arial" w:eastAsia="Arial" w:hAnsi="Arial"/>
          <w:sz w:val="19"/>
          <w:szCs w:val="19"/>
          <w:color w:val="auto"/>
        </w:rPr>
      </w:pPr>
    </w:p>
    <w:p>
      <w:pPr>
        <w:ind w:left="680" w:right="260" w:hanging="344"/>
        <w:spacing w:after="0" w:line="250" w:lineRule="auto"/>
        <w:tabs>
          <w:tab w:leader="none" w:pos="642"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 w:lineRule="exact"/>
        <w:rPr>
          <w:rFonts w:ascii="Arial" w:cs="Arial" w:eastAsia="Arial" w:hAnsi="Arial"/>
          <w:sz w:val="19"/>
          <w:szCs w:val="19"/>
          <w:color w:val="auto"/>
        </w:rPr>
      </w:pPr>
    </w:p>
    <w:p>
      <w:pPr>
        <w:ind w:left="640" w:hanging="304"/>
        <w:spacing w:after="0"/>
        <w:tabs>
          <w:tab w:leader="none" w:pos="640" w:val="left"/>
        </w:tabs>
        <w:numPr>
          <w:ilvl w:val="0"/>
          <w:numId w:val="9"/>
        </w:numPr>
        <w:rPr>
          <w:rFonts w:ascii="Arial" w:cs="Arial" w:eastAsia="Arial" w:hAnsi="Arial"/>
          <w:sz w:val="19"/>
          <w:szCs w:val="19"/>
          <w:color w:val="auto"/>
        </w:rPr>
      </w:pPr>
      <w:r>
        <w:rPr>
          <w:rFonts w:ascii="Arial" w:cs="Arial" w:eastAsia="Arial" w:hAnsi="Arial"/>
          <w:sz w:val="19"/>
          <w:szCs w:val="19"/>
          <w:color w:val="auto"/>
        </w:rPr>
        <w:t>potential disruption of shipping routes due to accidents, political events, piracy or acts by terrorists;</w:t>
      </w:r>
    </w:p>
    <w:p>
      <w:pPr>
        <w:spacing w:after="0" w:line="9" w:lineRule="exact"/>
        <w:rPr>
          <w:rFonts w:ascii="Arial" w:cs="Arial" w:eastAsia="Arial" w:hAnsi="Arial"/>
          <w:sz w:val="19"/>
          <w:szCs w:val="19"/>
          <w:color w:val="auto"/>
        </w:rPr>
      </w:pPr>
    </w:p>
    <w:p>
      <w:pPr>
        <w:ind w:left="640" w:hanging="304"/>
        <w:spacing w:after="0"/>
        <w:tabs>
          <w:tab w:leader="none" w:pos="640" w:val="left"/>
        </w:tabs>
        <w:numPr>
          <w:ilvl w:val="0"/>
          <w:numId w:val="9"/>
        </w:numPr>
        <w:rPr>
          <w:rFonts w:ascii="Arial" w:cs="Arial" w:eastAsia="Arial" w:hAnsi="Arial"/>
          <w:sz w:val="19"/>
          <w:szCs w:val="19"/>
          <w:color w:val="auto"/>
        </w:rPr>
      </w:pPr>
      <w:r>
        <w:rPr>
          <w:rFonts w:ascii="Arial" w:cs="Arial" w:eastAsia="Arial" w:hAnsi="Arial"/>
          <w:sz w:val="19"/>
          <w:szCs w:val="19"/>
          <w:color w:val="auto"/>
        </w:rPr>
        <w:t>potential liability from future litigation; and</w:t>
      </w:r>
    </w:p>
    <w:p>
      <w:pPr>
        <w:spacing w:after="0" w:line="9" w:lineRule="exact"/>
        <w:rPr>
          <w:rFonts w:ascii="Arial" w:cs="Arial" w:eastAsia="Arial" w:hAnsi="Arial"/>
          <w:sz w:val="19"/>
          <w:szCs w:val="19"/>
          <w:color w:val="auto"/>
        </w:rPr>
      </w:pPr>
    </w:p>
    <w:p>
      <w:pPr>
        <w:ind w:left="680" w:right="520" w:hanging="344"/>
        <w:spacing w:after="0" w:line="261" w:lineRule="auto"/>
        <w:tabs>
          <w:tab w:leader="none" w:pos="642"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other risks and uncertainties described in the Partnership’s Annual Report on Form 20-F filed with the SEC on February 12, 2018, available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96"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We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0"/>
          </w:cols>
          <w:pgMar w:left="120" w:top="207" w:right="140" w:bottom="1440" w:gutter="0" w:footer="0" w:header="0"/>
        </w:sectPr>
      </w:pPr>
    </w:p>
    <w:bookmarkStart w:id="11" w:name="page12"/>
    <w:bookmarkEnd w:id="11"/>
    <w:p>
      <w:pPr>
        <w:spacing w:after="0"/>
        <w:rPr>
          <w:sz w:val="20"/>
          <w:szCs w:val="20"/>
          <w:color w:val="auto"/>
        </w:rPr>
      </w:pPr>
      <w:r>
        <w:rPr>
          <w:rFonts w:ascii="Arial" w:cs="Arial" w:eastAsia="Arial" w:hAnsi="Arial"/>
          <w:sz w:val="19"/>
          <w:szCs w:val="19"/>
          <w:b w:val="1"/>
          <w:bCs w:val="1"/>
          <w:color w:val="auto"/>
        </w:rPr>
        <w:t>Contacts:</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Alastair Maxwell</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Chief Financial Officer</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Phone: +44-203-388-3100</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Head of Investor Relations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Phone: +44-203-388-3116</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Deputy Head of Investor Relations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Phone: +1-212-223-0643</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E-mail: ir@gaslogmlp.com</w:t>
      </w:r>
    </w:p>
    <w:p>
      <w:pPr>
        <w:spacing w:after="0" w:line="225" w:lineRule="exact"/>
        <w:rPr>
          <w:sz w:val="20"/>
          <w:szCs w:val="20"/>
          <w:color w:val="auto"/>
        </w:rPr>
      </w:pPr>
    </w:p>
    <w:p>
      <w:pPr>
        <w:jc w:val="right"/>
        <w:ind w:right="4640"/>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0680"/>
          </w:cols>
          <w:pgMar w:left="120" w:top="207" w:right="1440" w:bottom="1440" w:gutter="0" w:footer="0" w:header="0"/>
        </w:sectPr>
      </w:pPr>
    </w:p>
    <w:bookmarkStart w:id="12" w:name="page13"/>
    <w:bookmarkEnd w:id="12"/>
    <w:p>
      <w:pPr>
        <w:spacing w:after="0"/>
        <w:rPr>
          <w:sz w:val="20"/>
          <w:szCs w:val="20"/>
          <w:color w:val="auto"/>
        </w:rPr>
      </w:pPr>
      <w:r>
        <w:rPr>
          <w:rFonts w:ascii="Arial" w:cs="Arial" w:eastAsia="Arial" w:hAnsi="Arial"/>
          <w:sz w:val="19"/>
          <w:szCs w:val="19"/>
          <w:b w:val="1"/>
          <w:bCs w:val="1"/>
          <w:color w:val="auto"/>
        </w:rPr>
        <w:t>EXHIBIT I — Unaudited Interim Financial Information: IFRS Common Control Reported Results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Unaudited condensed consolidated statements of financial position</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 of December 31, 2017 and December 31, 2018</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(All amounts expressed in thousands of U.S. Dollars, except unit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74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December 31,</w:t>
            </w:r>
          </w:p>
        </w:tc>
        <w:tc>
          <w:tcPr>
            <w:tcW w:w="156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144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b w:val="1"/>
                <w:bCs w:val="1"/>
                <w:color w:val="auto"/>
              </w:rPr>
              <w:t>2017</w:t>
            </w:r>
          </w:p>
        </w:tc>
        <w:tc>
          <w:tcPr>
            <w:tcW w:w="300" w:type="dxa"/>
            <w:vAlign w:val="bottom"/>
          </w:tcPr>
          <w:p>
            <w:pPr>
              <w:spacing w:after="0"/>
              <w:rPr>
                <w:sz w:val="15"/>
                <w:szCs w:val="15"/>
                <w:color w:val="auto"/>
              </w:rPr>
            </w:pPr>
          </w:p>
        </w:tc>
        <w:tc>
          <w:tcPr>
            <w:tcW w:w="144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86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Assets</w:t>
            </w: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9"/>
                <w:szCs w:val="19"/>
                <w:b w:val="1"/>
                <w:bCs w:val="1"/>
                <w:color w:val="auto"/>
              </w:rPr>
              <w:t>Non-current assets</w:t>
            </w: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9"/>
                <w:szCs w:val="19"/>
                <w:color w:val="auto"/>
              </w:rPr>
              <w:t>Derivative financial instruments</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6,038</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5,116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9"/>
                <w:szCs w:val="19"/>
                <w:color w:val="auto"/>
              </w:rPr>
              <w:t>Vessels</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2,363,668</w:t>
            </w:r>
          </w:p>
        </w:tc>
        <w:tc>
          <w:tcPr>
            <w:tcW w:w="1440" w:type="dxa"/>
            <w:vAlign w:val="bottom"/>
          </w:tcPr>
          <w:p>
            <w:pPr>
              <w:jc w:val="right"/>
              <w:spacing w:after="0"/>
              <w:rPr>
                <w:sz w:val="20"/>
                <w:szCs w:val="20"/>
                <w:color w:val="auto"/>
              </w:rPr>
            </w:pPr>
            <w:r>
              <w:rPr>
                <w:rFonts w:ascii="Arial" w:cs="Arial" w:eastAsia="Arial" w:hAnsi="Arial"/>
                <w:sz w:val="19"/>
                <w:szCs w:val="19"/>
                <w:color w:val="auto"/>
              </w:rPr>
              <w:t>2,315,823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9"/>
                <w:szCs w:val="19"/>
                <w:color w:val="auto"/>
              </w:rPr>
              <w:t>Other non-current assets</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850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Arial" w:cs="Arial" w:eastAsia="Arial" w:hAnsi="Arial"/>
                <w:sz w:val="19"/>
                <w:szCs w:val="19"/>
                <w:b w:val="1"/>
                <w:bCs w:val="1"/>
                <w:color w:val="auto"/>
              </w:rPr>
              <w:t>Total non-current assets</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2,369,706</w:t>
            </w:r>
          </w:p>
        </w:tc>
        <w:tc>
          <w:tcPr>
            <w:tcW w:w="30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2,321,789</w:t>
            </w:r>
          </w:p>
        </w:tc>
        <w:tc>
          <w:tcPr>
            <w:tcW w:w="12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Current assets</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9"/>
                <w:szCs w:val="19"/>
                <w:color w:val="auto"/>
              </w:rPr>
              <w:t>Trade and other receivables</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3,765</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13,484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9"/>
                <w:szCs w:val="19"/>
                <w:color w:val="auto"/>
              </w:rPr>
              <w:t>Inventories</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3,079</w:t>
            </w: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3,169</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9"/>
                <w:szCs w:val="19"/>
                <w:color w:val="auto"/>
              </w:rPr>
              <w:t>Due from related parties</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1440" w:type="dxa"/>
            <w:vAlign w:val="bottom"/>
          </w:tcPr>
          <w:p>
            <w:pPr>
              <w:jc w:val="right"/>
              <w:spacing w:after="0"/>
              <w:rPr>
                <w:sz w:val="20"/>
                <w:szCs w:val="20"/>
                <w:color w:val="auto"/>
              </w:rPr>
            </w:pPr>
            <w:r>
              <w:rPr>
                <w:rFonts w:ascii="Arial" w:cs="Arial" w:eastAsia="Arial" w:hAnsi="Arial"/>
                <w:sz w:val="19"/>
                <w:szCs w:val="19"/>
                <w:color w:val="auto"/>
              </w:rPr>
              <w:t>5,281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9"/>
                <w:szCs w:val="19"/>
                <w:color w:val="auto"/>
              </w:rPr>
              <w:t>Prepayments and other current assets</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1,681</w:t>
            </w: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1,175</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9"/>
                <w:szCs w:val="19"/>
                <w:color w:val="auto"/>
              </w:rPr>
              <w:t>Derivative financial instruments</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577</w:t>
            </w:r>
          </w:p>
        </w:tc>
        <w:tc>
          <w:tcPr>
            <w:tcW w:w="1440" w:type="dxa"/>
            <w:vAlign w:val="bottom"/>
          </w:tcPr>
          <w:p>
            <w:pPr>
              <w:jc w:val="right"/>
              <w:spacing w:after="0"/>
              <w:rPr>
                <w:sz w:val="20"/>
                <w:szCs w:val="20"/>
                <w:color w:val="auto"/>
              </w:rPr>
            </w:pPr>
            <w:r>
              <w:rPr>
                <w:rFonts w:ascii="Arial" w:cs="Arial" w:eastAsia="Arial" w:hAnsi="Arial"/>
                <w:sz w:val="19"/>
                <w:szCs w:val="19"/>
                <w:color w:val="auto"/>
              </w:rPr>
              <w:t>4,615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9"/>
                <w:szCs w:val="19"/>
                <w:color w:val="auto"/>
              </w:rPr>
              <w:t>Short-term investments</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9"/>
                <w:szCs w:val="19"/>
                <w:color w:val="auto"/>
              </w:rPr>
              <w:t>Cash and cash equivalents</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149,455</w:t>
            </w:r>
          </w:p>
        </w:tc>
        <w:tc>
          <w:tcPr>
            <w:tcW w:w="1440" w:type="dxa"/>
            <w:vAlign w:val="bottom"/>
          </w:tcPr>
          <w:p>
            <w:pPr>
              <w:jc w:val="right"/>
              <w:spacing w:after="0"/>
              <w:rPr>
                <w:sz w:val="20"/>
                <w:szCs w:val="20"/>
                <w:color w:val="auto"/>
              </w:rPr>
            </w:pPr>
            <w:r>
              <w:rPr>
                <w:rFonts w:ascii="Arial" w:cs="Arial" w:eastAsia="Arial" w:hAnsi="Arial"/>
                <w:sz w:val="19"/>
                <w:szCs w:val="19"/>
                <w:color w:val="auto"/>
              </w:rPr>
              <w:t>129,125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b w:val="1"/>
                <w:bCs w:val="1"/>
                <w:color w:val="auto"/>
              </w:rPr>
              <w:t>Total current assets</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158,557</w:t>
            </w:r>
          </w:p>
        </w:tc>
        <w:tc>
          <w:tcPr>
            <w:tcW w:w="3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166,849</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680" w:type="dxa"/>
            <w:vAlign w:val="bottom"/>
            <w:tcBorders>
              <w:bottom w:val="single" w:sz="8" w:color="CCEEFF"/>
            </w:tcBorders>
          </w:tcPr>
          <w:p>
            <w:pPr>
              <w:spacing w:after="0"/>
              <w:rPr>
                <w:sz w:val="20"/>
                <w:szCs w:val="20"/>
                <w:color w:val="auto"/>
              </w:rPr>
            </w:pPr>
            <w:r>
              <w:rPr>
                <w:rFonts w:ascii="Arial" w:cs="Arial" w:eastAsia="Arial" w:hAnsi="Arial"/>
                <w:sz w:val="19"/>
                <w:szCs w:val="19"/>
                <w:b w:val="1"/>
                <w:bCs w:val="1"/>
                <w:color w:val="auto"/>
              </w:rPr>
              <w:t>Total assets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2,528,263</w:t>
            </w:r>
          </w:p>
        </w:tc>
        <w:tc>
          <w:tcPr>
            <w:tcW w:w="3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2,488,638</w:t>
            </w:r>
          </w:p>
        </w:tc>
        <w:tc>
          <w:tcPr>
            <w:tcW w:w="120" w:type="dxa"/>
            <w:vAlign w:val="bottom"/>
            <w:tcBorders>
              <w:bottom w:val="single" w:sz="8" w:color="CCEEFF"/>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80" w:type="dxa"/>
            <w:vAlign w:val="bottom"/>
            <w:shd w:val="clear" w:color="auto" w:fill="CCEEFF"/>
          </w:tcPr>
          <w:p>
            <w:pPr>
              <w:spacing w:after="0" w:line="183" w:lineRule="exact"/>
              <w:rPr>
                <w:sz w:val="20"/>
                <w:szCs w:val="20"/>
                <w:color w:val="auto"/>
              </w:rPr>
            </w:pPr>
            <w:r>
              <w:rPr>
                <w:rFonts w:ascii="Arial" w:cs="Arial" w:eastAsia="Arial" w:hAnsi="Arial"/>
                <w:sz w:val="19"/>
                <w:szCs w:val="19"/>
                <w:b w:val="1"/>
                <w:bCs w:val="1"/>
                <w:color w:val="auto"/>
              </w:rPr>
              <w:t>Partners’ equity and liabilities</w:t>
            </w:r>
          </w:p>
        </w:tc>
        <w:tc>
          <w:tcPr>
            <w:tcW w:w="1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9"/>
                <w:szCs w:val="19"/>
                <w:b w:val="1"/>
                <w:bCs w:val="1"/>
                <w:color w:val="auto"/>
              </w:rPr>
              <w:t>Partners’ equity</w:t>
            </w: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9"/>
                <w:szCs w:val="19"/>
                <w:color w:val="auto"/>
              </w:rPr>
              <w:t>Owners’ capital</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155,554</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80" w:type="dxa"/>
            <w:vAlign w:val="bottom"/>
          </w:tcPr>
          <w:p>
            <w:pPr>
              <w:spacing w:after="0" w:line="214" w:lineRule="exact"/>
              <w:rPr>
                <w:sz w:val="20"/>
                <w:szCs w:val="20"/>
                <w:color w:val="auto"/>
              </w:rPr>
            </w:pPr>
            <w:r>
              <w:rPr>
                <w:rFonts w:ascii="Arial" w:cs="Arial" w:eastAsia="Arial" w:hAnsi="Arial"/>
                <w:sz w:val="19"/>
                <w:szCs w:val="19"/>
                <w:color w:val="auto"/>
                <w:w w:val="93"/>
              </w:rPr>
              <w:t>Common unitholders (41,002,121 units issued and outstanding as of December 31, 2017 and 45,448,993 units</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80" w:type="dxa"/>
            <w:vAlign w:val="bottom"/>
          </w:tcPr>
          <w:p>
            <w:pPr>
              <w:ind w:left="160"/>
              <w:spacing w:after="0"/>
              <w:rPr>
                <w:sz w:val="20"/>
                <w:szCs w:val="20"/>
                <w:color w:val="auto"/>
              </w:rPr>
            </w:pPr>
            <w:r>
              <w:rPr>
                <w:rFonts w:ascii="Arial" w:cs="Arial" w:eastAsia="Arial" w:hAnsi="Arial"/>
                <w:sz w:val="19"/>
                <w:szCs w:val="19"/>
                <w:color w:val="auto"/>
              </w:rPr>
              <w:t>issued and outstanding as of December 31, 2018)</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752,456</w:t>
            </w:r>
          </w:p>
        </w:tc>
        <w:tc>
          <w:tcPr>
            <w:tcW w:w="1440" w:type="dxa"/>
            <w:vAlign w:val="bottom"/>
          </w:tcPr>
          <w:p>
            <w:pPr>
              <w:jc w:val="right"/>
              <w:spacing w:after="0"/>
              <w:rPr>
                <w:sz w:val="20"/>
                <w:szCs w:val="20"/>
                <w:color w:val="auto"/>
              </w:rPr>
            </w:pPr>
            <w:r>
              <w:rPr>
                <w:rFonts w:ascii="Arial" w:cs="Arial" w:eastAsia="Arial" w:hAnsi="Arial"/>
                <w:sz w:val="19"/>
                <w:szCs w:val="19"/>
                <w:color w:val="auto"/>
              </w:rPr>
              <w:t>812,863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80" w:type="dxa"/>
            <w:vAlign w:val="bottom"/>
            <w:shd w:val="clear" w:color="auto" w:fill="CCEEFF"/>
          </w:tcPr>
          <w:p>
            <w:pPr>
              <w:spacing w:after="0" w:line="215" w:lineRule="exact"/>
              <w:rPr>
                <w:sz w:val="20"/>
                <w:szCs w:val="20"/>
                <w:color w:val="auto"/>
              </w:rPr>
            </w:pPr>
            <w:r>
              <w:rPr>
                <w:rFonts w:ascii="Arial" w:cs="Arial" w:eastAsia="Arial" w:hAnsi="Arial"/>
                <w:sz w:val="19"/>
                <w:szCs w:val="19"/>
                <w:color w:val="auto"/>
                <w:w w:val="92"/>
              </w:rPr>
              <w:t>General partner (836,779 units issued and outstanding as of December 31, 2017 and 927,532 units issued and</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9"/>
                <w:szCs w:val="19"/>
                <w:color w:val="auto"/>
              </w:rPr>
              <w:t>outstanding as of December 31, 2018)</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11,781</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13,289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9"/>
                <w:szCs w:val="19"/>
                <w:color w:val="auto"/>
              </w:rPr>
              <w:t>Incentive distribution rights (“IDRs”)</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6,596</w:t>
            </w:r>
          </w:p>
        </w:tc>
        <w:tc>
          <w:tcPr>
            <w:tcW w:w="1440" w:type="dxa"/>
            <w:vAlign w:val="bottom"/>
          </w:tcPr>
          <w:p>
            <w:pPr>
              <w:jc w:val="right"/>
              <w:spacing w:after="0"/>
              <w:rPr>
                <w:sz w:val="20"/>
                <w:szCs w:val="20"/>
                <w:color w:val="auto"/>
              </w:rPr>
            </w:pPr>
            <w:r>
              <w:rPr>
                <w:rFonts w:ascii="Arial" w:cs="Arial" w:eastAsia="Arial" w:hAnsi="Arial"/>
                <w:sz w:val="19"/>
                <w:szCs w:val="19"/>
                <w:color w:val="auto"/>
              </w:rPr>
              <w:t>5,176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80" w:type="dxa"/>
            <w:vAlign w:val="bottom"/>
            <w:shd w:val="clear" w:color="auto" w:fill="CCEEFF"/>
          </w:tcPr>
          <w:p>
            <w:pPr>
              <w:spacing w:after="0" w:line="214" w:lineRule="exact"/>
              <w:rPr>
                <w:sz w:val="20"/>
                <w:szCs w:val="20"/>
                <w:color w:val="auto"/>
              </w:rPr>
            </w:pPr>
            <w:r>
              <w:rPr>
                <w:rFonts w:ascii="Arial" w:cs="Arial" w:eastAsia="Arial" w:hAnsi="Arial"/>
                <w:sz w:val="19"/>
                <w:szCs w:val="19"/>
                <w:color w:val="auto"/>
                <w:w w:val="93"/>
              </w:rPr>
              <w:t>Preference unitholders (5,750,000 Series A Preference Units issued and outstanding as of December 31, 2017</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9"/>
                <w:szCs w:val="19"/>
                <w:color w:val="auto"/>
                <w:w w:val="97"/>
              </w:rPr>
              <w:t>and 5,750,000 Series A Preference Units, 4,600,000 Series B Preference Units and 4,000,000 Series C</w:t>
            </w: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9"/>
                <w:szCs w:val="19"/>
                <w:color w:val="auto"/>
              </w:rPr>
              <w:t>Preference Units issued and outstanding as of December 31, 2018)</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139,321</w:t>
            </w: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348,331</w:t>
            </w:r>
          </w:p>
        </w:tc>
        <w:tc>
          <w:tcPr>
            <w:tcW w:w="12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Arial" w:cs="Arial" w:eastAsia="Arial" w:hAnsi="Arial"/>
                <w:sz w:val="19"/>
                <w:szCs w:val="19"/>
                <w:b w:val="1"/>
                <w:bCs w:val="1"/>
                <w:color w:val="auto"/>
              </w:rPr>
              <w:t>Total partners’ equity</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1,065,708</w:t>
            </w:r>
          </w:p>
        </w:tc>
        <w:tc>
          <w:tcPr>
            <w:tcW w:w="30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1,179,659</w:t>
            </w:r>
          </w:p>
        </w:tc>
        <w:tc>
          <w:tcPr>
            <w:tcW w:w="12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Current liabilities</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9"/>
                <w:szCs w:val="19"/>
                <w:color w:val="auto"/>
              </w:rPr>
              <w:t>Trade accounts payable</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5,125</w:t>
            </w:r>
          </w:p>
        </w:tc>
        <w:tc>
          <w:tcPr>
            <w:tcW w:w="1440" w:type="dxa"/>
            <w:vAlign w:val="bottom"/>
          </w:tcPr>
          <w:p>
            <w:pPr>
              <w:jc w:val="right"/>
              <w:spacing w:after="0"/>
              <w:rPr>
                <w:sz w:val="20"/>
                <w:szCs w:val="20"/>
                <w:color w:val="auto"/>
              </w:rPr>
            </w:pPr>
            <w:r>
              <w:rPr>
                <w:rFonts w:ascii="Arial" w:cs="Arial" w:eastAsia="Arial" w:hAnsi="Arial"/>
                <w:sz w:val="19"/>
                <w:szCs w:val="19"/>
                <w:color w:val="auto"/>
              </w:rPr>
              <w:t>7,490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9"/>
                <w:szCs w:val="19"/>
                <w:color w:val="auto"/>
              </w:rPr>
              <w:t>Due to related parties</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9,892</w:t>
            </w: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2,022</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9"/>
                <w:szCs w:val="19"/>
                <w:color w:val="auto"/>
              </w:rPr>
              <w:t>Derivative financial instruments</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269</w:t>
            </w:r>
          </w:p>
        </w:tc>
        <w:tc>
          <w:tcPr>
            <w:tcW w:w="1440" w:type="dxa"/>
            <w:vAlign w:val="bottom"/>
          </w:tcPr>
          <w:p>
            <w:pPr>
              <w:jc w:val="right"/>
              <w:spacing w:after="0"/>
              <w:rPr>
                <w:sz w:val="20"/>
                <w:szCs w:val="20"/>
                <w:color w:val="auto"/>
              </w:rPr>
            </w:pPr>
            <w:r>
              <w:rPr>
                <w:rFonts w:ascii="Arial" w:cs="Arial" w:eastAsia="Arial" w:hAnsi="Arial"/>
                <w:sz w:val="19"/>
                <w:szCs w:val="19"/>
                <w:color w:val="auto"/>
              </w:rPr>
              <w:t>1,253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9"/>
                <w:szCs w:val="19"/>
                <w:color w:val="auto"/>
              </w:rPr>
              <w:t>Other payables and accruals</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46,891</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57,774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9"/>
                <w:szCs w:val="19"/>
                <w:color w:val="auto"/>
              </w:rPr>
              <w:t>Borrowings—current portion</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121,197</w:t>
            </w:r>
          </w:p>
        </w:tc>
        <w:tc>
          <w:tcPr>
            <w:tcW w:w="1440" w:type="dxa"/>
            <w:vAlign w:val="bottom"/>
          </w:tcPr>
          <w:p>
            <w:pPr>
              <w:jc w:val="right"/>
              <w:spacing w:after="0"/>
              <w:rPr>
                <w:sz w:val="20"/>
                <w:szCs w:val="20"/>
                <w:color w:val="auto"/>
              </w:rPr>
            </w:pPr>
            <w:r>
              <w:rPr>
                <w:rFonts w:ascii="Arial" w:cs="Arial" w:eastAsia="Arial" w:hAnsi="Arial"/>
                <w:sz w:val="19"/>
                <w:szCs w:val="19"/>
                <w:color w:val="auto"/>
              </w:rPr>
              <w:t>429,437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b w:val="1"/>
                <w:bCs w:val="1"/>
                <w:color w:val="auto"/>
              </w:rPr>
              <w:t>Total current liabilities</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183,374</w:t>
            </w:r>
          </w:p>
        </w:tc>
        <w:tc>
          <w:tcPr>
            <w:tcW w:w="3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497,976</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tcPr>
          <w:p>
            <w:pPr>
              <w:spacing w:after="0" w:line="208" w:lineRule="exact"/>
              <w:rPr>
                <w:sz w:val="20"/>
                <w:szCs w:val="20"/>
                <w:color w:val="auto"/>
              </w:rPr>
            </w:pPr>
            <w:r>
              <w:rPr>
                <w:rFonts w:ascii="Arial" w:cs="Arial" w:eastAsia="Arial" w:hAnsi="Arial"/>
                <w:sz w:val="19"/>
                <w:szCs w:val="19"/>
                <w:b w:val="1"/>
                <w:bCs w:val="1"/>
                <w:color w:val="auto"/>
              </w:rPr>
              <w:t>Non-current liabilities</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9"/>
                <w:szCs w:val="19"/>
                <w:color w:val="auto"/>
              </w:rPr>
              <w:t>Derivative financial instruments</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3,543</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9"/>
                <w:szCs w:val="19"/>
                <w:color w:val="auto"/>
              </w:rPr>
              <w:t>Borrowings—non-current portion</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1,278,931</w:t>
            </w:r>
          </w:p>
        </w:tc>
        <w:tc>
          <w:tcPr>
            <w:tcW w:w="1440" w:type="dxa"/>
            <w:vAlign w:val="bottom"/>
          </w:tcPr>
          <w:p>
            <w:pPr>
              <w:jc w:val="right"/>
              <w:spacing w:after="0"/>
              <w:rPr>
                <w:sz w:val="20"/>
                <w:szCs w:val="20"/>
                <w:color w:val="auto"/>
              </w:rPr>
            </w:pPr>
            <w:r>
              <w:rPr>
                <w:rFonts w:ascii="Arial" w:cs="Arial" w:eastAsia="Arial" w:hAnsi="Arial"/>
                <w:sz w:val="19"/>
                <w:szCs w:val="19"/>
                <w:color w:val="auto"/>
              </w:rPr>
              <w:t>805,560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9"/>
                <w:szCs w:val="19"/>
                <w:color w:val="auto"/>
              </w:rPr>
              <w:t>Other non-current liabilities</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250</w:t>
            </w: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1,900</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Arial" w:cs="Arial" w:eastAsia="Arial" w:hAnsi="Arial"/>
                <w:sz w:val="19"/>
                <w:szCs w:val="19"/>
                <w:b w:val="1"/>
                <w:bCs w:val="1"/>
                <w:color w:val="auto"/>
              </w:rPr>
              <w:t>Total non-current liabilities</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1,279,181</w:t>
            </w:r>
          </w:p>
        </w:tc>
        <w:tc>
          <w:tcPr>
            <w:tcW w:w="30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811,003</w:t>
            </w:r>
          </w:p>
        </w:tc>
        <w:tc>
          <w:tcPr>
            <w:tcW w:w="12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9"/>
                <w:szCs w:val="19"/>
                <w:b w:val="1"/>
                <w:bCs w:val="1"/>
                <w:color w:val="auto"/>
              </w:rPr>
              <w:t>Total partners’ equity and liabilities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2,528,263</w:t>
            </w:r>
          </w:p>
        </w:tc>
        <w:tc>
          <w:tcPr>
            <w:tcW w:w="3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2,488,638</w:t>
            </w: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jc w:val="right"/>
              <w:ind w:right="2505"/>
              <w:spacing w:after="0"/>
              <w:rPr>
                <w:sz w:val="20"/>
                <w:szCs w:val="20"/>
                <w:color w:val="auto"/>
              </w:rPr>
            </w:pPr>
            <w:r>
              <w:rPr>
                <w:rFonts w:ascii="Arial" w:cs="Arial" w:eastAsia="Arial" w:hAnsi="Arial"/>
                <w:sz w:val="19"/>
                <w:szCs w:val="19"/>
                <w:color w:val="auto"/>
              </w:rPr>
              <w:t>10</w:t>
            </w: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870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tcBorders>
              <w:bottom w:val="single" w:sz="8" w:color="808080"/>
            </w:tcBorders>
          </w:tcPr>
          <w:p>
            <w:pPr>
              <w:spacing w:after="0"/>
              <w:rPr>
                <w:sz w:val="12"/>
                <w:szCs w:val="12"/>
                <w:color w:val="auto"/>
              </w:rPr>
            </w:pPr>
          </w:p>
        </w:tc>
        <w:tc>
          <w:tcPr>
            <w:tcW w:w="868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07" w:right="80" w:bottom="1440" w:gutter="0" w:footer="0" w:header="0"/>
        </w:sectPr>
      </w:pPr>
    </w:p>
    <w:bookmarkStart w:id="13" w:name="page14"/>
    <w:bookmarkEnd w:id="13"/>
    <w:p>
      <w:pPr>
        <w:spacing w:after="0"/>
        <w:rPr>
          <w:sz w:val="20"/>
          <w:szCs w:val="20"/>
          <w:color w:val="auto"/>
        </w:rPr>
      </w:pPr>
      <w:r>
        <w:rPr>
          <w:rFonts w:ascii="Arial" w:cs="Arial" w:eastAsia="Arial" w:hAnsi="Arial"/>
          <w:sz w:val="19"/>
          <w:szCs w:val="19"/>
          <w:b w:val="1"/>
          <w:bCs w:val="1"/>
          <w:color w:val="auto"/>
        </w:rPr>
        <w:t>Unaudited condensed consolidated statements of profit or loss</w:t>
      </w:r>
    </w:p>
    <w:p>
      <w:pPr>
        <w:spacing w:after="0" w:line="29" w:lineRule="exact"/>
        <w:rPr>
          <w:sz w:val="20"/>
          <w:szCs w:val="20"/>
          <w:color w:val="auto"/>
        </w:rPr>
      </w:pPr>
    </w:p>
    <w:p>
      <w:pPr>
        <w:ind w:right="4560"/>
        <w:spacing w:after="0" w:line="289" w:lineRule="auto"/>
        <w:rPr>
          <w:sz w:val="20"/>
          <w:szCs w:val="20"/>
          <w:color w:val="auto"/>
        </w:rPr>
      </w:pPr>
      <w:r>
        <w:rPr>
          <w:rFonts w:ascii="Arial" w:cs="Arial" w:eastAsia="Arial" w:hAnsi="Arial"/>
          <w:sz w:val="18"/>
          <w:szCs w:val="18"/>
          <w:b w:val="1"/>
          <w:bCs w:val="1"/>
          <w:color w:val="auto"/>
        </w:rPr>
        <w:t>For the three-month periods and the years ended December 31, 2017 and December 31, 2018 (All amounts expressed in thousands of U.S. Dollars, except per unit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3480" w:type="dxa"/>
            <w:vAlign w:val="bottom"/>
            <w:gridSpan w:val="4"/>
          </w:tcPr>
          <w:p>
            <w:pPr>
              <w:jc w:val="right"/>
              <w:ind w:right="980"/>
              <w:spacing w:after="0"/>
              <w:rPr>
                <w:sz w:val="20"/>
                <w:szCs w:val="20"/>
                <w:color w:val="auto"/>
              </w:rPr>
            </w:pPr>
            <w:r>
              <w:rPr>
                <w:rFonts w:ascii="Arial" w:cs="Arial" w:eastAsia="Arial" w:hAnsi="Arial"/>
                <w:sz w:val="15"/>
                <w:szCs w:val="15"/>
                <w:b w:val="1"/>
                <w:bCs w:val="1"/>
                <w:color w:val="auto"/>
              </w:rPr>
              <w:t>For the three months ended</w:t>
            </w:r>
          </w:p>
        </w:tc>
        <w:tc>
          <w:tcPr>
            <w:tcW w:w="3300" w:type="dxa"/>
            <w:vAlign w:val="bottom"/>
            <w:gridSpan w:val="4"/>
          </w:tcPr>
          <w:p>
            <w:pPr>
              <w:jc w:val="right"/>
              <w:ind w:right="1060"/>
              <w:spacing w:after="0"/>
              <w:rPr>
                <w:sz w:val="20"/>
                <w:szCs w:val="20"/>
                <w:color w:val="auto"/>
              </w:rPr>
            </w:pPr>
            <w:r>
              <w:rPr>
                <w:rFonts w:ascii="Arial" w:cs="Arial" w:eastAsia="Arial" w:hAnsi="Arial"/>
                <w:sz w:val="15"/>
                <w:szCs w:val="15"/>
                <w:b w:val="1"/>
                <w:bCs w:val="1"/>
                <w:color w:val="auto"/>
              </w:rPr>
              <w:t>For the years ended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740" w:type="dxa"/>
            <w:vAlign w:val="bottom"/>
            <w:tcBorders>
              <w:top w:val="single" w:sz="8" w:color="auto"/>
            </w:tcBorders>
            <w:gridSpan w:val="2"/>
          </w:tcPr>
          <w:p>
            <w:pPr>
              <w:jc w:val="right"/>
              <w:ind w:right="580"/>
              <w:spacing w:after="0" w:line="128" w:lineRule="exact"/>
              <w:rPr>
                <w:sz w:val="20"/>
                <w:szCs w:val="20"/>
                <w:color w:val="auto"/>
              </w:rPr>
            </w:pPr>
            <w:r>
              <w:rPr>
                <w:rFonts w:ascii="Arial" w:cs="Arial" w:eastAsia="Arial" w:hAnsi="Arial"/>
                <w:sz w:val="14"/>
                <w:szCs w:val="14"/>
                <w:b w:val="1"/>
                <w:bCs w:val="1"/>
                <w:color w:val="auto"/>
              </w:rPr>
              <w:t>December 31,</w:t>
            </w:r>
          </w:p>
        </w:tc>
        <w:tc>
          <w:tcPr>
            <w:tcW w:w="1440" w:type="dxa"/>
            <w:vAlign w:val="bottom"/>
            <w:tcBorders>
              <w:top w:val="single" w:sz="8" w:color="auto"/>
            </w:tcBorders>
          </w:tcPr>
          <w:p>
            <w:pPr>
              <w:jc w:val="right"/>
              <w:ind w:right="187"/>
              <w:spacing w:after="0" w:line="128"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1"/>
                <w:szCs w:val="11"/>
                <w:color w:val="auto"/>
              </w:rPr>
            </w:pPr>
          </w:p>
        </w:tc>
        <w:tc>
          <w:tcPr>
            <w:tcW w:w="1740" w:type="dxa"/>
            <w:vAlign w:val="bottom"/>
            <w:tcBorders>
              <w:top w:val="single" w:sz="8" w:color="auto"/>
            </w:tcBorders>
            <w:gridSpan w:val="2"/>
          </w:tcPr>
          <w:p>
            <w:pPr>
              <w:jc w:val="right"/>
              <w:ind w:right="580"/>
              <w:spacing w:after="0" w:line="128" w:lineRule="exact"/>
              <w:rPr>
                <w:sz w:val="20"/>
                <w:szCs w:val="20"/>
                <w:color w:val="auto"/>
              </w:rPr>
            </w:pPr>
            <w:r>
              <w:rPr>
                <w:rFonts w:ascii="Arial" w:cs="Arial" w:eastAsia="Arial" w:hAnsi="Arial"/>
                <w:sz w:val="14"/>
                <w:szCs w:val="14"/>
                <w:b w:val="1"/>
                <w:bCs w:val="1"/>
                <w:color w:val="auto"/>
              </w:rPr>
              <w:t>December 31,</w:t>
            </w:r>
          </w:p>
        </w:tc>
        <w:tc>
          <w:tcPr>
            <w:tcW w:w="1440" w:type="dxa"/>
            <w:vAlign w:val="bottom"/>
            <w:tcBorders>
              <w:top w:val="single" w:sz="8" w:color="auto"/>
            </w:tcBorders>
          </w:tcPr>
          <w:p>
            <w:pPr>
              <w:jc w:val="right"/>
              <w:ind w:right="187"/>
              <w:spacing w:after="0" w:line="128"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b w:val="1"/>
                <w:bCs w:val="1"/>
                <w:color w:val="auto"/>
              </w:rPr>
              <w:t>2017</w:t>
            </w:r>
          </w:p>
        </w:tc>
        <w:tc>
          <w:tcPr>
            <w:tcW w:w="3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b w:val="1"/>
                <w:bCs w:val="1"/>
                <w:color w:val="auto"/>
              </w:rPr>
              <w:t>2018</w:t>
            </w:r>
          </w:p>
        </w:tc>
        <w:tc>
          <w:tcPr>
            <w:tcW w:w="3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b w:val="1"/>
                <w:bCs w:val="1"/>
                <w:color w:val="auto"/>
              </w:rPr>
              <w:t>2017</w:t>
            </w:r>
          </w:p>
        </w:tc>
        <w:tc>
          <w:tcPr>
            <w:tcW w:w="3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9"/>
                <w:szCs w:val="19"/>
                <w:color w:val="auto"/>
              </w:rPr>
              <w:t>Revenues</w:t>
            </w: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92,388</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86,847</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371,146</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352,541</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9"/>
                <w:szCs w:val="19"/>
                <w:color w:val="auto"/>
              </w:rPr>
              <w:t>Net pool allocation</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3,277</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1440" w:type="dxa"/>
            <w:vAlign w:val="bottom"/>
          </w:tcPr>
          <w:p>
            <w:pPr>
              <w:jc w:val="right"/>
              <w:spacing w:after="0"/>
              <w:rPr>
                <w:sz w:val="20"/>
                <w:szCs w:val="20"/>
                <w:color w:val="auto"/>
              </w:rPr>
            </w:pPr>
            <w:r>
              <w:rPr>
                <w:rFonts w:ascii="Arial" w:cs="Arial" w:eastAsia="Arial" w:hAnsi="Arial"/>
                <w:sz w:val="19"/>
                <w:szCs w:val="19"/>
                <w:color w:val="auto"/>
              </w:rPr>
              <w:t>3,700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9"/>
                <w:szCs w:val="19"/>
                <w:color w:val="auto"/>
              </w:rPr>
              <w:t>Voyage expenses and commissions</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(1,159)</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(799)</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(4,650)</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(7,122)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9"/>
                <w:szCs w:val="19"/>
                <w:color w:val="auto"/>
              </w:rPr>
              <w:t>Vessel operating costs</w:t>
            </w:r>
          </w:p>
        </w:tc>
        <w:tc>
          <w:tcPr>
            <w:tcW w:w="1740" w:type="dxa"/>
            <w:vAlign w:val="bottom"/>
            <w:gridSpan w:val="2"/>
          </w:tcPr>
          <w:p>
            <w:pPr>
              <w:jc w:val="right"/>
              <w:ind w:right="220"/>
              <w:spacing w:after="0"/>
              <w:rPr>
                <w:sz w:val="20"/>
                <w:szCs w:val="20"/>
                <w:color w:val="auto"/>
              </w:rPr>
            </w:pPr>
            <w:r>
              <w:rPr>
                <w:rFonts w:ascii="Arial" w:cs="Arial" w:eastAsia="Arial" w:hAnsi="Arial"/>
                <w:sz w:val="19"/>
                <w:szCs w:val="19"/>
                <w:color w:val="auto"/>
              </w:rPr>
              <w:t>(19,528)</w:t>
            </w:r>
          </w:p>
        </w:tc>
        <w:tc>
          <w:tcPr>
            <w:tcW w:w="1740" w:type="dxa"/>
            <w:vAlign w:val="bottom"/>
            <w:gridSpan w:val="2"/>
          </w:tcPr>
          <w:p>
            <w:pPr>
              <w:jc w:val="right"/>
              <w:ind w:right="220"/>
              <w:spacing w:after="0"/>
              <w:rPr>
                <w:sz w:val="20"/>
                <w:szCs w:val="20"/>
                <w:color w:val="auto"/>
              </w:rPr>
            </w:pPr>
            <w:r>
              <w:rPr>
                <w:rFonts w:ascii="Arial" w:cs="Arial" w:eastAsia="Arial" w:hAnsi="Arial"/>
                <w:sz w:val="19"/>
                <w:szCs w:val="19"/>
                <w:color w:val="auto"/>
              </w:rPr>
              <w:t>(15,667)</w:t>
            </w:r>
          </w:p>
        </w:tc>
        <w:tc>
          <w:tcPr>
            <w:tcW w:w="1740" w:type="dxa"/>
            <w:vAlign w:val="bottom"/>
            <w:gridSpan w:val="2"/>
          </w:tcPr>
          <w:p>
            <w:pPr>
              <w:jc w:val="right"/>
              <w:ind w:right="220"/>
              <w:spacing w:after="0"/>
              <w:rPr>
                <w:sz w:val="20"/>
                <w:szCs w:val="20"/>
                <w:color w:val="auto"/>
              </w:rPr>
            </w:pPr>
            <w:r>
              <w:rPr>
                <w:rFonts w:ascii="Arial" w:cs="Arial" w:eastAsia="Arial" w:hAnsi="Arial"/>
                <w:sz w:val="19"/>
                <w:szCs w:val="19"/>
                <w:color w:val="auto"/>
              </w:rPr>
              <w:t>(71,369)</w:t>
            </w:r>
          </w:p>
        </w:tc>
        <w:tc>
          <w:tcPr>
            <w:tcW w:w="1560" w:type="dxa"/>
            <w:vAlign w:val="bottom"/>
            <w:gridSpan w:val="2"/>
          </w:tcPr>
          <w:p>
            <w:pPr>
              <w:jc w:val="right"/>
              <w:ind w:right="40"/>
              <w:spacing w:after="0"/>
              <w:rPr>
                <w:sz w:val="20"/>
                <w:szCs w:val="20"/>
                <w:color w:val="auto"/>
              </w:rPr>
            </w:pPr>
            <w:r>
              <w:rPr>
                <w:rFonts w:ascii="Arial" w:cs="Arial" w:eastAsia="Arial" w:hAnsi="Arial"/>
                <w:sz w:val="19"/>
                <w:szCs w:val="19"/>
                <w:color w:val="auto"/>
              </w:rPr>
              <w:t>(68,725)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9"/>
                <w:szCs w:val="19"/>
                <w:color w:val="auto"/>
              </w:rPr>
              <w:t>Depreciation</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(20,452)</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(20,615)</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(81,089)</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(81,590)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9"/>
                <w:szCs w:val="19"/>
                <w:color w:val="auto"/>
              </w:rPr>
              <w:t>General and administrative expenses</w:t>
            </w:r>
          </w:p>
        </w:tc>
        <w:tc>
          <w:tcPr>
            <w:tcW w:w="1740" w:type="dxa"/>
            <w:vAlign w:val="bottom"/>
            <w:gridSpan w:val="2"/>
          </w:tcPr>
          <w:p>
            <w:pPr>
              <w:jc w:val="right"/>
              <w:ind w:right="220"/>
              <w:spacing w:after="0"/>
              <w:rPr>
                <w:sz w:val="20"/>
                <w:szCs w:val="20"/>
                <w:color w:val="auto"/>
              </w:rPr>
            </w:pPr>
            <w:r>
              <w:rPr>
                <w:rFonts w:ascii="Arial" w:cs="Arial" w:eastAsia="Arial" w:hAnsi="Arial"/>
                <w:sz w:val="19"/>
                <w:szCs w:val="19"/>
                <w:color w:val="auto"/>
              </w:rPr>
              <w:t>(3,951)</w:t>
            </w:r>
          </w:p>
        </w:tc>
        <w:tc>
          <w:tcPr>
            <w:tcW w:w="1740" w:type="dxa"/>
            <w:vAlign w:val="bottom"/>
            <w:gridSpan w:val="2"/>
          </w:tcPr>
          <w:p>
            <w:pPr>
              <w:jc w:val="right"/>
              <w:ind w:right="220"/>
              <w:spacing w:after="0"/>
              <w:rPr>
                <w:sz w:val="20"/>
                <w:szCs w:val="20"/>
                <w:color w:val="auto"/>
              </w:rPr>
            </w:pPr>
            <w:r>
              <w:rPr>
                <w:rFonts w:ascii="Arial" w:cs="Arial" w:eastAsia="Arial" w:hAnsi="Arial"/>
                <w:sz w:val="19"/>
                <w:szCs w:val="19"/>
                <w:color w:val="auto"/>
              </w:rPr>
              <w:t>(4,996)</w:t>
            </w:r>
          </w:p>
        </w:tc>
        <w:tc>
          <w:tcPr>
            <w:tcW w:w="1740" w:type="dxa"/>
            <w:vAlign w:val="bottom"/>
            <w:gridSpan w:val="2"/>
          </w:tcPr>
          <w:p>
            <w:pPr>
              <w:jc w:val="right"/>
              <w:ind w:right="220"/>
              <w:spacing w:after="0"/>
              <w:rPr>
                <w:sz w:val="20"/>
                <w:szCs w:val="20"/>
                <w:color w:val="auto"/>
              </w:rPr>
            </w:pPr>
            <w:r>
              <w:rPr>
                <w:rFonts w:ascii="Arial" w:cs="Arial" w:eastAsia="Arial" w:hAnsi="Arial"/>
                <w:sz w:val="19"/>
                <w:szCs w:val="19"/>
                <w:color w:val="auto"/>
              </w:rPr>
              <w:t>(15,311)</w:t>
            </w:r>
          </w:p>
        </w:tc>
        <w:tc>
          <w:tcPr>
            <w:tcW w:w="1560" w:type="dxa"/>
            <w:vAlign w:val="bottom"/>
            <w:gridSpan w:val="2"/>
          </w:tcPr>
          <w:p>
            <w:pPr>
              <w:jc w:val="right"/>
              <w:ind w:right="40"/>
              <w:spacing w:after="0"/>
              <w:rPr>
                <w:sz w:val="20"/>
                <w:szCs w:val="20"/>
                <w:color w:val="auto"/>
              </w:rPr>
            </w:pPr>
            <w:r>
              <w:rPr>
                <w:rFonts w:ascii="Arial" w:cs="Arial" w:eastAsia="Arial" w:hAnsi="Arial"/>
                <w:sz w:val="19"/>
                <w:szCs w:val="19"/>
                <w:color w:val="auto"/>
              </w:rPr>
              <w:t>(19,369)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b w:val="1"/>
                <w:bCs w:val="1"/>
                <w:color w:val="auto"/>
              </w:rPr>
              <w:t>Profit from operations</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47,298</w:t>
            </w:r>
          </w:p>
        </w:tc>
        <w:tc>
          <w:tcPr>
            <w:tcW w:w="3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48,047</w:t>
            </w:r>
          </w:p>
        </w:tc>
        <w:tc>
          <w:tcPr>
            <w:tcW w:w="3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198,727</w:t>
            </w:r>
          </w:p>
        </w:tc>
        <w:tc>
          <w:tcPr>
            <w:tcW w:w="3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179,435</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9"/>
                <w:szCs w:val="19"/>
                <w:color w:val="auto"/>
              </w:rPr>
              <w:t>Financial costs</w:t>
            </w:r>
          </w:p>
        </w:tc>
        <w:tc>
          <w:tcPr>
            <w:tcW w:w="1440" w:type="dxa"/>
            <w:vAlign w:val="bottom"/>
          </w:tcPr>
          <w:p>
            <w:pPr>
              <w:jc w:val="right"/>
              <w:spacing w:after="0"/>
              <w:rPr>
                <w:sz w:val="20"/>
                <w:szCs w:val="20"/>
                <w:color w:val="auto"/>
              </w:rPr>
            </w:pPr>
            <w:r>
              <w:rPr>
                <w:rFonts w:ascii="Arial" w:cs="Arial" w:eastAsia="Arial" w:hAnsi="Arial"/>
                <w:sz w:val="19"/>
                <w:szCs w:val="19"/>
                <w:color w:val="auto"/>
              </w:rPr>
              <w:t>(16,281)</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9"/>
                <w:szCs w:val="19"/>
                <w:color w:val="auto"/>
              </w:rPr>
              <w:t>(16,886)</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9"/>
                <w:szCs w:val="19"/>
                <w:color w:val="auto"/>
              </w:rPr>
              <w:t>(65,122)</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9"/>
                <w:szCs w:val="19"/>
                <w:color w:val="auto"/>
              </w:rPr>
              <w:t>(66,287)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9"/>
                <w:szCs w:val="19"/>
                <w:color w:val="auto"/>
              </w:rPr>
              <w:t>Financial income</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324</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720</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1,019</w:t>
            </w: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2,413</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9"/>
                <w:szCs w:val="19"/>
                <w:color w:val="auto"/>
              </w:rPr>
              <w:t>Gain/(loss) on derivatives</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3,106</w:t>
            </w:r>
          </w:p>
        </w:tc>
        <w:tc>
          <w:tcPr>
            <w:tcW w:w="1740" w:type="dxa"/>
            <w:vAlign w:val="bottom"/>
            <w:gridSpan w:val="2"/>
          </w:tcPr>
          <w:p>
            <w:pPr>
              <w:jc w:val="right"/>
              <w:ind w:right="220"/>
              <w:spacing w:after="0"/>
              <w:rPr>
                <w:sz w:val="20"/>
                <w:szCs w:val="20"/>
                <w:color w:val="auto"/>
              </w:rPr>
            </w:pPr>
            <w:r>
              <w:rPr>
                <w:rFonts w:ascii="Arial" w:cs="Arial" w:eastAsia="Arial" w:hAnsi="Arial"/>
                <w:sz w:val="19"/>
                <w:szCs w:val="19"/>
                <w:color w:val="auto"/>
              </w:rPr>
              <w:t>(10,045)</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121</w:t>
            </w:r>
          </w:p>
        </w:tc>
        <w:tc>
          <w:tcPr>
            <w:tcW w:w="1560" w:type="dxa"/>
            <w:vAlign w:val="bottom"/>
            <w:gridSpan w:val="2"/>
          </w:tcPr>
          <w:p>
            <w:pPr>
              <w:jc w:val="right"/>
              <w:ind w:right="40"/>
              <w:spacing w:after="0"/>
              <w:rPr>
                <w:sz w:val="20"/>
                <w:szCs w:val="20"/>
                <w:color w:val="auto"/>
              </w:rPr>
            </w:pPr>
            <w:r>
              <w:rPr>
                <w:rFonts w:ascii="Arial" w:cs="Arial" w:eastAsia="Arial" w:hAnsi="Arial"/>
                <w:sz w:val="19"/>
                <w:szCs w:val="19"/>
                <w:color w:val="auto"/>
              </w:rPr>
              <w:t>(48)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b w:val="1"/>
                <w:bCs w:val="1"/>
                <w:color w:val="auto"/>
              </w:rPr>
              <w:t>Total other expenses, net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(12,851)</w:t>
            </w:r>
          </w:p>
        </w:tc>
        <w:tc>
          <w:tcPr>
            <w:tcW w:w="3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(26,211)</w:t>
            </w:r>
          </w:p>
        </w:tc>
        <w:tc>
          <w:tcPr>
            <w:tcW w:w="3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(63,982)</w:t>
            </w:r>
          </w:p>
        </w:tc>
        <w:tc>
          <w:tcPr>
            <w:tcW w:w="3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(63,922)</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9"/>
                <w:szCs w:val="19"/>
                <w:b w:val="1"/>
                <w:bCs w:val="1"/>
                <w:color w:val="auto"/>
              </w:rPr>
              <w:t>Profit for the period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34,447</w:t>
            </w:r>
          </w:p>
        </w:tc>
        <w:tc>
          <w:tcPr>
            <w:tcW w:w="3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21,836</w:t>
            </w:r>
          </w:p>
        </w:tc>
        <w:tc>
          <w:tcPr>
            <w:tcW w:w="3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134,745</w:t>
            </w:r>
          </w:p>
        </w:tc>
        <w:tc>
          <w:tcPr>
            <w:tcW w:w="3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115,513</w:t>
            </w:r>
          </w:p>
        </w:tc>
        <w:tc>
          <w:tcPr>
            <w:tcW w:w="120" w:type="dxa"/>
            <w:vAlign w:val="bottom"/>
            <w:tcBorders>
              <w:bottom w:val="single" w:sz="8" w:color="CCEEFF"/>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00" w:type="dxa"/>
            <w:vAlign w:val="bottom"/>
            <w:shd w:val="clear" w:color="auto" w:fill="CCEEFF"/>
          </w:tcPr>
          <w:p>
            <w:pPr>
              <w:spacing w:after="0" w:line="183" w:lineRule="exact"/>
              <w:rPr>
                <w:sz w:val="20"/>
                <w:szCs w:val="20"/>
                <w:color w:val="auto"/>
              </w:rPr>
            </w:pPr>
            <w:r>
              <w:rPr>
                <w:rFonts w:ascii="Arial" w:cs="Arial" w:eastAsia="Arial" w:hAnsi="Arial"/>
                <w:sz w:val="19"/>
                <w:szCs w:val="19"/>
                <w:color w:val="auto"/>
              </w:rPr>
              <w:t>Less:</w:t>
            </w:r>
          </w:p>
        </w:tc>
        <w:tc>
          <w:tcPr>
            <w:tcW w:w="1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9"/>
                <w:szCs w:val="19"/>
                <w:color w:val="auto"/>
              </w:rPr>
              <w:t>Profit attributable to GasLog’s operations</w:t>
            </w:r>
          </w:p>
        </w:tc>
        <w:tc>
          <w:tcPr>
            <w:tcW w:w="1740" w:type="dxa"/>
            <w:vAlign w:val="bottom"/>
            <w:gridSpan w:val="2"/>
          </w:tcPr>
          <w:p>
            <w:pPr>
              <w:jc w:val="right"/>
              <w:ind w:right="220"/>
              <w:spacing w:after="0"/>
              <w:rPr>
                <w:sz w:val="20"/>
                <w:szCs w:val="20"/>
                <w:color w:val="auto"/>
              </w:rPr>
            </w:pPr>
            <w:r>
              <w:rPr>
                <w:rFonts w:ascii="Arial" w:cs="Arial" w:eastAsia="Arial" w:hAnsi="Arial"/>
                <w:sz w:val="19"/>
                <w:szCs w:val="19"/>
                <w:color w:val="auto"/>
              </w:rPr>
              <w:t>(6,009)</w:t>
            </w:r>
          </w:p>
        </w:tc>
        <w:tc>
          <w:tcPr>
            <w:tcW w:w="1740" w:type="dxa"/>
            <w:vAlign w:val="bottom"/>
            <w:gridSpan w:val="2"/>
          </w:tcPr>
          <w:p>
            <w:pPr>
              <w:jc w:val="right"/>
              <w:ind w:right="220"/>
              <w:spacing w:after="0"/>
              <w:rPr>
                <w:sz w:val="20"/>
                <w:szCs w:val="20"/>
                <w:color w:val="auto"/>
              </w:rPr>
            </w:pPr>
            <w:r>
              <w:rPr>
                <w:rFonts w:ascii="Arial" w:cs="Arial" w:eastAsia="Arial" w:hAnsi="Arial"/>
                <w:sz w:val="19"/>
                <w:szCs w:val="19"/>
                <w:color w:val="auto"/>
              </w:rPr>
              <w:t>(1,412)</w:t>
            </w:r>
          </w:p>
        </w:tc>
        <w:tc>
          <w:tcPr>
            <w:tcW w:w="1740" w:type="dxa"/>
            <w:vAlign w:val="bottom"/>
            <w:gridSpan w:val="2"/>
          </w:tcPr>
          <w:p>
            <w:pPr>
              <w:jc w:val="right"/>
              <w:ind w:right="220"/>
              <w:spacing w:after="0"/>
              <w:rPr>
                <w:sz w:val="20"/>
                <w:szCs w:val="20"/>
                <w:color w:val="auto"/>
              </w:rPr>
            </w:pPr>
            <w:r>
              <w:rPr>
                <w:rFonts w:ascii="Arial" w:cs="Arial" w:eastAsia="Arial" w:hAnsi="Arial"/>
                <w:sz w:val="19"/>
                <w:szCs w:val="19"/>
                <w:color w:val="auto"/>
              </w:rPr>
              <w:t>(40,628)</w:t>
            </w:r>
          </w:p>
        </w:tc>
        <w:tc>
          <w:tcPr>
            <w:tcW w:w="1560" w:type="dxa"/>
            <w:vAlign w:val="bottom"/>
            <w:gridSpan w:val="2"/>
          </w:tcPr>
          <w:p>
            <w:pPr>
              <w:jc w:val="right"/>
              <w:ind w:right="40"/>
              <w:spacing w:after="0"/>
              <w:rPr>
                <w:sz w:val="20"/>
                <w:szCs w:val="20"/>
                <w:color w:val="auto"/>
              </w:rPr>
            </w:pPr>
            <w:r>
              <w:rPr>
                <w:rFonts w:ascii="Arial" w:cs="Arial" w:eastAsia="Arial" w:hAnsi="Arial"/>
                <w:sz w:val="19"/>
                <w:szCs w:val="19"/>
                <w:color w:val="auto"/>
              </w:rPr>
              <w:t>(12,916)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9"/>
                <w:szCs w:val="19"/>
                <w:b w:val="1"/>
                <w:bCs w:val="1"/>
                <w:color w:val="auto"/>
              </w:rPr>
              <w:t>Profit attributable to Partnership’s operations</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28,438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20,424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94,117</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102,597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spacing w:after="0"/>
              <w:rPr>
                <w:sz w:val="20"/>
                <w:szCs w:val="20"/>
                <w:color w:val="auto"/>
              </w:rPr>
            </w:pPr>
            <w:r>
              <w:rPr>
                <w:rFonts w:ascii="Arial" w:cs="Arial" w:eastAsia="Arial" w:hAnsi="Arial"/>
                <w:sz w:val="19"/>
                <w:szCs w:val="19"/>
                <w:b w:val="1"/>
                <w:bCs w:val="1"/>
                <w:color w:val="auto"/>
              </w:rPr>
              <w:t>Partnership’s profit attributable to:</w:t>
            </w: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20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9"/>
                <w:szCs w:val="19"/>
                <w:color w:val="auto"/>
              </w:rPr>
              <w:t>Common units</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23,333</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13,600</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76,347</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75,879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9"/>
                <w:szCs w:val="19"/>
                <w:color w:val="auto"/>
              </w:rPr>
              <w:t>Subordinated units</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N/A</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N/A</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5,085</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N/A</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9"/>
                <w:szCs w:val="19"/>
                <w:color w:val="auto"/>
              </w:rPr>
              <w:t>General partner units</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508</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278</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1,728</w:t>
            </w: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1,602</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9"/>
                <w:szCs w:val="19"/>
                <w:color w:val="auto"/>
              </w:rPr>
              <w:t>Incentive distribution rights</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1,497</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3,208</w:t>
            </w:r>
          </w:p>
        </w:tc>
        <w:tc>
          <w:tcPr>
            <w:tcW w:w="1440" w:type="dxa"/>
            <w:vAlign w:val="bottom"/>
          </w:tcPr>
          <w:p>
            <w:pPr>
              <w:jc w:val="right"/>
              <w:spacing w:after="0"/>
              <w:rPr>
                <w:sz w:val="20"/>
                <w:szCs w:val="20"/>
                <w:color w:val="auto"/>
              </w:rPr>
            </w:pPr>
            <w:r>
              <w:rPr>
                <w:rFonts w:ascii="Arial" w:cs="Arial" w:eastAsia="Arial" w:hAnsi="Arial"/>
                <w:sz w:val="19"/>
                <w:szCs w:val="19"/>
                <w:color w:val="auto"/>
              </w:rPr>
              <w:t>2,618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9"/>
                <w:szCs w:val="19"/>
                <w:color w:val="auto"/>
              </w:rPr>
              <w:t>Preference units</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3,100</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6,546</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7,749</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22,498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5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Earnings per unit for the period (basic and diluted):</w:t>
            </w: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9"/>
                <w:szCs w:val="19"/>
                <w:color w:val="auto"/>
              </w:rPr>
              <w:t>Common unit (basic)</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0.57</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0.30</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2.09</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1.77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9"/>
                <w:szCs w:val="19"/>
                <w:color w:val="auto"/>
              </w:rPr>
              <w:t>Common unit (diluted)</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0.57</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0.30</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2.09</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9"/>
                <w:szCs w:val="19"/>
                <w:color w:val="auto"/>
              </w:rPr>
              <w:t>Subordinated unit</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N/A</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N/A</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0.52</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N/A</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9"/>
                <w:szCs w:val="19"/>
                <w:color w:val="auto"/>
              </w:rPr>
              <w:t>General partner unit</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0.61</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0.30</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2.18</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40" w:type="dxa"/>
            <w:vAlign w:val="bottom"/>
          </w:tcPr>
          <w:p>
            <w:pPr>
              <w:jc w:val="right"/>
              <w:ind w:right="487"/>
              <w:spacing w:after="0"/>
              <w:rPr>
                <w:sz w:val="20"/>
                <w:szCs w:val="20"/>
                <w:color w:val="auto"/>
              </w:rPr>
            </w:pPr>
            <w:r>
              <w:rPr>
                <w:rFonts w:ascii="Arial" w:cs="Arial" w:eastAsia="Arial" w:hAnsi="Arial"/>
                <w:sz w:val="19"/>
                <w:szCs w:val="19"/>
                <w:color w:val="auto"/>
              </w:rPr>
              <w:t>11</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tcBorders>
              <w:bottom w:val="single" w:sz="8" w:color="808080"/>
            </w:tcBorders>
          </w:tcPr>
          <w:p>
            <w:pPr>
              <w:spacing w:after="0"/>
              <w:rPr>
                <w:sz w:val="12"/>
                <w:szCs w:val="12"/>
                <w:color w:val="auto"/>
              </w:rPr>
            </w:pPr>
          </w:p>
        </w:tc>
        <w:tc>
          <w:tcPr>
            <w:tcW w:w="520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07" w:right="80" w:bottom="1440" w:gutter="0" w:footer="0" w:header="0"/>
        </w:sectPr>
      </w:pPr>
    </w:p>
    <w:bookmarkStart w:id="14" w:name="page15"/>
    <w:bookmarkEnd w:id="14"/>
    <w:p>
      <w:pPr>
        <w:spacing w:after="0"/>
        <w:rPr>
          <w:sz w:val="20"/>
          <w:szCs w:val="20"/>
          <w:color w:val="auto"/>
        </w:rPr>
      </w:pPr>
      <w:r>
        <w:rPr>
          <w:rFonts w:ascii="Arial" w:cs="Arial" w:eastAsia="Arial" w:hAnsi="Arial"/>
          <w:sz w:val="19"/>
          <w:szCs w:val="19"/>
          <w:b w:val="1"/>
          <w:bCs w:val="1"/>
          <w:color w:val="auto"/>
        </w:rPr>
        <w:t>Unaudited condensed consolidated statements of cash flows</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the years ended December 31, 2017 and December 31, 2018</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(All amounts expressed in thousands of U.S. Dollars)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3300" w:type="dxa"/>
            <w:vAlign w:val="bottom"/>
            <w:gridSpan w:val="4"/>
          </w:tcPr>
          <w:p>
            <w:pPr>
              <w:jc w:val="right"/>
              <w:ind w:right="1060"/>
              <w:spacing w:after="0"/>
              <w:rPr>
                <w:sz w:val="20"/>
                <w:szCs w:val="20"/>
                <w:color w:val="auto"/>
              </w:rPr>
            </w:pPr>
            <w:r>
              <w:rPr>
                <w:rFonts w:ascii="Arial" w:cs="Arial" w:eastAsia="Arial" w:hAnsi="Arial"/>
                <w:sz w:val="15"/>
                <w:szCs w:val="15"/>
                <w:b w:val="1"/>
                <w:bCs w:val="1"/>
                <w:color w:val="auto"/>
              </w:rPr>
              <w:t>For the years ended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1740" w:type="dxa"/>
            <w:vAlign w:val="bottom"/>
            <w:tcBorders>
              <w:top w:val="single" w:sz="8" w:color="auto"/>
            </w:tcBorders>
            <w:gridSpan w:val="2"/>
          </w:tcPr>
          <w:p>
            <w:pPr>
              <w:jc w:val="right"/>
              <w:ind w:right="580"/>
              <w:spacing w:after="0" w:line="128" w:lineRule="exact"/>
              <w:rPr>
                <w:sz w:val="20"/>
                <w:szCs w:val="20"/>
                <w:color w:val="auto"/>
              </w:rPr>
            </w:pPr>
            <w:r>
              <w:rPr>
                <w:rFonts w:ascii="Arial" w:cs="Arial" w:eastAsia="Arial" w:hAnsi="Arial"/>
                <w:sz w:val="14"/>
                <w:szCs w:val="14"/>
                <w:b w:val="1"/>
                <w:bCs w:val="1"/>
                <w:color w:val="auto"/>
              </w:rPr>
              <w:t>December 31,</w:t>
            </w:r>
          </w:p>
        </w:tc>
        <w:tc>
          <w:tcPr>
            <w:tcW w:w="1440" w:type="dxa"/>
            <w:vAlign w:val="bottom"/>
            <w:tcBorders>
              <w:top w:val="single" w:sz="8" w:color="auto"/>
            </w:tcBorders>
          </w:tcPr>
          <w:p>
            <w:pPr>
              <w:jc w:val="right"/>
              <w:ind w:right="186"/>
              <w:spacing w:after="0" w:line="128"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144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b w:val="1"/>
                <w:bCs w:val="1"/>
                <w:color w:val="auto"/>
              </w:rPr>
              <w:t>2017</w:t>
            </w:r>
          </w:p>
        </w:tc>
        <w:tc>
          <w:tcPr>
            <w:tcW w:w="300" w:type="dxa"/>
            <w:vAlign w:val="bottom"/>
          </w:tcPr>
          <w:p>
            <w:pPr>
              <w:spacing w:after="0"/>
              <w:rPr>
                <w:sz w:val="15"/>
                <w:szCs w:val="15"/>
                <w:color w:val="auto"/>
              </w:rPr>
            </w:pPr>
          </w:p>
        </w:tc>
        <w:tc>
          <w:tcPr>
            <w:tcW w:w="144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86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Cash flows from operating activities:</w:t>
            </w: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9"/>
                <w:szCs w:val="19"/>
                <w:color w:val="auto"/>
              </w:rPr>
              <w:t>Profit for the year</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134,745</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115,513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9"/>
                <w:szCs w:val="19"/>
                <w:color w:val="auto"/>
              </w:rPr>
              <w:t>Adjustments for:</w:t>
            </w: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9"/>
                <w:szCs w:val="19"/>
                <w:color w:val="auto"/>
              </w:rPr>
              <w:t>Depreciation</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81,089</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81,590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9"/>
                <w:szCs w:val="19"/>
                <w:color w:val="auto"/>
              </w:rPr>
              <w:t>Financial costs</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65,122</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66,287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9"/>
                <w:szCs w:val="19"/>
                <w:color w:val="auto"/>
              </w:rPr>
              <w:t>Financial income</w:t>
            </w:r>
          </w:p>
        </w:tc>
        <w:tc>
          <w:tcPr>
            <w:tcW w:w="1740" w:type="dxa"/>
            <w:vAlign w:val="bottom"/>
            <w:gridSpan w:val="2"/>
          </w:tcPr>
          <w:p>
            <w:pPr>
              <w:jc w:val="right"/>
              <w:ind w:right="220"/>
              <w:spacing w:after="0"/>
              <w:rPr>
                <w:sz w:val="20"/>
                <w:szCs w:val="20"/>
                <w:color w:val="auto"/>
              </w:rPr>
            </w:pPr>
            <w:r>
              <w:rPr>
                <w:rFonts w:ascii="Arial" w:cs="Arial" w:eastAsia="Arial" w:hAnsi="Arial"/>
                <w:sz w:val="19"/>
                <w:szCs w:val="19"/>
                <w:color w:val="auto"/>
              </w:rPr>
              <w:t>(1,019)</w:t>
            </w:r>
          </w:p>
        </w:tc>
        <w:tc>
          <w:tcPr>
            <w:tcW w:w="1560" w:type="dxa"/>
            <w:vAlign w:val="bottom"/>
            <w:gridSpan w:val="2"/>
          </w:tcPr>
          <w:p>
            <w:pPr>
              <w:jc w:val="right"/>
              <w:ind w:right="40"/>
              <w:spacing w:after="0"/>
              <w:rPr>
                <w:sz w:val="20"/>
                <w:szCs w:val="20"/>
                <w:color w:val="auto"/>
              </w:rPr>
            </w:pPr>
            <w:r>
              <w:rPr>
                <w:rFonts w:ascii="Arial" w:cs="Arial" w:eastAsia="Arial" w:hAnsi="Arial"/>
                <w:sz w:val="19"/>
                <w:szCs w:val="19"/>
                <w:color w:val="auto"/>
              </w:rPr>
              <w:t>(2,413)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9"/>
                <w:szCs w:val="19"/>
                <w:color w:val="auto"/>
              </w:rPr>
              <w:t>Unrealized (gain)/loss on derivatives</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(2,174)</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1,411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9"/>
                <w:szCs w:val="19"/>
                <w:color w:val="auto"/>
              </w:rPr>
              <w:t>Share-based compensation</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850</w:t>
            </w:r>
          </w:p>
        </w:tc>
        <w:tc>
          <w:tcPr>
            <w:tcW w:w="1440" w:type="dxa"/>
            <w:vAlign w:val="bottom"/>
          </w:tcPr>
          <w:p>
            <w:pPr>
              <w:jc w:val="right"/>
              <w:spacing w:after="0"/>
              <w:rPr>
                <w:sz w:val="20"/>
                <w:szCs w:val="20"/>
                <w:color w:val="auto"/>
              </w:rPr>
            </w:pPr>
            <w:r>
              <w:rPr>
                <w:rFonts w:ascii="Arial" w:cs="Arial" w:eastAsia="Arial" w:hAnsi="Arial"/>
                <w:sz w:val="19"/>
                <w:szCs w:val="19"/>
                <w:color w:val="auto"/>
              </w:rPr>
              <w:t>1,034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278,613</w:t>
            </w:r>
          </w:p>
        </w:tc>
        <w:tc>
          <w:tcPr>
            <w:tcW w:w="3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263,422</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9"/>
                <w:szCs w:val="19"/>
                <w:color w:val="auto"/>
              </w:rPr>
              <w:t>Movements in working capital</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21,263</w:t>
            </w:r>
          </w:p>
        </w:tc>
        <w:tc>
          <w:tcPr>
            <w:tcW w:w="1560" w:type="dxa"/>
            <w:vAlign w:val="bottom"/>
            <w:gridSpan w:val="2"/>
          </w:tcPr>
          <w:p>
            <w:pPr>
              <w:jc w:val="right"/>
              <w:ind w:right="40"/>
              <w:spacing w:after="0"/>
              <w:rPr>
                <w:sz w:val="20"/>
                <w:szCs w:val="20"/>
                <w:color w:val="auto"/>
              </w:rPr>
            </w:pPr>
            <w:r>
              <w:rPr>
                <w:rFonts w:ascii="Arial" w:cs="Arial" w:eastAsia="Arial" w:hAnsi="Arial"/>
                <w:sz w:val="19"/>
                <w:szCs w:val="19"/>
                <w:color w:val="auto"/>
              </w:rPr>
              <w:t>(20,864)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b w:val="1"/>
                <w:bCs w:val="1"/>
                <w:color w:val="auto"/>
              </w:rPr>
              <w:t>Cash provided by operations</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299,876</w:t>
            </w:r>
          </w:p>
        </w:tc>
        <w:tc>
          <w:tcPr>
            <w:tcW w:w="3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242,558</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Interest paid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(57,049)</w:t>
            </w:r>
          </w:p>
        </w:tc>
        <w:tc>
          <w:tcPr>
            <w:tcW w:w="3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(57,451)</w:t>
            </w:r>
          </w:p>
        </w:tc>
        <w:tc>
          <w:tcPr>
            <w:tcW w:w="12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Net cash provided by operating activities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242,827</w:t>
            </w:r>
          </w:p>
        </w:tc>
        <w:tc>
          <w:tcPr>
            <w:tcW w:w="3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185,107</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tcPr>
          <w:p>
            <w:pPr>
              <w:spacing w:after="0" w:line="208" w:lineRule="exact"/>
              <w:rPr>
                <w:sz w:val="20"/>
                <w:szCs w:val="20"/>
                <w:color w:val="auto"/>
              </w:rPr>
            </w:pPr>
            <w:r>
              <w:rPr>
                <w:rFonts w:ascii="Arial" w:cs="Arial" w:eastAsia="Arial" w:hAnsi="Arial"/>
                <w:sz w:val="19"/>
                <w:szCs w:val="19"/>
                <w:b w:val="1"/>
                <w:bCs w:val="1"/>
                <w:color w:val="auto"/>
              </w:rPr>
              <w:t>Cash flows from investing activities:</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9"/>
                <w:szCs w:val="19"/>
                <w:color w:val="auto"/>
              </w:rPr>
              <w:t>Payments for vessels’ additions</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(5,131)</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(24,177)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9"/>
                <w:szCs w:val="19"/>
                <w:color w:val="auto"/>
              </w:rPr>
              <w:t>Financial income received</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1,012</w:t>
            </w:r>
          </w:p>
        </w:tc>
        <w:tc>
          <w:tcPr>
            <w:tcW w:w="1440" w:type="dxa"/>
            <w:vAlign w:val="bottom"/>
          </w:tcPr>
          <w:p>
            <w:pPr>
              <w:jc w:val="right"/>
              <w:spacing w:after="0"/>
              <w:rPr>
                <w:sz w:val="20"/>
                <w:szCs w:val="20"/>
                <w:color w:val="auto"/>
              </w:rPr>
            </w:pPr>
            <w:r>
              <w:rPr>
                <w:rFonts w:ascii="Arial" w:cs="Arial" w:eastAsia="Arial" w:hAnsi="Arial"/>
                <w:sz w:val="19"/>
                <w:szCs w:val="19"/>
                <w:color w:val="auto"/>
              </w:rPr>
              <w:t>2,326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9"/>
                <w:szCs w:val="19"/>
                <w:color w:val="auto"/>
              </w:rPr>
              <w:t>Maturity of short-term investments</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7,500</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28,000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9"/>
                <w:szCs w:val="19"/>
                <w:color w:val="auto"/>
              </w:rPr>
              <w:t>Purchase of short-term investments</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9"/>
                <w:szCs w:val="19"/>
                <w:color w:val="auto"/>
              </w:rPr>
              <w:t>(38,000)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b w:val="1"/>
                <w:bCs w:val="1"/>
                <w:color w:val="auto"/>
              </w:rPr>
              <w:t>Net cash provided by/(used in) investing activities</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3,381</w:t>
            </w:r>
          </w:p>
        </w:tc>
        <w:tc>
          <w:tcPr>
            <w:tcW w:w="3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(31,851)</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tcPr>
          <w:p>
            <w:pPr>
              <w:spacing w:after="0" w:line="208" w:lineRule="exact"/>
              <w:rPr>
                <w:sz w:val="20"/>
                <w:szCs w:val="20"/>
                <w:color w:val="auto"/>
              </w:rPr>
            </w:pPr>
            <w:r>
              <w:rPr>
                <w:rFonts w:ascii="Arial" w:cs="Arial" w:eastAsia="Arial" w:hAnsi="Arial"/>
                <w:sz w:val="19"/>
                <w:szCs w:val="19"/>
                <w:b w:val="1"/>
                <w:bCs w:val="1"/>
                <w:color w:val="auto"/>
              </w:rPr>
              <w:t>Cash flows from financing activities:</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9"/>
                <w:szCs w:val="19"/>
                <w:color w:val="auto"/>
              </w:rPr>
              <w:t>Borrowings drawdowns</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60,000</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25,940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9"/>
                <w:szCs w:val="19"/>
                <w:color w:val="auto"/>
              </w:rPr>
              <w:t>Borrowings repayments</w:t>
            </w:r>
          </w:p>
        </w:tc>
        <w:tc>
          <w:tcPr>
            <w:tcW w:w="1740" w:type="dxa"/>
            <w:vAlign w:val="bottom"/>
            <w:gridSpan w:val="2"/>
          </w:tcPr>
          <w:p>
            <w:pPr>
              <w:jc w:val="right"/>
              <w:ind w:right="220"/>
              <w:spacing w:after="0"/>
              <w:rPr>
                <w:sz w:val="20"/>
                <w:szCs w:val="20"/>
                <w:color w:val="auto"/>
              </w:rPr>
            </w:pPr>
            <w:r>
              <w:rPr>
                <w:rFonts w:ascii="Arial" w:cs="Arial" w:eastAsia="Arial" w:hAnsi="Arial"/>
                <w:sz w:val="19"/>
                <w:szCs w:val="19"/>
                <w:color w:val="auto"/>
              </w:rPr>
              <w:t>(218,370)</w:t>
            </w:r>
          </w:p>
        </w:tc>
        <w:tc>
          <w:tcPr>
            <w:tcW w:w="1560" w:type="dxa"/>
            <w:vAlign w:val="bottom"/>
            <w:gridSpan w:val="2"/>
          </w:tcPr>
          <w:p>
            <w:pPr>
              <w:jc w:val="right"/>
              <w:ind w:right="40"/>
              <w:spacing w:after="0"/>
              <w:rPr>
                <w:sz w:val="20"/>
                <w:szCs w:val="20"/>
                <w:color w:val="auto"/>
              </w:rPr>
            </w:pPr>
            <w:r>
              <w:rPr>
                <w:rFonts w:ascii="Arial" w:cs="Arial" w:eastAsia="Arial" w:hAnsi="Arial"/>
                <w:sz w:val="19"/>
                <w:szCs w:val="19"/>
                <w:color w:val="auto"/>
              </w:rPr>
              <w:t>(197,790)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9"/>
                <w:szCs w:val="19"/>
                <w:color w:val="auto"/>
              </w:rPr>
              <w:t>Payment of loan issuance costs</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(1,594)</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(153)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80" w:type="dxa"/>
            <w:vAlign w:val="bottom"/>
          </w:tcPr>
          <w:p>
            <w:pPr>
              <w:spacing w:after="0" w:line="214" w:lineRule="exact"/>
              <w:rPr>
                <w:sz w:val="20"/>
                <w:szCs w:val="20"/>
                <w:color w:val="auto"/>
              </w:rPr>
            </w:pPr>
            <w:r>
              <w:rPr>
                <w:rFonts w:ascii="Arial" w:cs="Arial" w:eastAsia="Arial" w:hAnsi="Arial"/>
                <w:sz w:val="19"/>
                <w:szCs w:val="19"/>
                <w:color w:val="auto"/>
                <w:w w:val="94"/>
              </w:rPr>
              <w:t>Proceeds from public offerings and issuances of common units and general partner units (net of underwriting</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80" w:type="dxa"/>
            <w:vAlign w:val="bottom"/>
          </w:tcPr>
          <w:p>
            <w:pPr>
              <w:jc w:val="right"/>
              <w:ind w:right="6285"/>
              <w:spacing w:after="0"/>
              <w:rPr>
                <w:sz w:val="20"/>
                <w:szCs w:val="20"/>
                <w:color w:val="auto"/>
              </w:rPr>
            </w:pPr>
            <w:r>
              <w:rPr>
                <w:rFonts w:ascii="Arial" w:cs="Arial" w:eastAsia="Arial" w:hAnsi="Arial"/>
                <w:sz w:val="19"/>
                <w:szCs w:val="19"/>
                <w:color w:val="auto"/>
                <w:w w:val="95"/>
              </w:rPr>
              <w:t>discounts and commissions)</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144,297</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62,516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9"/>
                <w:szCs w:val="19"/>
                <w:color w:val="auto"/>
              </w:rPr>
              <w:t>Proceeds from issuance of preference units (net of underwriting discounts and commissions)</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139,222</w:t>
            </w: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208,394</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9"/>
                <w:szCs w:val="19"/>
                <w:color w:val="auto"/>
              </w:rPr>
              <w:t>Payment of offering costs</w:t>
            </w:r>
          </w:p>
        </w:tc>
        <w:tc>
          <w:tcPr>
            <w:tcW w:w="1740" w:type="dxa"/>
            <w:vAlign w:val="bottom"/>
            <w:gridSpan w:val="2"/>
          </w:tcPr>
          <w:p>
            <w:pPr>
              <w:jc w:val="right"/>
              <w:ind w:right="220"/>
              <w:spacing w:after="0"/>
              <w:rPr>
                <w:sz w:val="20"/>
                <w:szCs w:val="20"/>
                <w:color w:val="auto"/>
              </w:rPr>
            </w:pPr>
            <w:r>
              <w:rPr>
                <w:rFonts w:ascii="Arial" w:cs="Arial" w:eastAsia="Arial" w:hAnsi="Arial"/>
                <w:sz w:val="19"/>
                <w:szCs w:val="19"/>
                <w:color w:val="auto"/>
              </w:rPr>
              <w:t>(2,033)</w:t>
            </w:r>
          </w:p>
        </w:tc>
        <w:tc>
          <w:tcPr>
            <w:tcW w:w="1560" w:type="dxa"/>
            <w:vAlign w:val="bottom"/>
            <w:gridSpan w:val="2"/>
          </w:tcPr>
          <w:p>
            <w:pPr>
              <w:jc w:val="right"/>
              <w:ind w:right="40"/>
              <w:spacing w:after="0"/>
              <w:rPr>
                <w:sz w:val="20"/>
                <w:szCs w:val="20"/>
                <w:color w:val="auto"/>
              </w:rPr>
            </w:pPr>
            <w:r>
              <w:rPr>
                <w:rFonts w:ascii="Arial" w:cs="Arial" w:eastAsia="Arial" w:hAnsi="Arial"/>
                <w:sz w:val="19"/>
                <w:szCs w:val="19"/>
                <w:color w:val="auto"/>
              </w:rPr>
              <w:t>(915)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9"/>
                <w:szCs w:val="19"/>
                <w:color w:val="auto"/>
              </w:rPr>
              <w:t>Cash payment to GasLog in exchange for contribution of net assets</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(192,168)</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(128,482)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9"/>
                <w:szCs w:val="19"/>
                <w:color w:val="auto"/>
              </w:rPr>
              <w:t>Cash payments for IDRs modification (including third-party fees)</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9"/>
                <w:szCs w:val="19"/>
                <w:color w:val="auto"/>
              </w:rPr>
              <w:t>(25,002)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9"/>
                <w:szCs w:val="19"/>
                <w:color w:val="auto"/>
              </w:rPr>
              <w:t>Distributions paid</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(90,280)</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(118,094)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Arial" w:cs="Arial" w:eastAsia="Arial" w:hAnsi="Arial"/>
                <w:sz w:val="19"/>
                <w:szCs w:val="19"/>
                <w:b w:val="1"/>
                <w:bCs w:val="1"/>
                <w:color w:val="auto"/>
              </w:rPr>
              <w:t>Net cash used in financing activities</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(160,926)</w:t>
            </w:r>
          </w:p>
        </w:tc>
        <w:tc>
          <w:tcPr>
            <w:tcW w:w="30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(173,586)</w:t>
            </w:r>
          </w:p>
        </w:tc>
        <w:tc>
          <w:tcPr>
            <w:tcW w:w="12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Increase/ (decrease) in cash and cash equivalents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85,282</w:t>
            </w:r>
          </w:p>
        </w:tc>
        <w:tc>
          <w:tcPr>
            <w:tcW w:w="3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(20,330)</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Cash and cash equivalents, beginning of the year</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64,173</w:t>
            </w:r>
          </w:p>
        </w:tc>
        <w:tc>
          <w:tcPr>
            <w:tcW w:w="3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149,455</w:t>
            </w:r>
          </w:p>
        </w:tc>
        <w:tc>
          <w:tcPr>
            <w:tcW w:w="12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9"/>
                <w:szCs w:val="19"/>
                <w:b w:val="1"/>
                <w:bCs w:val="1"/>
                <w:color w:val="auto"/>
              </w:rPr>
              <w:t>Cash and cash equivalents, end of the year</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149,455</w:t>
            </w:r>
          </w:p>
        </w:tc>
        <w:tc>
          <w:tcPr>
            <w:tcW w:w="3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129,125</w:t>
            </w: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jc w:val="right"/>
              <w:ind w:right="2505"/>
              <w:spacing w:after="0"/>
              <w:rPr>
                <w:sz w:val="20"/>
                <w:szCs w:val="20"/>
                <w:color w:val="auto"/>
              </w:rPr>
            </w:pPr>
            <w:r>
              <w:rPr>
                <w:rFonts w:ascii="Arial" w:cs="Arial" w:eastAsia="Arial" w:hAnsi="Arial"/>
                <w:sz w:val="19"/>
                <w:szCs w:val="19"/>
                <w:color w:val="auto"/>
              </w:rPr>
              <w:t>12</w:t>
            </w: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870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tcBorders>
              <w:bottom w:val="single" w:sz="8" w:color="808080"/>
            </w:tcBorders>
          </w:tcPr>
          <w:p>
            <w:pPr>
              <w:spacing w:after="0"/>
              <w:rPr>
                <w:sz w:val="12"/>
                <w:szCs w:val="12"/>
                <w:color w:val="auto"/>
              </w:rPr>
            </w:pPr>
          </w:p>
        </w:tc>
        <w:tc>
          <w:tcPr>
            <w:tcW w:w="868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07" w:right="80" w:bottom="1440" w:gutter="0" w:footer="0" w:header="0"/>
        </w:sectPr>
      </w:pPr>
    </w:p>
    <w:bookmarkStart w:id="15" w:name="page16"/>
    <w:bookmarkEnd w:id="15"/>
    <w:p>
      <w:pPr>
        <w:spacing w:after="0"/>
        <w:rPr>
          <w:sz w:val="20"/>
          <w:szCs w:val="20"/>
          <w:color w:val="auto"/>
        </w:rPr>
      </w:pPr>
      <w:r>
        <w:rPr>
          <w:rFonts w:ascii="Arial" w:cs="Arial" w:eastAsia="Arial" w:hAnsi="Arial"/>
          <w:sz w:val="19"/>
          <w:szCs w:val="19"/>
          <w:b w:val="1"/>
          <w:bCs w:val="1"/>
          <w:color w:val="auto"/>
        </w:rPr>
        <w:t>EXHIBIT II</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Non-GAAP Financial Measures: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Reconciliation of IFRS Common Control Reported Results in our Financial Statements to Partnership Performance Results:</w:t>
      </w:r>
    </w:p>
    <w:p>
      <w:pPr>
        <w:spacing w:after="0" w:line="24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 xml:space="preserve">Our Partnership Performance Results presented below are non-GAAP measures and exclude amounts related to GAS-eleven Ltd. (the owner of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Greece</w:t>
      </w:r>
      <w:r>
        <w:rPr>
          <w:rFonts w:ascii="Arial" w:cs="Arial" w:eastAsia="Arial" w:hAnsi="Arial"/>
          <w:sz w:val="18"/>
          <w:szCs w:val="18"/>
          <w:color w:val="auto"/>
        </w:rPr>
        <w:t>), GAS-thirteen Ltd. (the owner of the</w:t>
      </w:r>
      <w:r>
        <w:rPr>
          <w:rFonts w:ascii="Arial" w:cs="Arial" w:eastAsia="Arial" w:hAnsi="Arial"/>
          <w:sz w:val="18"/>
          <w:szCs w:val="18"/>
          <w:i w:val="1"/>
          <w:iCs w:val="1"/>
          <w:color w:val="auto"/>
        </w:rPr>
        <w:t xml:space="preserve"> GasLog Geneva</w:t>
      </w:r>
      <w:r>
        <w:rPr>
          <w:rFonts w:ascii="Arial" w:cs="Arial" w:eastAsia="Arial" w:hAnsi="Arial"/>
          <w:sz w:val="18"/>
          <w:szCs w:val="18"/>
          <w:color w:val="auto"/>
        </w:rPr>
        <w:t>), GAS-eight Ltd. (the owner of the</w:t>
      </w:r>
      <w:r>
        <w:rPr>
          <w:rFonts w:ascii="Arial" w:cs="Arial" w:eastAsia="Arial" w:hAnsi="Arial"/>
          <w:sz w:val="18"/>
          <w:szCs w:val="18"/>
          <w:i w:val="1"/>
          <w:iCs w:val="1"/>
          <w:color w:val="auto"/>
        </w:rPr>
        <w:t xml:space="preserve"> Solaris</w:t>
      </w:r>
      <w:r>
        <w:rPr>
          <w:rFonts w:ascii="Arial" w:cs="Arial" w:eastAsia="Arial" w:hAnsi="Arial"/>
          <w:sz w:val="18"/>
          <w:szCs w:val="18"/>
          <w:color w:val="auto"/>
        </w:rPr>
        <w:t>), GAS-fourteen Ltd. (the owner of the</w:t>
      </w:r>
      <w:r>
        <w:rPr>
          <w:rFonts w:ascii="Arial" w:cs="Arial" w:eastAsia="Arial" w:hAnsi="Arial"/>
          <w:sz w:val="18"/>
          <w:szCs w:val="18"/>
          <w:i w:val="1"/>
          <w:iCs w:val="1"/>
          <w:color w:val="auto"/>
        </w:rPr>
        <w:t xml:space="preserve"> GasLog Gibraltar</w:t>
      </w:r>
      <w:r>
        <w:rPr>
          <w:rFonts w:ascii="Arial" w:cs="Arial" w:eastAsia="Arial" w:hAnsi="Arial"/>
          <w:sz w:val="18"/>
          <w:szCs w:val="18"/>
          <w:color w:val="auto"/>
        </w:rPr>
        <w:t>) and GAS-twenty seven Ltd. (the owner of the</w:t>
      </w:r>
      <w:r>
        <w:rPr>
          <w:rFonts w:ascii="Arial" w:cs="Arial" w:eastAsia="Arial" w:hAnsi="Arial"/>
          <w:sz w:val="18"/>
          <w:szCs w:val="18"/>
          <w:i w:val="1"/>
          <w:iCs w:val="1"/>
          <w:color w:val="auto"/>
        </w:rPr>
        <w:t xml:space="preserve"> Methane Becki Anne</w:t>
      </w:r>
      <w:r>
        <w:rPr>
          <w:rFonts w:ascii="Arial" w:cs="Arial" w:eastAsia="Arial" w:hAnsi="Arial"/>
          <w:sz w:val="18"/>
          <w:szCs w:val="18"/>
          <w:color w:val="auto"/>
        </w:rPr>
        <w:t>), for the periods prior to their transfers to the Partnership on May 3, 2017,</w:t>
      </w:r>
      <w:r>
        <w:rPr>
          <w:rFonts w:ascii="Arial" w:cs="Arial" w:eastAsia="Arial" w:hAnsi="Arial"/>
          <w:sz w:val="18"/>
          <w:szCs w:val="18"/>
          <w:i w:val="1"/>
          <w:iCs w:val="1"/>
          <w:color w:val="auto"/>
        </w:rPr>
        <w:t xml:space="preserve"> </w:t>
      </w:r>
      <w:r>
        <w:rPr>
          <w:rFonts w:ascii="Arial" w:cs="Arial" w:eastAsia="Arial" w:hAnsi="Arial"/>
          <w:sz w:val="18"/>
          <w:szCs w:val="18"/>
          <w:color w:val="auto"/>
        </w:rPr>
        <w:t>July 3, 2017, October 20, 2017, April 26, 2018 and November 14, 2018, respectively. While such amounts are reflected in the Partnership’s unaudited condensed consolidated financial statements because the transfers to the Partnership were accounted for as reorganizations of entities under common control under IFRS, the aforementioned entities were not owned by the Partnership prior to their respective transfers to the Partnership, and accordingly the Partnership was not entitled to the cash or results generated in the periods prior to such transfers.</w:t>
      </w:r>
    </w:p>
    <w:p>
      <w:pPr>
        <w:spacing w:after="0" w:line="18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Our IFRS Common Control Reported Results presented below include the accounts of the Partnership and its subsidiaries. Transfers of vessel owning subsidiaries from GasLog are accounted for as reorganizations of entities under common control and the Partnership’s consolidated financial statements are restated to reflect such subsidiaries from the date of their incorporation by GasLog as they were under the common control of GasLog.</w:t>
      </w:r>
    </w:p>
    <w:p>
      <w:pPr>
        <w:spacing w:after="0" w:line="160" w:lineRule="exact"/>
        <w:rPr>
          <w:sz w:val="20"/>
          <w:szCs w:val="20"/>
          <w:color w:val="auto"/>
        </w:rPr>
      </w:pPr>
    </w:p>
    <w:p>
      <w:pPr>
        <w:ind w:right="220"/>
        <w:spacing w:after="0" w:line="274" w:lineRule="auto"/>
        <w:rPr>
          <w:sz w:val="20"/>
          <w:szCs w:val="20"/>
          <w:color w:val="auto"/>
        </w:rPr>
      </w:pPr>
      <w:r>
        <w:rPr>
          <w:rFonts w:ascii="Arial" w:cs="Arial" w:eastAsia="Arial" w:hAnsi="Arial"/>
          <w:sz w:val="18"/>
          <w:szCs w:val="18"/>
          <w:color w:val="auto"/>
        </w:rPr>
        <w:t>GasLog Partners believes that these non-GAAP financial measures provide meaningful supplemental information to both management and investors regarding the financial and operating performance of the Partnership which is necessary to understand the underlying basis for the calculations of the quarterly distribution and the earnings per unit, which similarly exclude the results of acquired vessels prior to their transfers to the Partnership. These non-GAAP financial measures should not be viewed in isolation or as substitutes for the equivalent GAAP measures presented in accordance with IFRS, but should be used in conjunction with the most directly comparable IFRS Common Control Reported Results.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60" w:type="dxa"/>
            <w:vAlign w:val="bottom"/>
            <w:gridSpan w:val="6"/>
          </w:tcPr>
          <w:p>
            <w:pPr>
              <w:jc w:val="center"/>
              <w:ind w:right="220"/>
              <w:spacing w:after="0"/>
              <w:rPr>
                <w:sz w:val="20"/>
                <w:szCs w:val="20"/>
                <w:color w:val="auto"/>
              </w:rPr>
            </w:pPr>
            <w:r>
              <w:rPr>
                <w:rFonts w:ascii="Arial" w:cs="Arial" w:eastAsia="Arial" w:hAnsi="Arial"/>
                <w:sz w:val="15"/>
                <w:szCs w:val="15"/>
                <w:b w:val="1"/>
                <w:bCs w:val="1"/>
                <w:color w:val="auto"/>
                <w:w w:val="90"/>
              </w:rPr>
              <w:t>For the three months ended December 31, 2017</w:t>
            </w:r>
          </w:p>
        </w:tc>
        <w:tc>
          <w:tcPr>
            <w:tcW w:w="4160" w:type="dxa"/>
            <w:vAlign w:val="bottom"/>
            <w:gridSpan w:val="6"/>
          </w:tcPr>
          <w:p>
            <w:pPr>
              <w:jc w:val="center"/>
              <w:ind w:right="120"/>
              <w:spacing w:after="0"/>
              <w:rPr>
                <w:sz w:val="20"/>
                <w:szCs w:val="20"/>
                <w:color w:val="auto"/>
              </w:rPr>
            </w:pPr>
            <w:r>
              <w:rPr>
                <w:rFonts w:ascii="Arial" w:cs="Arial" w:eastAsia="Arial" w:hAnsi="Arial"/>
                <w:sz w:val="15"/>
                <w:szCs w:val="15"/>
                <w:b w:val="1"/>
                <w:bCs w:val="1"/>
                <w:color w:val="auto"/>
                <w:w w:val="90"/>
              </w:rPr>
              <w:t>For the year ended December 31, 2017</w:t>
            </w:r>
          </w:p>
        </w:tc>
        <w:tc>
          <w:tcPr>
            <w:tcW w:w="40" w:type="dxa"/>
            <w:vAlign w:val="bottom"/>
          </w:tcPr>
          <w:p>
            <w:pPr>
              <w:spacing w:after="0"/>
              <w:rPr>
                <w:sz w:val="15"/>
                <w:szCs w:val="15"/>
                <w:color w:val="auto"/>
              </w:rPr>
            </w:pPr>
          </w:p>
        </w:tc>
      </w:tr>
      <w:tr>
        <w:trPr>
          <w:trHeight w:val="128"/>
        </w:trPr>
        <w:tc>
          <w:tcPr>
            <w:tcW w:w="3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rPr>
              <w:t>IFRS Common</w:t>
            </w:r>
          </w:p>
        </w:tc>
        <w:tc>
          <w:tcPr>
            <w:tcW w:w="24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rPr>
              <w:t>IFRS Common</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7"/>
        </w:trPr>
        <w:tc>
          <w:tcPr>
            <w:tcW w:w="3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right"/>
              <w:ind w:right="620"/>
              <w:spacing w:after="0" w:line="157" w:lineRule="exact"/>
              <w:rPr>
                <w:sz w:val="20"/>
                <w:szCs w:val="20"/>
                <w:color w:val="auto"/>
              </w:rPr>
            </w:pPr>
            <w:r>
              <w:rPr>
                <w:rFonts w:ascii="Arial" w:cs="Arial" w:eastAsia="Arial" w:hAnsi="Arial"/>
                <w:sz w:val="15"/>
                <w:szCs w:val="15"/>
                <w:b w:val="1"/>
                <w:bCs w:val="1"/>
                <w:color w:val="auto"/>
              </w:rPr>
              <w:t>Results</w:t>
            </w:r>
          </w:p>
        </w:tc>
        <w:tc>
          <w:tcPr>
            <w:tcW w:w="1460" w:type="dxa"/>
            <w:vAlign w:val="bottom"/>
            <w:gridSpan w:val="2"/>
          </w:tcPr>
          <w:p>
            <w:pPr>
              <w:jc w:val="center"/>
              <w:ind w:right="240"/>
              <w:spacing w:after="0" w:line="157" w:lineRule="exact"/>
              <w:rPr>
                <w:sz w:val="20"/>
                <w:szCs w:val="20"/>
                <w:color w:val="auto"/>
              </w:rPr>
            </w:pPr>
            <w:r>
              <w:rPr>
                <w:rFonts w:ascii="Arial" w:cs="Arial" w:eastAsia="Arial" w:hAnsi="Arial"/>
                <w:sz w:val="15"/>
                <w:szCs w:val="15"/>
                <w:b w:val="1"/>
                <w:bCs w:val="1"/>
                <w:color w:val="auto"/>
                <w:w w:val="93"/>
              </w:rPr>
              <w:t>Partnership</w:t>
            </w:r>
          </w:p>
        </w:tc>
        <w:tc>
          <w:tcPr>
            <w:tcW w:w="1440" w:type="dxa"/>
            <w:vAlign w:val="bottom"/>
            <w:gridSpan w:val="2"/>
          </w:tcPr>
          <w:p>
            <w:pPr>
              <w:jc w:val="center"/>
              <w:ind w:right="220"/>
              <w:spacing w:after="0" w:line="157" w:lineRule="exact"/>
              <w:rPr>
                <w:sz w:val="20"/>
                <w:szCs w:val="20"/>
                <w:color w:val="auto"/>
              </w:rPr>
            </w:pPr>
            <w:r>
              <w:rPr>
                <w:rFonts w:ascii="Arial" w:cs="Arial" w:eastAsia="Arial" w:hAnsi="Arial"/>
                <w:sz w:val="15"/>
                <w:szCs w:val="15"/>
                <w:b w:val="1"/>
                <w:bCs w:val="1"/>
                <w:color w:val="auto"/>
                <w:w w:val="93"/>
              </w:rPr>
              <w:t>Control</w:t>
            </w:r>
          </w:p>
        </w:tc>
        <w:tc>
          <w:tcPr>
            <w:tcW w:w="1420" w:type="dxa"/>
            <w:vAlign w:val="bottom"/>
            <w:gridSpan w:val="2"/>
          </w:tcPr>
          <w:p>
            <w:pPr>
              <w:jc w:val="center"/>
              <w:ind w:right="220"/>
              <w:spacing w:after="0" w:line="157" w:lineRule="exact"/>
              <w:rPr>
                <w:sz w:val="20"/>
                <w:szCs w:val="20"/>
                <w:color w:val="auto"/>
              </w:rPr>
            </w:pPr>
            <w:r>
              <w:rPr>
                <w:rFonts w:ascii="Arial" w:cs="Arial" w:eastAsia="Arial" w:hAnsi="Arial"/>
                <w:sz w:val="15"/>
                <w:szCs w:val="15"/>
                <w:b w:val="1"/>
                <w:bCs w:val="1"/>
                <w:color w:val="auto"/>
                <w:w w:val="88"/>
              </w:rPr>
              <w:t>Results</w:t>
            </w:r>
          </w:p>
        </w:tc>
        <w:tc>
          <w:tcPr>
            <w:tcW w:w="1420" w:type="dxa"/>
            <w:vAlign w:val="bottom"/>
            <w:gridSpan w:val="2"/>
          </w:tcPr>
          <w:p>
            <w:pPr>
              <w:jc w:val="center"/>
              <w:ind w:right="200"/>
              <w:spacing w:after="0" w:line="157" w:lineRule="exact"/>
              <w:rPr>
                <w:sz w:val="20"/>
                <w:szCs w:val="20"/>
                <w:color w:val="auto"/>
              </w:rPr>
            </w:pPr>
            <w:r>
              <w:rPr>
                <w:rFonts w:ascii="Arial" w:cs="Arial" w:eastAsia="Arial" w:hAnsi="Arial"/>
                <w:sz w:val="15"/>
                <w:szCs w:val="15"/>
                <w:b w:val="1"/>
                <w:bCs w:val="1"/>
                <w:color w:val="auto"/>
                <w:w w:val="93"/>
              </w:rPr>
              <w:t>Partnership</w:t>
            </w:r>
          </w:p>
        </w:tc>
        <w:tc>
          <w:tcPr>
            <w:tcW w:w="1320" w:type="dxa"/>
            <w:vAlign w:val="bottom"/>
            <w:gridSpan w:val="2"/>
          </w:tcPr>
          <w:p>
            <w:pPr>
              <w:jc w:val="center"/>
              <w:ind w:right="140"/>
              <w:spacing w:after="0" w:line="157" w:lineRule="exact"/>
              <w:rPr>
                <w:sz w:val="20"/>
                <w:szCs w:val="20"/>
                <w:color w:val="auto"/>
              </w:rPr>
            </w:pPr>
            <w:r>
              <w:rPr>
                <w:rFonts w:ascii="Arial" w:cs="Arial" w:eastAsia="Arial" w:hAnsi="Arial"/>
                <w:sz w:val="15"/>
                <w:szCs w:val="15"/>
                <w:b w:val="1"/>
                <w:bCs w:val="1"/>
                <w:color w:val="auto"/>
                <w:w w:val="93"/>
              </w:rPr>
              <w:t>Control</w:t>
            </w:r>
          </w:p>
        </w:tc>
        <w:tc>
          <w:tcPr>
            <w:tcW w:w="40" w:type="dxa"/>
            <w:vAlign w:val="bottom"/>
          </w:tcPr>
          <w:p>
            <w:pPr>
              <w:spacing w:after="0"/>
              <w:rPr>
                <w:sz w:val="13"/>
                <w:szCs w:val="13"/>
                <w:color w:val="auto"/>
              </w:rPr>
            </w:pPr>
          </w:p>
        </w:tc>
      </w:tr>
      <w:tr>
        <w:trPr>
          <w:trHeight w:val="157"/>
        </w:trPr>
        <w:tc>
          <w:tcPr>
            <w:tcW w:w="3480" w:type="dxa"/>
            <w:vAlign w:val="bottom"/>
            <w:gridSpan w:val="2"/>
          </w:tcPr>
          <w:p>
            <w:pPr>
              <w:spacing w:after="0" w:line="157" w:lineRule="exact"/>
              <w:rPr>
                <w:sz w:val="20"/>
                <w:szCs w:val="20"/>
                <w:color w:val="auto"/>
              </w:rPr>
            </w:pPr>
            <w:r>
              <w:rPr>
                <w:rFonts w:ascii="Arial" w:cs="Arial" w:eastAsia="Arial" w:hAnsi="Arial"/>
                <w:sz w:val="15"/>
                <w:szCs w:val="15"/>
                <w:b w:val="1"/>
                <w:bCs w:val="1"/>
                <w:i w:val="1"/>
                <w:iCs w:val="1"/>
                <w:color w:val="auto"/>
              </w:rPr>
              <w:t>(All amounts expressed in</w:t>
            </w:r>
          </w:p>
        </w:tc>
        <w:tc>
          <w:tcPr>
            <w:tcW w:w="1460" w:type="dxa"/>
            <w:vAlign w:val="bottom"/>
            <w:gridSpan w:val="2"/>
          </w:tcPr>
          <w:p>
            <w:pPr>
              <w:jc w:val="center"/>
              <w:ind w:right="240"/>
              <w:spacing w:after="0" w:line="157" w:lineRule="exact"/>
              <w:rPr>
                <w:sz w:val="20"/>
                <w:szCs w:val="20"/>
                <w:color w:val="auto"/>
              </w:rPr>
            </w:pPr>
            <w:r>
              <w:rPr>
                <w:rFonts w:ascii="Arial" w:cs="Arial" w:eastAsia="Arial" w:hAnsi="Arial"/>
                <w:sz w:val="15"/>
                <w:szCs w:val="15"/>
                <w:b w:val="1"/>
                <w:bCs w:val="1"/>
                <w:color w:val="auto"/>
                <w:w w:val="93"/>
              </w:rPr>
              <w:t>attributable to</w:t>
            </w:r>
          </w:p>
        </w:tc>
        <w:tc>
          <w:tcPr>
            <w:tcW w:w="1460" w:type="dxa"/>
            <w:vAlign w:val="bottom"/>
            <w:gridSpan w:val="2"/>
          </w:tcPr>
          <w:p>
            <w:pPr>
              <w:jc w:val="center"/>
              <w:ind w:right="240"/>
              <w:spacing w:after="0" w:line="157" w:lineRule="exact"/>
              <w:rPr>
                <w:sz w:val="20"/>
                <w:szCs w:val="20"/>
                <w:color w:val="auto"/>
              </w:rPr>
            </w:pPr>
            <w:r>
              <w:rPr>
                <w:rFonts w:ascii="Arial" w:cs="Arial" w:eastAsia="Arial" w:hAnsi="Arial"/>
                <w:sz w:val="15"/>
                <w:szCs w:val="15"/>
                <w:b w:val="1"/>
                <w:bCs w:val="1"/>
                <w:color w:val="auto"/>
                <w:w w:val="93"/>
              </w:rPr>
              <w:t>Performance</w:t>
            </w:r>
          </w:p>
        </w:tc>
        <w:tc>
          <w:tcPr>
            <w:tcW w:w="1440" w:type="dxa"/>
            <w:vAlign w:val="bottom"/>
            <w:gridSpan w:val="2"/>
          </w:tcPr>
          <w:p>
            <w:pPr>
              <w:jc w:val="center"/>
              <w:ind w:right="280"/>
              <w:spacing w:after="0" w:line="157" w:lineRule="exact"/>
              <w:rPr>
                <w:sz w:val="20"/>
                <w:szCs w:val="20"/>
                <w:color w:val="auto"/>
              </w:rPr>
            </w:pPr>
            <w:r>
              <w:rPr>
                <w:rFonts w:ascii="Arial" w:cs="Arial" w:eastAsia="Arial" w:hAnsi="Arial"/>
                <w:sz w:val="15"/>
                <w:szCs w:val="15"/>
                <w:b w:val="1"/>
                <w:bCs w:val="1"/>
                <w:color w:val="auto"/>
                <w:w w:val="91"/>
              </w:rPr>
              <w:t>Reported</w:t>
            </w:r>
          </w:p>
        </w:tc>
        <w:tc>
          <w:tcPr>
            <w:tcW w:w="1420" w:type="dxa"/>
            <w:vAlign w:val="bottom"/>
            <w:gridSpan w:val="2"/>
          </w:tcPr>
          <w:p>
            <w:pPr>
              <w:jc w:val="center"/>
              <w:ind w:right="240"/>
              <w:spacing w:after="0" w:line="157" w:lineRule="exact"/>
              <w:rPr>
                <w:sz w:val="20"/>
                <w:szCs w:val="20"/>
                <w:color w:val="auto"/>
              </w:rPr>
            </w:pPr>
            <w:r>
              <w:rPr>
                <w:rFonts w:ascii="Arial" w:cs="Arial" w:eastAsia="Arial" w:hAnsi="Arial"/>
                <w:sz w:val="15"/>
                <w:szCs w:val="15"/>
                <w:b w:val="1"/>
                <w:bCs w:val="1"/>
                <w:color w:val="auto"/>
                <w:w w:val="93"/>
              </w:rPr>
              <w:t>attributable to</w:t>
            </w:r>
          </w:p>
        </w:tc>
        <w:tc>
          <w:tcPr>
            <w:tcW w:w="1420" w:type="dxa"/>
            <w:vAlign w:val="bottom"/>
            <w:gridSpan w:val="2"/>
          </w:tcPr>
          <w:p>
            <w:pPr>
              <w:jc w:val="center"/>
              <w:ind w:right="220"/>
              <w:spacing w:after="0" w:line="157" w:lineRule="exact"/>
              <w:rPr>
                <w:sz w:val="20"/>
                <w:szCs w:val="20"/>
                <w:color w:val="auto"/>
              </w:rPr>
            </w:pPr>
            <w:r>
              <w:rPr>
                <w:rFonts w:ascii="Arial" w:cs="Arial" w:eastAsia="Arial" w:hAnsi="Arial"/>
                <w:sz w:val="15"/>
                <w:szCs w:val="15"/>
                <w:b w:val="1"/>
                <w:bCs w:val="1"/>
                <w:color w:val="auto"/>
                <w:w w:val="91"/>
              </w:rPr>
              <w:t>Performance</w:t>
            </w:r>
          </w:p>
        </w:tc>
        <w:tc>
          <w:tcPr>
            <w:tcW w:w="132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94"/>
              </w:rPr>
              <w:t>Reported</w:t>
            </w:r>
          </w:p>
        </w:tc>
        <w:tc>
          <w:tcPr>
            <w:tcW w:w="40" w:type="dxa"/>
            <w:vAlign w:val="bottom"/>
          </w:tcPr>
          <w:p>
            <w:pPr>
              <w:spacing w:after="0"/>
              <w:rPr>
                <w:sz w:val="13"/>
                <w:szCs w:val="13"/>
                <w:color w:val="auto"/>
              </w:rPr>
            </w:pPr>
          </w:p>
        </w:tc>
      </w:tr>
      <w:tr>
        <w:trPr>
          <w:trHeight w:val="180"/>
        </w:trPr>
        <w:tc>
          <w:tcPr>
            <w:tcW w:w="348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U.S. dollars)</w:t>
            </w:r>
          </w:p>
        </w:tc>
        <w:tc>
          <w:tcPr>
            <w:tcW w:w="14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GasLog</w:t>
            </w:r>
          </w:p>
        </w:tc>
        <w:tc>
          <w:tcPr>
            <w:tcW w:w="14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4"/>
              </w:rPr>
              <w:t>Results</w:t>
            </w:r>
          </w:p>
        </w:tc>
        <w:tc>
          <w:tcPr>
            <w:tcW w:w="14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Results</w:t>
            </w:r>
          </w:p>
        </w:tc>
        <w:tc>
          <w:tcPr>
            <w:tcW w:w="14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GasLog</w:t>
            </w:r>
          </w:p>
        </w:tc>
        <w:tc>
          <w:tcPr>
            <w:tcW w:w="14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Results</w:t>
            </w:r>
          </w:p>
        </w:tc>
        <w:tc>
          <w:tcPr>
            <w:tcW w:w="13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4"/>
              </w:rPr>
              <w:t>Results</w:t>
            </w:r>
          </w:p>
        </w:tc>
        <w:tc>
          <w:tcPr>
            <w:tcW w:w="40" w:type="dxa"/>
            <w:vAlign w:val="bottom"/>
          </w:tcPr>
          <w:p>
            <w:pPr>
              <w:spacing w:after="0"/>
              <w:rPr>
                <w:sz w:val="15"/>
                <w:szCs w:val="15"/>
                <w:color w:val="auto"/>
              </w:rPr>
            </w:pPr>
          </w:p>
        </w:tc>
      </w:tr>
      <w:tr>
        <w:trPr>
          <w:trHeight w:val="222"/>
        </w:trPr>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Revenues</w:t>
            </w:r>
          </w:p>
        </w:tc>
        <w:tc>
          <w:tcPr>
            <w:tcW w:w="2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16,169</w:t>
            </w:r>
          </w:p>
        </w:tc>
        <w:tc>
          <w:tcPr>
            <w:tcW w:w="2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76,219</w:t>
            </w:r>
          </w:p>
        </w:tc>
        <w:tc>
          <w:tcPr>
            <w:tcW w:w="2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92,388</w:t>
            </w:r>
          </w:p>
        </w:tc>
        <w:tc>
          <w:tcPr>
            <w:tcW w:w="2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102,075</w:t>
            </w:r>
          </w:p>
        </w:tc>
        <w:tc>
          <w:tcPr>
            <w:tcW w:w="2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269,071</w:t>
            </w:r>
          </w:p>
        </w:tc>
        <w:tc>
          <w:tcPr>
            <w:tcW w:w="2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371,146</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3480" w:type="dxa"/>
            <w:vAlign w:val="bottom"/>
            <w:gridSpan w:val="2"/>
          </w:tcPr>
          <w:p>
            <w:pPr>
              <w:spacing w:after="0"/>
              <w:rPr>
                <w:sz w:val="20"/>
                <w:szCs w:val="20"/>
                <w:color w:val="auto"/>
              </w:rPr>
            </w:pPr>
            <w:r>
              <w:rPr>
                <w:rFonts w:ascii="Arial" w:cs="Arial" w:eastAsia="Arial" w:hAnsi="Arial"/>
                <w:sz w:val="19"/>
                <w:szCs w:val="19"/>
                <w:color w:val="auto"/>
              </w:rPr>
              <w:t>Voyage expenses and commissions</w:t>
            </w:r>
          </w:p>
        </w:tc>
        <w:tc>
          <w:tcPr>
            <w:tcW w:w="1460" w:type="dxa"/>
            <w:vAlign w:val="bottom"/>
            <w:gridSpan w:val="2"/>
          </w:tcPr>
          <w:p>
            <w:pPr>
              <w:jc w:val="right"/>
              <w:ind w:right="180"/>
              <w:spacing w:after="0"/>
              <w:rPr>
                <w:sz w:val="20"/>
                <w:szCs w:val="20"/>
                <w:color w:val="auto"/>
              </w:rPr>
            </w:pPr>
            <w:r>
              <w:rPr>
                <w:rFonts w:ascii="Arial" w:cs="Arial" w:eastAsia="Arial" w:hAnsi="Arial"/>
                <w:sz w:val="19"/>
                <w:szCs w:val="19"/>
                <w:color w:val="auto"/>
              </w:rPr>
              <w:t>(202)</w:t>
            </w:r>
          </w:p>
        </w:tc>
        <w:tc>
          <w:tcPr>
            <w:tcW w:w="1460" w:type="dxa"/>
            <w:vAlign w:val="bottom"/>
            <w:gridSpan w:val="2"/>
          </w:tcPr>
          <w:p>
            <w:pPr>
              <w:jc w:val="right"/>
              <w:ind w:right="180"/>
              <w:spacing w:after="0"/>
              <w:rPr>
                <w:sz w:val="20"/>
                <w:szCs w:val="20"/>
                <w:color w:val="auto"/>
              </w:rPr>
            </w:pPr>
            <w:r>
              <w:rPr>
                <w:rFonts w:ascii="Arial" w:cs="Arial" w:eastAsia="Arial" w:hAnsi="Arial"/>
                <w:sz w:val="19"/>
                <w:szCs w:val="19"/>
                <w:color w:val="auto"/>
              </w:rPr>
              <w:t>(957)</w:t>
            </w:r>
          </w:p>
        </w:tc>
        <w:tc>
          <w:tcPr>
            <w:tcW w:w="1440" w:type="dxa"/>
            <w:vAlign w:val="bottom"/>
            <w:gridSpan w:val="2"/>
          </w:tcPr>
          <w:p>
            <w:pPr>
              <w:jc w:val="right"/>
              <w:ind w:right="160"/>
              <w:spacing w:after="0"/>
              <w:rPr>
                <w:sz w:val="20"/>
                <w:szCs w:val="20"/>
                <w:color w:val="auto"/>
              </w:rPr>
            </w:pPr>
            <w:r>
              <w:rPr>
                <w:rFonts w:ascii="Arial" w:cs="Arial" w:eastAsia="Arial" w:hAnsi="Arial"/>
                <w:sz w:val="19"/>
                <w:szCs w:val="19"/>
                <w:color w:val="auto"/>
              </w:rPr>
              <w:t>(1,159)</w:t>
            </w:r>
          </w:p>
        </w:tc>
        <w:tc>
          <w:tcPr>
            <w:tcW w:w="1420" w:type="dxa"/>
            <w:vAlign w:val="bottom"/>
            <w:gridSpan w:val="2"/>
          </w:tcPr>
          <w:p>
            <w:pPr>
              <w:jc w:val="right"/>
              <w:ind w:right="160"/>
              <w:spacing w:after="0"/>
              <w:rPr>
                <w:sz w:val="20"/>
                <w:szCs w:val="20"/>
                <w:color w:val="auto"/>
              </w:rPr>
            </w:pPr>
            <w:r>
              <w:rPr>
                <w:rFonts w:ascii="Arial" w:cs="Arial" w:eastAsia="Arial" w:hAnsi="Arial"/>
                <w:sz w:val="19"/>
                <w:szCs w:val="19"/>
                <w:color w:val="auto"/>
              </w:rPr>
              <w:t>(1,273)</w:t>
            </w:r>
          </w:p>
        </w:tc>
        <w:tc>
          <w:tcPr>
            <w:tcW w:w="1420" w:type="dxa"/>
            <w:vAlign w:val="bottom"/>
            <w:gridSpan w:val="2"/>
          </w:tcPr>
          <w:p>
            <w:pPr>
              <w:jc w:val="right"/>
              <w:ind w:right="160"/>
              <w:spacing w:after="0"/>
              <w:rPr>
                <w:sz w:val="20"/>
                <w:szCs w:val="20"/>
                <w:color w:val="auto"/>
              </w:rPr>
            </w:pPr>
            <w:r>
              <w:rPr>
                <w:rFonts w:ascii="Arial" w:cs="Arial" w:eastAsia="Arial" w:hAnsi="Arial"/>
                <w:sz w:val="19"/>
                <w:szCs w:val="19"/>
                <w:color w:val="auto"/>
              </w:rPr>
              <w:t>(3,377)</w:t>
            </w:r>
          </w:p>
        </w:tc>
        <w:tc>
          <w:tcPr>
            <w:tcW w:w="1320" w:type="dxa"/>
            <w:vAlign w:val="bottom"/>
            <w:gridSpan w:val="2"/>
          </w:tcPr>
          <w:p>
            <w:pPr>
              <w:jc w:val="right"/>
              <w:ind w:right="40"/>
              <w:spacing w:after="0"/>
              <w:rPr>
                <w:sz w:val="20"/>
                <w:szCs w:val="20"/>
                <w:color w:val="auto"/>
              </w:rPr>
            </w:pPr>
            <w:r>
              <w:rPr>
                <w:rFonts w:ascii="Arial" w:cs="Arial" w:eastAsia="Arial" w:hAnsi="Arial"/>
                <w:sz w:val="19"/>
                <w:szCs w:val="19"/>
                <w:color w:val="auto"/>
              </w:rPr>
              <w:t>(4,650)</w:t>
            </w:r>
          </w:p>
        </w:tc>
        <w:tc>
          <w:tcPr>
            <w:tcW w:w="40" w:type="dxa"/>
            <w:vAlign w:val="bottom"/>
          </w:tcPr>
          <w:p>
            <w:pPr>
              <w:spacing w:after="0"/>
              <w:rPr>
                <w:sz w:val="19"/>
                <w:szCs w:val="19"/>
                <w:color w:val="auto"/>
              </w:rPr>
            </w:pPr>
          </w:p>
        </w:tc>
      </w:tr>
      <w:tr>
        <w:trPr>
          <w:trHeight w:val="228"/>
        </w:trPr>
        <w:tc>
          <w:tcPr>
            <w:tcW w:w="34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Vessel operating costs</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(3,359)</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(16,169)</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(19,528)</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(15,677)</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(55,692)</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(71,369)</w:t>
            </w:r>
          </w:p>
        </w:tc>
        <w:tc>
          <w:tcPr>
            <w:tcW w:w="40" w:type="dxa"/>
            <w:vAlign w:val="bottom"/>
          </w:tcPr>
          <w:p>
            <w:pPr>
              <w:spacing w:after="0"/>
              <w:rPr>
                <w:sz w:val="19"/>
                <w:szCs w:val="19"/>
                <w:color w:val="auto"/>
              </w:rPr>
            </w:pPr>
          </w:p>
        </w:tc>
      </w:tr>
      <w:tr>
        <w:trPr>
          <w:trHeight w:val="228"/>
        </w:trPr>
        <w:tc>
          <w:tcPr>
            <w:tcW w:w="3480" w:type="dxa"/>
            <w:vAlign w:val="bottom"/>
            <w:gridSpan w:val="2"/>
          </w:tcPr>
          <w:p>
            <w:pPr>
              <w:spacing w:after="0"/>
              <w:rPr>
                <w:sz w:val="20"/>
                <w:szCs w:val="20"/>
                <w:color w:val="auto"/>
              </w:rPr>
            </w:pPr>
            <w:r>
              <w:rPr>
                <w:rFonts w:ascii="Arial" w:cs="Arial" w:eastAsia="Arial" w:hAnsi="Arial"/>
                <w:sz w:val="19"/>
                <w:szCs w:val="19"/>
                <w:color w:val="auto"/>
              </w:rPr>
              <w:t>Depreciation</w:t>
            </w:r>
          </w:p>
        </w:tc>
        <w:tc>
          <w:tcPr>
            <w:tcW w:w="1460" w:type="dxa"/>
            <w:vAlign w:val="bottom"/>
            <w:gridSpan w:val="2"/>
          </w:tcPr>
          <w:p>
            <w:pPr>
              <w:jc w:val="right"/>
              <w:ind w:right="180"/>
              <w:spacing w:after="0"/>
              <w:rPr>
                <w:sz w:val="20"/>
                <w:szCs w:val="20"/>
                <w:color w:val="auto"/>
              </w:rPr>
            </w:pPr>
            <w:r>
              <w:rPr>
                <w:rFonts w:ascii="Arial" w:cs="Arial" w:eastAsia="Arial" w:hAnsi="Arial"/>
                <w:sz w:val="19"/>
                <w:szCs w:val="19"/>
                <w:color w:val="auto"/>
              </w:rPr>
              <w:t>(3,667)</w:t>
            </w:r>
          </w:p>
        </w:tc>
        <w:tc>
          <w:tcPr>
            <w:tcW w:w="1460" w:type="dxa"/>
            <w:vAlign w:val="bottom"/>
            <w:gridSpan w:val="2"/>
          </w:tcPr>
          <w:p>
            <w:pPr>
              <w:jc w:val="right"/>
              <w:ind w:right="180"/>
              <w:spacing w:after="0"/>
              <w:rPr>
                <w:sz w:val="20"/>
                <w:szCs w:val="20"/>
                <w:color w:val="auto"/>
              </w:rPr>
            </w:pPr>
            <w:r>
              <w:rPr>
                <w:rFonts w:ascii="Arial" w:cs="Arial" w:eastAsia="Arial" w:hAnsi="Arial"/>
                <w:sz w:val="19"/>
                <w:szCs w:val="19"/>
                <w:color w:val="auto"/>
              </w:rPr>
              <w:t>(16,785)</w:t>
            </w:r>
          </w:p>
        </w:tc>
        <w:tc>
          <w:tcPr>
            <w:tcW w:w="1440" w:type="dxa"/>
            <w:vAlign w:val="bottom"/>
            <w:gridSpan w:val="2"/>
          </w:tcPr>
          <w:p>
            <w:pPr>
              <w:jc w:val="right"/>
              <w:ind w:right="160"/>
              <w:spacing w:after="0"/>
              <w:rPr>
                <w:sz w:val="20"/>
                <w:szCs w:val="20"/>
                <w:color w:val="auto"/>
              </w:rPr>
            </w:pPr>
            <w:r>
              <w:rPr>
                <w:rFonts w:ascii="Arial" w:cs="Arial" w:eastAsia="Arial" w:hAnsi="Arial"/>
                <w:sz w:val="19"/>
                <w:szCs w:val="19"/>
                <w:color w:val="auto"/>
              </w:rPr>
              <w:t>(20,452)</w:t>
            </w:r>
          </w:p>
        </w:tc>
        <w:tc>
          <w:tcPr>
            <w:tcW w:w="1420" w:type="dxa"/>
            <w:vAlign w:val="bottom"/>
            <w:gridSpan w:val="2"/>
          </w:tcPr>
          <w:p>
            <w:pPr>
              <w:jc w:val="right"/>
              <w:ind w:right="160"/>
              <w:spacing w:after="0"/>
              <w:rPr>
                <w:sz w:val="20"/>
                <w:szCs w:val="20"/>
                <w:color w:val="auto"/>
              </w:rPr>
            </w:pPr>
            <w:r>
              <w:rPr>
                <w:rFonts w:ascii="Arial" w:cs="Arial" w:eastAsia="Arial" w:hAnsi="Arial"/>
                <w:sz w:val="19"/>
                <w:szCs w:val="19"/>
                <w:color w:val="auto"/>
              </w:rPr>
              <w:t>(22,896)</w:t>
            </w:r>
          </w:p>
        </w:tc>
        <w:tc>
          <w:tcPr>
            <w:tcW w:w="1420" w:type="dxa"/>
            <w:vAlign w:val="bottom"/>
            <w:gridSpan w:val="2"/>
          </w:tcPr>
          <w:p>
            <w:pPr>
              <w:jc w:val="right"/>
              <w:ind w:right="160"/>
              <w:spacing w:after="0"/>
              <w:rPr>
                <w:sz w:val="20"/>
                <w:szCs w:val="20"/>
                <w:color w:val="auto"/>
              </w:rPr>
            </w:pPr>
            <w:r>
              <w:rPr>
                <w:rFonts w:ascii="Arial" w:cs="Arial" w:eastAsia="Arial" w:hAnsi="Arial"/>
                <w:sz w:val="19"/>
                <w:szCs w:val="19"/>
                <w:color w:val="auto"/>
              </w:rPr>
              <w:t>(58,193)</w:t>
            </w:r>
          </w:p>
        </w:tc>
        <w:tc>
          <w:tcPr>
            <w:tcW w:w="1320" w:type="dxa"/>
            <w:vAlign w:val="bottom"/>
            <w:gridSpan w:val="2"/>
          </w:tcPr>
          <w:p>
            <w:pPr>
              <w:jc w:val="right"/>
              <w:ind w:right="40"/>
              <w:spacing w:after="0"/>
              <w:rPr>
                <w:sz w:val="20"/>
                <w:szCs w:val="20"/>
                <w:color w:val="auto"/>
              </w:rPr>
            </w:pPr>
            <w:r>
              <w:rPr>
                <w:rFonts w:ascii="Arial" w:cs="Arial" w:eastAsia="Arial" w:hAnsi="Arial"/>
                <w:sz w:val="19"/>
                <w:szCs w:val="19"/>
                <w:color w:val="auto"/>
              </w:rPr>
              <w:t>(81,089)</w:t>
            </w:r>
          </w:p>
        </w:tc>
        <w:tc>
          <w:tcPr>
            <w:tcW w:w="40" w:type="dxa"/>
            <w:vAlign w:val="bottom"/>
          </w:tcPr>
          <w:p>
            <w:pPr>
              <w:spacing w:after="0"/>
              <w:rPr>
                <w:sz w:val="19"/>
                <w:szCs w:val="19"/>
                <w:color w:val="auto"/>
              </w:rPr>
            </w:pPr>
          </w:p>
        </w:tc>
      </w:tr>
      <w:tr>
        <w:trPr>
          <w:trHeight w:val="228"/>
        </w:trPr>
        <w:tc>
          <w:tcPr>
            <w:tcW w:w="34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General and administrative expenses</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(216)</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(3,735)</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(3,951)</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(1,442)</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(13,869</w:t>
            </w:r>
            <w:r>
              <w:rPr>
                <w:rFonts w:ascii="Arial" w:cs="Arial" w:eastAsia="Arial" w:hAnsi="Arial"/>
                <w:sz w:val="19"/>
                <w:szCs w:val="19"/>
                <w:b w:val="1"/>
                <w:bCs w:val="1"/>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(15,311)</w:t>
            </w:r>
          </w:p>
        </w:tc>
        <w:tc>
          <w:tcPr>
            <w:tcW w:w="40" w:type="dxa"/>
            <w:vAlign w:val="bottom"/>
          </w:tcPr>
          <w:p>
            <w:pPr>
              <w:spacing w:after="0"/>
              <w:rPr>
                <w:sz w:val="19"/>
                <w:szCs w:val="19"/>
                <w:color w:val="auto"/>
              </w:rPr>
            </w:pPr>
          </w:p>
        </w:tc>
      </w:tr>
      <w:tr>
        <w:trPr>
          <w:trHeight w:val="222"/>
        </w:trPr>
        <w:tc>
          <w:tcPr>
            <w:tcW w:w="3480" w:type="dxa"/>
            <w:vAlign w:val="bottom"/>
            <w:tcBorders>
              <w:bottom w:val="single" w:sz="8" w:color="CCEEFF"/>
            </w:tcBorders>
            <w:gridSpan w:val="2"/>
          </w:tcPr>
          <w:p>
            <w:pPr>
              <w:spacing w:after="0"/>
              <w:rPr>
                <w:sz w:val="20"/>
                <w:szCs w:val="20"/>
                <w:color w:val="auto"/>
              </w:rPr>
            </w:pPr>
            <w:r>
              <w:rPr>
                <w:rFonts w:ascii="Arial" w:cs="Arial" w:eastAsia="Arial" w:hAnsi="Arial"/>
                <w:sz w:val="19"/>
                <w:szCs w:val="19"/>
                <w:b w:val="1"/>
                <w:bCs w:val="1"/>
                <w:color w:val="auto"/>
              </w:rPr>
              <w:t>Profit from operations</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8,725</w:t>
            </w:r>
          </w:p>
        </w:tc>
        <w:tc>
          <w:tcPr>
            <w:tcW w:w="24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38,573</w:t>
            </w:r>
          </w:p>
        </w:tc>
        <w:tc>
          <w:tcPr>
            <w:tcW w:w="24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47,298</w:t>
            </w:r>
          </w:p>
        </w:tc>
        <w:tc>
          <w:tcPr>
            <w:tcW w:w="24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60,787</w:t>
            </w:r>
          </w:p>
        </w:tc>
        <w:tc>
          <w:tcPr>
            <w:tcW w:w="22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137,940</w:t>
            </w:r>
          </w:p>
        </w:tc>
        <w:tc>
          <w:tcPr>
            <w:tcW w:w="22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198,727</w:t>
            </w:r>
          </w:p>
        </w:tc>
        <w:tc>
          <w:tcPr>
            <w:tcW w:w="12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34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Financial costs</w:t>
            </w: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(2,724)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(13,557)</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(16,281)</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(20,206)</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(44,916)</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(65,122)</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3480" w:type="dxa"/>
            <w:vAlign w:val="bottom"/>
            <w:gridSpan w:val="2"/>
          </w:tcPr>
          <w:p>
            <w:pPr>
              <w:spacing w:after="0"/>
              <w:rPr>
                <w:sz w:val="20"/>
                <w:szCs w:val="20"/>
                <w:color w:val="auto"/>
              </w:rPr>
            </w:pPr>
            <w:r>
              <w:rPr>
                <w:rFonts w:ascii="Arial" w:cs="Arial" w:eastAsia="Arial" w:hAnsi="Arial"/>
                <w:sz w:val="19"/>
                <w:szCs w:val="19"/>
                <w:color w:val="auto"/>
              </w:rPr>
              <w:t>Financial income</w:t>
            </w:r>
          </w:p>
        </w:tc>
        <w:tc>
          <w:tcPr>
            <w:tcW w:w="1460" w:type="dxa"/>
            <w:vAlign w:val="bottom"/>
            <w:gridSpan w:val="2"/>
          </w:tcPr>
          <w:p>
            <w:pPr>
              <w:jc w:val="right"/>
              <w:ind w:right="240"/>
              <w:spacing w:after="0"/>
              <w:rPr>
                <w:sz w:val="20"/>
                <w:szCs w:val="20"/>
                <w:color w:val="auto"/>
              </w:rPr>
            </w:pPr>
            <w:r>
              <w:rPr>
                <w:rFonts w:ascii="Arial" w:cs="Arial" w:eastAsia="Arial" w:hAnsi="Arial"/>
                <w:sz w:val="19"/>
                <w:szCs w:val="19"/>
                <w:color w:val="auto"/>
              </w:rPr>
              <w:t>8</w:t>
            </w:r>
          </w:p>
        </w:tc>
        <w:tc>
          <w:tcPr>
            <w:tcW w:w="1460" w:type="dxa"/>
            <w:vAlign w:val="bottom"/>
            <w:gridSpan w:val="2"/>
          </w:tcPr>
          <w:p>
            <w:pPr>
              <w:jc w:val="right"/>
              <w:ind w:right="240"/>
              <w:spacing w:after="0"/>
              <w:rPr>
                <w:sz w:val="20"/>
                <w:szCs w:val="20"/>
                <w:color w:val="auto"/>
              </w:rPr>
            </w:pPr>
            <w:r>
              <w:rPr>
                <w:rFonts w:ascii="Arial" w:cs="Arial" w:eastAsia="Arial" w:hAnsi="Arial"/>
                <w:sz w:val="19"/>
                <w:szCs w:val="19"/>
                <w:color w:val="auto"/>
              </w:rPr>
              <w:t>316</w:t>
            </w:r>
          </w:p>
        </w:tc>
        <w:tc>
          <w:tcPr>
            <w:tcW w:w="1440" w:type="dxa"/>
            <w:vAlign w:val="bottom"/>
            <w:gridSpan w:val="2"/>
          </w:tcPr>
          <w:p>
            <w:pPr>
              <w:jc w:val="right"/>
              <w:ind w:right="240"/>
              <w:spacing w:after="0"/>
              <w:rPr>
                <w:sz w:val="20"/>
                <w:szCs w:val="20"/>
                <w:color w:val="auto"/>
              </w:rPr>
            </w:pPr>
            <w:r>
              <w:rPr>
                <w:rFonts w:ascii="Arial" w:cs="Arial" w:eastAsia="Arial" w:hAnsi="Arial"/>
                <w:sz w:val="19"/>
                <w:szCs w:val="19"/>
                <w:color w:val="auto"/>
              </w:rPr>
              <w:t>324</w:t>
            </w:r>
          </w:p>
        </w:tc>
        <w:tc>
          <w:tcPr>
            <w:tcW w:w="1200" w:type="dxa"/>
            <w:vAlign w:val="bottom"/>
          </w:tcPr>
          <w:p>
            <w:pPr>
              <w:jc w:val="right"/>
              <w:spacing w:after="0"/>
              <w:rPr>
                <w:sz w:val="20"/>
                <w:szCs w:val="20"/>
                <w:color w:val="auto"/>
              </w:rPr>
            </w:pPr>
            <w:r>
              <w:rPr>
                <w:rFonts w:ascii="Arial" w:cs="Arial" w:eastAsia="Arial" w:hAnsi="Arial"/>
                <w:sz w:val="19"/>
                <w:szCs w:val="19"/>
                <w:color w:val="auto"/>
              </w:rPr>
              <w:t>47</w:t>
            </w:r>
          </w:p>
        </w:tc>
        <w:tc>
          <w:tcPr>
            <w:tcW w:w="2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9"/>
                <w:szCs w:val="19"/>
                <w:color w:val="auto"/>
              </w:rPr>
              <w:t>972</w:t>
            </w:r>
          </w:p>
        </w:tc>
        <w:tc>
          <w:tcPr>
            <w:tcW w:w="1200" w:type="dxa"/>
            <w:vAlign w:val="bottom"/>
          </w:tcPr>
          <w:p>
            <w:pPr>
              <w:jc w:val="right"/>
              <w:spacing w:after="0"/>
              <w:rPr>
                <w:sz w:val="20"/>
                <w:szCs w:val="20"/>
                <w:color w:val="auto"/>
              </w:rPr>
            </w:pPr>
            <w:r>
              <w:rPr>
                <w:rFonts w:ascii="Arial" w:cs="Arial" w:eastAsia="Arial" w:hAnsi="Arial"/>
                <w:sz w:val="19"/>
                <w:szCs w:val="19"/>
                <w:color w:val="auto"/>
              </w:rPr>
              <w:t>1,019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34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Gain on derivatives</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b w:val="1"/>
                <w:bCs w:val="1"/>
                <w:color w:val="auto"/>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3,106</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3,106</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b w:val="1"/>
                <w:bCs w:val="1"/>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121</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121</w:t>
            </w:r>
          </w:p>
        </w:tc>
        <w:tc>
          <w:tcPr>
            <w:tcW w:w="40" w:type="dxa"/>
            <w:vAlign w:val="bottom"/>
          </w:tcPr>
          <w:p>
            <w:pPr>
              <w:spacing w:after="0"/>
              <w:rPr>
                <w:sz w:val="19"/>
                <w:szCs w:val="19"/>
                <w:color w:val="auto"/>
              </w:rPr>
            </w:pPr>
          </w:p>
        </w:tc>
      </w:tr>
      <w:tr>
        <w:trPr>
          <w:trHeight w:val="222"/>
        </w:trPr>
        <w:tc>
          <w:tcPr>
            <w:tcW w:w="3480" w:type="dxa"/>
            <w:vAlign w:val="bottom"/>
            <w:tcBorders>
              <w:bottom w:val="single" w:sz="8" w:color="CCEEFF"/>
            </w:tcBorders>
            <w:gridSpan w:val="2"/>
          </w:tcPr>
          <w:p>
            <w:pPr>
              <w:spacing w:after="0"/>
              <w:rPr>
                <w:sz w:val="20"/>
                <w:szCs w:val="20"/>
                <w:color w:val="auto"/>
              </w:rPr>
            </w:pPr>
            <w:r>
              <w:rPr>
                <w:rFonts w:ascii="Arial" w:cs="Arial" w:eastAsia="Arial" w:hAnsi="Arial"/>
                <w:sz w:val="19"/>
                <w:szCs w:val="19"/>
                <w:b w:val="1"/>
                <w:bCs w:val="1"/>
                <w:color w:val="auto"/>
              </w:rPr>
              <w:t>Total other expenses, net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(2,716)</w:t>
            </w:r>
          </w:p>
        </w:tc>
        <w:tc>
          <w:tcPr>
            <w:tcW w:w="24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(10,135)</w:t>
            </w:r>
          </w:p>
        </w:tc>
        <w:tc>
          <w:tcPr>
            <w:tcW w:w="24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(12,851)</w:t>
            </w:r>
          </w:p>
        </w:tc>
        <w:tc>
          <w:tcPr>
            <w:tcW w:w="24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(20,159)</w:t>
            </w:r>
          </w:p>
        </w:tc>
        <w:tc>
          <w:tcPr>
            <w:tcW w:w="22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(43,823)</w:t>
            </w:r>
          </w:p>
        </w:tc>
        <w:tc>
          <w:tcPr>
            <w:tcW w:w="22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(63,982)</w:t>
            </w:r>
          </w:p>
        </w:tc>
        <w:tc>
          <w:tcPr>
            <w:tcW w:w="12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9"/>
                <w:szCs w:val="19"/>
                <w:b w:val="1"/>
                <w:bCs w:val="1"/>
                <w:color w:val="auto"/>
              </w:rPr>
              <w:t>Profit for the period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6,009</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28,438</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34,447</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40,628</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94,117</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134,745</w:t>
            </w: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8"/>
        </w:trPr>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gridSpan w:val="6"/>
          </w:tcPr>
          <w:p>
            <w:pPr>
              <w:jc w:val="center"/>
              <w:ind w:right="220"/>
              <w:spacing w:after="0"/>
              <w:rPr>
                <w:sz w:val="20"/>
                <w:szCs w:val="20"/>
                <w:color w:val="auto"/>
              </w:rPr>
            </w:pPr>
            <w:r>
              <w:rPr>
                <w:rFonts w:ascii="Arial" w:cs="Arial" w:eastAsia="Arial" w:hAnsi="Arial"/>
                <w:sz w:val="15"/>
                <w:szCs w:val="15"/>
                <w:b w:val="1"/>
                <w:bCs w:val="1"/>
                <w:color w:val="auto"/>
                <w:w w:val="90"/>
              </w:rPr>
              <w:t>For the three months ended December 31, 2018</w:t>
            </w:r>
          </w:p>
        </w:tc>
        <w:tc>
          <w:tcPr>
            <w:tcW w:w="4160" w:type="dxa"/>
            <w:vAlign w:val="bottom"/>
            <w:gridSpan w:val="6"/>
          </w:tcPr>
          <w:p>
            <w:pPr>
              <w:jc w:val="center"/>
              <w:ind w:right="120"/>
              <w:spacing w:after="0"/>
              <w:rPr>
                <w:sz w:val="20"/>
                <w:szCs w:val="20"/>
                <w:color w:val="auto"/>
              </w:rPr>
            </w:pPr>
            <w:r>
              <w:rPr>
                <w:rFonts w:ascii="Arial" w:cs="Arial" w:eastAsia="Arial" w:hAnsi="Arial"/>
                <w:sz w:val="15"/>
                <w:szCs w:val="15"/>
                <w:b w:val="1"/>
                <w:bCs w:val="1"/>
                <w:color w:val="auto"/>
                <w:w w:val="90"/>
              </w:rPr>
              <w:t>For the year ended December 31, 2018</w:t>
            </w:r>
          </w:p>
        </w:tc>
        <w:tc>
          <w:tcPr>
            <w:tcW w:w="40" w:type="dxa"/>
            <w:vAlign w:val="bottom"/>
          </w:tcPr>
          <w:p>
            <w:pPr>
              <w:spacing w:after="0"/>
              <w:rPr>
                <w:sz w:val="24"/>
                <w:szCs w:val="24"/>
                <w:color w:val="auto"/>
              </w:rPr>
            </w:pPr>
          </w:p>
        </w:tc>
      </w:tr>
      <w:tr>
        <w:trPr>
          <w:trHeight w:val="128"/>
        </w:trPr>
        <w:tc>
          <w:tcPr>
            <w:tcW w:w="3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rPr>
              <w:t>IFRS Common</w:t>
            </w:r>
          </w:p>
        </w:tc>
        <w:tc>
          <w:tcPr>
            <w:tcW w:w="24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rPr>
              <w:t>IFRS Common</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7"/>
        </w:trPr>
        <w:tc>
          <w:tcPr>
            <w:tcW w:w="3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center"/>
              <w:ind w:right="220"/>
              <w:spacing w:after="0" w:line="157" w:lineRule="exact"/>
              <w:rPr>
                <w:sz w:val="20"/>
                <w:szCs w:val="20"/>
                <w:color w:val="auto"/>
              </w:rPr>
            </w:pPr>
            <w:r>
              <w:rPr>
                <w:rFonts w:ascii="Arial" w:cs="Arial" w:eastAsia="Arial" w:hAnsi="Arial"/>
                <w:sz w:val="15"/>
                <w:szCs w:val="15"/>
                <w:b w:val="1"/>
                <w:bCs w:val="1"/>
                <w:color w:val="auto"/>
                <w:w w:val="88"/>
              </w:rPr>
              <w:t>Results</w:t>
            </w:r>
          </w:p>
        </w:tc>
        <w:tc>
          <w:tcPr>
            <w:tcW w:w="1460" w:type="dxa"/>
            <w:vAlign w:val="bottom"/>
            <w:gridSpan w:val="2"/>
          </w:tcPr>
          <w:p>
            <w:pPr>
              <w:jc w:val="center"/>
              <w:ind w:right="240"/>
              <w:spacing w:after="0" w:line="157" w:lineRule="exact"/>
              <w:rPr>
                <w:sz w:val="20"/>
                <w:szCs w:val="20"/>
                <w:color w:val="auto"/>
              </w:rPr>
            </w:pPr>
            <w:r>
              <w:rPr>
                <w:rFonts w:ascii="Arial" w:cs="Arial" w:eastAsia="Arial" w:hAnsi="Arial"/>
                <w:sz w:val="15"/>
                <w:szCs w:val="15"/>
                <w:b w:val="1"/>
                <w:bCs w:val="1"/>
                <w:color w:val="auto"/>
                <w:w w:val="93"/>
              </w:rPr>
              <w:t>Partnership</w:t>
            </w:r>
          </w:p>
        </w:tc>
        <w:tc>
          <w:tcPr>
            <w:tcW w:w="1440" w:type="dxa"/>
            <w:vAlign w:val="bottom"/>
            <w:gridSpan w:val="2"/>
          </w:tcPr>
          <w:p>
            <w:pPr>
              <w:jc w:val="center"/>
              <w:ind w:right="220"/>
              <w:spacing w:after="0" w:line="157" w:lineRule="exact"/>
              <w:rPr>
                <w:sz w:val="20"/>
                <w:szCs w:val="20"/>
                <w:color w:val="auto"/>
              </w:rPr>
            </w:pPr>
            <w:r>
              <w:rPr>
                <w:rFonts w:ascii="Arial" w:cs="Arial" w:eastAsia="Arial" w:hAnsi="Arial"/>
                <w:sz w:val="15"/>
                <w:szCs w:val="15"/>
                <w:b w:val="1"/>
                <w:bCs w:val="1"/>
                <w:color w:val="auto"/>
                <w:w w:val="93"/>
              </w:rPr>
              <w:t>Control</w:t>
            </w:r>
          </w:p>
        </w:tc>
        <w:tc>
          <w:tcPr>
            <w:tcW w:w="1420" w:type="dxa"/>
            <w:vAlign w:val="bottom"/>
            <w:gridSpan w:val="2"/>
          </w:tcPr>
          <w:p>
            <w:pPr>
              <w:jc w:val="center"/>
              <w:ind w:right="220"/>
              <w:spacing w:after="0" w:line="157" w:lineRule="exact"/>
              <w:rPr>
                <w:sz w:val="20"/>
                <w:szCs w:val="20"/>
                <w:color w:val="auto"/>
              </w:rPr>
            </w:pPr>
            <w:r>
              <w:rPr>
                <w:rFonts w:ascii="Arial" w:cs="Arial" w:eastAsia="Arial" w:hAnsi="Arial"/>
                <w:sz w:val="15"/>
                <w:szCs w:val="15"/>
                <w:b w:val="1"/>
                <w:bCs w:val="1"/>
                <w:color w:val="auto"/>
                <w:w w:val="88"/>
              </w:rPr>
              <w:t>Results</w:t>
            </w:r>
          </w:p>
        </w:tc>
        <w:tc>
          <w:tcPr>
            <w:tcW w:w="1420" w:type="dxa"/>
            <w:vAlign w:val="bottom"/>
            <w:gridSpan w:val="2"/>
          </w:tcPr>
          <w:p>
            <w:pPr>
              <w:jc w:val="center"/>
              <w:ind w:right="200"/>
              <w:spacing w:after="0" w:line="157" w:lineRule="exact"/>
              <w:rPr>
                <w:sz w:val="20"/>
                <w:szCs w:val="20"/>
                <w:color w:val="auto"/>
              </w:rPr>
            </w:pPr>
            <w:r>
              <w:rPr>
                <w:rFonts w:ascii="Arial" w:cs="Arial" w:eastAsia="Arial" w:hAnsi="Arial"/>
                <w:sz w:val="15"/>
                <w:szCs w:val="15"/>
                <w:b w:val="1"/>
                <w:bCs w:val="1"/>
                <w:color w:val="auto"/>
                <w:w w:val="93"/>
              </w:rPr>
              <w:t>Partnership</w:t>
            </w:r>
          </w:p>
        </w:tc>
        <w:tc>
          <w:tcPr>
            <w:tcW w:w="132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93"/>
              </w:rPr>
              <w:t>Control</w:t>
            </w:r>
          </w:p>
        </w:tc>
        <w:tc>
          <w:tcPr>
            <w:tcW w:w="40" w:type="dxa"/>
            <w:vAlign w:val="bottom"/>
          </w:tcPr>
          <w:p>
            <w:pPr>
              <w:spacing w:after="0"/>
              <w:rPr>
                <w:sz w:val="13"/>
                <w:szCs w:val="13"/>
                <w:color w:val="auto"/>
              </w:rPr>
            </w:pPr>
          </w:p>
        </w:tc>
      </w:tr>
      <w:tr>
        <w:trPr>
          <w:trHeight w:val="157"/>
        </w:trPr>
        <w:tc>
          <w:tcPr>
            <w:tcW w:w="3480" w:type="dxa"/>
            <w:vAlign w:val="bottom"/>
            <w:gridSpan w:val="2"/>
          </w:tcPr>
          <w:p>
            <w:pPr>
              <w:spacing w:after="0" w:line="157" w:lineRule="exact"/>
              <w:rPr>
                <w:sz w:val="20"/>
                <w:szCs w:val="20"/>
                <w:color w:val="auto"/>
              </w:rPr>
            </w:pPr>
            <w:r>
              <w:rPr>
                <w:rFonts w:ascii="Arial" w:cs="Arial" w:eastAsia="Arial" w:hAnsi="Arial"/>
                <w:sz w:val="15"/>
                <w:szCs w:val="15"/>
                <w:b w:val="1"/>
                <w:bCs w:val="1"/>
                <w:i w:val="1"/>
                <w:iCs w:val="1"/>
                <w:color w:val="auto"/>
              </w:rPr>
              <w:t>(All amounts expressed in</w:t>
            </w:r>
          </w:p>
        </w:tc>
        <w:tc>
          <w:tcPr>
            <w:tcW w:w="1460" w:type="dxa"/>
            <w:vAlign w:val="bottom"/>
            <w:gridSpan w:val="2"/>
          </w:tcPr>
          <w:p>
            <w:pPr>
              <w:jc w:val="center"/>
              <w:ind w:right="240"/>
              <w:spacing w:after="0" w:line="157" w:lineRule="exact"/>
              <w:rPr>
                <w:sz w:val="20"/>
                <w:szCs w:val="20"/>
                <w:color w:val="auto"/>
              </w:rPr>
            </w:pPr>
            <w:r>
              <w:rPr>
                <w:rFonts w:ascii="Arial" w:cs="Arial" w:eastAsia="Arial" w:hAnsi="Arial"/>
                <w:sz w:val="15"/>
                <w:szCs w:val="15"/>
                <w:b w:val="1"/>
                <w:bCs w:val="1"/>
                <w:color w:val="auto"/>
                <w:w w:val="93"/>
              </w:rPr>
              <w:t>attributable to</w:t>
            </w:r>
          </w:p>
        </w:tc>
        <w:tc>
          <w:tcPr>
            <w:tcW w:w="1460" w:type="dxa"/>
            <w:vAlign w:val="bottom"/>
            <w:gridSpan w:val="2"/>
          </w:tcPr>
          <w:p>
            <w:pPr>
              <w:jc w:val="center"/>
              <w:ind w:right="240"/>
              <w:spacing w:after="0" w:line="157" w:lineRule="exact"/>
              <w:rPr>
                <w:sz w:val="20"/>
                <w:szCs w:val="20"/>
                <w:color w:val="auto"/>
              </w:rPr>
            </w:pPr>
            <w:r>
              <w:rPr>
                <w:rFonts w:ascii="Arial" w:cs="Arial" w:eastAsia="Arial" w:hAnsi="Arial"/>
                <w:sz w:val="15"/>
                <w:szCs w:val="15"/>
                <w:b w:val="1"/>
                <w:bCs w:val="1"/>
                <w:color w:val="auto"/>
                <w:w w:val="93"/>
              </w:rPr>
              <w:t>Performance</w:t>
            </w:r>
          </w:p>
        </w:tc>
        <w:tc>
          <w:tcPr>
            <w:tcW w:w="1440" w:type="dxa"/>
            <w:vAlign w:val="bottom"/>
            <w:gridSpan w:val="2"/>
          </w:tcPr>
          <w:p>
            <w:pPr>
              <w:jc w:val="center"/>
              <w:ind w:right="280"/>
              <w:spacing w:after="0" w:line="157" w:lineRule="exact"/>
              <w:rPr>
                <w:sz w:val="20"/>
                <w:szCs w:val="20"/>
                <w:color w:val="auto"/>
              </w:rPr>
            </w:pPr>
            <w:r>
              <w:rPr>
                <w:rFonts w:ascii="Arial" w:cs="Arial" w:eastAsia="Arial" w:hAnsi="Arial"/>
                <w:sz w:val="15"/>
                <w:szCs w:val="15"/>
                <w:b w:val="1"/>
                <w:bCs w:val="1"/>
                <w:color w:val="auto"/>
                <w:w w:val="91"/>
              </w:rPr>
              <w:t>Reported</w:t>
            </w:r>
          </w:p>
        </w:tc>
        <w:tc>
          <w:tcPr>
            <w:tcW w:w="1420" w:type="dxa"/>
            <w:vAlign w:val="bottom"/>
            <w:gridSpan w:val="2"/>
          </w:tcPr>
          <w:p>
            <w:pPr>
              <w:jc w:val="center"/>
              <w:ind w:right="240"/>
              <w:spacing w:after="0" w:line="157" w:lineRule="exact"/>
              <w:rPr>
                <w:sz w:val="20"/>
                <w:szCs w:val="20"/>
                <w:color w:val="auto"/>
              </w:rPr>
            </w:pPr>
            <w:r>
              <w:rPr>
                <w:rFonts w:ascii="Arial" w:cs="Arial" w:eastAsia="Arial" w:hAnsi="Arial"/>
                <w:sz w:val="15"/>
                <w:szCs w:val="15"/>
                <w:b w:val="1"/>
                <w:bCs w:val="1"/>
                <w:color w:val="auto"/>
                <w:w w:val="93"/>
              </w:rPr>
              <w:t>attributable to</w:t>
            </w:r>
          </w:p>
        </w:tc>
        <w:tc>
          <w:tcPr>
            <w:tcW w:w="1420" w:type="dxa"/>
            <w:vAlign w:val="bottom"/>
            <w:gridSpan w:val="2"/>
          </w:tcPr>
          <w:p>
            <w:pPr>
              <w:jc w:val="center"/>
              <w:ind w:right="220"/>
              <w:spacing w:after="0" w:line="157" w:lineRule="exact"/>
              <w:rPr>
                <w:sz w:val="20"/>
                <w:szCs w:val="20"/>
                <w:color w:val="auto"/>
              </w:rPr>
            </w:pPr>
            <w:r>
              <w:rPr>
                <w:rFonts w:ascii="Arial" w:cs="Arial" w:eastAsia="Arial" w:hAnsi="Arial"/>
                <w:sz w:val="15"/>
                <w:szCs w:val="15"/>
                <w:b w:val="1"/>
                <w:bCs w:val="1"/>
                <w:color w:val="auto"/>
                <w:w w:val="91"/>
              </w:rPr>
              <w:t>Performance</w:t>
            </w:r>
          </w:p>
        </w:tc>
        <w:tc>
          <w:tcPr>
            <w:tcW w:w="132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94"/>
              </w:rPr>
              <w:t>Reported</w:t>
            </w:r>
          </w:p>
        </w:tc>
        <w:tc>
          <w:tcPr>
            <w:tcW w:w="40" w:type="dxa"/>
            <w:vAlign w:val="bottom"/>
          </w:tcPr>
          <w:p>
            <w:pPr>
              <w:spacing w:after="0"/>
              <w:rPr>
                <w:sz w:val="13"/>
                <w:szCs w:val="13"/>
                <w:color w:val="auto"/>
              </w:rPr>
            </w:pPr>
          </w:p>
        </w:tc>
      </w:tr>
      <w:tr>
        <w:trPr>
          <w:trHeight w:val="180"/>
        </w:trPr>
        <w:tc>
          <w:tcPr>
            <w:tcW w:w="348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U.S. dollars)</w:t>
            </w:r>
          </w:p>
        </w:tc>
        <w:tc>
          <w:tcPr>
            <w:tcW w:w="14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GasLog</w:t>
            </w:r>
          </w:p>
        </w:tc>
        <w:tc>
          <w:tcPr>
            <w:tcW w:w="14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4"/>
              </w:rPr>
              <w:t>Results</w:t>
            </w:r>
          </w:p>
        </w:tc>
        <w:tc>
          <w:tcPr>
            <w:tcW w:w="14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Results</w:t>
            </w:r>
          </w:p>
        </w:tc>
        <w:tc>
          <w:tcPr>
            <w:tcW w:w="14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GasLog</w:t>
            </w:r>
          </w:p>
        </w:tc>
        <w:tc>
          <w:tcPr>
            <w:tcW w:w="14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Results</w:t>
            </w:r>
          </w:p>
        </w:tc>
        <w:tc>
          <w:tcPr>
            <w:tcW w:w="13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4"/>
              </w:rPr>
              <w:t>Results</w:t>
            </w:r>
          </w:p>
        </w:tc>
        <w:tc>
          <w:tcPr>
            <w:tcW w:w="40" w:type="dxa"/>
            <w:vAlign w:val="bottom"/>
          </w:tcPr>
          <w:p>
            <w:pPr>
              <w:spacing w:after="0"/>
              <w:rPr>
                <w:sz w:val="15"/>
                <w:szCs w:val="15"/>
                <w:color w:val="auto"/>
              </w:rPr>
            </w:pPr>
          </w:p>
        </w:tc>
      </w:tr>
      <w:tr>
        <w:trPr>
          <w:trHeight w:val="222"/>
        </w:trPr>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Revenues</w:t>
            </w:r>
          </w:p>
        </w:tc>
        <w:tc>
          <w:tcPr>
            <w:tcW w:w="2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3,713</w:t>
            </w:r>
          </w:p>
        </w:tc>
        <w:tc>
          <w:tcPr>
            <w:tcW w:w="2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83,134</w:t>
            </w:r>
          </w:p>
        </w:tc>
        <w:tc>
          <w:tcPr>
            <w:tcW w:w="2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86,847</w:t>
            </w:r>
          </w:p>
        </w:tc>
        <w:tc>
          <w:tcPr>
            <w:tcW w:w="2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35,550</w:t>
            </w:r>
          </w:p>
        </w:tc>
        <w:tc>
          <w:tcPr>
            <w:tcW w:w="2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316,991</w:t>
            </w:r>
          </w:p>
        </w:tc>
        <w:tc>
          <w:tcPr>
            <w:tcW w:w="2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352,541</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3480" w:type="dxa"/>
            <w:vAlign w:val="bottom"/>
            <w:gridSpan w:val="2"/>
          </w:tcPr>
          <w:p>
            <w:pPr>
              <w:spacing w:after="0"/>
              <w:rPr>
                <w:sz w:val="20"/>
                <w:szCs w:val="20"/>
                <w:color w:val="auto"/>
              </w:rPr>
            </w:pPr>
            <w:r>
              <w:rPr>
                <w:rFonts w:ascii="Arial" w:cs="Arial" w:eastAsia="Arial" w:hAnsi="Arial"/>
                <w:sz w:val="19"/>
                <w:szCs w:val="19"/>
                <w:color w:val="auto"/>
              </w:rPr>
              <w:t>Net pool allocation</w:t>
            </w:r>
          </w:p>
        </w:tc>
        <w:tc>
          <w:tcPr>
            <w:tcW w:w="1460" w:type="dxa"/>
            <w:vAlign w:val="bottom"/>
            <w:gridSpan w:val="2"/>
          </w:tcPr>
          <w:p>
            <w:pPr>
              <w:jc w:val="right"/>
              <w:ind w:right="240"/>
              <w:spacing w:after="0"/>
              <w:rPr>
                <w:sz w:val="20"/>
                <w:szCs w:val="20"/>
                <w:color w:val="auto"/>
              </w:rPr>
            </w:pPr>
            <w:r>
              <w:rPr>
                <w:rFonts w:ascii="Arial" w:cs="Arial" w:eastAsia="Arial" w:hAnsi="Arial"/>
                <w:sz w:val="19"/>
                <w:szCs w:val="19"/>
                <w:b w:val="1"/>
                <w:bCs w:val="1"/>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9"/>
                <w:szCs w:val="19"/>
                <w:color w:val="auto"/>
              </w:rPr>
              <w:t>3,277</w:t>
            </w:r>
          </w:p>
        </w:tc>
        <w:tc>
          <w:tcPr>
            <w:tcW w:w="1440" w:type="dxa"/>
            <w:vAlign w:val="bottom"/>
            <w:gridSpan w:val="2"/>
          </w:tcPr>
          <w:p>
            <w:pPr>
              <w:jc w:val="right"/>
              <w:ind w:right="240"/>
              <w:spacing w:after="0"/>
              <w:rPr>
                <w:sz w:val="20"/>
                <w:szCs w:val="20"/>
                <w:color w:val="auto"/>
              </w:rPr>
            </w:pPr>
            <w:r>
              <w:rPr>
                <w:rFonts w:ascii="Arial" w:cs="Arial" w:eastAsia="Arial" w:hAnsi="Arial"/>
                <w:sz w:val="19"/>
                <w:szCs w:val="19"/>
                <w:color w:val="auto"/>
              </w:rPr>
              <w:t>3,277</w:t>
            </w:r>
          </w:p>
        </w:tc>
        <w:tc>
          <w:tcPr>
            <w:tcW w:w="142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9"/>
                <w:szCs w:val="19"/>
                <w:color w:val="auto"/>
              </w:rPr>
              <w:t>3,700</w:t>
            </w:r>
          </w:p>
        </w:tc>
        <w:tc>
          <w:tcPr>
            <w:tcW w:w="1200" w:type="dxa"/>
            <w:vAlign w:val="bottom"/>
          </w:tcPr>
          <w:p>
            <w:pPr>
              <w:jc w:val="right"/>
              <w:spacing w:after="0"/>
              <w:rPr>
                <w:sz w:val="20"/>
                <w:szCs w:val="20"/>
                <w:color w:val="auto"/>
              </w:rPr>
            </w:pPr>
            <w:r>
              <w:rPr>
                <w:rFonts w:ascii="Arial" w:cs="Arial" w:eastAsia="Arial" w:hAnsi="Arial"/>
                <w:sz w:val="19"/>
                <w:szCs w:val="19"/>
                <w:color w:val="auto"/>
              </w:rPr>
              <w:t>3,700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34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Voyage expenses and commissions</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(46)</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(753)</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(799)</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(444)</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(6,678)</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(7,122)</w:t>
            </w:r>
          </w:p>
        </w:tc>
        <w:tc>
          <w:tcPr>
            <w:tcW w:w="40" w:type="dxa"/>
            <w:vAlign w:val="bottom"/>
          </w:tcPr>
          <w:p>
            <w:pPr>
              <w:spacing w:after="0"/>
              <w:rPr>
                <w:sz w:val="19"/>
                <w:szCs w:val="19"/>
                <w:color w:val="auto"/>
              </w:rPr>
            </w:pPr>
          </w:p>
        </w:tc>
      </w:tr>
      <w:tr>
        <w:trPr>
          <w:trHeight w:val="228"/>
        </w:trPr>
        <w:tc>
          <w:tcPr>
            <w:tcW w:w="3480" w:type="dxa"/>
            <w:vAlign w:val="bottom"/>
            <w:gridSpan w:val="2"/>
          </w:tcPr>
          <w:p>
            <w:pPr>
              <w:spacing w:after="0"/>
              <w:rPr>
                <w:sz w:val="20"/>
                <w:szCs w:val="20"/>
                <w:color w:val="auto"/>
              </w:rPr>
            </w:pPr>
            <w:r>
              <w:rPr>
                <w:rFonts w:ascii="Arial" w:cs="Arial" w:eastAsia="Arial" w:hAnsi="Arial"/>
                <w:sz w:val="19"/>
                <w:szCs w:val="19"/>
                <w:color w:val="auto"/>
              </w:rPr>
              <w:t>Vessel operating costs</w:t>
            </w:r>
          </w:p>
        </w:tc>
        <w:tc>
          <w:tcPr>
            <w:tcW w:w="1460" w:type="dxa"/>
            <w:vAlign w:val="bottom"/>
            <w:gridSpan w:val="2"/>
          </w:tcPr>
          <w:p>
            <w:pPr>
              <w:jc w:val="right"/>
              <w:ind w:right="180"/>
              <w:spacing w:after="0"/>
              <w:rPr>
                <w:sz w:val="20"/>
                <w:szCs w:val="20"/>
                <w:color w:val="auto"/>
              </w:rPr>
            </w:pPr>
            <w:r>
              <w:rPr>
                <w:rFonts w:ascii="Arial" w:cs="Arial" w:eastAsia="Arial" w:hAnsi="Arial"/>
                <w:sz w:val="19"/>
                <w:szCs w:val="19"/>
                <w:color w:val="auto"/>
              </w:rPr>
              <w:t>(681)</w:t>
            </w:r>
          </w:p>
        </w:tc>
        <w:tc>
          <w:tcPr>
            <w:tcW w:w="1460" w:type="dxa"/>
            <w:vAlign w:val="bottom"/>
            <w:gridSpan w:val="2"/>
          </w:tcPr>
          <w:p>
            <w:pPr>
              <w:jc w:val="right"/>
              <w:ind w:right="180"/>
              <w:spacing w:after="0"/>
              <w:rPr>
                <w:sz w:val="20"/>
                <w:szCs w:val="20"/>
                <w:color w:val="auto"/>
              </w:rPr>
            </w:pPr>
            <w:r>
              <w:rPr>
                <w:rFonts w:ascii="Arial" w:cs="Arial" w:eastAsia="Arial" w:hAnsi="Arial"/>
                <w:sz w:val="19"/>
                <w:szCs w:val="19"/>
                <w:color w:val="auto"/>
              </w:rPr>
              <w:t>(14,986)</w:t>
            </w:r>
          </w:p>
        </w:tc>
        <w:tc>
          <w:tcPr>
            <w:tcW w:w="1440" w:type="dxa"/>
            <w:vAlign w:val="bottom"/>
            <w:gridSpan w:val="2"/>
          </w:tcPr>
          <w:p>
            <w:pPr>
              <w:jc w:val="right"/>
              <w:ind w:right="160"/>
              <w:spacing w:after="0"/>
              <w:rPr>
                <w:sz w:val="20"/>
                <w:szCs w:val="20"/>
                <w:color w:val="auto"/>
              </w:rPr>
            </w:pPr>
            <w:r>
              <w:rPr>
                <w:rFonts w:ascii="Arial" w:cs="Arial" w:eastAsia="Arial" w:hAnsi="Arial"/>
                <w:sz w:val="19"/>
                <w:szCs w:val="19"/>
                <w:color w:val="auto"/>
              </w:rPr>
              <w:t>(15,667)</w:t>
            </w:r>
          </w:p>
        </w:tc>
        <w:tc>
          <w:tcPr>
            <w:tcW w:w="1420" w:type="dxa"/>
            <w:vAlign w:val="bottom"/>
            <w:gridSpan w:val="2"/>
          </w:tcPr>
          <w:p>
            <w:pPr>
              <w:jc w:val="right"/>
              <w:ind w:right="160"/>
              <w:spacing w:after="0"/>
              <w:rPr>
                <w:sz w:val="20"/>
                <w:szCs w:val="20"/>
                <w:color w:val="auto"/>
              </w:rPr>
            </w:pPr>
            <w:r>
              <w:rPr>
                <w:rFonts w:ascii="Arial" w:cs="Arial" w:eastAsia="Arial" w:hAnsi="Arial"/>
                <w:sz w:val="19"/>
                <w:szCs w:val="19"/>
                <w:color w:val="auto"/>
              </w:rPr>
              <w:t>(7,273)</w:t>
            </w:r>
          </w:p>
        </w:tc>
        <w:tc>
          <w:tcPr>
            <w:tcW w:w="1420" w:type="dxa"/>
            <w:vAlign w:val="bottom"/>
            <w:gridSpan w:val="2"/>
          </w:tcPr>
          <w:p>
            <w:pPr>
              <w:jc w:val="right"/>
              <w:ind w:right="160"/>
              <w:spacing w:after="0"/>
              <w:rPr>
                <w:sz w:val="20"/>
                <w:szCs w:val="20"/>
                <w:color w:val="auto"/>
              </w:rPr>
            </w:pPr>
            <w:r>
              <w:rPr>
                <w:rFonts w:ascii="Arial" w:cs="Arial" w:eastAsia="Arial" w:hAnsi="Arial"/>
                <w:sz w:val="19"/>
                <w:szCs w:val="19"/>
                <w:color w:val="auto"/>
              </w:rPr>
              <w:t>(61,452)</w:t>
            </w:r>
          </w:p>
        </w:tc>
        <w:tc>
          <w:tcPr>
            <w:tcW w:w="1320" w:type="dxa"/>
            <w:vAlign w:val="bottom"/>
            <w:gridSpan w:val="2"/>
          </w:tcPr>
          <w:p>
            <w:pPr>
              <w:jc w:val="right"/>
              <w:ind w:right="40"/>
              <w:spacing w:after="0"/>
              <w:rPr>
                <w:sz w:val="20"/>
                <w:szCs w:val="20"/>
                <w:color w:val="auto"/>
              </w:rPr>
            </w:pPr>
            <w:r>
              <w:rPr>
                <w:rFonts w:ascii="Arial" w:cs="Arial" w:eastAsia="Arial" w:hAnsi="Arial"/>
                <w:sz w:val="19"/>
                <w:szCs w:val="19"/>
                <w:color w:val="auto"/>
              </w:rPr>
              <w:t>(68,725)</w:t>
            </w:r>
          </w:p>
        </w:tc>
        <w:tc>
          <w:tcPr>
            <w:tcW w:w="40" w:type="dxa"/>
            <w:vAlign w:val="bottom"/>
          </w:tcPr>
          <w:p>
            <w:pPr>
              <w:spacing w:after="0"/>
              <w:rPr>
                <w:sz w:val="19"/>
                <w:szCs w:val="19"/>
                <w:color w:val="auto"/>
              </w:rPr>
            </w:pPr>
          </w:p>
        </w:tc>
      </w:tr>
      <w:tr>
        <w:trPr>
          <w:trHeight w:val="228"/>
        </w:trPr>
        <w:tc>
          <w:tcPr>
            <w:tcW w:w="34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Depreciation</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(934)</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(19,681)</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(20,615)</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(8,439)</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(73,151)</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(81,590)</w:t>
            </w:r>
          </w:p>
        </w:tc>
        <w:tc>
          <w:tcPr>
            <w:tcW w:w="40" w:type="dxa"/>
            <w:vAlign w:val="bottom"/>
          </w:tcPr>
          <w:p>
            <w:pPr>
              <w:spacing w:after="0"/>
              <w:rPr>
                <w:sz w:val="19"/>
                <w:szCs w:val="19"/>
                <w:color w:val="auto"/>
              </w:rPr>
            </w:pPr>
          </w:p>
        </w:tc>
      </w:tr>
      <w:tr>
        <w:trPr>
          <w:trHeight w:val="228"/>
        </w:trPr>
        <w:tc>
          <w:tcPr>
            <w:tcW w:w="3480" w:type="dxa"/>
            <w:vAlign w:val="bottom"/>
            <w:gridSpan w:val="2"/>
          </w:tcPr>
          <w:p>
            <w:pPr>
              <w:spacing w:after="0"/>
              <w:rPr>
                <w:sz w:val="20"/>
                <w:szCs w:val="20"/>
                <w:color w:val="auto"/>
              </w:rPr>
            </w:pPr>
            <w:r>
              <w:rPr>
                <w:rFonts w:ascii="Arial" w:cs="Arial" w:eastAsia="Arial" w:hAnsi="Arial"/>
                <w:sz w:val="19"/>
                <w:szCs w:val="19"/>
                <w:color w:val="auto"/>
              </w:rPr>
              <w:t>General and administrative expenses</w:t>
            </w:r>
          </w:p>
        </w:tc>
        <w:tc>
          <w:tcPr>
            <w:tcW w:w="1460" w:type="dxa"/>
            <w:vAlign w:val="bottom"/>
            <w:gridSpan w:val="2"/>
          </w:tcPr>
          <w:p>
            <w:pPr>
              <w:jc w:val="right"/>
              <w:ind w:right="180"/>
              <w:spacing w:after="0"/>
              <w:rPr>
                <w:sz w:val="20"/>
                <w:szCs w:val="20"/>
                <w:color w:val="auto"/>
              </w:rPr>
            </w:pPr>
            <w:r>
              <w:rPr>
                <w:rFonts w:ascii="Arial" w:cs="Arial" w:eastAsia="Arial" w:hAnsi="Arial"/>
                <w:sz w:val="19"/>
                <w:szCs w:val="19"/>
                <w:color w:val="auto"/>
              </w:rPr>
              <w:t>(40)</w:t>
            </w:r>
          </w:p>
        </w:tc>
        <w:tc>
          <w:tcPr>
            <w:tcW w:w="1460" w:type="dxa"/>
            <w:vAlign w:val="bottom"/>
            <w:gridSpan w:val="2"/>
          </w:tcPr>
          <w:p>
            <w:pPr>
              <w:jc w:val="right"/>
              <w:ind w:right="180"/>
              <w:spacing w:after="0"/>
              <w:rPr>
                <w:sz w:val="20"/>
                <w:szCs w:val="20"/>
                <w:color w:val="auto"/>
              </w:rPr>
            </w:pPr>
            <w:r>
              <w:rPr>
                <w:rFonts w:ascii="Arial" w:cs="Arial" w:eastAsia="Arial" w:hAnsi="Arial"/>
                <w:sz w:val="19"/>
                <w:szCs w:val="19"/>
                <w:color w:val="auto"/>
              </w:rPr>
              <w:t>(4,956)</w:t>
            </w:r>
          </w:p>
        </w:tc>
        <w:tc>
          <w:tcPr>
            <w:tcW w:w="1440" w:type="dxa"/>
            <w:vAlign w:val="bottom"/>
            <w:gridSpan w:val="2"/>
          </w:tcPr>
          <w:p>
            <w:pPr>
              <w:jc w:val="right"/>
              <w:ind w:right="160"/>
              <w:spacing w:after="0"/>
              <w:rPr>
                <w:sz w:val="20"/>
                <w:szCs w:val="20"/>
                <w:color w:val="auto"/>
              </w:rPr>
            </w:pPr>
            <w:r>
              <w:rPr>
                <w:rFonts w:ascii="Arial" w:cs="Arial" w:eastAsia="Arial" w:hAnsi="Arial"/>
                <w:sz w:val="19"/>
                <w:szCs w:val="19"/>
                <w:color w:val="auto"/>
              </w:rPr>
              <w:t>(4,996)</w:t>
            </w:r>
          </w:p>
        </w:tc>
        <w:tc>
          <w:tcPr>
            <w:tcW w:w="1420" w:type="dxa"/>
            <w:vAlign w:val="bottom"/>
            <w:gridSpan w:val="2"/>
          </w:tcPr>
          <w:p>
            <w:pPr>
              <w:jc w:val="right"/>
              <w:ind w:right="160"/>
              <w:spacing w:after="0"/>
              <w:rPr>
                <w:sz w:val="20"/>
                <w:szCs w:val="20"/>
                <w:color w:val="auto"/>
              </w:rPr>
            </w:pPr>
            <w:r>
              <w:rPr>
                <w:rFonts w:ascii="Arial" w:cs="Arial" w:eastAsia="Arial" w:hAnsi="Arial"/>
                <w:sz w:val="19"/>
                <w:szCs w:val="19"/>
                <w:color w:val="auto"/>
              </w:rPr>
              <w:t>(464)</w:t>
            </w:r>
          </w:p>
        </w:tc>
        <w:tc>
          <w:tcPr>
            <w:tcW w:w="1420" w:type="dxa"/>
            <w:vAlign w:val="bottom"/>
            <w:gridSpan w:val="2"/>
          </w:tcPr>
          <w:p>
            <w:pPr>
              <w:jc w:val="right"/>
              <w:ind w:right="160"/>
              <w:spacing w:after="0"/>
              <w:rPr>
                <w:sz w:val="20"/>
                <w:szCs w:val="20"/>
                <w:color w:val="auto"/>
              </w:rPr>
            </w:pPr>
            <w:r>
              <w:rPr>
                <w:rFonts w:ascii="Arial" w:cs="Arial" w:eastAsia="Arial" w:hAnsi="Arial"/>
                <w:sz w:val="19"/>
                <w:szCs w:val="19"/>
                <w:color w:val="auto"/>
              </w:rPr>
              <w:t>(18,905</w:t>
            </w:r>
            <w:r>
              <w:rPr>
                <w:rFonts w:ascii="Arial" w:cs="Arial" w:eastAsia="Arial" w:hAnsi="Arial"/>
                <w:sz w:val="19"/>
                <w:szCs w:val="19"/>
                <w:b w:val="1"/>
                <w:bCs w:val="1"/>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9"/>
                <w:szCs w:val="19"/>
                <w:color w:val="auto"/>
              </w:rPr>
              <w:t>(19,369)</w:t>
            </w:r>
          </w:p>
        </w:tc>
        <w:tc>
          <w:tcPr>
            <w:tcW w:w="40" w:type="dxa"/>
            <w:vAlign w:val="bottom"/>
          </w:tcPr>
          <w:p>
            <w:pPr>
              <w:spacing w:after="0"/>
              <w:rPr>
                <w:sz w:val="19"/>
                <w:szCs w:val="19"/>
                <w:color w:val="auto"/>
              </w:rPr>
            </w:pPr>
          </w:p>
        </w:tc>
      </w:tr>
      <w:tr>
        <w:trPr>
          <w:trHeight w:val="222"/>
        </w:trPr>
        <w:tc>
          <w:tcPr>
            <w:tcW w:w="3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9"/>
                <w:szCs w:val="19"/>
                <w:b w:val="1"/>
                <w:bCs w:val="1"/>
                <w:color w:val="auto"/>
              </w:rPr>
              <w:t>Profit from operations</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2,012</w:t>
            </w:r>
          </w:p>
        </w:tc>
        <w:tc>
          <w:tcPr>
            <w:tcW w:w="2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46,035</w:t>
            </w:r>
          </w:p>
        </w:tc>
        <w:tc>
          <w:tcPr>
            <w:tcW w:w="2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48,047</w:t>
            </w:r>
          </w:p>
        </w:tc>
        <w:tc>
          <w:tcPr>
            <w:tcW w:w="2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18,930</w:t>
            </w:r>
          </w:p>
        </w:tc>
        <w:tc>
          <w:tcPr>
            <w:tcW w:w="2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160,505</w:t>
            </w:r>
          </w:p>
        </w:tc>
        <w:tc>
          <w:tcPr>
            <w:tcW w:w="2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179,435</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3480" w:type="dxa"/>
            <w:vAlign w:val="bottom"/>
            <w:gridSpan w:val="2"/>
          </w:tcPr>
          <w:p>
            <w:pPr>
              <w:spacing w:after="0"/>
              <w:rPr>
                <w:sz w:val="20"/>
                <w:szCs w:val="20"/>
                <w:color w:val="auto"/>
              </w:rPr>
            </w:pPr>
            <w:r>
              <w:rPr>
                <w:rFonts w:ascii="Arial" w:cs="Arial" w:eastAsia="Arial" w:hAnsi="Arial"/>
                <w:sz w:val="19"/>
                <w:szCs w:val="19"/>
                <w:color w:val="auto"/>
              </w:rPr>
              <w:t>Financial costs</w:t>
            </w:r>
          </w:p>
        </w:tc>
        <w:tc>
          <w:tcPr>
            <w:tcW w:w="1220" w:type="dxa"/>
            <w:vAlign w:val="bottom"/>
          </w:tcPr>
          <w:p>
            <w:pPr>
              <w:jc w:val="right"/>
              <w:spacing w:after="0"/>
              <w:rPr>
                <w:sz w:val="20"/>
                <w:szCs w:val="20"/>
                <w:color w:val="auto"/>
              </w:rPr>
            </w:pPr>
            <w:r>
              <w:rPr>
                <w:rFonts w:ascii="Arial" w:cs="Arial" w:eastAsia="Arial" w:hAnsi="Arial"/>
                <w:sz w:val="19"/>
                <w:szCs w:val="19"/>
                <w:color w:val="auto"/>
              </w:rPr>
              <w:t>(601)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(16,285)</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(16,886)</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(6,029)</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(60,258)</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(66,287)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34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Financial income</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1</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719</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720</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2,398</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2,413</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3480" w:type="dxa"/>
            <w:vAlign w:val="bottom"/>
            <w:gridSpan w:val="2"/>
          </w:tcPr>
          <w:p>
            <w:pPr>
              <w:spacing w:after="0"/>
              <w:rPr>
                <w:sz w:val="20"/>
                <w:szCs w:val="20"/>
                <w:color w:val="auto"/>
              </w:rPr>
            </w:pPr>
            <w:r>
              <w:rPr>
                <w:rFonts w:ascii="Arial" w:cs="Arial" w:eastAsia="Arial" w:hAnsi="Arial"/>
                <w:sz w:val="19"/>
                <w:szCs w:val="19"/>
                <w:color w:val="auto"/>
              </w:rPr>
              <w:t>Loss on derivatives</w:t>
            </w:r>
          </w:p>
        </w:tc>
        <w:tc>
          <w:tcPr>
            <w:tcW w:w="1460" w:type="dxa"/>
            <w:vAlign w:val="bottom"/>
            <w:gridSpan w:val="2"/>
          </w:tcPr>
          <w:p>
            <w:pPr>
              <w:jc w:val="right"/>
              <w:ind w:right="240"/>
              <w:spacing w:after="0"/>
              <w:rPr>
                <w:sz w:val="20"/>
                <w:szCs w:val="20"/>
                <w:color w:val="auto"/>
              </w:rPr>
            </w:pPr>
            <w:r>
              <w:rPr>
                <w:rFonts w:ascii="Arial" w:cs="Arial" w:eastAsia="Arial" w:hAnsi="Arial"/>
                <w:sz w:val="19"/>
                <w:szCs w:val="19"/>
                <w:b w:val="1"/>
                <w:bCs w:val="1"/>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9"/>
                <w:szCs w:val="19"/>
                <w:color w:val="auto"/>
              </w:rPr>
              <w:t>(10,045)</w:t>
            </w:r>
          </w:p>
        </w:tc>
        <w:tc>
          <w:tcPr>
            <w:tcW w:w="1440" w:type="dxa"/>
            <w:vAlign w:val="bottom"/>
            <w:gridSpan w:val="2"/>
          </w:tcPr>
          <w:p>
            <w:pPr>
              <w:jc w:val="right"/>
              <w:ind w:right="160"/>
              <w:spacing w:after="0"/>
              <w:rPr>
                <w:sz w:val="20"/>
                <w:szCs w:val="20"/>
                <w:color w:val="auto"/>
              </w:rPr>
            </w:pPr>
            <w:r>
              <w:rPr>
                <w:rFonts w:ascii="Arial" w:cs="Arial" w:eastAsia="Arial" w:hAnsi="Arial"/>
                <w:sz w:val="19"/>
                <w:szCs w:val="19"/>
                <w:color w:val="auto"/>
              </w:rPr>
              <w:t>(10,045)</w:t>
            </w:r>
          </w:p>
        </w:tc>
        <w:tc>
          <w:tcPr>
            <w:tcW w:w="142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9"/>
                <w:szCs w:val="19"/>
                <w:color w:val="auto"/>
              </w:rPr>
              <w:t>(48)</w:t>
            </w:r>
          </w:p>
        </w:tc>
        <w:tc>
          <w:tcPr>
            <w:tcW w:w="1320" w:type="dxa"/>
            <w:vAlign w:val="bottom"/>
            <w:gridSpan w:val="2"/>
          </w:tcPr>
          <w:p>
            <w:pPr>
              <w:jc w:val="right"/>
              <w:ind w:right="40"/>
              <w:spacing w:after="0"/>
              <w:rPr>
                <w:sz w:val="20"/>
                <w:szCs w:val="20"/>
                <w:color w:val="auto"/>
              </w:rPr>
            </w:pPr>
            <w:r>
              <w:rPr>
                <w:rFonts w:ascii="Arial" w:cs="Arial" w:eastAsia="Arial" w:hAnsi="Arial"/>
                <w:sz w:val="19"/>
                <w:szCs w:val="19"/>
                <w:color w:val="auto"/>
              </w:rPr>
              <w:t>(48)</w:t>
            </w:r>
          </w:p>
        </w:tc>
        <w:tc>
          <w:tcPr>
            <w:tcW w:w="40" w:type="dxa"/>
            <w:vAlign w:val="bottom"/>
          </w:tcPr>
          <w:p>
            <w:pPr>
              <w:spacing w:after="0"/>
              <w:rPr>
                <w:sz w:val="19"/>
                <w:szCs w:val="19"/>
                <w:color w:val="auto"/>
              </w:rPr>
            </w:pPr>
          </w:p>
        </w:tc>
      </w:tr>
      <w:tr>
        <w:trPr>
          <w:trHeight w:val="222"/>
        </w:trPr>
        <w:tc>
          <w:tcPr>
            <w:tcW w:w="3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9"/>
                <w:szCs w:val="19"/>
                <w:b w:val="1"/>
                <w:bCs w:val="1"/>
                <w:color w:val="auto"/>
              </w:rPr>
              <w:t>Total other expenses, net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(600)</w:t>
            </w:r>
          </w:p>
        </w:tc>
        <w:tc>
          <w:tcPr>
            <w:tcW w:w="2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(25,611)</w:t>
            </w:r>
          </w:p>
        </w:tc>
        <w:tc>
          <w:tcPr>
            <w:tcW w:w="2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(26,211)</w:t>
            </w:r>
          </w:p>
        </w:tc>
        <w:tc>
          <w:tcPr>
            <w:tcW w:w="2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(6,014)</w:t>
            </w:r>
          </w:p>
        </w:tc>
        <w:tc>
          <w:tcPr>
            <w:tcW w:w="2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(57,908)</w:t>
            </w:r>
          </w:p>
        </w:tc>
        <w:tc>
          <w:tcPr>
            <w:tcW w:w="2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b w:val="1"/>
                <w:bCs w:val="1"/>
                <w:color w:val="auto"/>
              </w:rPr>
              <w:t>(63,922)</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3480" w:type="dxa"/>
            <w:vAlign w:val="bottom"/>
            <w:gridSpan w:val="2"/>
          </w:tcPr>
          <w:p>
            <w:pPr>
              <w:spacing w:after="0"/>
              <w:rPr>
                <w:sz w:val="20"/>
                <w:szCs w:val="20"/>
                <w:color w:val="auto"/>
              </w:rPr>
            </w:pPr>
            <w:r>
              <w:rPr>
                <w:rFonts w:ascii="Arial" w:cs="Arial" w:eastAsia="Arial" w:hAnsi="Arial"/>
                <w:sz w:val="19"/>
                <w:szCs w:val="19"/>
                <w:b w:val="1"/>
                <w:bCs w:val="1"/>
                <w:color w:val="auto"/>
              </w:rPr>
              <w:t>Profit for the period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1,412</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20,424</w:t>
            </w:r>
          </w:p>
        </w:tc>
        <w:tc>
          <w:tcPr>
            <w:tcW w:w="2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21,836</w:t>
            </w:r>
          </w:p>
        </w:tc>
        <w:tc>
          <w:tcPr>
            <w:tcW w:w="2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12,916</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102,597</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115,513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13</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1"/>
        </w:trPr>
        <w:tc>
          <w:tcPr>
            <w:tcW w:w="324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2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2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07" w:right="80" w:bottom="1440" w:gutter="0" w:footer="0" w:header="0"/>
        </w:sectPr>
      </w:pPr>
    </w:p>
    <w:bookmarkStart w:id="16" w:name="page17"/>
    <w:bookmarkEnd w:id="16"/>
    <w:p>
      <w:pPr>
        <w:spacing w:after="0"/>
        <w:rPr>
          <w:sz w:val="20"/>
          <w:szCs w:val="20"/>
          <w:color w:val="auto"/>
        </w:rPr>
      </w:pPr>
      <w:r>
        <w:rPr>
          <w:rFonts w:ascii="Arial" w:cs="Arial" w:eastAsia="Arial" w:hAnsi="Arial"/>
          <w:sz w:val="19"/>
          <w:szCs w:val="19"/>
          <w:b w:val="1"/>
          <w:bCs w:val="1"/>
          <w:color w:val="auto"/>
        </w:rPr>
        <w:t>EXHIBIT III</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Non-GAAP Financial Measures:</w:t>
      </w:r>
    </w:p>
    <w:p>
      <w:pPr>
        <w:spacing w:after="0" w:line="244"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color w:val="auto"/>
        </w:rPr>
        <w:t>EBITDA is defined as earnings before interest income and expense, gain/loss on derivatives, taxes, depreciation and amortization. Adjusted Profit represents earnings before (a) non-cash gain/loss on derivatives that includes unrealized gain/loss on derivative financial instruments held for trading and (b) write-off and accelerated amortization of unamortized loan fees. EBITDA and Adjusted Profit,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and Adjusted Profit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in the case of EBITDA, financial costs, gain/loss on derivatives, taxes, depreciation and amortization; and in the case of Adjusted Profit, non-cash gain/loss on derivatives and write-off and accelerated amortization of unamortized loan fees, which items are affected by various and possibly changing financing methods, financial market conditions, capital structure and historical cost basis and which items may significantly affect results of operations between periods.</w:t>
      </w:r>
    </w:p>
    <w:p>
      <w:pPr>
        <w:spacing w:after="0" w:line="181"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EBITDA and Adjusted Profit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 It is not adjusted for all non-cash income or expense items that are reflected in our statement of cash flows and other companies in our industry may calculate this measure differently to how we do, limiting its usefulness as a comparative measure. EBITDA excludes some, but not all, items that affect profit or loss and these measures may vary among other companies. Therefore, EBITDA as presented herein may not be comparable to similarly titled measures of other companies. The following table reconciles EBITDA to profit, the most directly comparable IFRS financial measure, for the periods presented.</w:t>
      </w:r>
    </w:p>
    <w:p>
      <w:pPr>
        <w:spacing w:after="0" w:line="190" w:lineRule="exact"/>
        <w:rPr>
          <w:sz w:val="20"/>
          <w:szCs w:val="20"/>
          <w:color w:val="auto"/>
        </w:rPr>
      </w:pPr>
    </w:p>
    <w:p>
      <w:pPr>
        <w:ind w:right="300"/>
        <w:spacing w:after="0" w:line="263" w:lineRule="auto"/>
        <w:rPr>
          <w:sz w:val="20"/>
          <w:szCs w:val="20"/>
          <w:color w:val="auto"/>
        </w:rPr>
      </w:pPr>
      <w:r>
        <w:rPr>
          <w:rFonts w:ascii="Arial" w:cs="Arial" w:eastAsia="Arial" w:hAnsi="Arial"/>
          <w:sz w:val="19"/>
          <w:szCs w:val="19"/>
          <w:color w:val="auto"/>
        </w:rPr>
        <w:t>EBITDA and Adjusted Profit are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Reconciliation of Profit to EBITDA: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5"/>
          </w:tcPr>
          <w:p>
            <w:pPr>
              <w:jc w:val="center"/>
              <w:ind w:right="660"/>
              <w:spacing w:after="0"/>
              <w:rPr>
                <w:sz w:val="20"/>
                <w:szCs w:val="20"/>
                <w:color w:val="auto"/>
              </w:rPr>
            </w:pPr>
            <w:r>
              <w:rPr>
                <w:rFonts w:ascii="Arial" w:cs="Arial" w:eastAsia="Arial" w:hAnsi="Arial"/>
                <w:sz w:val="15"/>
                <w:szCs w:val="15"/>
                <w:b w:val="1"/>
                <w:bCs w:val="1"/>
                <w:color w:val="auto"/>
                <w:w w:val="90"/>
              </w:rPr>
              <w:t>For the three months ended</w:t>
            </w: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28"/>
        </w:trPr>
        <w:tc>
          <w:tcPr>
            <w:tcW w:w="4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80" w:type="dxa"/>
            <w:vAlign w:val="bottom"/>
            <w:gridSpan w:val="5"/>
          </w:tcPr>
          <w:p>
            <w:pPr>
              <w:jc w:val="center"/>
              <w:ind w:right="340"/>
              <w:spacing w:after="0" w:line="128" w:lineRule="exact"/>
              <w:rPr>
                <w:sz w:val="20"/>
                <w:szCs w:val="20"/>
                <w:color w:val="auto"/>
              </w:rPr>
            </w:pPr>
            <w:r>
              <w:rPr>
                <w:rFonts w:ascii="Arial" w:cs="Arial" w:eastAsia="Arial" w:hAnsi="Arial"/>
                <w:sz w:val="14"/>
                <w:szCs w:val="14"/>
                <w:b w:val="1"/>
                <w:bCs w:val="1"/>
                <w:color w:val="auto"/>
              </w:rPr>
              <w:t>IFRS Common Control Reported</w:t>
            </w:r>
          </w:p>
        </w:tc>
        <w:tc>
          <w:tcPr>
            <w:tcW w:w="3160" w:type="dxa"/>
            <w:vAlign w:val="bottom"/>
            <w:gridSpan w:val="4"/>
          </w:tcPr>
          <w:p>
            <w:pPr>
              <w:jc w:val="center"/>
              <w:spacing w:after="0" w:line="128" w:lineRule="exact"/>
              <w:rPr>
                <w:sz w:val="20"/>
                <w:szCs w:val="20"/>
                <w:color w:val="auto"/>
              </w:rPr>
            </w:pPr>
            <w:r>
              <w:rPr>
                <w:rFonts w:ascii="Arial" w:cs="Arial" w:eastAsia="Arial" w:hAnsi="Arial"/>
                <w:sz w:val="14"/>
                <w:szCs w:val="14"/>
                <w:b w:val="1"/>
                <w:bCs w:val="1"/>
                <w:color w:val="auto"/>
                <w:w w:val="99"/>
              </w:rPr>
              <w:t>Partnership Performance</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80"/>
        </w:trPr>
        <w:tc>
          <w:tcPr>
            <w:tcW w:w="4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Borders>
              <w:bottom w:val="single" w:sz="8" w:color="auto"/>
            </w:tcBorders>
            <w:gridSpan w:val="3"/>
          </w:tcPr>
          <w:p>
            <w:pPr>
              <w:jc w:val="center"/>
              <w:ind w:left="1173"/>
              <w:spacing w:after="0"/>
              <w:rPr>
                <w:sz w:val="20"/>
                <w:szCs w:val="20"/>
                <w:color w:val="auto"/>
              </w:rPr>
            </w:pPr>
            <w:r>
              <w:rPr>
                <w:rFonts w:ascii="Arial" w:cs="Arial" w:eastAsia="Arial" w:hAnsi="Arial"/>
                <w:sz w:val="15"/>
                <w:szCs w:val="15"/>
                <w:b w:val="1"/>
                <w:bCs w:val="1"/>
                <w:color w:val="auto"/>
                <w:w w:val="84"/>
              </w:rPr>
              <w:t>Results</w:t>
            </w:r>
          </w:p>
        </w:tc>
        <w:tc>
          <w:tcPr>
            <w:tcW w:w="12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Borders>
              <w:bottom w:val="single" w:sz="8" w:color="auto"/>
            </w:tcBorders>
            <w:gridSpan w:val="3"/>
          </w:tcPr>
          <w:p>
            <w:pPr>
              <w:jc w:val="center"/>
              <w:ind w:left="1174"/>
              <w:spacing w:after="0"/>
              <w:rPr>
                <w:sz w:val="20"/>
                <w:szCs w:val="20"/>
                <w:color w:val="auto"/>
              </w:rPr>
            </w:pPr>
            <w:r>
              <w:rPr>
                <w:rFonts w:ascii="Arial" w:cs="Arial" w:eastAsia="Arial" w:hAnsi="Arial"/>
                <w:sz w:val="15"/>
                <w:szCs w:val="15"/>
                <w:b w:val="1"/>
                <w:bCs w:val="1"/>
                <w:color w:val="auto"/>
                <w:w w:val="88"/>
              </w:rPr>
              <w:t>Results</w:t>
            </w: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28"/>
        </w:trPr>
        <w:tc>
          <w:tcPr>
            <w:tcW w:w="4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gridSpan w:val="3"/>
          </w:tcPr>
          <w:p>
            <w:pPr>
              <w:ind w:left="260"/>
              <w:spacing w:after="0" w:line="128" w:lineRule="exact"/>
              <w:rPr>
                <w:sz w:val="20"/>
                <w:szCs w:val="20"/>
                <w:color w:val="auto"/>
              </w:rPr>
            </w:pPr>
            <w:r>
              <w:rPr>
                <w:rFonts w:ascii="Arial" w:cs="Arial" w:eastAsia="Arial" w:hAnsi="Arial"/>
                <w:sz w:val="14"/>
                <w:szCs w:val="14"/>
                <w:b w:val="1"/>
                <w:bCs w:val="1"/>
                <w:color w:val="auto"/>
              </w:rPr>
              <w:t>December 31,</w:t>
            </w:r>
          </w:p>
        </w:tc>
        <w:tc>
          <w:tcPr>
            <w:tcW w:w="1260" w:type="dxa"/>
            <w:vAlign w:val="bottom"/>
          </w:tcPr>
          <w:p>
            <w:pPr>
              <w:jc w:val="right"/>
              <w:ind w:right="212"/>
              <w:spacing w:after="0" w:line="128"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1"/>
                <w:szCs w:val="11"/>
                <w:color w:val="auto"/>
              </w:rPr>
            </w:pPr>
          </w:p>
        </w:tc>
        <w:tc>
          <w:tcPr>
            <w:tcW w:w="1900" w:type="dxa"/>
            <w:vAlign w:val="bottom"/>
            <w:gridSpan w:val="3"/>
          </w:tcPr>
          <w:p>
            <w:pPr>
              <w:jc w:val="center"/>
              <w:ind w:right="500"/>
              <w:spacing w:after="0" w:line="128" w:lineRule="exact"/>
              <w:rPr>
                <w:sz w:val="20"/>
                <w:szCs w:val="20"/>
                <w:color w:val="auto"/>
              </w:rPr>
            </w:pPr>
            <w:r>
              <w:rPr>
                <w:rFonts w:ascii="Arial" w:cs="Arial" w:eastAsia="Arial" w:hAnsi="Arial"/>
                <w:sz w:val="14"/>
                <w:szCs w:val="14"/>
                <w:b w:val="1"/>
                <w:bCs w:val="1"/>
                <w:color w:val="auto"/>
                <w:w w:val="96"/>
              </w:rPr>
              <w:t>December 31,</w:t>
            </w:r>
          </w:p>
        </w:tc>
        <w:tc>
          <w:tcPr>
            <w:tcW w:w="1260" w:type="dxa"/>
            <w:vAlign w:val="bottom"/>
          </w:tcPr>
          <w:p>
            <w:pPr>
              <w:jc w:val="center"/>
              <w:ind w:right="50"/>
              <w:spacing w:after="0" w:line="128"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80"/>
        </w:trPr>
        <w:tc>
          <w:tcPr>
            <w:tcW w:w="440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(Amounts expressed in thousands of U.S. Dollars)</w:t>
            </w:r>
          </w:p>
        </w:tc>
        <w:tc>
          <w:tcPr>
            <w:tcW w:w="1440" w:type="dxa"/>
            <w:vAlign w:val="bottom"/>
          </w:tcPr>
          <w:p>
            <w:pPr>
              <w:jc w:val="right"/>
              <w:ind w:right="473"/>
              <w:spacing w:after="0"/>
              <w:rPr>
                <w:sz w:val="20"/>
                <w:szCs w:val="20"/>
                <w:color w:val="auto"/>
              </w:rPr>
            </w:pPr>
            <w:r>
              <w:rPr>
                <w:rFonts w:ascii="Arial" w:cs="Arial" w:eastAsia="Arial" w:hAnsi="Arial"/>
                <w:sz w:val="15"/>
                <w:szCs w:val="15"/>
                <w:b w:val="1"/>
                <w:bCs w:val="1"/>
                <w:color w:val="auto"/>
              </w:rPr>
              <w:t>2017</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472"/>
              <w:spacing w:after="0"/>
              <w:rPr>
                <w:sz w:val="20"/>
                <w:szCs w:val="20"/>
                <w:color w:val="auto"/>
              </w:rPr>
            </w:pPr>
            <w:r>
              <w:rPr>
                <w:rFonts w:ascii="Arial" w:cs="Arial" w:eastAsia="Arial" w:hAnsi="Arial"/>
                <w:sz w:val="15"/>
                <w:szCs w:val="15"/>
                <w:b w:val="1"/>
                <w:bCs w:val="1"/>
                <w:color w:val="auto"/>
              </w:rPr>
              <w:t>2018</w:t>
            </w:r>
          </w:p>
        </w:tc>
        <w:tc>
          <w:tcPr>
            <w:tcW w:w="3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5"/>
                <w:szCs w:val="15"/>
                <w:b w:val="1"/>
                <w:bCs w:val="1"/>
                <w:color w:val="auto"/>
                <w:w w:val="95"/>
              </w:rPr>
              <w:t>2017</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30"/>
              <w:spacing w:after="0"/>
              <w:rPr>
                <w:sz w:val="20"/>
                <w:szCs w:val="20"/>
                <w:color w:val="auto"/>
              </w:rPr>
            </w:pPr>
            <w:r>
              <w:rPr>
                <w:rFonts w:ascii="Arial" w:cs="Arial" w:eastAsia="Arial" w:hAnsi="Arial"/>
                <w:sz w:val="15"/>
                <w:szCs w:val="15"/>
                <w:b w:val="1"/>
                <w:bCs w:val="1"/>
                <w:color w:val="auto"/>
                <w:w w:val="89"/>
              </w:rPr>
              <w:t>2018</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2"/>
        </w:trPr>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Profit for the period</w:t>
            </w:r>
          </w:p>
        </w:tc>
        <w:tc>
          <w:tcPr>
            <w:tcW w:w="3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34,447</w:t>
            </w:r>
          </w:p>
        </w:tc>
        <w:tc>
          <w:tcPr>
            <w:tcW w:w="3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21,836</w:t>
            </w:r>
          </w:p>
        </w:tc>
        <w:tc>
          <w:tcPr>
            <w:tcW w:w="3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28,438</w:t>
            </w:r>
          </w:p>
        </w:tc>
        <w:tc>
          <w:tcPr>
            <w:tcW w:w="3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20,424</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Pr>
          <w:p>
            <w:pPr>
              <w:spacing w:after="0"/>
              <w:rPr>
                <w:sz w:val="19"/>
                <w:szCs w:val="19"/>
                <w:color w:val="auto"/>
              </w:rPr>
            </w:pPr>
          </w:p>
        </w:tc>
      </w:tr>
      <w:tr>
        <w:trPr>
          <w:trHeight w:val="228"/>
        </w:trPr>
        <w:tc>
          <w:tcPr>
            <w:tcW w:w="4400" w:type="dxa"/>
            <w:vAlign w:val="bottom"/>
            <w:gridSpan w:val="2"/>
          </w:tcPr>
          <w:p>
            <w:pPr>
              <w:spacing w:after="0"/>
              <w:rPr>
                <w:sz w:val="20"/>
                <w:szCs w:val="20"/>
                <w:color w:val="auto"/>
              </w:rPr>
            </w:pPr>
            <w:r>
              <w:rPr>
                <w:rFonts w:ascii="Arial" w:cs="Arial" w:eastAsia="Arial" w:hAnsi="Arial"/>
                <w:sz w:val="19"/>
                <w:szCs w:val="19"/>
                <w:color w:val="auto"/>
              </w:rPr>
              <w:t>Depreciation</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20,452</w:t>
            </w:r>
          </w:p>
        </w:tc>
        <w:tc>
          <w:tcPr>
            <w:tcW w:w="1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9"/>
                <w:szCs w:val="19"/>
                <w:color w:val="auto"/>
              </w:rPr>
              <w:t>20,615</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16,785</w:t>
            </w:r>
          </w:p>
        </w:tc>
        <w:tc>
          <w:tcPr>
            <w:tcW w:w="1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9"/>
                <w:szCs w:val="19"/>
                <w:color w:val="auto"/>
              </w:rPr>
              <w:t>19,681</w:t>
            </w:r>
          </w:p>
        </w:tc>
        <w:tc>
          <w:tcPr>
            <w:tcW w:w="880" w:type="dxa"/>
            <w:vAlign w:val="bottom"/>
          </w:tcPr>
          <w:p>
            <w:pPr>
              <w:spacing w:after="0"/>
              <w:rPr>
                <w:sz w:val="19"/>
                <w:szCs w:val="19"/>
                <w:color w:val="auto"/>
              </w:rPr>
            </w:pPr>
          </w:p>
        </w:tc>
      </w:tr>
      <w:tr>
        <w:trPr>
          <w:trHeight w:val="228"/>
        </w:trPr>
        <w:tc>
          <w:tcPr>
            <w:tcW w:w="44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Financial costs</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16,281</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16,886</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13,557</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16,285</w:t>
            </w:r>
          </w:p>
        </w:tc>
        <w:tc>
          <w:tcPr>
            <w:tcW w:w="880" w:type="dxa"/>
            <w:vAlign w:val="bottom"/>
          </w:tcPr>
          <w:p>
            <w:pPr>
              <w:spacing w:after="0"/>
              <w:rPr>
                <w:sz w:val="19"/>
                <w:szCs w:val="19"/>
                <w:color w:val="auto"/>
              </w:rPr>
            </w:pPr>
          </w:p>
        </w:tc>
      </w:tr>
      <w:tr>
        <w:trPr>
          <w:trHeight w:val="228"/>
        </w:trPr>
        <w:tc>
          <w:tcPr>
            <w:tcW w:w="4400" w:type="dxa"/>
            <w:vAlign w:val="bottom"/>
            <w:gridSpan w:val="2"/>
          </w:tcPr>
          <w:p>
            <w:pPr>
              <w:spacing w:after="0"/>
              <w:rPr>
                <w:sz w:val="20"/>
                <w:szCs w:val="20"/>
                <w:color w:val="auto"/>
              </w:rPr>
            </w:pPr>
            <w:r>
              <w:rPr>
                <w:rFonts w:ascii="Arial" w:cs="Arial" w:eastAsia="Arial" w:hAnsi="Arial"/>
                <w:sz w:val="19"/>
                <w:szCs w:val="19"/>
                <w:color w:val="auto"/>
              </w:rPr>
              <w:t>Financial income</w:t>
            </w:r>
          </w:p>
        </w:tc>
        <w:tc>
          <w:tcPr>
            <w:tcW w:w="1740" w:type="dxa"/>
            <w:vAlign w:val="bottom"/>
            <w:gridSpan w:val="2"/>
          </w:tcPr>
          <w:p>
            <w:pPr>
              <w:jc w:val="right"/>
              <w:ind w:right="240"/>
              <w:spacing w:after="0"/>
              <w:rPr>
                <w:sz w:val="20"/>
                <w:szCs w:val="20"/>
                <w:color w:val="auto"/>
              </w:rPr>
            </w:pPr>
            <w:r>
              <w:rPr>
                <w:rFonts w:ascii="Arial" w:cs="Arial" w:eastAsia="Arial" w:hAnsi="Arial"/>
                <w:sz w:val="19"/>
                <w:szCs w:val="19"/>
                <w:color w:val="auto"/>
              </w:rPr>
              <w:t>(324)</w:t>
            </w:r>
          </w:p>
        </w:tc>
        <w:tc>
          <w:tcPr>
            <w:tcW w:w="18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9"/>
                <w:szCs w:val="19"/>
                <w:color w:val="auto"/>
              </w:rPr>
              <w:t>(720)</w:t>
            </w:r>
          </w:p>
        </w:tc>
        <w:tc>
          <w:tcPr>
            <w:tcW w:w="1740" w:type="dxa"/>
            <w:vAlign w:val="bottom"/>
            <w:gridSpan w:val="2"/>
          </w:tcPr>
          <w:p>
            <w:pPr>
              <w:jc w:val="right"/>
              <w:ind w:right="240"/>
              <w:spacing w:after="0"/>
              <w:rPr>
                <w:sz w:val="20"/>
                <w:szCs w:val="20"/>
                <w:color w:val="auto"/>
              </w:rPr>
            </w:pPr>
            <w:r>
              <w:rPr>
                <w:rFonts w:ascii="Arial" w:cs="Arial" w:eastAsia="Arial" w:hAnsi="Arial"/>
                <w:sz w:val="19"/>
                <w:szCs w:val="19"/>
                <w:color w:val="auto"/>
              </w:rPr>
              <w:t>(316)</w:t>
            </w:r>
          </w:p>
        </w:tc>
        <w:tc>
          <w:tcPr>
            <w:tcW w:w="1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9"/>
                <w:szCs w:val="19"/>
                <w:color w:val="auto"/>
              </w:rPr>
              <w:t>(719)</w:t>
            </w:r>
          </w:p>
        </w:tc>
        <w:tc>
          <w:tcPr>
            <w:tcW w:w="880" w:type="dxa"/>
            <w:vAlign w:val="bottom"/>
          </w:tcPr>
          <w:p>
            <w:pPr>
              <w:spacing w:after="0"/>
              <w:rPr>
                <w:sz w:val="19"/>
                <w:szCs w:val="19"/>
                <w:color w:val="auto"/>
              </w:rPr>
            </w:pPr>
          </w:p>
        </w:tc>
      </w:tr>
      <w:tr>
        <w:trPr>
          <w:trHeight w:val="228"/>
        </w:trPr>
        <w:tc>
          <w:tcPr>
            <w:tcW w:w="44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(Gain)/loss on derivatives</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(3,106)</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10,045</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(3,106)</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10,045</w:t>
            </w:r>
          </w:p>
        </w:tc>
        <w:tc>
          <w:tcPr>
            <w:tcW w:w="880" w:type="dxa"/>
            <w:vAlign w:val="bottom"/>
          </w:tcPr>
          <w:p>
            <w:pPr>
              <w:spacing w:after="0"/>
              <w:rPr>
                <w:sz w:val="19"/>
                <w:szCs w:val="19"/>
                <w:color w:val="auto"/>
              </w:rPr>
            </w:pPr>
          </w:p>
        </w:tc>
      </w:tr>
      <w:tr>
        <w:trPr>
          <w:trHeight w:val="222"/>
        </w:trPr>
        <w:tc>
          <w:tcPr>
            <w:tcW w:w="4400" w:type="dxa"/>
            <w:vAlign w:val="bottom"/>
            <w:gridSpan w:val="2"/>
          </w:tcPr>
          <w:p>
            <w:pPr>
              <w:spacing w:after="0"/>
              <w:rPr>
                <w:sz w:val="20"/>
                <w:szCs w:val="20"/>
                <w:color w:val="auto"/>
              </w:rPr>
            </w:pPr>
            <w:r>
              <w:rPr>
                <w:rFonts w:ascii="Arial" w:cs="Arial" w:eastAsia="Arial" w:hAnsi="Arial"/>
                <w:sz w:val="19"/>
                <w:szCs w:val="19"/>
                <w:b w:val="1"/>
                <w:bCs w:val="1"/>
                <w:color w:val="auto"/>
              </w:rPr>
              <w:t>EBITDA</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67,750</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68,662</w:t>
            </w:r>
          </w:p>
        </w:tc>
        <w:tc>
          <w:tcPr>
            <w:tcW w:w="3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55,358</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65,716</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68"/>
        </w:trPr>
        <w:tc>
          <w:tcPr>
            <w:tcW w:w="4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jc w:val="center"/>
              <w:ind w:right="660"/>
              <w:spacing w:after="0"/>
              <w:rPr>
                <w:sz w:val="20"/>
                <w:szCs w:val="20"/>
                <w:color w:val="auto"/>
              </w:rPr>
            </w:pPr>
            <w:r>
              <w:rPr>
                <w:rFonts w:ascii="Arial" w:cs="Arial" w:eastAsia="Arial" w:hAnsi="Arial"/>
                <w:sz w:val="15"/>
                <w:szCs w:val="15"/>
                <w:b w:val="1"/>
                <w:bCs w:val="1"/>
                <w:color w:val="auto"/>
                <w:w w:val="89"/>
              </w:rPr>
              <w:t>For the years ended</w:t>
            </w: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28"/>
        </w:trPr>
        <w:tc>
          <w:tcPr>
            <w:tcW w:w="4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80" w:type="dxa"/>
            <w:vAlign w:val="bottom"/>
            <w:gridSpan w:val="5"/>
          </w:tcPr>
          <w:p>
            <w:pPr>
              <w:jc w:val="center"/>
              <w:ind w:right="340"/>
              <w:spacing w:after="0" w:line="128" w:lineRule="exact"/>
              <w:rPr>
                <w:sz w:val="20"/>
                <w:szCs w:val="20"/>
                <w:color w:val="auto"/>
              </w:rPr>
            </w:pPr>
            <w:r>
              <w:rPr>
                <w:rFonts w:ascii="Arial" w:cs="Arial" w:eastAsia="Arial" w:hAnsi="Arial"/>
                <w:sz w:val="14"/>
                <w:szCs w:val="14"/>
                <w:b w:val="1"/>
                <w:bCs w:val="1"/>
                <w:color w:val="auto"/>
              </w:rPr>
              <w:t>IFRS Common Control Reported</w:t>
            </w:r>
          </w:p>
        </w:tc>
        <w:tc>
          <w:tcPr>
            <w:tcW w:w="3160" w:type="dxa"/>
            <w:vAlign w:val="bottom"/>
            <w:gridSpan w:val="4"/>
          </w:tcPr>
          <w:p>
            <w:pPr>
              <w:jc w:val="center"/>
              <w:spacing w:after="0" w:line="128" w:lineRule="exact"/>
              <w:rPr>
                <w:sz w:val="20"/>
                <w:szCs w:val="20"/>
                <w:color w:val="auto"/>
              </w:rPr>
            </w:pPr>
            <w:r>
              <w:rPr>
                <w:rFonts w:ascii="Arial" w:cs="Arial" w:eastAsia="Arial" w:hAnsi="Arial"/>
                <w:sz w:val="14"/>
                <w:szCs w:val="14"/>
                <w:b w:val="1"/>
                <w:bCs w:val="1"/>
                <w:color w:val="auto"/>
                <w:w w:val="99"/>
              </w:rPr>
              <w:t>Partnership Performance</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80"/>
        </w:trPr>
        <w:tc>
          <w:tcPr>
            <w:tcW w:w="4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Borders>
              <w:bottom w:val="single" w:sz="8" w:color="auto"/>
            </w:tcBorders>
            <w:gridSpan w:val="3"/>
          </w:tcPr>
          <w:p>
            <w:pPr>
              <w:jc w:val="center"/>
              <w:ind w:left="1173"/>
              <w:spacing w:after="0"/>
              <w:rPr>
                <w:sz w:val="20"/>
                <w:szCs w:val="20"/>
                <w:color w:val="auto"/>
              </w:rPr>
            </w:pPr>
            <w:r>
              <w:rPr>
                <w:rFonts w:ascii="Arial" w:cs="Arial" w:eastAsia="Arial" w:hAnsi="Arial"/>
                <w:sz w:val="15"/>
                <w:szCs w:val="15"/>
                <w:b w:val="1"/>
                <w:bCs w:val="1"/>
                <w:color w:val="auto"/>
                <w:w w:val="84"/>
              </w:rPr>
              <w:t>Results</w:t>
            </w:r>
          </w:p>
        </w:tc>
        <w:tc>
          <w:tcPr>
            <w:tcW w:w="12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Borders>
              <w:bottom w:val="single" w:sz="8" w:color="auto"/>
            </w:tcBorders>
            <w:gridSpan w:val="3"/>
          </w:tcPr>
          <w:p>
            <w:pPr>
              <w:jc w:val="center"/>
              <w:ind w:left="1174"/>
              <w:spacing w:after="0"/>
              <w:rPr>
                <w:sz w:val="20"/>
                <w:szCs w:val="20"/>
                <w:color w:val="auto"/>
              </w:rPr>
            </w:pPr>
            <w:r>
              <w:rPr>
                <w:rFonts w:ascii="Arial" w:cs="Arial" w:eastAsia="Arial" w:hAnsi="Arial"/>
                <w:sz w:val="15"/>
                <w:szCs w:val="15"/>
                <w:b w:val="1"/>
                <w:bCs w:val="1"/>
                <w:color w:val="auto"/>
                <w:w w:val="88"/>
              </w:rPr>
              <w:t>Results</w:t>
            </w: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28"/>
        </w:trPr>
        <w:tc>
          <w:tcPr>
            <w:tcW w:w="4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gridSpan w:val="3"/>
          </w:tcPr>
          <w:p>
            <w:pPr>
              <w:ind w:left="280"/>
              <w:spacing w:after="0" w:line="128" w:lineRule="exact"/>
              <w:rPr>
                <w:sz w:val="20"/>
                <w:szCs w:val="20"/>
                <w:color w:val="auto"/>
              </w:rPr>
            </w:pPr>
            <w:r>
              <w:rPr>
                <w:rFonts w:ascii="Arial" w:cs="Arial" w:eastAsia="Arial" w:hAnsi="Arial"/>
                <w:sz w:val="14"/>
                <w:szCs w:val="14"/>
                <w:b w:val="1"/>
                <w:bCs w:val="1"/>
                <w:color w:val="auto"/>
              </w:rPr>
              <w:t>December 31,</w:t>
            </w:r>
          </w:p>
        </w:tc>
        <w:tc>
          <w:tcPr>
            <w:tcW w:w="1260" w:type="dxa"/>
            <w:vAlign w:val="bottom"/>
          </w:tcPr>
          <w:p>
            <w:pPr>
              <w:jc w:val="right"/>
              <w:ind w:right="192"/>
              <w:spacing w:after="0" w:line="128"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1"/>
                <w:szCs w:val="11"/>
                <w:color w:val="auto"/>
              </w:rPr>
            </w:pPr>
          </w:p>
        </w:tc>
        <w:tc>
          <w:tcPr>
            <w:tcW w:w="1900" w:type="dxa"/>
            <w:vAlign w:val="bottom"/>
            <w:gridSpan w:val="3"/>
          </w:tcPr>
          <w:p>
            <w:pPr>
              <w:jc w:val="center"/>
              <w:ind w:right="500"/>
              <w:spacing w:after="0" w:line="128" w:lineRule="exact"/>
              <w:rPr>
                <w:sz w:val="20"/>
                <w:szCs w:val="20"/>
                <w:color w:val="auto"/>
              </w:rPr>
            </w:pPr>
            <w:r>
              <w:rPr>
                <w:rFonts w:ascii="Arial" w:cs="Arial" w:eastAsia="Arial" w:hAnsi="Arial"/>
                <w:sz w:val="14"/>
                <w:szCs w:val="14"/>
                <w:b w:val="1"/>
                <w:bCs w:val="1"/>
                <w:color w:val="auto"/>
                <w:w w:val="96"/>
              </w:rPr>
              <w:t>December 31,</w:t>
            </w:r>
          </w:p>
        </w:tc>
        <w:tc>
          <w:tcPr>
            <w:tcW w:w="1260" w:type="dxa"/>
            <w:vAlign w:val="bottom"/>
          </w:tcPr>
          <w:p>
            <w:pPr>
              <w:jc w:val="center"/>
              <w:ind w:right="90"/>
              <w:spacing w:after="0" w:line="128"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80"/>
        </w:trPr>
        <w:tc>
          <w:tcPr>
            <w:tcW w:w="4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453"/>
              <w:spacing w:after="0"/>
              <w:rPr>
                <w:sz w:val="20"/>
                <w:szCs w:val="20"/>
                <w:color w:val="auto"/>
              </w:rPr>
            </w:pPr>
            <w:r>
              <w:rPr>
                <w:rFonts w:ascii="Arial" w:cs="Arial" w:eastAsia="Arial" w:hAnsi="Arial"/>
                <w:sz w:val="15"/>
                <w:szCs w:val="15"/>
                <w:b w:val="1"/>
                <w:bCs w:val="1"/>
                <w:color w:val="auto"/>
              </w:rPr>
              <w:t>2017</w:t>
            </w: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5"/>
                <w:szCs w:val="15"/>
                <w:b w:val="1"/>
                <w:bCs w:val="1"/>
                <w:color w:val="auto"/>
              </w:rPr>
              <w:t>2018</w:t>
            </w:r>
          </w:p>
        </w:tc>
        <w:tc>
          <w:tcPr>
            <w:tcW w:w="3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2017</w:t>
            </w:r>
          </w:p>
        </w:tc>
        <w:tc>
          <w:tcPr>
            <w:tcW w:w="3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5"/>
                <w:szCs w:val="15"/>
                <w:b w:val="1"/>
                <w:bCs w:val="1"/>
                <w:color w:val="auto"/>
                <w:w w:val="89"/>
              </w:rPr>
              <w:t>2018</w:t>
            </w:r>
          </w:p>
        </w:tc>
        <w:tc>
          <w:tcPr>
            <w:tcW w:w="120" w:type="dxa"/>
            <w:vAlign w:val="bottom"/>
            <w:tcBorders>
              <w:bottom w:val="single" w:sz="8" w:color="CCEEFF"/>
            </w:tcBorders>
          </w:tcPr>
          <w:p>
            <w:pPr>
              <w:spacing w:after="0"/>
              <w:rPr>
                <w:sz w:val="15"/>
                <w:szCs w:val="15"/>
                <w:color w:val="auto"/>
              </w:rPr>
            </w:pPr>
          </w:p>
        </w:tc>
        <w:tc>
          <w:tcPr>
            <w:tcW w:w="880" w:type="dxa"/>
            <w:vAlign w:val="bottom"/>
          </w:tcPr>
          <w:p>
            <w:pPr>
              <w:spacing w:after="0"/>
              <w:rPr>
                <w:sz w:val="15"/>
                <w:szCs w:val="15"/>
                <w:color w:val="auto"/>
              </w:rPr>
            </w:pPr>
          </w:p>
        </w:tc>
      </w:tr>
      <w:tr>
        <w:trPr>
          <w:trHeight w:val="222"/>
        </w:trPr>
        <w:tc>
          <w:tcPr>
            <w:tcW w:w="44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Profit for the year</w:t>
            </w: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134,745</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115,513</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94,117</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102,597</w:t>
            </w:r>
          </w:p>
        </w:tc>
        <w:tc>
          <w:tcPr>
            <w:tcW w:w="120" w:type="dxa"/>
            <w:vAlign w:val="bottom"/>
            <w:shd w:val="clear" w:color="auto" w:fill="CCEEFF"/>
          </w:tcPr>
          <w:p>
            <w:pPr>
              <w:spacing w:after="0"/>
              <w:rPr>
                <w:sz w:val="19"/>
                <w:szCs w:val="19"/>
                <w:color w:val="auto"/>
              </w:rPr>
            </w:pPr>
          </w:p>
        </w:tc>
        <w:tc>
          <w:tcPr>
            <w:tcW w:w="880" w:type="dxa"/>
            <w:vAlign w:val="bottom"/>
          </w:tcPr>
          <w:p>
            <w:pPr>
              <w:spacing w:after="0"/>
              <w:rPr>
                <w:sz w:val="19"/>
                <w:szCs w:val="19"/>
                <w:color w:val="auto"/>
              </w:rPr>
            </w:pPr>
          </w:p>
        </w:tc>
      </w:tr>
      <w:tr>
        <w:trPr>
          <w:trHeight w:val="228"/>
        </w:trPr>
        <w:tc>
          <w:tcPr>
            <w:tcW w:w="4400" w:type="dxa"/>
            <w:vAlign w:val="bottom"/>
            <w:gridSpan w:val="2"/>
          </w:tcPr>
          <w:p>
            <w:pPr>
              <w:spacing w:after="0"/>
              <w:rPr>
                <w:sz w:val="20"/>
                <w:szCs w:val="20"/>
                <w:color w:val="auto"/>
              </w:rPr>
            </w:pPr>
            <w:r>
              <w:rPr>
                <w:rFonts w:ascii="Arial" w:cs="Arial" w:eastAsia="Arial" w:hAnsi="Arial"/>
                <w:sz w:val="19"/>
                <w:szCs w:val="19"/>
                <w:color w:val="auto"/>
              </w:rPr>
              <w:t>Depreciation</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81,089</w:t>
            </w:r>
          </w:p>
        </w:tc>
        <w:tc>
          <w:tcPr>
            <w:tcW w:w="1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9"/>
                <w:szCs w:val="19"/>
                <w:color w:val="auto"/>
              </w:rPr>
              <w:t>81,590</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58,193</w:t>
            </w:r>
          </w:p>
        </w:tc>
        <w:tc>
          <w:tcPr>
            <w:tcW w:w="1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9"/>
                <w:szCs w:val="19"/>
                <w:color w:val="auto"/>
              </w:rPr>
              <w:t>73,151</w:t>
            </w:r>
          </w:p>
        </w:tc>
        <w:tc>
          <w:tcPr>
            <w:tcW w:w="880" w:type="dxa"/>
            <w:vAlign w:val="bottom"/>
          </w:tcPr>
          <w:p>
            <w:pPr>
              <w:spacing w:after="0"/>
              <w:rPr>
                <w:sz w:val="19"/>
                <w:szCs w:val="19"/>
                <w:color w:val="auto"/>
              </w:rPr>
            </w:pPr>
          </w:p>
        </w:tc>
      </w:tr>
      <w:tr>
        <w:trPr>
          <w:trHeight w:val="228"/>
        </w:trPr>
        <w:tc>
          <w:tcPr>
            <w:tcW w:w="44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Financial costs</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65,122</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66,287</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44,916</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60,258</w:t>
            </w:r>
          </w:p>
        </w:tc>
        <w:tc>
          <w:tcPr>
            <w:tcW w:w="880" w:type="dxa"/>
            <w:vAlign w:val="bottom"/>
          </w:tcPr>
          <w:p>
            <w:pPr>
              <w:spacing w:after="0"/>
              <w:rPr>
                <w:sz w:val="19"/>
                <w:szCs w:val="19"/>
                <w:color w:val="auto"/>
              </w:rPr>
            </w:pPr>
          </w:p>
        </w:tc>
      </w:tr>
      <w:tr>
        <w:trPr>
          <w:trHeight w:val="228"/>
        </w:trPr>
        <w:tc>
          <w:tcPr>
            <w:tcW w:w="4400" w:type="dxa"/>
            <w:vAlign w:val="bottom"/>
            <w:gridSpan w:val="2"/>
          </w:tcPr>
          <w:p>
            <w:pPr>
              <w:spacing w:after="0"/>
              <w:rPr>
                <w:sz w:val="20"/>
                <w:szCs w:val="20"/>
                <w:color w:val="auto"/>
              </w:rPr>
            </w:pPr>
            <w:r>
              <w:rPr>
                <w:rFonts w:ascii="Arial" w:cs="Arial" w:eastAsia="Arial" w:hAnsi="Arial"/>
                <w:sz w:val="19"/>
                <w:szCs w:val="19"/>
                <w:color w:val="auto"/>
              </w:rPr>
              <w:t>Financial income</w:t>
            </w:r>
          </w:p>
        </w:tc>
        <w:tc>
          <w:tcPr>
            <w:tcW w:w="1740" w:type="dxa"/>
            <w:vAlign w:val="bottom"/>
            <w:gridSpan w:val="2"/>
          </w:tcPr>
          <w:p>
            <w:pPr>
              <w:jc w:val="right"/>
              <w:ind w:right="240"/>
              <w:spacing w:after="0"/>
              <w:rPr>
                <w:sz w:val="20"/>
                <w:szCs w:val="20"/>
                <w:color w:val="auto"/>
              </w:rPr>
            </w:pPr>
            <w:r>
              <w:rPr>
                <w:rFonts w:ascii="Arial" w:cs="Arial" w:eastAsia="Arial" w:hAnsi="Arial"/>
                <w:sz w:val="19"/>
                <w:szCs w:val="19"/>
                <w:color w:val="auto"/>
              </w:rPr>
              <w:t>(1,019)</w:t>
            </w:r>
          </w:p>
        </w:tc>
        <w:tc>
          <w:tcPr>
            <w:tcW w:w="18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9"/>
                <w:szCs w:val="19"/>
                <w:color w:val="auto"/>
              </w:rPr>
              <w:t>(2,413)</w:t>
            </w:r>
          </w:p>
        </w:tc>
        <w:tc>
          <w:tcPr>
            <w:tcW w:w="1740" w:type="dxa"/>
            <w:vAlign w:val="bottom"/>
            <w:gridSpan w:val="2"/>
          </w:tcPr>
          <w:p>
            <w:pPr>
              <w:jc w:val="right"/>
              <w:ind w:right="240"/>
              <w:spacing w:after="0"/>
              <w:rPr>
                <w:sz w:val="20"/>
                <w:szCs w:val="20"/>
                <w:color w:val="auto"/>
              </w:rPr>
            </w:pPr>
            <w:r>
              <w:rPr>
                <w:rFonts w:ascii="Arial" w:cs="Arial" w:eastAsia="Arial" w:hAnsi="Arial"/>
                <w:sz w:val="19"/>
                <w:szCs w:val="19"/>
                <w:color w:val="auto"/>
              </w:rPr>
              <w:t>(972)</w:t>
            </w:r>
          </w:p>
        </w:tc>
        <w:tc>
          <w:tcPr>
            <w:tcW w:w="1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9"/>
                <w:szCs w:val="19"/>
                <w:color w:val="auto"/>
              </w:rPr>
              <w:t>(2,398)</w:t>
            </w:r>
          </w:p>
        </w:tc>
        <w:tc>
          <w:tcPr>
            <w:tcW w:w="880" w:type="dxa"/>
            <w:vAlign w:val="bottom"/>
          </w:tcPr>
          <w:p>
            <w:pPr>
              <w:spacing w:after="0"/>
              <w:rPr>
                <w:sz w:val="19"/>
                <w:szCs w:val="19"/>
                <w:color w:val="auto"/>
              </w:rPr>
            </w:pPr>
          </w:p>
        </w:tc>
      </w:tr>
      <w:tr>
        <w:trPr>
          <w:trHeight w:val="228"/>
        </w:trPr>
        <w:tc>
          <w:tcPr>
            <w:tcW w:w="44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(Gain)/loss on derivatives</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(121)</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48</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(121)</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48</w:t>
            </w:r>
          </w:p>
        </w:tc>
        <w:tc>
          <w:tcPr>
            <w:tcW w:w="120" w:type="dxa"/>
            <w:vAlign w:val="bottom"/>
            <w:shd w:val="clear" w:color="auto" w:fill="CCEEFF"/>
          </w:tcPr>
          <w:p>
            <w:pPr>
              <w:spacing w:after="0"/>
              <w:rPr>
                <w:sz w:val="19"/>
                <w:szCs w:val="19"/>
                <w:color w:val="auto"/>
              </w:rPr>
            </w:pPr>
          </w:p>
        </w:tc>
        <w:tc>
          <w:tcPr>
            <w:tcW w:w="880" w:type="dxa"/>
            <w:vAlign w:val="bottom"/>
          </w:tcPr>
          <w:p>
            <w:pPr>
              <w:spacing w:after="0"/>
              <w:rPr>
                <w:sz w:val="19"/>
                <w:szCs w:val="19"/>
                <w:color w:val="auto"/>
              </w:rPr>
            </w:pPr>
          </w:p>
        </w:tc>
      </w:tr>
      <w:tr>
        <w:trPr>
          <w:trHeight w:val="222"/>
        </w:trPr>
        <w:tc>
          <w:tcPr>
            <w:tcW w:w="4400" w:type="dxa"/>
            <w:vAlign w:val="bottom"/>
            <w:gridSpan w:val="2"/>
          </w:tcPr>
          <w:p>
            <w:pPr>
              <w:spacing w:after="0"/>
              <w:rPr>
                <w:sz w:val="20"/>
                <w:szCs w:val="20"/>
                <w:color w:val="auto"/>
              </w:rPr>
            </w:pPr>
            <w:r>
              <w:rPr>
                <w:rFonts w:ascii="Arial" w:cs="Arial" w:eastAsia="Arial" w:hAnsi="Arial"/>
                <w:sz w:val="19"/>
                <w:szCs w:val="19"/>
                <w:b w:val="1"/>
                <w:bCs w:val="1"/>
                <w:color w:val="auto"/>
              </w:rPr>
              <w:t>EBITDA</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279,816</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261,025</w:t>
            </w:r>
          </w:p>
        </w:tc>
        <w:tc>
          <w:tcPr>
            <w:tcW w:w="3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196,133</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233,656</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38"/>
        </w:trPr>
        <w:tc>
          <w:tcPr>
            <w:tcW w:w="4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9"/>
                <w:szCs w:val="19"/>
                <w:color w:val="auto"/>
              </w:rPr>
              <w:t>14</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41"/>
        </w:trPr>
        <w:tc>
          <w:tcPr>
            <w:tcW w:w="410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07" w:right="80" w:bottom="1440" w:gutter="0" w:footer="0" w:header="0"/>
        </w:sectPr>
      </w:pPr>
    </w:p>
    <w:bookmarkStart w:id="17" w:name="page18"/>
    <w:bookmarkEnd w:id="17"/>
    <w:p>
      <w:pPr>
        <w:spacing w:after="0"/>
        <w:rPr>
          <w:sz w:val="20"/>
          <w:szCs w:val="20"/>
          <w:color w:val="auto"/>
        </w:rPr>
      </w:pPr>
      <w:r>
        <w:rPr>
          <w:rFonts w:ascii="Arial" w:cs="Arial" w:eastAsia="Arial" w:hAnsi="Arial"/>
          <w:sz w:val="19"/>
          <w:szCs w:val="19"/>
          <w:b w:val="1"/>
          <w:bCs w:val="1"/>
          <w:color w:val="auto"/>
        </w:rPr>
        <w:t>Reconciliation of Profit to Adjusted Profit: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5"/>
          </w:tcPr>
          <w:p>
            <w:pPr>
              <w:jc w:val="center"/>
              <w:ind w:right="660"/>
              <w:spacing w:after="0"/>
              <w:rPr>
                <w:sz w:val="20"/>
                <w:szCs w:val="20"/>
                <w:color w:val="auto"/>
              </w:rPr>
            </w:pPr>
            <w:r>
              <w:rPr>
                <w:rFonts w:ascii="Arial" w:cs="Arial" w:eastAsia="Arial" w:hAnsi="Arial"/>
                <w:sz w:val="15"/>
                <w:szCs w:val="15"/>
                <w:b w:val="1"/>
                <w:bCs w:val="1"/>
                <w:color w:val="auto"/>
                <w:w w:val="90"/>
              </w:rPr>
              <w:t>For the three months ended</w:t>
            </w: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28"/>
        </w:trPr>
        <w:tc>
          <w:tcPr>
            <w:tcW w:w="4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80" w:type="dxa"/>
            <w:vAlign w:val="bottom"/>
            <w:gridSpan w:val="5"/>
          </w:tcPr>
          <w:p>
            <w:pPr>
              <w:jc w:val="center"/>
              <w:ind w:right="340"/>
              <w:spacing w:after="0" w:line="128" w:lineRule="exact"/>
              <w:rPr>
                <w:sz w:val="20"/>
                <w:szCs w:val="20"/>
                <w:color w:val="auto"/>
              </w:rPr>
            </w:pPr>
            <w:r>
              <w:rPr>
                <w:rFonts w:ascii="Arial" w:cs="Arial" w:eastAsia="Arial" w:hAnsi="Arial"/>
                <w:sz w:val="14"/>
                <w:szCs w:val="14"/>
                <w:b w:val="1"/>
                <w:bCs w:val="1"/>
                <w:color w:val="auto"/>
              </w:rPr>
              <w:t>IFRS Common Control Reported</w:t>
            </w:r>
          </w:p>
        </w:tc>
        <w:tc>
          <w:tcPr>
            <w:tcW w:w="3160" w:type="dxa"/>
            <w:vAlign w:val="bottom"/>
            <w:gridSpan w:val="4"/>
          </w:tcPr>
          <w:p>
            <w:pPr>
              <w:jc w:val="center"/>
              <w:spacing w:after="0" w:line="128" w:lineRule="exact"/>
              <w:rPr>
                <w:sz w:val="20"/>
                <w:szCs w:val="20"/>
                <w:color w:val="auto"/>
              </w:rPr>
            </w:pPr>
            <w:r>
              <w:rPr>
                <w:rFonts w:ascii="Arial" w:cs="Arial" w:eastAsia="Arial" w:hAnsi="Arial"/>
                <w:sz w:val="14"/>
                <w:szCs w:val="14"/>
                <w:b w:val="1"/>
                <w:bCs w:val="1"/>
                <w:color w:val="auto"/>
                <w:w w:val="99"/>
              </w:rPr>
              <w:t>Partnership Performance</w:t>
            </w:r>
          </w:p>
        </w:tc>
        <w:tc>
          <w:tcPr>
            <w:tcW w:w="120" w:type="dxa"/>
            <w:vAlign w:val="bottom"/>
          </w:tcPr>
          <w:p>
            <w:pPr>
              <w:spacing w:after="0"/>
              <w:rPr>
                <w:sz w:val="11"/>
                <w:szCs w:val="11"/>
                <w:color w:val="auto"/>
              </w:rPr>
            </w:pPr>
          </w:p>
        </w:tc>
      </w:tr>
      <w:tr>
        <w:trPr>
          <w:trHeight w:val="180"/>
        </w:trPr>
        <w:tc>
          <w:tcPr>
            <w:tcW w:w="4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Borders>
              <w:bottom w:val="single" w:sz="8" w:color="auto"/>
            </w:tcBorders>
            <w:gridSpan w:val="3"/>
          </w:tcPr>
          <w:p>
            <w:pPr>
              <w:jc w:val="center"/>
              <w:ind w:left="1176"/>
              <w:spacing w:after="0"/>
              <w:rPr>
                <w:sz w:val="20"/>
                <w:szCs w:val="20"/>
                <w:color w:val="auto"/>
              </w:rPr>
            </w:pPr>
            <w:r>
              <w:rPr>
                <w:rFonts w:ascii="Arial" w:cs="Arial" w:eastAsia="Arial" w:hAnsi="Arial"/>
                <w:sz w:val="15"/>
                <w:szCs w:val="15"/>
                <w:b w:val="1"/>
                <w:bCs w:val="1"/>
                <w:color w:val="auto"/>
                <w:w w:val="84"/>
              </w:rPr>
              <w:t>Results</w:t>
            </w:r>
          </w:p>
        </w:tc>
        <w:tc>
          <w:tcPr>
            <w:tcW w:w="12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Borders>
              <w:bottom w:val="single" w:sz="8" w:color="auto"/>
            </w:tcBorders>
            <w:gridSpan w:val="3"/>
          </w:tcPr>
          <w:p>
            <w:pPr>
              <w:jc w:val="center"/>
              <w:ind w:left="1176"/>
              <w:spacing w:after="0"/>
              <w:rPr>
                <w:sz w:val="20"/>
                <w:szCs w:val="20"/>
                <w:color w:val="auto"/>
              </w:rPr>
            </w:pPr>
            <w:r>
              <w:rPr>
                <w:rFonts w:ascii="Arial" w:cs="Arial" w:eastAsia="Arial" w:hAnsi="Arial"/>
                <w:sz w:val="15"/>
                <w:szCs w:val="15"/>
                <w:b w:val="1"/>
                <w:bCs w:val="1"/>
                <w:color w:val="auto"/>
                <w:w w:val="88"/>
              </w:rPr>
              <w:t>Results</w:t>
            </w: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28"/>
        </w:trPr>
        <w:tc>
          <w:tcPr>
            <w:tcW w:w="4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gridSpan w:val="3"/>
          </w:tcPr>
          <w:p>
            <w:pPr>
              <w:jc w:val="center"/>
              <w:ind w:right="520"/>
              <w:spacing w:after="0" w:line="128" w:lineRule="exact"/>
              <w:rPr>
                <w:sz w:val="20"/>
                <w:szCs w:val="20"/>
                <w:color w:val="auto"/>
              </w:rPr>
            </w:pPr>
            <w:r>
              <w:rPr>
                <w:rFonts w:ascii="Arial" w:cs="Arial" w:eastAsia="Arial" w:hAnsi="Arial"/>
                <w:sz w:val="14"/>
                <w:szCs w:val="14"/>
                <w:b w:val="1"/>
                <w:bCs w:val="1"/>
                <w:color w:val="auto"/>
                <w:w w:val="96"/>
              </w:rPr>
              <w:t>December 31,</w:t>
            </w:r>
          </w:p>
        </w:tc>
        <w:tc>
          <w:tcPr>
            <w:tcW w:w="1260" w:type="dxa"/>
            <w:vAlign w:val="bottom"/>
          </w:tcPr>
          <w:p>
            <w:pPr>
              <w:jc w:val="center"/>
              <w:ind w:right="134"/>
              <w:spacing w:after="0" w:line="128" w:lineRule="exact"/>
              <w:rPr>
                <w:sz w:val="20"/>
                <w:szCs w:val="20"/>
                <w:color w:val="auto"/>
              </w:rPr>
            </w:pPr>
            <w:r>
              <w:rPr>
                <w:rFonts w:ascii="Arial" w:cs="Arial" w:eastAsia="Arial" w:hAnsi="Arial"/>
                <w:sz w:val="14"/>
                <w:szCs w:val="14"/>
                <w:b w:val="1"/>
                <w:bCs w:val="1"/>
                <w:color w:val="auto"/>
                <w:w w:val="96"/>
              </w:rPr>
              <w:t>December 31,</w:t>
            </w:r>
          </w:p>
        </w:tc>
        <w:tc>
          <w:tcPr>
            <w:tcW w:w="300" w:type="dxa"/>
            <w:vAlign w:val="bottom"/>
          </w:tcPr>
          <w:p>
            <w:pPr>
              <w:spacing w:after="0"/>
              <w:rPr>
                <w:sz w:val="11"/>
                <w:szCs w:val="11"/>
                <w:color w:val="auto"/>
              </w:rPr>
            </w:pPr>
          </w:p>
        </w:tc>
        <w:tc>
          <w:tcPr>
            <w:tcW w:w="1900" w:type="dxa"/>
            <w:vAlign w:val="bottom"/>
            <w:gridSpan w:val="3"/>
          </w:tcPr>
          <w:p>
            <w:pPr>
              <w:jc w:val="center"/>
              <w:ind w:right="500"/>
              <w:spacing w:after="0" w:line="128" w:lineRule="exact"/>
              <w:rPr>
                <w:sz w:val="20"/>
                <w:szCs w:val="20"/>
                <w:color w:val="auto"/>
              </w:rPr>
            </w:pPr>
            <w:r>
              <w:rPr>
                <w:rFonts w:ascii="Arial" w:cs="Arial" w:eastAsia="Arial" w:hAnsi="Arial"/>
                <w:sz w:val="14"/>
                <w:szCs w:val="14"/>
                <w:b w:val="1"/>
                <w:bCs w:val="1"/>
                <w:color w:val="auto"/>
                <w:w w:val="96"/>
              </w:rPr>
              <w:t>December 31,</w:t>
            </w:r>
          </w:p>
        </w:tc>
        <w:tc>
          <w:tcPr>
            <w:tcW w:w="1260" w:type="dxa"/>
            <w:vAlign w:val="bottom"/>
          </w:tcPr>
          <w:p>
            <w:pPr>
              <w:jc w:val="center"/>
              <w:ind w:right="92"/>
              <w:spacing w:after="0" w:line="128"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1"/>
                <w:szCs w:val="11"/>
                <w:color w:val="auto"/>
              </w:rPr>
            </w:pPr>
          </w:p>
        </w:tc>
      </w:tr>
      <w:tr>
        <w:trPr>
          <w:trHeight w:val="180"/>
        </w:trPr>
        <w:tc>
          <w:tcPr>
            <w:tcW w:w="440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(Amounts expressed in thousands of U.S. Dollars)</w:t>
            </w:r>
          </w:p>
        </w:tc>
        <w:tc>
          <w:tcPr>
            <w:tcW w:w="1440" w:type="dxa"/>
            <w:vAlign w:val="bottom"/>
          </w:tcPr>
          <w:p>
            <w:pPr>
              <w:jc w:val="center"/>
              <w:spacing w:after="0"/>
              <w:rPr>
                <w:sz w:val="20"/>
                <w:szCs w:val="20"/>
                <w:color w:val="auto"/>
              </w:rPr>
            </w:pPr>
            <w:r>
              <w:rPr>
                <w:rFonts w:ascii="Arial" w:cs="Arial" w:eastAsia="Arial" w:hAnsi="Arial"/>
                <w:sz w:val="15"/>
                <w:szCs w:val="15"/>
                <w:b w:val="1"/>
                <w:bCs w:val="1"/>
                <w:color w:val="auto"/>
                <w:w w:val="95"/>
              </w:rPr>
              <w:t>2017</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94"/>
              <w:spacing w:after="0"/>
              <w:rPr>
                <w:sz w:val="20"/>
                <w:szCs w:val="20"/>
                <w:color w:val="auto"/>
              </w:rPr>
            </w:pPr>
            <w:r>
              <w:rPr>
                <w:rFonts w:ascii="Arial" w:cs="Arial" w:eastAsia="Arial" w:hAnsi="Arial"/>
                <w:sz w:val="15"/>
                <w:szCs w:val="15"/>
                <w:b w:val="1"/>
                <w:bCs w:val="1"/>
                <w:color w:val="auto"/>
                <w:w w:val="95"/>
              </w:rPr>
              <w:t>2018</w:t>
            </w:r>
          </w:p>
        </w:tc>
        <w:tc>
          <w:tcPr>
            <w:tcW w:w="3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5"/>
                <w:szCs w:val="15"/>
                <w:b w:val="1"/>
                <w:bCs w:val="1"/>
                <w:color w:val="auto"/>
                <w:w w:val="95"/>
              </w:rPr>
              <w:t>2017</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72"/>
              <w:spacing w:after="0"/>
              <w:rPr>
                <w:sz w:val="20"/>
                <w:szCs w:val="20"/>
                <w:color w:val="auto"/>
              </w:rPr>
            </w:pPr>
            <w:r>
              <w:rPr>
                <w:rFonts w:ascii="Arial" w:cs="Arial" w:eastAsia="Arial" w:hAnsi="Arial"/>
                <w:sz w:val="15"/>
                <w:szCs w:val="15"/>
                <w:b w:val="1"/>
                <w:bCs w:val="1"/>
                <w:color w:val="auto"/>
                <w:w w:val="89"/>
              </w:rPr>
              <w:t>2018</w:t>
            </w:r>
          </w:p>
        </w:tc>
        <w:tc>
          <w:tcPr>
            <w:tcW w:w="120" w:type="dxa"/>
            <w:vAlign w:val="bottom"/>
          </w:tcPr>
          <w:p>
            <w:pPr>
              <w:spacing w:after="0"/>
              <w:rPr>
                <w:sz w:val="15"/>
                <w:szCs w:val="15"/>
                <w:color w:val="auto"/>
              </w:rPr>
            </w:pPr>
          </w:p>
        </w:tc>
      </w:tr>
      <w:tr>
        <w:trPr>
          <w:trHeight w:val="222"/>
        </w:trPr>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Profit for the period</w:t>
            </w:r>
          </w:p>
        </w:tc>
        <w:tc>
          <w:tcPr>
            <w:tcW w:w="3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34,447</w:t>
            </w:r>
          </w:p>
        </w:tc>
        <w:tc>
          <w:tcPr>
            <w:tcW w:w="3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21,836</w:t>
            </w:r>
          </w:p>
        </w:tc>
        <w:tc>
          <w:tcPr>
            <w:tcW w:w="3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28,438</w:t>
            </w:r>
          </w:p>
        </w:tc>
        <w:tc>
          <w:tcPr>
            <w:tcW w:w="3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20,424</w:t>
            </w:r>
          </w:p>
        </w:tc>
        <w:tc>
          <w:tcPr>
            <w:tcW w:w="120" w:type="dxa"/>
            <w:vAlign w:val="bottom"/>
            <w:tcBorders>
              <w:top w:val="single" w:sz="8" w:color="CCEEFF"/>
            </w:tcBorders>
            <w:shd w:val="clear" w:color="auto" w:fill="CCEEFF"/>
          </w:tcPr>
          <w:p>
            <w:pPr>
              <w:spacing w:after="0"/>
              <w:rPr>
                <w:sz w:val="19"/>
                <w:szCs w:val="19"/>
                <w:color w:val="auto"/>
              </w:rPr>
            </w:pPr>
          </w:p>
        </w:tc>
      </w:tr>
      <w:tr>
        <w:trPr>
          <w:trHeight w:val="228"/>
        </w:trPr>
        <w:tc>
          <w:tcPr>
            <w:tcW w:w="4400" w:type="dxa"/>
            <w:vAlign w:val="bottom"/>
            <w:gridSpan w:val="2"/>
          </w:tcPr>
          <w:p>
            <w:pPr>
              <w:spacing w:after="0"/>
              <w:rPr>
                <w:sz w:val="20"/>
                <w:szCs w:val="20"/>
                <w:color w:val="auto"/>
              </w:rPr>
            </w:pPr>
            <w:r>
              <w:rPr>
                <w:rFonts w:ascii="Arial" w:cs="Arial" w:eastAsia="Arial" w:hAnsi="Arial"/>
                <w:sz w:val="19"/>
                <w:szCs w:val="19"/>
                <w:color w:val="auto"/>
              </w:rPr>
              <w:t>Non-cash (gain)/loss on derivatives</w:t>
            </w:r>
          </w:p>
        </w:tc>
        <w:tc>
          <w:tcPr>
            <w:tcW w:w="1740" w:type="dxa"/>
            <w:vAlign w:val="bottom"/>
            <w:gridSpan w:val="2"/>
          </w:tcPr>
          <w:p>
            <w:pPr>
              <w:jc w:val="right"/>
              <w:ind w:right="240"/>
              <w:spacing w:after="0"/>
              <w:rPr>
                <w:sz w:val="20"/>
                <w:szCs w:val="20"/>
                <w:color w:val="auto"/>
              </w:rPr>
            </w:pPr>
            <w:r>
              <w:rPr>
                <w:rFonts w:ascii="Arial" w:cs="Arial" w:eastAsia="Arial" w:hAnsi="Arial"/>
                <w:sz w:val="19"/>
                <w:szCs w:val="19"/>
                <w:color w:val="auto"/>
              </w:rPr>
              <w:t>(3,568)</w:t>
            </w:r>
          </w:p>
        </w:tc>
        <w:tc>
          <w:tcPr>
            <w:tcW w:w="1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9"/>
                <w:szCs w:val="19"/>
                <w:color w:val="auto"/>
              </w:rPr>
              <w:t>10,435</w:t>
            </w:r>
          </w:p>
        </w:tc>
        <w:tc>
          <w:tcPr>
            <w:tcW w:w="1740" w:type="dxa"/>
            <w:vAlign w:val="bottom"/>
            <w:gridSpan w:val="2"/>
          </w:tcPr>
          <w:p>
            <w:pPr>
              <w:jc w:val="right"/>
              <w:ind w:right="240"/>
              <w:spacing w:after="0"/>
              <w:rPr>
                <w:sz w:val="20"/>
                <w:szCs w:val="20"/>
                <w:color w:val="auto"/>
              </w:rPr>
            </w:pPr>
            <w:r>
              <w:rPr>
                <w:rFonts w:ascii="Arial" w:cs="Arial" w:eastAsia="Arial" w:hAnsi="Arial"/>
                <w:sz w:val="19"/>
                <w:szCs w:val="19"/>
                <w:color w:val="auto"/>
              </w:rPr>
              <w:t>(3,568)</w:t>
            </w:r>
          </w:p>
        </w:tc>
        <w:tc>
          <w:tcPr>
            <w:tcW w:w="1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9"/>
                <w:szCs w:val="19"/>
                <w:color w:val="auto"/>
              </w:rPr>
              <w:t>10,435</w:t>
            </w:r>
          </w:p>
        </w:tc>
      </w:tr>
      <w:tr>
        <w:trPr>
          <w:trHeight w:val="228"/>
        </w:trPr>
        <w:tc>
          <w:tcPr>
            <w:tcW w:w="44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Write-off of unamortized loan fees</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213</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b w:val="1"/>
                <w:bCs w:val="1"/>
                <w:color w:val="auto"/>
              </w:rPr>
              <w:t>—</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213</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b w:val="1"/>
                <w:bCs w:val="1"/>
                <w:color w:val="auto"/>
              </w:rPr>
              <w:t>—</w:t>
            </w:r>
          </w:p>
        </w:tc>
      </w:tr>
      <w:tr>
        <w:trPr>
          <w:trHeight w:val="222"/>
        </w:trPr>
        <w:tc>
          <w:tcPr>
            <w:tcW w:w="4400" w:type="dxa"/>
            <w:vAlign w:val="bottom"/>
            <w:gridSpan w:val="2"/>
          </w:tcPr>
          <w:p>
            <w:pPr>
              <w:spacing w:after="0"/>
              <w:rPr>
                <w:sz w:val="20"/>
                <w:szCs w:val="20"/>
                <w:color w:val="auto"/>
              </w:rPr>
            </w:pPr>
            <w:r>
              <w:rPr>
                <w:rFonts w:ascii="Arial" w:cs="Arial" w:eastAsia="Arial" w:hAnsi="Arial"/>
                <w:sz w:val="19"/>
                <w:szCs w:val="19"/>
                <w:b w:val="1"/>
                <w:bCs w:val="1"/>
                <w:color w:val="auto"/>
              </w:rPr>
              <w:t>Adjusted Profit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31,092</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32,271</w:t>
            </w:r>
          </w:p>
        </w:tc>
        <w:tc>
          <w:tcPr>
            <w:tcW w:w="3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25,083</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30,859</w:t>
            </w:r>
          </w:p>
        </w:tc>
        <w:tc>
          <w:tcPr>
            <w:tcW w:w="12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8"/>
        </w:trPr>
        <w:tc>
          <w:tcPr>
            <w:tcW w:w="4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jc w:val="center"/>
              <w:ind w:right="660"/>
              <w:spacing w:after="0"/>
              <w:rPr>
                <w:sz w:val="20"/>
                <w:szCs w:val="20"/>
                <w:color w:val="auto"/>
              </w:rPr>
            </w:pPr>
            <w:r>
              <w:rPr>
                <w:rFonts w:ascii="Arial" w:cs="Arial" w:eastAsia="Arial" w:hAnsi="Arial"/>
                <w:sz w:val="15"/>
                <w:szCs w:val="15"/>
                <w:b w:val="1"/>
                <w:bCs w:val="1"/>
                <w:color w:val="auto"/>
                <w:w w:val="89"/>
              </w:rPr>
              <w:t>For the years ended</w:t>
            </w: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8"/>
        </w:trPr>
        <w:tc>
          <w:tcPr>
            <w:tcW w:w="4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80" w:type="dxa"/>
            <w:vAlign w:val="bottom"/>
            <w:gridSpan w:val="5"/>
          </w:tcPr>
          <w:p>
            <w:pPr>
              <w:jc w:val="center"/>
              <w:ind w:right="300"/>
              <w:spacing w:after="0" w:line="128" w:lineRule="exact"/>
              <w:rPr>
                <w:sz w:val="20"/>
                <w:szCs w:val="20"/>
                <w:color w:val="auto"/>
              </w:rPr>
            </w:pPr>
            <w:r>
              <w:rPr>
                <w:rFonts w:ascii="Arial" w:cs="Arial" w:eastAsia="Arial" w:hAnsi="Arial"/>
                <w:sz w:val="14"/>
                <w:szCs w:val="14"/>
                <w:b w:val="1"/>
                <w:bCs w:val="1"/>
                <w:color w:val="auto"/>
              </w:rPr>
              <w:t>IFRS Common Control Reported</w:t>
            </w:r>
          </w:p>
        </w:tc>
        <w:tc>
          <w:tcPr>
            <w:tcW w:w="3160" w:type="dxa"/>
            <w:vAlign w:val="bottom"/>
            <w:gridSpan w:val="4"/>
          </w:tcPr>
          <w:p>
            <w:pPr>
              <w:jc w:val="center"/>
              <w:spacing w:after="0" w:line="128" w:lineRule="exact"/>
              <w:rPr>
                <w:sz w:val="20"/>
                <w:szCs w:val="20"/>
                <w:color w:val="auto"/>
              </w:rPr>
            </w:pPr>
            <w:r>
              <w:rPr>
                <w:rFonts w:ascii="Arial" w:cs="Arial" w:eastAsia="Arial" w:hAnsi="Arial"/>
                <w:sz w:val="14"/>
                <w:szCs w:val="14"/>
                <w:b w:val="1"/>
                <w:bCs w:val="1"/>
                <w:color w:val="auto"/>
                <w:w w:val="99"/>
              </w:rPr>
              <w:t>Partnership Performance</w:t>
            </w:r>
          </w:p>
        </w:tc>
        <w:tc>
          <w:tcPr>
            <w:tcW w:w="120" w:type="dxa"/>
            <w:vAlign w:val="bottom"/>
          </w:tcPr>
          <w:p>
            <w:pPr>
              <w:spacing w:after="0"/>
              <w:rPr>
                <w:sz w:val="11"/>
                <w:szCs w:val="11"/>
                <w:color w:val="auto"/>
              </w:rPr>
            </w:pPr>
          </w:p>
        </w:tc>
      </w:tr>
      <w:tr>
        <w:trPr>
          <w:trHeight w:val="180"/>
        </w:trPr>
        <w:tc>
          <w:tcPr>
            <w:tcW w:w="4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Borders>
              <w:bottom w:val="single" w:sz="8" w:color="auto"/>
            </w:tcBorders>
            <w:gridSpan w:val="3"/>
          </w:tcPr>
          <w:p>
            <w:pPr>
              <w:ind w:left="1380"/>
              <w:spacing w:after="0"/>
              <w:rPr>
                <w:sz w:val="20"/>
                <w:szCs w:val="20"/>
                <w:color w:val="auto"/>
              </w:rPr>
            </w:pPr>
            <w:r>
              <w:rPr>
                <w:rFonts w:ascii="Arial" w:cs="Arial" w:eastAsia="Arial" w:hAnsi="Arial"/>
                <w:sz w:val="15"/>
                <w:szCs w:val="15"/>
                <w:b w:val="1"/>
                <w:bCs w:val="1"/>
                <w:color w:val="auto"/>
                <w:w w:val="95"/>
              </w:rPr>
              <w:t>Results</w:t>
            </w:r>
          </w:p>
        </w:tc>
        <w:tc>
          <w:tcPr>
            <w:tcW w:w="12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Borders>
              <w:bottom w:val="single" w:sz="8" w:color="auto"/>
            </w:tcBorders>
            <w:gridSpan w:val="3"/>
          </w:tcPr>
          <w:p>
            <w:pPr>
              <w:jc w:val="center"/>
              <w:ind w:left="1176"/>
              <w:spacing w:after="0"/>
              <w:rPr>
                <w:sz w:val="20"/>
                <w:szCs w:val="20"/>
                <w:color w:val="auto"/>
              </w:rPr>
            </w:pPr>
            <w:r>
              <w:rPr>
                <w:rFonts w:ascii="Arial" w:cs="Arial" w:eastAsia="Arial" w:hAnsi="Arial"/>
                <w:sz w:val="15"/>
                <w:szCs w:val="15"/>
                <w:b w:val="1"/>
                <w:bCs w:val="1"/>
                <w:color w:val="auto"/>
                <w:w w:val="88"/>
              </w:rPr>
              <w:t>Results</w:t>
            </w: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28"/>
        </w:trPr>
        <w:tc>
          <w:tcPr>
            <w:tcW w:w="4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gridSpan w:val="3"/>
          </w:tcPr>
          <w:p>
            <w:pPr>
              <w:jc w:val="center"/>
              <w:ind w:right="520"/>
              <w:spacing w:after="0" w:line="128" w:lineRule="exact"/>
              <w:rPr>
                <w:sz w:val="20"/>
                <w:szCs w:val="20"/>
                <w:color w:val="auto"/>
              </w:rPr>
            </w:pPr>
            <w:r>
              <w:rPr>
                <w:rFonts w:ascii="Arial" w:cs="Arial" w:eastAsia="Arial" w:hAnsi="Arial"/>
                <w:sz w:val="14"/>
                <w:szCs w:val="14"/>
                <w:b w:val="1"/>
                <w:bCs w:val="1"/>
                <w:color w:val="auto"/>
                <w:w w:val="96"/>
              </w:rPr>
              <w:t>December 31,</w:t>
            </w:r>
          </w:p>
        </w:tc>
        <w:tc>
          <w:tcPr>
            <w:tcW w:w="1260" w:type="dxa"/>
            <w:vAlign w:val="bottom"/>
          </w:tcPr>
          <w:p>
            <w:pPr>
              <w:jc w:val="center"/>
              <w:ind w:right="134"/>
              <w:spacing w:after="0" w:line="128" w:lineRule="exact"/>
              <w:rPr>
                <w:sz w:val="20"/>
                <w:szCs w:val="20"/>
                <w:color w:val="auto"/>
              </w:rPr>
            </w:pPr>
            <w:r>
              <w:rPr>
                <w:rFonts w:ascii="Arial" w:cs="Arial" w:eastAsia="Arial" w:hAnsi="Arial"/>
                <w:sz w:val="14"/>
                <w:szCs w:val="14"/>
                <w:b w:val="1"/>
                <w:bCs w:val="1"/>
                <w:color w:val="auto"/>
                <w:w w:val="96"/>
              </w:rPr>
              <w:t>December 31,</w:t>
            </w:r>
          </w:p>
        </w:tc>
        <w:tc>
          <w:tcPr>
            <w:tcW w:w="300" w:type="dxa"/>
            <w:vAlign w:val="bottom"/>
          </w:tcPr>
          <w:p>
            <w:pPr>
              <w:spacing w:after="0"/>
              <w:rPr>
                <w:sz w:val="11"/>
                <w:szCs w:val="11"/>
                <w:color w:val="auto"/>
              </w:rPr>
            </w:pPr>
          </w:p>
        </w:tc>
        <w:tc>
          <w:tcPr>
            <w:tcW w:w="1900" w:type="dxa"/>
            <w:vAlign w:val="bottom"/>
            <w:gridSpan w:val="3"/>
          </w:tcPr>
          <w:p>
            <w:pPr>
              <w:jc w:val="center"/>
              <w:ind w:right="500"/>
              <w:spacing w:after="0" w:line="128" w:lineRule="exact"/>
              <w:rPr>
                <w:sz w:val="20"/>
                <w:szCs w:val="20"/>
                <w:color w:val="auto"/>
              </w:rPr>
            </w:pPr>
            <w:r>
              <w:rPr>
                <w:rFonts w:ascii="Arial" w:cs="Arial" w:eastAsia="Arial" w:hAnsi="Arial"/>
                <w:sz w:val="14"/>
                <w:szCs w:val="14"/>
                <w:b w:val="1"/>
                <w:bCs w:val="1"/>
                <w:color w:val="auto"/>
                <w:w w:val="96"/>
              </w:rPr>
              <w:t>December 31,</w:t>
            </w:r>
          </w:p>
        </w:tc>
        <w:tc>
          <w:tcPr>
            <w:tcW w:w="1260" w:type="dxa"/>
            <w:vAlign w:val="bottom"/>
          </w:tcPr>
          <w:p>
            <w:pPr>
              <w:jc w:val="center"/>
              <w:ind w:right="92"/>
              <w:spacing w:after="0" w:line="128"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1"/>
                <w:szCs w:val="11"/>
                <w:color w:val="auto"/>
              </w:rPr>
            </w:pPr>
          </w:p>
        </w:tc>
      </w:tr>
      <w:tr>
        <w:trPr>
          <w:trHeight w:val="180"/>
        </w:trPr>
        <w:tc>
          <w:tcPr>
            <w:tcW w:w="4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2017</w:t>
            </w: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94"/>
              <w:spacing w:after="0"/>
              <w:rPr>
                <w:sz w:val="20"/>
                <w:szCs w:val="20"/>
                <w:color w:val="auto"/>
              </w:rPr>
            </w:pPr>
            <w:r>
              <w:rPr>
                <w:rFonts w:ascii="Arial" w:cs="Arial" w:eastAsia="Arial" w:hAnsi="Arial"/>
                <w:sz w:val="15"/>
                <w:szCs w:val="15"/>
                <w:b w:val="1"/>
                <w:bCs w:val="1"/>
                <w:color w:val="auto"/>
                <w:w w:val="95"/>
              </w:rPr>
              <w:t>2018</w:t>
            </w:r>
          </w:p>
        </w:tc>
        <w:tc>
          <w:tcPr>
            <w:tcW w:w="3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2017</w:t>
            </w:r>
          </w:p>
        </w:tc>
        <w:tc>
          <w:tcPr>
            <w:tcW w:w="3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72"/>
              <w:spacing w:after="0"/>
              <w:rPr>
                <w:sz w:val="20"/>
                <w:szCs w:val="20"/>
                <w:color w:val="auto"/>
              </w:rPr>
            </w:pPr>
            <w:r>
              <w:rPr>
                <w:rFonts w:ascii="Arial" w:cs="Arial" w:eastAsia="Arial" w:hAnsi="Arial"/>
                <w:sz w:val="15"/>
                <w:szCs w:val="15"/>
                <w:b w:val="1"/>
                <w:bCs w:val="1"/>
                <w:color w:val="auto"/>
                <w:w w:val="89"/>
              </w:rPr>
              <w:t>2018</w:t>
            </w:r>
          </w:p>
        </w:tc>
        <w:tc>
          <w:tcPr>
            <w:tcW w:w="120" w:type="dxa"/>
            <w:vAlign w:val="bottom"/>
            <w:tcBorders>
              <w:bottom w:val="single" w:sz="8" w:color="CCEEFF"/>
            </w:tcBorders>
          </w:tcPr>
          <w:p>
            <w:pPr>
              <w:spacing w:after="0"/>
              <w:rPr>
                <w:sz w:val="15"/>
                <w:szCs w:val="15"/>
                <w:color w:val="auto"/>
              </w:rPr>
            </w:pPr>
          </w:p>
        </w:tc>
      </w:tr>
      <w:tr>
        <w:trPr>
          <w:trHeight w:val="222"/>
        </w:trPr>
        <w:tc>
          <w:tcPr>
            <w:tcW w:w="44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Profit for the year</w:t>
            </w: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134,745</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115,513</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94,117</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102,597</w:t>
            </w:r>
          </w:p>
        </w:tc>
        <w:tc>
          <w:tcPr>
            <w:tcW w:w="120" w:type="dxa"/>
            <w:vAlign w:val="bottom"/>
            <w:shd w:val="clear" w:color="auto" w:fill="CCEEFF"/>
          </w:tcPr>
          <w:p>
            <w:pPr>
              <w:spacing w:after="0"/>
              <w:rPr>
                <w:sz w:val="19"/>
                <w:szCs w:val="19"/>
                <w:color w:val="auto"/>
              </w:rPr>
            </w:pPr>
          </w:p>
        </w:tc>
      </w:tr>
      <w:tr>
        <w:trPr>
          <w:trHeight w:val="228"/>
        </w:trPr>
        <w:tc>
          <w:tcPr>
            <w:tcW w:w="4400" w:type="dxa"/>
            <w:vAlign w:val="bottom"/>
            <w:gridSpan w:val="2"/>
          </w:tcPr>
          <w:p>
            <w:pPr>
              <w:spacing w:after="0"/>
              <w:rPr>
                <w:sz w:val="20"/>
                <w:szCs w:val="20"/>
                <w:color w:val="auto"/>
              </w:rPr>
            </w:pPr>
            <w:r>
              <w:rPr>
                <w:rFonts w:ascii="Arial" w:cs="Arial" w:eastAsia="Arial" w:hAnsi="Arial"/>
                <w:sz w:val="19"/>
                <w:szCs w:val="19"/>
                <w:color w:val="auto"/>
              </w:rPr>
              <w:t>Non-cash (gain)/loss on derivatives</w:t>
            </w:r>
          </w:p>
        </w:tc>
        <w:tc>
          <w:tcPr>
            <w:tcW w:w="1740" w:type="dxa"/>
            <w:vAlign w:val="bottom"/>
            <w:gridSpan w:val="2"/>
          </w:tcPr>
          <w:p>
            <w:pPr>
              <w:jc w:val="right"/>
              <w:ind w:right="240"/>
              <w:spacing w:after="0"/>
              <w:rPr>
                <w:sz w:val="20"/>
                <w:szCs w:val="20"/>
                <w:color w:val="auto"/>
              </w:rPr>
            </w:pPr>
            <w:r>
              <w:rPr>
                <w:rFonts w:ascii="Arial" w:cs="Arial" w:eastAsia="Arial" w:hAnsi="Arial"/>
                <w:sz w:val="19"/>
                <w:szCs w:val="19"/>
                <w:color w:val="auto"/>
              </w:rPr>
              <w:t>(2,174)</w:t>
            </w:r>
          </w:p>
        </w:tc>
        <w:tc>
          <w:tcPr>
            <w:tcW w:w="1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9"/>
                <w:szCs w:val="19"/>
                <w:color w:val="auto"/>
              </w:rPr>
              <w:t>1,411</w:t>
            </w:r>
          </w:p>
        </w:tc>
        <w:tc>
          <w:tcPr>
            <w:tcW w:w="1740" w:type="dxa"/>
            <w:vAlign w:val="bottom"/>
            <w:gridSpan w:val="2"/>
          </w:tcPr>
          <w:p>
            <w:pPr>
              <w:jc w:val="right"/>
              <w:ind w:right="240"/>
              <w:spacing w:after="0"/>
              <w:rPr>
                <w:sz w:val="20"/>
                <w:szCs w:val="20"/>
                <w:color w:val="auto"/>
              </w:rPr>
            </w:pPr>
            <w:r>
              <w:rPr>
                <w:rFonts w:ascii="Arial" w:cs="Arial" w:eastAsia="Arial" w:hAnsi="Arial"/>
                <w:sz w:val="19"/>
                <w:szCs w:val="19"/>
                <w:color w:val="auto"/>
              </w:rPr>
              <w:t>(2,174)</w:t>
            </w:r>
          </w:p>
        </w:tc>
        <w:tc>
          <w:tcPr>
            <w:tcW w:w="1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9"/>
                <w:szCs w:val="19"/>
                <w:color w:val="auto"/>
              </w:rPr>
              <w:t>1,411</w:t>
            </w:r>
          </w:p>
        </w:tc>
      </w:tr>
      <w:tr>
        <w:trPr>
          <w:trHeight w:val="214"/>
        </w:trPr>
        <w:tc>
          <w:tcPr>
            <w:tcW w:w="4400" w:type="dxa"/>
            <w:vAlign w:val="bottom"/>
            <w:gridSpan w:val="2"/>
            <w:shd w:val="clear" w:color="auto" w:fill="CCEEFF"/>
          </w:tcPr>
          <w:p>
            <w:pPr>
              <w:spacing w:after="0" w:line="214" w:lineRule="exact"/>
              <w:rPr>
                <w:sz w:val="20"/>
                <w:szCs w:val="20"/>
                <w:color w:val="auto"/>
              </w:rPr>
            </w:pPr>
            <w:r>
              <w:rPr>
                <w:rFonts w:ascii="Arial" w:cs="Arial" w:eastAsia="Arial" w:hAnsi="Arial"/>
                <w:sz w:val="19"/>
                <w:szCs w:val="19"/>
                <w:color w:val="auto"/>
              </w:rPr>
              <w:t>Write-off and accelerated amortization of</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42"/>
        </w:trPr>
        <w:tc>
          <w:tcPr>
            <w:tcW w:w="440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unamortized loan fees</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594</w:t>
            </w:r>
          </w:p>
        </w:tc>
        <w:tc>
          <w:tcPr>
            <w:tcW w:w="1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900</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213</w:t>
            </w: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900</w:t>
            </w:r>
          </w:p>
        </w:tc>
      </w:tr>
      <w:tr>
        <w:trPr>
          <w:trHeight w:val="222"/>
        </w:trPr>
        <w:tc>
          <w:tcPr>
            <w:tcW w:w="4400" w:type="dxa"/>
            <w:vAlign w:val="bottom"/>
            <w:gridSpan w:val="2"/>
          </w:tcPr>
          <w:p>
            <w:pPr>
              <w:spacing w:after="0"/>
              <w:rPr>
                <w:sz w:val="20"/>
                <w:szCs w:val="20"/>
                <w:color w:val="auto"/>
              </w:rPr>
            </w:pPr>
            <w:r>
              <w:rPr>
                <w:rFonts w:ascii="Arial" w:cs="Arial" w:eastAsia="Arial" w:hAnsi="Arial"/>
                <w:sz w:val="19"/>
                <w:szCs w:val="19"/>
                <w:b w:val="1"/>
                <w:bCs w:val="1"/>
                <w:color w:val="auto"/>
              </w:rPr>
              <w:t>Adjusted Profit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133,165</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117,824</w:t>
            </w:r>
          </w:p>
        </w:tc>
        <w:tc>
          <w:tcPr>
            <w:tcW w:w="3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92,156</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104,908</w:t>
            </w:r>
          </w:p>
        </w:tc>
        <w:tc>
          <w:tcPr>
            <w:tcW w:w="12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Distributable Cash Flow</w:t>
      </w:r>
    </w:p>
    <w:p>
      <w:pPr>
        <w:spacing w:after="0" w:line="244"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Distributable cash flow means EBITDA, on the basis of the Partnership Performance Results, after considering financial costs for the period, including realized loss on derivatives (interest rate swaps and forward foreign exchange contracts) and excluding amortization of loan fees, estimated dry-docking and replacement capital reserves established by the Partnership and accrued distributions on preference units, whether or not declared. Estimated dry-docking and replacement capital reserves represent capital expenditures required to renew and maintain over the long term the operating capacity of, or the revenues generated by, our capital assets. Distributable cash flow, which is a non-GAAP financial measure, is a quantitative standard used by investors in publicly traded partnerships to assess their ability to make quarterly cash distributions. Our calculation of Distributable cash flow may not be comparable to that reported by other companies. 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 The table below reconciles Distributable cash flow to Profit for the period attributable to the Partnership.</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Reconciliation of Distributable Cash Flow to Partnership’s Profit: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spacing w:after="0"/>
              <w:rPr>
                <w:sz w:val="20"/>
                <w:szCs w:val="20"/>
                <w:color w:val="auto"/>
              </w:rPr>
            </w:pPr>
            <w:r>
              <w:rPr>
                <w:rFonts w:ascii="Arial" w:cs="Arial" w:eastAsia="Arial" w:hAnsi="Arial"/>
                <w:sz w:val="13"/>
                <w:szCs w:val="13"/>
                <w:b w:val="1"/>
                <w:bCs w:val="1"/>
                <w:i w:val="1"/>
                <w:iCs w:val="1"/>
                <w:color w:val="auto"/>
              </w:rPr>
              <w:t>(Amounts expressed in thousands of U.S. Dollars)</w:t>
            </w:r>
          </w:p>
        </w:tc>
        <w:tc>
          <w:tcPr>
            <w:tcW w:w="4220" w:type="dxa"/>
            <w:vAlign w:val="bottom"/>
            <w:gridSpan w:val="4"/>
          </w:tcPr>
          <w:p>
            <w:pPr>
              <w:jc w:val="right"/>
              <w:ind w:right="1480"/>
              <w:spacing w:after="0"/>
              <w:rPr>
                <w:sz w:val="20"/>
                <w:szCs w:val="20"/>
                <w:color w:val="auto"/>
              </w:rPr>
            </w:pPr>
            <w:r>
              <w:rPr>
                <w:rFonts w:ascii="Arial" w:cs="Arial" w:eastAsia="Arial" w:hAnsi="Arial"/>
                <w:sz w:val="13"/>
                <w:szCs w:val="13"/>
                <w:b w:val="1"/>
                <w:bCs w:val="1"/>
                <w:color w:val="auto"/>
              </w:rPr>
              <w:t>For the three months ended</w:t>
            </w:r>
          </w:p>
        </w:tc>
        <w:tc>
          <w:tcPr>
            <w:tcW w:w="4000" w:type="dxa"/>
            <w:vAlign w:val="bottom"/>
            <w:gridSpan w:val="4"/>
          </w:tcPr>
          <w:p>
            <w:pPr>
              <w:jc w:val="right"/>
              <w:ind w:right="1500"/>
              <w:spacing w:after="0"/>
              <w:rPr>
                <w:sz w:val="20"/>
                <w:szCs w:val="20"/>
                <w:color w:val="auto"/>
              </w:rPr>
            </w:pPr>
            <w:r>
              <w:rPr>
                <w:rFonts w:ascii="Arial" w:cs="Arial" w:eastAsia="Arial" w:hAnsi="Arial"/>
                <w:sz w:val="13"/>
                <w:szCs w:val="13"/>
                <w:b w:val="1"/>
                <w:bCs w:val="1"/>
                <w:color w:val="auto"/>
              </w:rPr>
              <w:t>For the years ended</w:t>
            </w:r>
          </w:p>
        </w:tc>
        <w:tc>
          <w:tcPr>
            <w:tcW w:w="0" w:type="dxa"/>
            <w:vAlign w:val="bottom"/>
          </w:tcPr>
          <w:p>
            <w:pPr>
              <w:spacing w:after="0"/>
              <w:rPr>
                <w:sz w:val="1"/>
                <w:szCs w:val="1"/>
                <w:color w:val="auto"/>
              </w:rPr>
            </w:pPr>
          </w:p>
        </w:tc>
      </w:tr>
      <w:tr>
        <w:trPr>
          <w:trHeight w:val="137"/>
        </w:trPr>
        <w:tc>
          <w:tcPr>
            <w:tcW w:w="3780" w:type="dxa"/>
            <w:vAlign w:val="bottom"/>
            <w:gridSpan w:val="2"/>
            <w:vMerge w:val="continue"/>
          </w:tcPr>
          <w:p>
            <w:pPr>
              <w:spacing w:after="0"/>
              <w:rPr>
                <w:sz w:val="11"/>
                <w:szCs w:val="11"/>
                <w:color w:val="auto"/>
              </w:rPr>
            </w:pPr>
          </w:p>
        </w:tc>
        <w:tc>
          <w:tcPr>
            <w:tcW w:w="2120" w:type="dxa"/>
            <w:vAlign w:val="bottom"/>
            <w:tcBorders>
              <w:top w:val="single" w:sz="8" w:color="auto"/>
            </w:tcBorders>
            <w:gridSpan w:val="2"/>
          </w:tcPr>
          <w:p>
            <w:pPr>
              <w:jc w:val="right"/>
              <w:ind w:right="620"/>
              <w:spacing w:after="0" w:line="137" w:lineRule="exact"/>
              <w:rPr>
                <w:sz w:val="20"/>
                <w:szCs w:val="20"/>
                <w:color w:val="auto"/>
              </w:rPr>
            </w:pPr>
            <w:r>
              <w:rPr>
                <w:rFonts w:ascii="Arial" w:cs="Arial" w:eastAsia="Arial" w:hAnsi="Arial"/>
                <w:sz w:val="12"/>
                <w:szCs w:val="12"/>
                <w:b w:val="1"/>
                <w:bCs w:val="1"/>
                <w:color w:val="auto"/>
              </w:rPr>
              <w:t>December 31, 2017</w:t>
            </w:r>
            <w:r>
              <w:rPr>
                <w:rFonts w:ascii="Arial" w:cs="Arial" w:eastAsia="Arial" w:hAnsi="Arial"/>
                <w:sz w:val="15"/>
                <w:szCs w:val="15"/>
                <w:b w:val="1"/>
                <w:bCs w:val="1"/>
                <w:color w:val="auto"/>
                <w:vertAlign w:val="superscript"/>
              </w:rPr>
              <w:t>(1)</w:t>
            </w:r>
          </w:p>
        </w:tc>
        <w:tc>
          <w:tcPr>
            <w:tcW w:w="1800" w:type="dxa"/>
            <w:vAlign w:val="bottom"/>
            <w:tcBorders>
              <w:top w:val="single" w:sz="8" w:color="auto"/>
            </w:tcBorders>
          </w:tcPr>
          <w:p>
            <w:pPr>
              <w:jc w:val="right"/>
              <w:ind w:right="254"/>
              <w:spacing w:after="0" w:line="137" w:lineRule="exact"/>
              <w:rPr>
                <w:sz w:val="20"/>
                <w:szCs w:val="20"/>
                <w:color w:val="auto"/>
              </w:rPr>
            </w:pPr>
            <w:r>
              <w:rPr>
                <w:rFonts w:ascii="Arial" w:cs="Arial" w:eastAsia="Arial" w:hAnsi="Arial"/>
                <w:sz w:val="12"/>
                <w:szCs w:val="12"/>
                <w:b w:val="1"/>
                <w:bCs w:val="1"/>
                <w:color w:val="auto"/>
              </w:rPr>
              <w:t>December 31, 2018</w:t>
            </w:r>
            <w:r>
              <w:rPr>
                <w:rFonts w:ascii="Arial" w:cs="Arial" w:eastAsia="Arial" w:hAnsi="Arial"/>
                <w:sz w:val="15"/>
                <w:szCs w:val="15"/>
                <w:b w:val="1"/>
                <w:bCs w:val="1"/>
                <w:color w:val="auto"/>
                <w:vertAlign w:val="superscript"/>
              </w:rPr>
              <w:t>(1)</w:t>
            </w:r>
          </w:p>
        </w:tc>
        <w:tc>
          <w:tcPr>
            <w:tcW w:w="300" w:type="dxa"/>
            <w:vAlign w:val="bottom"/>
          </w:tcPr>
          <w:p>
            <w:pPr>
              <w:spacing w:after="0"/>
              <w:rPr>
                <w:sz w:val="11"/>
                <w:szCs w:val="11"/>
                <w:color w:val="auto"/>
              </w:rPr>
            </w:pPr>
          </w:p>
        </w:tc>
        <w:tc>
          <w:tcPr>
            <w:tcW w:w="2100" w:type="dxa"/>
            <w:vAlign w:val="bottom"/>
            <w:tcBorders>
              <w:top w:val="single" w:sz="8" w:color="auto"/>
            </w:tcBorders>
            <w:gridSpan w:val="2"/>
          </w:tcPr>
          <w:p>
            <w:pPr>
              <w:jc w:val="right"/>
              <w:ind w:right="620"/>
              <w:spacing w:after="0" w:line="137" w:lineRule="exact"/>
              <w:rPr>
                <w:sz w:val="20"/>
                <w:szCs w:val="20"/>
                <w:color w:val="auto"/>
              </w:rPr>
            </w:pPr>
            <w:r>
              <w:rPr>
                <w:rFonts w:ascii="Arial" w:cs="Arial" w:eastAsia="Arial" w:hAnsi="Arial"/>
                <w:sz w:val="12"/>
                <w:szCs w:val="12"/>
                <w:b w:val="1"/>
                <w:bCs w:val="1"/>
                <w:color w:val="auto"/>
              </w:rPr>
              <w:t>December 31, 2017</w:t>
            </w:r>
            <w:r>
              <w:rPr>
                <w:rFonts w:ascii="Arial" w:cs="Arial" w:eastAsia="Arial" w:hAnsi="Arial"/>
                <w:sz w:val="15"/>
                <w:szCs w:val="15"/>
                <w:b w:val="1"/>
                <w:bCs w:val="1"/>
                <w:color w:val="auto"/>
                <w:vertAlign w:val="superscript"/>
              </w:rPr>
              <w:t>(1)</w:t>
            </w:r>
          </w:p>
        </w:tc>
        <w:tc>
          <w:tcPr>
            <w:tcW w:w="1780" w:type="dxa"/>
            <w:vAlign w:val="bottom"/>
            <w:tcBorders>
              <w:top w:val="single" w:sz="8" w:color="auto"/>
            </w:tcBorders>
          </w:tcPr>
          <w:p>
            <w:pPr>
              <w:jc w:val="right"/>
              <w:ind w:right="234"/>
              <w:spacing w:after="0" w:line="137" w:lineRule="exact"/>
              <w:rPr>
                <w:sz w:val="20"/>
                <w:szCs w:val="20"/>
                <w:color w:val="auto"/>
              </w:rPr>
            </w:pPr>
            <w:r>
              <w:rPr>
                <w:rFonts w:ascii="Arial" w:cs="Arial" w:eastAsia="Arial" w:hAnsi="Arial"/>
                <w:sz w:val="12"/>
                <w:szCs w:val="12"/>
                <w:b w:val="1"/>
                <w:bCs w:val="1"/>
                <w:color w:val="auto"/>
              </w:rPr>
              <w:t>December 31, 2018</w:t>
            </w:r>
            <w:r>
              <w:rPr>
                <w:rFonts w:ascii="Arial" w:cs="Arial" w:eastAsia="Arial" w:hAnsi="Arial"/>
                <w:sz w:val="15"/>
                <w:szCs w:val="15"/>
                <w:b w:val="1"/>
                <w:bCs w:val="1"/>
                <w:color w:val="auto"/>
                <w:vertAlign w:val="superscript"/>
              </w:rPr>
              <w:t>(1)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540" w:type="dxa"/>
            <w:vAlign w:val="bottom"/>
            <w:tcBorders>
              <w:top w:val="single" w:sz="8" w:color="auto"/>
            </w:tcBorders>
            <w:shd w:val="clear" w:color="auto" w:fill="CCEEFF"/>
          </w:tcPr>
          <w:p>
            <w:pPr>
              <w:spacing w:after="0" w:line="137" w:lineRule="exact"/>
              <w:rPr>
                <w:sz w:val="20"/>
                <w:szCs w:val="20"/>
                <w:color w:val="auto"/>
              </w:rPr>
            </w:pPr>
            <w:r>
              <w:rPr>
                <w:rFonts w:ascii="Arial" w:cs="Arial" w:eastAsia="Arial" w:hAnsi="Arial"/>
                <w:sz w:val="13"/>
                <w:szCs w:val="13"/>
                <w:color w:val="auto"/>
              </w:rPr>
              <w:t>Partnership’s profit for the period</w:t>
            </w:r>
          </w:p>
        </w:tc>
        <w:tc>
          <w:tcPr>
            <w:tcW w:w="24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color w:val="auto"/>
              </w:rPr>
              <w:t>28,438</w:t>
            </w:r>
          </w:p>
        </w:tc>
        <w:tc>
          <w:tcPr>
            <w:tcW w:w="30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color w:val="auto"/>
              </w:rPr>
              <w:t>20,424</w:t>
            </w:r>
          </w:p>
        </w:tc>
        <w:tc>
          <w:tcPr>
            <w:tcW w:w="30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color w:val="auto"/>
              </w:rPr>
              <w:t>94,117</w:t>
            </w:r>
          </w:p>
        </w:tc>
        <w:tc>
          <w:tcPr>
            <w:tcW w:w="300" w:type="dxa"/>
            <w:vAlign w:val="bottom"/>
            <w:tcBorders>
              <w:top w:val="single" w:sz="8" w:color="CCEEFF"/>
            </w:tcBorders>
            <w:shd w:val="clear" w:color="auto" w:fill="CCEEFF"/>
          </w:tcPr>
          <w:p>
            <w:pPr>
              <w:spacing w:after="0"/>
              <w:rPr>
                <w:sz w:val="11"/>
                <w:szCs w:val="11"/>
                <w:color w:val="auto"/>
              </w:rPr>
            </w:pPr>
          </w:p>
        </w:tc>
        <w:tc>
          <w:tcPr>
            <w:tcW w:w="178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color w:val="auto"/>
              </w:rPr>
              <w:t>102,597</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780" w:type="dxa"/>
            <w:vAlign w:val="bottom"/>
            <w:gridSpan w:val="2"/>
          </w:tcPr>
          <w:p>
            <w:pPr>
              <w:spacing w:after="0" w:line="143" w:lineRule="exact"/>
              <w:rPr>
                <w:sz w:val="20"/>
                <w:szCs w:val="20"/>
                <w:color w:val="auto"/>
              </w:rPr>
            </w:pPr>
            <w:r>
              <w:rPr>
                <w:rFonts w:ascii="Arial" w:cs="Arial" w:eastAsia="Arial" w:hAnsi="Arial"/>
                <w:sz w:val="13"/>
                <w:szCs w:val="13"/>
                <w:color w:val="auto"/>
              </w:rPr>
              <w:t>Depreciation</w:t>
            </w:r>
          </w:p>
        </w:tc>
        <w:tc>
          <w:tcPr>
            <w:tcW w:w="2120" w:type="dxa"/>
            <w:vAlign w:val="bottom"/>
            <w:gridSpan w:val="2"/>
          </w:tcPr>
          <w:p>
            <w:pPr>
              <w:jc w:val="right"/>
              <w:ind w:right="300"/>
              <w:spacing w:after="0" w:line="143" w:lineRule="exact"/>
              <w:rPr>
                <w:sz w:val="20"/>
                <w:szCs w:val="20"/>
                <w:color w:val="auto"/>
              </w:rPr>
            </w:pPr>
            <w:r>
              <w:rPr>
                <w:rFonts w:ascii="Arial" w:cs="Arial" w:eastAsia="Arial" w:hAnsi="Arial"/>
                <w:sz w:val="13"/>
                <w:szCs w:val="13"/>
                <w:color w:val="auto"/>
              </w:rPr>
              <w:t>16,785</w:t>
            </w:r>
          </w:p>
        </w:tc>
        <w:tc>
          <w:tcPr>
            <w:tcW w:w="2100" w:type="dxa"/>
            <w:vAlign w:val="bottom"/>
            <w:gridSpan w:val="2"/>
          </w:tcPr>
          <w:p>
            <w:pPr>
              <w:jc w:val="right"/>
              <w:ind w:right="300"/>
              <w:spacing w:after="0" w:line="143" w:lineRule="exact"/>
              <w:rPr>
                <w:sz w:val="20"/>
                <w:szCs w:val="20"/>
                <w:color w:val="auto"/>
              </w:rPr>
            </w:pPr>
            <w:r>
              <w:rPr>
                <w:rFonts w:ascii="Arial" w:cs="Arial" w:eastAsia="Arial" w:hAnsi="Arial"/>
                <w:sz w:val="13"/>
                <w:szCs w:val="13"/>
                <w:color w:val="auto"/>
              </w:rPr>
              <w:t>19,681</w:t>
            </w:r>
          </w:p>
        </w:tc>
        <w:tc>
          <w:tcPr>
            <w:tcW w:w="2100" w:type="dxa"/>
            <w:vAlign w:val="bottom"/>
            <w:gridSpan w:val="2"/>
          </w:tcPr>
          <w:p>
            <w:pPr>
              <w:jc w:val="right"/>
              <w:ind w:right="300"/>
              <w:spacing w:after="0" w:line="143" w:lineRule="exact"/>
              <w:rPr>
                <w:sz w:val="20"/>
                <w:szCs w:val="20"/>
                <w:color w:val="auto"/>
              </w:rPr>
            </w:pPr>
            <w:r>
              <w:rPr>
                <w:rFonts w:ascii="Arial" w:cs="Arial" w:eastAsia="Arial" w:hAnsi="Arial"/>
                <w:sz w:val="13"/>
                <w:szCs w:val="13"/>
                <w:color w:val="auto"/>
              </w:rPr>
              <w:t>58,193</w:t>
            </w:r>
          </w:p>
        </w:tc>
        <w:tc>
          <w:tcPr>
            <w:tcW w:w="190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73,151</w:t>
            </w:r>
          </w:p>
        </w:tc>
        <w:tc>
          <w:tcPr>
            <w:tcW w:w="0" w:type="dxa"/>
            <w:vAlign w:val="bottom"/>
          </w:tcPr>
          <w:p>
            <w:pPr>
              <w:spacing w:after="0"/>
              <w:rPr>
                <w:sz w:val="1"/>
                <w:szCs w:val="1"/>
                <w:color w:val="auto"/>
              </w:rPr>
            </w:pPr>
          </w:p>
        </w:tc>
      </w:tr>
      <w:tr>
        <w:trPr>
          <w:trHeight w:val="143"/>
        </w:trPr>
        <w:tc>
          <w:tcPr>
            <w:tcW w:w="378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Financial costs</w:t>
            </w:r>
          </w:p>
        </w:tc>
        <w:tc>
          <w:tcPr>
            <w:tcW w:w="212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3"/>
                <w:szCs w:val="13"/>
                <w:color w:val="auto"/>
              </w:rPr>
              <w:t>13,557</w:t>
            </w:r>
          </w:p>
        </w:tc>
        <w:tc>
          <w:tcPr>
            <w:tcW w:w="210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3"/>
                <w:szCs w:val="13"/>
                <w:color w:val="auto"/>
              </w:rPr>
              <w:t>16,285</w:t>
            </w:r>
          </w:p>
        </w:tc>
        <w:tc>
          <w:tcPr>
            <w:tcW w:w="210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3"/>
                <w:szCs w:val="13"/>
                <w:color w:val="auto"/>
              </w:rPr>
              <w:t>44,916</w:t>
            </w:r>
          </w:p>
        </w:tc>
        <w:tc>
          <w:tcPr>
            <w:tcW w:w="19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60,258</w:t>
            </w:r>
          </w:p>
        </w:tc>
        <w:tc>
          <w:tcPr>
            <w:tcW w:w="0" w:type="dxa"/>
            <w:vAlign w:val="bottom"/>
          </w:tcPr>
          <w:p>
            <w:pPr>
              <w:spacing w:after="0"/>
              <w:rPr>
                <w:sz w:val="1"/>
                <w:szCs w:val="1"/>
                <w:color w:val="auto"/>
              </w:rPr>
            </w:pPr>
          </w:p>
        </w:tc>
      </w:tr>
      <w:tr>
        <w:trPr>
          <w:trHeight w:val="143"/>
        </w:trPr>
        <w:tc>
          <w:tcPr>
            <w:tcW w:w="3780" w:type="dxa"/>
            <w:vAlign w:val="bottom"/>
            <w:gridSpan w:val="2"/>
          </w:tcPr>
          <w:p>
            <w:pPr>
              <w:spacing w:after="0" w:line="143" w:lineRule="exact"/>
              <w:rPr>
                <w:sz w:val="20"/>
                <w:szCs w:val="20"/>
                <w:color w:val="auto"/>
              </w:rPr>
            </w:pPr>
            <w:r>
              <w:rPr>
                <w:rFonts w:ascii="Arial" w:cs="Arial" w:eastAsia="Arial" w:hAnsi="Arial"/>
                <w:sz w:val="13"/>
                <w:szCs w:val="13"/>
                <w:color w:val="auto"/>
              </w:rPr>
              <w:t>Financial income</w:t>
            </w:r>
          </w:p>
        </w:tc>
        <w:tc>
          <w:tcPr>
            <w:tcW w:w="212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(316)</w:t>
            </w:r>
          </w:p>
        </w:tc>
        <w:tc>
          <w:tcPr>
            <w:tcW w:w="210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(719)</w:t>
            </w:r>
          </w:p>
        </w:tc>
        <w:tc>
          <w:tcPr>
            <w:tcW w:w="210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(972)</w:t>
            </w:r>
          </w:p>
        </w:tc>
        <w:tc>
          <w:tcPr>
            <w:tcW w:w="190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(2,398)</w:t>
            </w:r>
          </w:p>
        </w:tc>
        <w:tc>
          <w:tcPr>
            <w:tcW w:w="0" w:type="dxa"/>
            <w:vAlign w:val="bottom"/>
          </w:tcPr>
          <w:p>
            <w:pPr>
              <w:spacing w:after="0"/>
              <w:rPr>
                <w:sz w:val="1"/>
                <w:szCs w:val="1"/>
                <w:color w:val="auto"/>
              </w:rPr>
            </w:pPr>
          </w:p>
        </w:tc>
      </w:tr>
      <w:tr>
        <w:trPr>
          <w:trHeight w:val="143"/>
        </w:trPr>
        <w:tc>
          <w:tcPr>
            <w:tcW w:w="378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(Gain)/loss on derivatives</w:t>
            </w:r>
          </w:p>
        </w:tc>
        <w:tc>
          <w:tcPr>
            <w:tcW w:w="212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(3,106)</w:t>
            </w:r>
          </w:p>
        </w:tc>
        <w:tc>
          <w:tcPr>
            <w:tcW w:w="210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3"/>
                <w:szCs w:val="13"/>
                <w:color w:val="auto"/>
              </w:rPr>
              <w:t>10,045</w:t>
            </w:r>
          </w:p>
        </w:tc>
        <w:tc>
          <w:tcPr>
            <w:tcW w:w="210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(121)</w:t>
            </w:r>
          </w:p>
        </w:tc>
        <w:tc>
          <w:tcPr>
            <w:tcW w:w="17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780" w:type="dxa"/>
            <w:vAlign w:val="bottom"/>
            <w:tcBorders>
              <w:bottom w:val="single" w:sz="8" w:color="CCEEFF"/>
            </w:tcBorders>
            <w:gridSpan w:val="2"/>
          </w:tcPr>
          <w:p>
            <w:pPr>
              <w:spacing w:after="0" w:line="137" w:lineRule="exact"/>
              <w:rPr>
                <w:sz w:val="20"/>
                <w:szCs w:val="20"/>
                <w:color w:val="auto"/>
              </w:rPr>
            </w:pPr>
            <w:r>
              <w:rPr>
                <w:rFonts w:ascii="Arial" w:cs="Arial" w:eastAsia="Arial" w:hAnsi="Arial"/>
                <w:sz w:val="13"/>
                <w:szCs w:val="13"/>
                <w:b w:val="1"/>
                <w:bCs w:val="1"/>
                <w:color w:val="auto"/>
              </w:rPr>
              <w:t>EBITDA</w:t>
            </w:r>
          </w:p>
        </w:tc>
        <w:tc>
          <w:tcPr>
            <w:tcW w:w="18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rPr>
              <w:t>55,358</w:t>
            </w:r>
          </w:p>
        </w:tc>
        <w:tc>
          <w:tcPr>
            <w:tcW w:w="300" w:type="dxa"/>
            <w:vAlign w:val="bottom"/>
            <w:tcBorders>
              <w:bottom w:val="single" w:sz="8" w:color="CCEEFF"/>
            </w:tcBorders>
          </w:tcPr>
          <w:p>
            <w:pPr>
              <w:spacing w:after="0"/>
              <w:rPr>
                <w:sz w:val="11"/>
                <w:szCs w:val="11"/>
                <w:color w:val="auto"/>
              </w:rPr>
            </w:pPr>
          </w:p>
        </w:tc>
        <w:tc>
          <w:tcPr>
            <w:tcW w:w="18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rPr>
              <w:t>65,716</w:t>
            </w:r>
          </w:p>
        </w:tc>
        <w:tc>
          <w:tcPr>
            <w:tcW w:w="300" w:type="dxa"/>
            <w:vAlign w:val="bottom"/>
            <w:tcBorders>
              <w:bottom w:val="single" w:sz="8" w:color="CCEEFF"/>
            </w:tcBorders>
          </w:tcPr>
          <w:p>
            <w:pPr>
              <w:spacing w:after="0"/>
              <w:rPr>
                <w:sz w:val="11"/>
                <w:szCs w:val="11"/>
                <w:color w:val="auto"/>
              </w:rPr>
            </w:pPr>
          </w:p>
        </w:tc>
        <w:tc>
          <w:tcPr>
            <w:tcW w:w="18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rPr>
              <w:t>196,133</w:t>
            </w:r>
          </w:p>
        </w:tc>
        <w:tc>
          <w:tcPr>
            <w:tcW w:w="300" w:type="dxa"/>
            <w:vAlign w:val="bottom"/>
            <w:tcBorders>
              <w:bottom w:val="single" w:sz="8" w:color="CCEEFF"/>
            </w:tcBorders>
          </w:tcPr>
          <w:p>
            <w:pPr>
              <w:spacing w:after="0"/>
              <w:rPr>
                <w:sz w:val="11"/>
                <w:szCs w:val="11"/>
                <w:color w:val="auto"/>
              </w:rPr>
            </w:pPr>
          </w:p>
        </w:tc>
        <w:tc>
          <w:tcPr>
            <w:tcW w:w="1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rPr>
              <w:t>233,656</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78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color w:val="auto"/>
              </w:rPr>
              <w:t>Financial costs (excluding amortization of loan fees) and realized</w:t>
            </w:r>
          </w:p>
        </w:tc>
        <w:tc>
          <w:tcPr>
            <w:tcW w:w="18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loss on derivatives</w:t>
            </w:r>
          </w:p>
        </w:tc>
        <w:tc>
          <w:tcPr>
            <w:tcW w:w="21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(12,332)</w:t>
            </w:r>
          </w:p>
        </w:tc>
        <w:tc>
          <w:tcPr>
            <w:tcW w:w="2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(14,667)</w:t>
            </w:r>
          </w:p>
        </w:tc>
        <w:tc>
          <w:tcPr>
            <w:tcW w:w="2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(41,722)</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(52,876)</w:t>
            </w:r>
          </w:p>
        </w:tc>
        <w:tc>
          <w:tcPr>
            <w:tcW w:w="0" w:type="dxa"/>
            <w:vAlign w:val="bottom"/>
          </w:tcPr>
          <w:p>
            <w:pPr>
              <w:spacing w:after="0"/>
              <w:rPr>
                <w:sz w:val="1"/>
                <w:szCs w:val="1"/>
                <w:color w:val="auto"/>
              </w:rPr>
            </w:pPr>
          </w:p>
        </w:tc>
      </w:tr>
      <w:tr>
        <w:trPr>
          <w:trHeight w:val="143"/>
        </w:trPr>
        <w:tc>
          <w:tcPr>
            <w:tcW w:w="3780" w:type="dxa"/>
            <w:vAlign w:val="bottom"/>
            <w:gridSpan w:val="2"/>
          </w:tcPr>
          <w:p>
            <w:pPr>
              <w:spacing w:after="0" w:line="143" w:lineRule="exact"/>
              <w:rPr>
                <w:sz w:val="20"/>
                <w:szCs w:val="20"/>
                <w:color w:val="auto"/>
              </w:rPr>
            </w:pPr>
            <w:r>
              <w:rPr>
                <w:rFonts w:ascii="Arial" w:cs="Arial" w:eastAsia="Arial" w:hAnsi="Arial"/>
                <w:sz w:val="13"/>
                <w:szCs w:val="13"/>
                <w:color w:val="auto"/>
              </w:rPr>
              <w:t>Dry-docking capital reserve</w:t>
            </w:r>
          </w:p>
        </w:tc>
        <w:tc>
          <w:tcPr>
            <w:tcW w:w="212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(3,441)</w:t>
            </w:r>
          </w:p>
        </w:tc>
        <w:tc>
          <w:tcPr>
            <w:tcW w:w="210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(3,675)</w:t>
            </w:r>
          </w:p>
        </w:tc>
        <w:tc>
          <w:tcPr>
            <w:tcW w:w="210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(12,234)</w:t>
            </w:r>
          </w:p>
        </w:tc>
        <w:tc>
          <w:tcPr>
            <w:tcW w:w="190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(13,890)</w:t>
            </w:r>
          </w:p>
        </w:tc>
        <w:tc>
          <w:tcPr>
            <w:tcW w:w="0" w:type="dxa"/>
            <w:vAlign w:val="bottom"/>
          </w:tcPr>
          <w:p>
            <w:pPr>
              <w:spacing w:after="0"/>
              <w:rPr>
                <w:sz w:val="1"/>
                <w:szCs w:val="1"/>
                <w:color w:val="auto"/>
              </w:rPr>
            </w:pPr>
          </w:p>
        </w:tc>
      </w:tr>
      <w:tr>
        <w:trPr>
          <w:trHeight w:val="143"/>
        </w:trPr>
        <w:tc>
          <w:tcPr>
            <w:tcW w:w="378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Replacement capital reserve</w:t>
            </w:r>
          </w:p>
        </w:tc>
        <w:tc>
          <w:tcPr>
            <w:tcW w:w="212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(9,551)</w:t>
            </w:r>
          </w:p>
        </w:tc>
        <w:tc>
          <w:tcPr>
            <w:tcW w:w="210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(9,430)</w:t>
            </w:r>
          </w:p>
        </w:tc>
        <w:tc>
          <w:tcPr>
            <w:tcW w:w="210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3"/>
                <w:szCs w:val="13"/>
                <w:color w:val="auto"/>
              </w:rPr>
              <w:t>(33,877)</w:t>
            </w:r>
          </w:p>
        </w:tc>
        <w:tc>
          <w:tcPr>
            <w:tcW w:w="190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(35,450)</w:t>
            </w:r>
          </w:p>
        </w:tc>
        <w:tc>
          <w:tcPr>
            <w:tcW w:w="0" w:type="dxa"/>
            <w:vAlign w:val="bottom"/>
          </w:tcPr>
          <w:p>
            <w:pPr>
              <w:spacing w:after="0"/>
              <w:rPr>
                <w:sz w:val="1"/>
                <w:szCs w:val="1"/>
                <w:color w:val="auto"/>
              </w:rPr>
            </w:pPr>
          </w:p>
        </w:tc>
      </w:tr>
      <w:tr>
        <w:trPr>
          <w:trHeight w:val="143"/>
        </w:trPr>
        <w:tc>
          <w:tcPr>
            <w:tcW w:w="3780" w:type="dxa"/>
            <w:vAlign w:val="bottom"/>
            <w:gridSpan w:val="2"/>
          </w:tcPr>
          <w:p>
            <w:pPr>
              <w:spacing w:after="0" w:line="143" w:lineRule="exact"/>
              <w:rPr>
                <w:sz w:val="20"/>
                <w:szCs w:val="20"/>
                <w:color w:val="auto"/>
              </w:rPr>
            </w:pPr>
            <w:r>
              <w:rPr>
                <w:rFonts w:ascii="Arial" w:cs="Arial" w:eastAsia="Arial" w:hAnsi="Arial"/>
                <w:sz w:val="13"/>
                <w:szCs w:val="13"/>
                <w:color w:val="auto"/>
              </w:rPr>
              <w:t>Paid and accrued preferred equity distribution</w:t>
            </w:r>
          </w:p>
        </w:tc>
        <w:tc>
          <w:tcPr>
            <w:tcW w:w="212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(3,100)</w:t>
            </w:r>
          </w:p>
        </w:tc>
        <w:tc>
          <w:tcPr>
            <w:tcW w:w="210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(6,543)</w:t>
            </w:r>
          </w:p>
        </w:tc>
        <w:tc>
          <w:tcPr>
            <w:tcW w:w="210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(7,749</w:t>
            </w:r>
            <w:r>
              <w:rPr>
                <w:rFonts w:ascii="Arial" w:cs="Arial" w:eastAsia="Arial" w:hAnsi="Arial"/>
                <w:sz w:val="13"/>
                <w:szCs w:val="13"/>
                <w:b w:val="1"/>
                <w:bCs w:val="1"/>
                <w:color w:val="auto"/>
              </w:rPr>
              <w:t>)</w:t>
            </w:r>
          </w:p>
        </w:tc>
        <w:tc>
          <w:tcPr>
            <w:tcW w:w="190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(22,495)</w:t>
            </w:r>
          </w:p>
        </w:tc>
        <w:tc>
          <w:tcPr>
            <w:tcW w:w="0" w:type="dxa"/>
            <w:vAlign w:val="bottom"/>
          </w:tcPr>
          <w:p>
            <w:pPr>
              <w:spacing w:after="0"/>
              <w:rPr>
                <w:sz w:val="1"/>
                <w:szCs w:val="1"/>
                <w:color w:val="auto"/>
              </w:rPr>
            </w:pPr>
          </w:p>
        </w:tc>
      </w:tr>
      <w:tr>
        <w:trPr>
          <w:trHeight w:val="137"/>
        </w:trPr>
        <w:tc>
          <w:tcPr>
            <w:tcW w:w="3780" w:type="dxa"/>
            <w:vAlign w:val="bottom"/>
            <w:tcBorders>
              <w:top w:val="single" w:sz="8" w:color="CCEEFF"/>
            </w:tcBorders>
            <w:gridSpan w:val="2"/>
            <w:shd w:val="clear" w:color="auto" w:fill="CCEEFF"/>
          </w:tcPr>
          <w:p>
            <w:pPr>
              <w:spacing w:after="0" w:line="137" w:lineRule="exact"/>
              <w:rPr>
                <w:sz w:val="20"/>
                <w:szCs w:val="20"/>
                <w:color w:val="auto"/>
              </w:rPr>
            </w:pPr>
            <w:r>
              <w:rPr>
                <w:rFonts w:ascii="Arial" w:cs="Arial" w:eastAsia="Arial" w:hAnsi="Arial"/>
                <w:sz w:val="13"/>
                <w:szCs w:val="13"/>
                <w:b w:val="1"/>
                <w:bCs w:val="1"/>
                <w:color w:val="auto"/>
              </w:rPr>
              <w:t>Distributable cash flow</w:t>
            </w:r>
          </w:p>
        </w:tc>
        <w:tc>
          <w:tcPr>
            <w:tcW w:w="182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26,934</w:t>
            </w:r>
          </w:p>
        </w:tc>
        <w:tc>
          <w:tcPr>
            <w:tcW w:w="30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31,401</w:t>
            </w:r>
          </w:p>
        </w:tc>
        <w:tc>
          <w:tcPr>
            <w:tcW w:w="30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100,551</w:t>
            </w:r>
          </w:p>
        </w:tc>
        <w:tc>
          <w:tcPr>
            <w:tcW w:w="300" w:type="dxa"/>
            <w:vAlign w:val="bottom"/>
            <w:tcBorders>
              <w:top w:val="single" w:sz="8" w:color="CCEEFF"/>
            </w:tcBorders>
            <w:shd w:val="clear" w:color="auto" w:fill="CCEEFF"/>
          </w:tcPr>
          <w:p>
            <w:pPr>
              <w:spacing w:after="0"/>
              <w:rPr>
                <w:sz w:val="11"/>
                <w:szCs w:val="11"/>
                <w:color w:val="auto"/>
              </w:rPr>
            </w:pPr>
          </w:p>
        </w:tc>
        <w:tc>
          <w:tcPr>
            <w:tcW w:w="178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108,945</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780" w:type="dxa"/>
            <w:vAlign w:val="bottom"/>
            <w:tcBorders>
              <w:bottom w:val="single" w:sz="8" w:color="CCEEFF"/>
            </w:tcBorders>
            <w:gridSpan w:val="2"/>
          </w:tcPr>
          <w:p>
            <w:pPr>
              <w:spacing w:after="0" w:line="137" w:lineRule="exact"/>
              <w:rPr>
                <w:sz w:val="20"/>
                <w:szCs w:val="20"/>
                <w:color w:val="auto"/>
              </w:rPr>
            </w:pPr>
            <w:r>
              <w:rPr>
                <w:rFonts w:ascii="Arial" w:cs="Arial" w:eastAsia="Arial" w:hAnsi="Arial"/>
                <w:sz w:val="12"/>
                <w:szCs w:val="12"/>
                <w:color w:val="auto"/>
              </w:rPr>
              <w:t xml:space="preserve">Other reserves </w:t>
            </w:r>
            <w:r>
              <w:rPr>
                <w:rFonts w:ascii="Arial" w:cs="Arial" w:eastAsia="Arial" w:hAnsi="Arial"/>
                <w:sz w:val="15"/>
                <w:szCs w:val="15"/>
                <w:color w:val="auto"/>
                <w:vertAlign w:val="superscript"/>
              </w:rPr>
              <w:t>(2) (3)</w:t>
            </w:r>
          </w:p>
        </w:tc>
        <w:tc>
          <w:tcPr>
            <w:tcW w:w="18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(4,089)</w:t>
            </w:r>
          </w:p>
        </w:tc>
        <w:tc>
          <w:tcPr>
            <w:tcW w:w="300" w:type="dxa"/>
            <w:vAlign w:val="bottom"/>
            <w:tcBorders>
              <w:bottom w:val="single" w:sz="8" w:color="CCEEFF"/>
            </w:tcBorders>
          </w:tcPr>
          <w:p>
            <w:pPr>
              <w:spacing w:after="0"/>
              <w:rPr>
                <w:sz w:val="11"/>
                <w:szCs w:val="11"/>
                <w:color w:val="auto"/>
              </w:rPr>
            </w:pPr>
          </w:p>
        </w:tc>
        <w:tc>
          <w:tcPr>
            <w:tcW w:w="18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(4,472)</w:t>
            </w:r>
          </w:p>
        </w:tc>
        <w:tc>
          <w:tcPr>
            <w:tcW w:w="300" w:type="dxa"/>
            <w:vAlign w:val="bottom"/>
            <w:tcBorders>
              <w:bottom w:val="single" w:sz="8" w:color="CCEEFF"/>
            </w:tcBorders>
          </w:tcPr>
          <w:p>
            <w:pPr>
              <w:spacing w:after="0"/>
              <w:rPr>
                <w:sz w:val="11"/>
                <w:szCs w:val="11"/>
                <w:color w:val="auto"/>
              </w:rPr>
            </w:pPr>
          </w:p>
        </w:tc>
        <w:tc>
          <w:tcPr>
            <w:tcW w:w="18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(14,207)</w:t>
            </w:r>
          </w:p>
        </w:tc>
        <w:tc>
          <w:tcPr>
            <w:tcW w:w="300" w:type="dxa"/>
            <w:vAlign w:val="bottom"/>
            <w:tcBorders>
              <w:bottom w:val="single" w:sz="8" w:color="CCEEFF"/>
            </w:tcBorders>
          </w:tcPr>
          <w:p>
            <w:pPr>
              <w:spacing w:after="0"/>
              <w:rPr>
                <w:sz w:val="11"/>
                <w:szCs w:val="11"/>
                <w:color w:val="auto"/>
              </w:rPr>
            </w:pPr>
          </w:p>
        </w:tc>
        <w:tc>
          <w:tcPr>
            <w:tcW w:w="17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(7,756)</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780" w:type="dxa"/>
            <w:vAlign w:val="bottom"/>
            <w:tcBorders>
              <w:bottom w:val="single" w:sz="8" w:color="CCEEFF"/>
            </w:tcBorders>
            <w:gridSpan w:val="2"/>
            <w:shd w:val="clear" w:color="auto" w:fill="CCEEFF"/>
          </w:tcPr>
          <w:p>
            <w:pPr>
              <w:spacing w:after="0" w:line="137" w:lineRule="exact"/>
              <w:rPr>
                <w:sz w:val="20"/>
                <w:szCs w:val="20"/>
                <w:color w:val="auto"/>
              </w:rPr>
            </w:pPr>
            <w:r>
              <w:rPr>
                <w:rFonts w:ascii="Arial" w:cs="Arial" w:eastAsia="Arial" w:hAnsi="Arial"/>
                <w:sz w:val="13"/>
                <w:szCs w:val="13"/>
                <w:b w:val="1"/>
                <w:bCs w:val="1"/>
                <w:color w:val="auto"/>
              </w:rPr>
              <w:t>Cash distribution declared</w:t>
            </w:r>
          </w:p>
        </w:tc>
        <w:tc>
          <w:tcPr>
            <w:tcW w:w="1820" w:type="dxa"/>
            <w:vAlign w:val="bottom"/>
            <w:tcBorders>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22,845</w:t>
            </w:r>
          </w:p>
        </w:tc>
        <w:tc>
          <w:tcPr>
            <w:tcW w:w="300" w:type="dxa"/>
            <w:vAlign w:val="bottom"/>
            <w:tcBorders>
              <w:bottom w:val="single" w:sz="8" w:color="CCEEFF"/>
            </w:tcBorders>
            <w:shd w:val="clear" w:color="auto" w:fill="CCEEFF"/>
          </w:tcPr>
          <w:p>
            <w:pPr>
              <w:spacing w:after="0"/>
              <w:rPr>
                <w:sz w:val="11"/>
                <w:szCs w:val="11"/>
                <w:color w:val="auto"/>
              </w:rPr>
            </w:pPr>
          </w:p>
        </w:tc>
        <w:tc>
          <w:tcPr>
            <w:tcW w:w="1800" w:type="dxa"/>
            <w:vAlign w:val="bottom"/>
            <w:tcBorders>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26,929</w:t>
            </w:r>
          </w:p>
        </w:tc>
        <w:tc>
          <w:tcPr>
            <w:tcW w:w="300" w:type="dxa"/>
            <w:vAlign w:val="bottom"/>
            <w:tcBorders>
              <w:bottom w:val="single" w:sz="8" w:color="CCEEFF"/>
            </w:tcBorders>
            <w:shd w:val="clear" w:color="auto" w:fill="CCEEFF"/>
          </w:tcPr>
          <w:p>
            <w:pPr>
              <w:spacing w:after="0"/>
              <w:rPr>
                <w:sz w:val="11"/>
                <w:szCs w:val="11"/>
                <w:color w:val="auto"/>
              </w:rPr>
            </w:pPr>
          </w:p>
        </w:tc>
        <w:tc>
          <w:tcPr>
            <w:tcW w:w="1800" w:type="dxa"/>
            <w:vAlign w:val="bottom"/>
            <w:tcBorders>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86,344</w:t>
            </w:r>
          </w:p>
        </w:tc>
        <w:tc>
          <w:tcPr>
            <w:tcW w:w="300" w:type="dxa"/>
            <w:vAlign w:val="bottom"/>
            <w:tcBorders>
              <w:bottom w:val="single" w:sz="8" w:color="CCEEFF"/>
            </w:tcBorders>
            <w:shd w:val="clear" w:color="auto" w:fill="CCEEFF"/>
          </w:tcPr>
          <w:p>
            <w:pPr>
              <w:spacing w:after="0"/>
              <w:rPr>
                <w:sz w:val="11"/>
                <w:szCs w:val="11"/>
                <w:color w:val="auto"/>
              </w:rPr>
            </w:pPr>
          </w:p>
        </w:tc>
        <w:tc>
          <w:tcPr>
            <w:tcW w:w="1780" w:type="dxa"/>
            <w:vAlign w:val="bottom"/>
            <w:tcBorders>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b w:val="1"/>
                <w:bCs w:val="1"/>
                <w:color w:val="auto"/>
              </w:rPr>
              <w:t>101,189</w:t>
            </w: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07" w:right="120" w:bottom="1440" w:gutter="0" w:footer="0" w:header="0"/>
        </w:sectPr>
      </w:pPr>
    </w:p>
    <w:bookmarkStart w:id="18" w:name="page19"/>
    <w:bookmarkEnd w:id="18"/>
    <w:p>
      <w:pPr>
        <w:ind w:left="346" w:hanging="346"/>
        <w:spacing w:after="0" w:line="223" w:lineRule="auto"/>
        <w:tabs>
          <w:tab w:leader="none" w:pos="336"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drawing>
          <wp:anchor simplePos="0" relativeHeight="251657728" behindDoc="1" locked="0" layoutInCell="0" allowOverlap="1">
            <wp:simplePos x="0" y="0"/>
            <wp:positionH relativeFrom="page">
              <wp:posOffset>72390</wp:posOffset>
            </wp:positionH>
            <wp:positionV relativeFrom="page">
              <wp:posOffset>217170</wp:posOffset>
            </wp:positionV>
            <wp:extent cx="19291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29130" cy="8890"/>
                    </a:xfrm>
                    <a:prstGeom prst="rect">
                      <a:avLst/>
                    </a:prstGeom>
                    <a:noFill/>
                  </pic:spPr>
                </pic:pic>
              </a:graphicData>
            </a:graphic>
          </wp:anchor>
        </w:drawing>
        <w:t xml:space="preserve">Excludes amounts related to GAS-eleven Ltd., the owner of the </w:t>
      </w:r>
      <w:r>
        <w:rPr>
          <w:rFonts w:ascii="Arial" w:cs="Arial" w:eastAsia="Arial" w:hAnsi="Arial"/>
          <w:sz w:val="13"/>
          <w:szCs w:val="13"/>
          <w:i w:val="1"/>
          <w:iCs w:val="1"/>
          <w:color w:val="auto"/>
        </w:rPr>
        <w:t>GasLog Greece</w:t>
      </w:r>
      <w:r>
        <w:rPr>
          <w:rFonts w:ascii="Arial" w:cs="Arial" w:eastAsia="Arial" w:hAnsi="Arial"/>
          <w:sz w:val="13"/>
          <w:szCs w:val="13"/>
          <w:color w:val="auto"/>
        </w:rPr>
        <w:t xml:space="preserve">, GAS-thirteen Ltd., the owner of the </w:t>
      </w:r>
      <w:r>
        <w:rPr>
          <w:rFonts w:ascii="Arial" w:cs="Arial" w:eastAsia="Arial" w:hAnsi="Arial"/>
          <w:sz w:val="13"/>
          <w:szCs w:val="13"/>
          <w:i w:val="1"/>
          <w:iCs w:val="1"/>
          <w:color w:val="auto"/>
        </w:rPr>
        <w:t>GasLog Geneva</w:t>
      </w:r>
      <w:r>
        <w:rPr>
          <w:rFonts w:ascii="Arial" w:cs="Arial" w:eastAsia="Arial" w:hAnsi="Arial"/>
          <w:sz w:val="13"/>
          <w:szCs w:val="13"/>
          <w:color w:val="auto"/>
        </w:rPr>
        <w:t xml:space="preserve">, GAS-eight Ltd., the owner of the </w:t>
      </w:r>
      <w:r>
        <w:rPr>
          <w:rFonts w:ascii="Arial" w:cs="Arial" w:eastAsia="Arial" w:hAnsi="Arial"/>
          <w:sz w:val="13"/>
          <w:szCs w:val="13"/>
          <w:i w:val="1"/>
          <w:iCs w:val="1"/>
          <w:color w:val="auto"/>
        </w:rPr>
        <w:t>Solaris</w:t>
      </w:r>
      <w:r>
        <w:rPr>
          <w:rFonts w:ascii="Arial" w:cs="Arial" w:eastAsia="Arial" w:hAnsi="Arial"/>
          <w:sz w:val="13"/>
          <w:szCs w:val="13"/>
          <w:color w:val="auto"/>
        </w:rPr>
        <w:t xml:space="preserve">, GAS-fourteen Ltd., the owner of the </w:t>
      </w:r>
      <w:r>
        <w:rPr>
          <w:rFonts w:ascii="Arial" w:cs="Arial" w:eastAsia="Arial" w:hAnsi="Arial"/>
          <w:sz w:val="13"/>
          <w:szCs w:val="13"/>
          <w:i w:val="1"/>
          <w:iCs w:val="1"/>
          <w:color w:val="auto"/>
        </w:rPr>
        <w:t xml:space="preserve">GasLog Gibraltar </w:t>
      </w:r>
      <w:r>
        <w:rPr>
          <w:rFonts w:ascii="Arial" w:cs="Arial" w:eastAsia="Arial" w:hAnsi="Arial"/>
          <w:sz w:val="13"/>
          <w:szCs w:val="13"/>
          <w:color w:val="auto"/>
        </w:rPr>
        <w:t>and GAS-twenty seven Ltd., the owner of the</w:t>
      </w:r>
      <w:r>
        <w:rPr>
          <w:rFonts w:ascii="Arial" w:cs="Arial" w:eastAsia="Arial" w:hAnsi="Arial"/>
          <w:sz w:val="13"/>
          <w:szCs w:val="13"/>
          <w:i w:val="1"/>
          <w:iCs w:val="1"/>
          <w:color w:val="auto"/>
        </w:rPr>
        <w:t xml:space="preserve"> Methane Becki Anne</w:t>
      </w:r>
      <w:r>
        <w:rPr>
          <w:rFonts w:ascii="Arial" w:cs="Arial" w:eastAsia="Arial" w:hAnsi="Arial"/>
          <w:sz w:val="13"/>
          <w:szCs w:val="13"/>
          <w:color w:val="auto"/>
        </w:rPr>
        <w:t>, for the periods prior to their transfers to the Partnership on May 3, 2017, July 3, 2017, October 20, 2017, April 26, 2018 and</w:t>
      </w:r>
      <w:r>
        <w:rPr>
          <w:rFonts w:ascii="Arial" w:cs="Arial" w:eastAsia="Arial" w:hAnsi="Arial"/>
          <w:sz w:val="13"/>
          <w:szCs w:val="13"/>
          <w:i w:val="1"/>
          <w:iCs w:val="1"/>
          <w:color w:val="auto"/>
        </w:rPr>
        <w:t xml:space="preserve"> </w:t>
      </w:r>
      <w:r>
        <w:rPr>
          <w:rFonts w:ascii="Arial" w:cs="Arial" w:eastAsia="Arial" w:hAnsi="Arial"/>
          <w:sz w:val="13"/>
          <w:szCs w:val="13"/>
          <w:color w:val="auto"/>
        </w:rPr>
        <w:t>November 14, 2018, respectively. While such amounts are reflected in the Partnership’s unaudited condensed consolidated financial statements because the transfers to the Partnership were accounted for as reorganizations of entities under common control under IFRS, the aforementioned entities were not owned by the Partnership prior to their respective transfers to the Partnership, and accordingly the Partnership was not entitled to the cash or results generated in the period prior to such transfers.</w:t>
      </w:r>
    </w:p>
    <w:p>
      <w:pPr>
        <w:spacing w:after="0" w:line="91" w:lineRule="exact"/>
        <w:rPr>
          <w:rFonts w:ascii="Arial" w:cs="Arial" w:eastAsia="Arial" w:hAnsi="Arial"/>
          <w:sz w:val="17"/>
          <w:szCs w:val="17"/>
          <w:color w:val="auto"/>
          <w:vertAlign w:val="superscript"/>
        </w:rPr>
      </w:pPr>
    </w:p>
    <w:p>
      <w:pPr>
        <w:ind w:left="326" w:hanging="326"/>
        <w:spacing w:after="0"/>
        <w:tabs>
          <w:tab w:leader="none" w:pos="326"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Refers to movements in reserves (other than the dry-docking and replacement capital reserves) for the proper conduct of the business of the Partnership and its subsidiaries.</w:t>
      </w:r>
    </w:p>
    <w:p>
      <w:pPr>
        <w:spacing w:after="0" w:line="112" w:lineRule="exact"/>
        <w:rPr>
          <w:rFonts w:ascii="Arial" w:cs="Arial" w:eastAsia="Arial" w:hAnsi="Arial"/>
          <w:sz w:val="17"/>
          <w:szCs w:val="17"/>
          <w:color w:val="auto"/>
          <w:vertAlign w:val="superscript"/>
        </w:rPr>
      </w:pPr>
    </w:p>
    <w:p>
      <w:pPr>
        <w:ind w:left="326" w:hanging="326"/>
        <w:spacing w:after="0"/>
        <w:tabs>
          <w:tab w:leader="none" w:pos="326" w:val="left"/>
        </w:tabs>
        <w:numPr>
          <w:ilvl w:val="0"/>
          <w:numId w:val="10"/>
        </w:numPr>
        <w:rPr>
          <w:rFonts w:ascii="Arial" w:cs="Arial" w:eastAsia="Arial" w:hAnsi="Arial"/>
          <w:sz w:val="15"/>
          <w:szCs w:val="15"/>
          <w:color w:val="auto"/>
          <w:vertAlign w:val="superscript"/>
        </w:rPr>
      </w:pPr>
      <w:r>
        <w:rPr>
          <w:rFonts w:ascii="Arial" w:cs="Arial" w:eastAsia="Arial" w:hAnsi="Arial"/>
          <w:sz w:val="12"/>
          <w:szCs w:val="12"/>
          <w:color w:val="auto"/>
        </w:rPr>
        <w:t>For the three months ended December 31, 2018, the cash distributions declared and the other reserves have been calculated based on the number of units issued and outstanding as of December 31, 2018.</w:t>
      </w:r>
    </w:p>
    <w:p>
      <w:pPr>
        <w:spacing w:after="0" w:line="202" w:lineRule="exact"/>
        <w:rPr>
          <w:sz w:val="20"/>
          <w:szCs w:val="20"/>
          <w:color w:val="auto"/>
        </w:rPr>
      </w:pPr>
    </w:p>
    <w:p>
      <w:pPr>
        <w:jc w:val="center"/>
        <w:ind w:right="-45"/>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sectPr>
      <w:pgSz w:w="12240" w:h="15840" w:orient="portrait"/>
      <w:cols w:equalWidth="0" w:num="1">
        <w:col w:w="11946"/>
      </w:cols>
      <w:pgMar w:left="114" w:top="456" w:right="18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2019-12-15T18:00:36Z</dcterms:created>
  <dcterms:modified xsi:type="dcterms:W3CDTF">2019-12-15T18:00:36Z</dcterms:modified>
</cp:coreProperties>
</file>