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June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435" w:right="1440"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The press release issued by GasLog Partners LP and GasLog Ltd on June 11, 2020 announcing that their 2019 Sustainability Reports are available for download and can be accessed from their respective websites is attached hereto as Exhibit 99.1.</w:t>
      </w:r>
    </w:p>
    <w:p>
      <w:pPr>
        <w:spacing w:after="0" w:line="17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18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1532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80"/>
          </w:cols>
          <w:pgMar w:left="320" w:top="341" w:right="79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2020</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GASLOG PARTNERS LP,</w:t>
      </w: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Andrew Orekar</w:t>
      </w:r>
    </w:p>
    <w:p>
      <w:pPr>
        <w:spacing w:after="0" w:line="265" w:lineRule="exact"/>
        <w:rPr>
          <w:sz w:val="20"/>
          <w:szCs w:val="20"/>
          <w:color w:val="auto"/>
        </w:rPr>
      </w:pPr>
    </w:p>
    <w:p>
      <w:pPr>
        <w:ind w:left="6020"/>
        <w:spacing w:after="0"/>
        <w:tabs>
          <w:tab w:leader="none" w:pos="6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Andrew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-130175</wp:posOffset>
            </wp:positionV>
            <wp:extent cx="3317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6020"/>
        <w:spacing w:after="0"/>
        <w:tabs>
          <w:tab w:leader="none" w:pos="664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80"/>
          </w:cols>
          <w:pgMar w:left="320" w:top="337"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and GasLog Partners LP Announce Availability of Inaugural Sustainability Reports</w:t>
      </w:r>
    </w:p>
    <w:p>
      <w:pPr>
        <w:spacing w:after="0" w:line="225"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b w:val="1"/>
          <w:bCs w:val="1"/>
          <w:color w:val="auto"/>
        </w:rPr>
        <w:t xml:space="preserve">Piraeus, Greece, June 11, 2020 </w:t>
      </w:r>
      <w:r>
        <w:rPr>
          <w:rFonts w:ascii="Arial" w:cs="Arial" w:eastAsia="Arial" w:hAnsi="Arial"/>
          <w:sz w:val="18"/>
          <w:szCs w:val="18"/>
          <w:color w:val="auto"/>
        </w:rPr>
        <w:t>– GasLog Ltd. (“GasLog”) (NYSE: GLOG) and GasLog Partners LP (“GasLog Partners” or the “Partnership”) (NYSE:</w:t>
      </w:r>
      <w:r>
        <w:rPr>
          <w:rFonts w:ascii="Arial" w:cs="Arial" w:eastAsia="Arial" w:hAnsi="Arial"/>
          <w:sz w:val="18"/>
          <w:szCs w:val="18"/>
          <w:b w:val="1"/>
          <w:bCs w:val="1"/>
          <w:color w:val="auto"/>
        </w:rPr>
        <w:t xml:space="preserve"> </w:t>
      </w:r>
      <w:r>
        <w:rPr>
          <w:rFonts w:ascii="Arial" w:cs="Arial" w:eastAsia="Arial" w:hAnsi="Arial"/>
          <w:sz w:val="18"/>
          <w:szCs w:val="18"/>
          <w:color w:val="auto"/>
        </w:rPr>
        <w:t>GLOP) announced today that their 2019 Sustainability Reports are available for download and can be accessed from their respective websites using the links provided below.</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Paul Wogan, Chief Executive Officer of GasLog, stated “Producing our first Sustainability Report has allowed us to focus on where we are in terms of our environmental, social and governance (“ESG”) practices. We proudly demonstrate in this inaugural report how we have already embedded many ESG elements into our controls and processes and how we will ensure that our ESG standards are aligned to achieve excellence for the benefit of all our stakeholders.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have also set a clear roadmap for further enhancements to allow us to continue to deliver LNG, a cleaner alternative energy source to coal and other hydrocarbons, for our customers in a responsible and sustainable manner.</w:t>
      </w:r>
      <w:r>
        <w:rPr>
          <w:rFonts w:ascii="Arial" w:cs="Arial" w:eastAsia="Arial" w:hAnsi="Arial"/>
          <w:sz w:val="17"/>
          <w:szCs w:val="17"/>
          <w:color w:val="auto"/>
        </w:rPr>
        <w:t>”</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Andy Orekar, Chief Executive Officer of GasLog Partners, stated “Although we rely on our general partner, GasLog, for the management and operation of our ships, in this report our stakeholders will see the Partnership has its own clear vison and commitment from its Board of Directors to a sustainability strategy.</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High levels of environmental, social and governance standards are embedded in the GasLog Partners culture and led from the Board by example. We believe this report transparently demonstrates our current position and shows a vision for the way ahead.”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2019 Sustainability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www.gaslogltd.com/how-we-do-it/sustainability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 2019 Sustainability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www.gaslogmlp.com/investors/sustainability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19 (14 on the water and five on order) are owned by GasLog, one has been sold to a subsidiary of Mitsui &amp; Co., Ltd. and leased back to GasLog under a long-term bareboat charter and the remaining 15 LNG carriers are owned by the Company’s subsidiary, GasLog Partners. GasLog’s principal executive offices are at 69 Akti Miaouli, 18537 Piraeus, Greece. Visit GasLog’s website at http://www.gaslogltd.com.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2020-06-11T05:52:16Z</dcterms:created>
  <dcterms:modified xsi:type="dcterms:W3CDTF">2020-06-11T05:52:16Z</dcterms:modified>
</cp:coreProperties>
</file>