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Washington, D.C. 20549</w:t>
      </w:r>
    </w:p>
    <w:p>
      <w:pPr>
        <w:spacing w:after="0" w:line="198" w:lineRule="exact"/>
        <w:rPr>
          <w:sz w:val="24"/>
          <w:szCs w:val="24"/>
          <w:color w:val="auto"/>
        </w:rPr>
      </w:pPr>
    </w:p>
    <w:p>
      <w:pPr>
        <w:ind w:left="5060"/>
        <w:spacing w:after="0"/>
        <w:rPr>
          <w:sz w:val="20"/>
          <w:szCs w:val="20"/>
          <w:color w:val="auto"/>
        </w:rPr>
      </w:pPr>
      <w:r>
        <w:rPr>
          <w:rFonts w:ascii="Arial" w:cs="Arial" w:eastAsia="Arial" w:hAnsi="Arial"/>
          <w:sz w:val="27"/>
          <w:szCs w:val="27"/>
          <w:b w:val="1"/>
          <w:bCs w:val="1"/>
          <w:color w:val="auto"/>
        </w:rPr>
        <w:t>FORM 6-K</w:t>
      </w:r>
    </w:p>
    <w:p>
      <w:pPr>
        <w:spacing w:after="0" w:line="320" w:lineRule="exact"/>
        <w:rPr>
          <w:sz w:val="24"/>
          <w:szCs w:val="24"/>
          <w:color w:val="auto"/>
        </w:rPr>
      </w:pPr>
    </w:p>
    <w:p>
      <w:pPr>
        <w:jc w:val="center"/>
        <w:ind w:right="-1200"/>
        <w:spacing w:after="0"/>
        <w:rPr>
          <w:sz w:val="20"/>
          <w:szCs w:val="20"/>
          <w:color w:val="auto"/>
        </w:rPr>
      </w:pPr>
      <w:r>
        <w:rPr>
          <w:rFonts w:ascii="Arial" w:cs="Arial" w:eastAsia="Arial" w:hAnsi="Arial"/>
          <w:sz w:val="17"/>
          <w:szCs w:val="17"/>
          <w:b w:val="1"/>
          <w:bCs w:val="1"/>
          <w:color w:val="auto"/>
        </w:rPr>
        <w:t>REPORT OF FOREIGN PRIVATE ISSUER PURSUANT TO RULE 13a-16 OR 15d-16 UNDER</w:t>
      </w:r>
    </w:p>
    <w:p>
      <w:pPr>
        <w:spacing w:after="0" w:line="3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For the month of May, 2017</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Commission File Number: 001-36433</w:t>
      </w:r>
    </w:p>
    <w:p>
      <w:pPr>
        <w:spacing w:after="0" w:line="208" w:lineRule="exact"/>
        <w:rPr>
          <w:sz w:val="24"/>
          <w:szCs w:val="24"/>
          <w:color w:val="auto"/>
        </w:rPr>
      </w:pPr>
    </w:p>
    <w:p>
      <w:pPr>
        <w:jc w:val="center"/>
        <w:ind w:right="-1200"/>
        <w:spacing w:after="0"/>
        <w:rPr>
          <w:sz w:val="20"/>
          <w:szCs w:val="20"/>
          <w:color w:val="auto"/>
        </w:rPr>
      </w:pPr>
      <w:r>
        <w:rPr>
          <w:rFonts w:ascii="Arial" w:cs="Arial" w:eastAsia="Arial" w:hAnsi="Arial"/>
          <w:sz w:val="23"/>
          <w:szCs w:val="23"/>
          <w:b w:val="1"/>
          <w:bCs w:val="1"/>
          <w:color w:val="auto"/>
        </w:rPr>
        <w:t>GasLog Partners LP</w:t>
      </w:r>
    </w:p>
    <w:p>
      <w:pPr>
        <w:spacing w:after="0" w:line="3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(Translation of registrant’s name into English)</w:t>
      </w:r>
    </w:p>
    <w:p>
      <w:pPr>
        <w:spacing w:after="0" w:line="20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c/o GasLog Monaco S.A.M.</w:t>
      </w:r>
    </w:p>
    <w:p>
      <w:pPr>
        <w:spacing w:after="0" w:line="23"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Gildo Pastor Center</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7 Rue du Gabian</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MC 98000, Monaco</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spacing w:after="0" w:line="207" w:lineRule="exact"/>
        <w:tabs>
          <w:tab w:leader="none" w:pos="120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Form 40-F o</w:t>
      </w:r>
    </w:p>
    <w:p>
      <w:pPr>
        <w:spacing w:after="0" w:line="258"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submitting the Form 6-K in paper as permitted by Regulation S-T Rule 101(b)(1):</w:t>
      </w:r>
    </w:p>
    <w:p>
      <w:pPr>
        <w:spacing w:after="0" w:line="237"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submitting the Form 6-K in paper as permitted by Regulation S-T Rule 101(b)(7):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168275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185420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374015</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219"/>
          </w:cols>
          <w:pgMar w:left="240" w:top="526" w:right="1440" w:bottom="1440" w:gutter="0" w:footer="0" w:header="0"/>
        </w:sectPr>
      </w:pPr>
    </w:p>
    <w:bookmarkStart w:id="1" w:name="page2"/>
    <w:bookmarkEnd w:id="1"/>
    <w:p>
      <w:pPr>
        <w:jc w:val="center"/>
        <w:ind w:right="-59"/>
        <w:spacing w:after="0"/>
        <w:rPr>
          <w:sz w:val="20"/>
          <w:szCs w:val="20"/>
          <w:color w:val="auto"/>
        </w:rPr>
      </w:pPr>
      <w:r>
        <w:rPr>
          <w:rFonts w:ascii="Arial" w:cs="Arial" w:eastAsia="Arial" w:hAnsi="Arial"/>
          <w:sz w:val="18"/>
          <w:szCs w:val="18"/>
          <w:b w:val="1"/>
          <w:bCs w:val="1"/>
          <w:color w:val="auto"/>
        </w:rPr>
        <w:t>INFORMATION CONTAINED IN THIS FORM 6-K REPORT</w:t>
      </w:r>
    </w:p>
    <w:p>
      <w:pPr>
        <w:spacing w:after="0" w:line="22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press release issued by GasLog Partners LP on May 15, 2017 announcing the closing of its public offering of its 8.625% Series A Cumulative Redeemable Perpetual Fixed to Floating Rate Preference Units is attached hereto as Exhibit 99.1.</w:t>
      </w:r>
    </w:p>
    <w:p>
      <w:pPr>
        <w:spacing w:after="0" w:line="17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Exhibit 4.1 to this Report on Form 6-K shall be incorporated by reference into our registration statement on Form F-3, as declared effective by the Securities and Exchange Commission on June 8, 2015 (Registration No. 333-204616), as amended, and the registration statement on Form S-8 (File No. 333-203139), filed with the SEC on March 31, 2015, in each case to the extent not superseded by documents or reports subsequently filed or furnished (to the extent we expressly state that we incorporate such furnished information by reference) by us under the Securities Act of 1933 or the Securities Exchange Act of 1934, in each case as amended.</w:t>
      </w:r>
    </w:p>
    <w:p>
      <w:pPr>
        <w:spacing w:after="0" w:line="19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Exhibit</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ind w:left="360"/>
        <w:spacing w:after="0"/>
        <w:tabs>
          <w:tab w:leader="none" w:pos="11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Second Amended and Restated Agreement of Limited Partnership of GasLog Partners LP</w:t>
      </w:r>
    </w:p>
    <w:p>
      <w:pPr>
        <w:spacing w:after="0" w:line="225" w:lineRule="exact"/>
        <w:rPr>
          <w:sz w:val="20"/>
          <w:szCs w:val="20"/>
          <w:color w:val="auto"/>
        </w:rPr>
      </w:pPr>
    </w:p>
    <w:p>
      <w:pPr>
        <w:ind w:left="300"/>
        <w:spacing w:after="0"/>
        <w:tabs>
          <w:tab w:leader="none" w:pos="11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May 15,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60"/>
          </w:cols>
          <w:pgMar w:left="240" w:top="405" w:right="29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15, 2017</w:t>
      </w:r>
    </w:p>
    <w:p>
      <w:pPr>
        <w:spacing w:after="0" w:line="22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GASLOG PARTNERS LP</w:t>
      </w:r>
    </w:p>
    <w:p>
      <w:pPr>
        <w:spacing w:after="0" w:line="225" w:lineRule="exact"/>
        <w:rPr>
          <w:sz w:val="20"/>
          <w:szCs w:val="20"/>
          <w:color w:val="auto"/>
        </w:rPr>
      </w:pPr>
    </w:p>
    <w:p>
      <w:pPr>
        <w:ind w:left="4580"/>
        <w:spacing w:after="0"/>
        <w:tabs>
          <w:tab w:leader="none" w:pos="49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Andrew J. Orekar</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940" w:type="dxa"/>
            <w:vAlign w:val="bottom"/>
          </w:tcPr>
          <w:p>
            <w:pPr>
              <w:spacing w:after="0"/>
              <w:rPr>
                <w:sz w:val="16"/>
                <w:szCs w:val="16"/>
                <w:color w:val="auto"/>
              </w:rPr>
            </w:pPr>
          </w:p>
        </w:tc>
        <w:tc>
          <w:tcPr>
            <w:tcW w:w="660" w:type="dxa"/>
            <w:vAlign w:val="bottom"/>
            <w:tcBorders>
              <w:top w:val="single" w:sz="8" w:color="auto"/>
            </w:tcBorders>
          </w:tcPr>
          <w:p>
            <w:pPr>
              <w:ind w:left="60"/>
              <w:spacing w:after="0" w:line="195" w:lineRule="exact"/>
              <w:rPr>
                <w:sz w:val="20"/>
                <w:szCs w:val="20"/>
                <w:color w:val="auto"/>
              </w:rPr>
            </w:pPr>
            <w:r>
              <w:rPr>
                <w:rFonts w:ascii="Arial" w:cs="Arial" w:eastAsia="Arial" w:hAnsi="Arial"/>
                <w:sz w:val="18"/>
                <w:szCs w:val="18"/>
                <w:color w:val="auto"/>
              </w:rPr>
              <w:t>Name:</w:t>
            </w:r>
          </w:p>
        </w:tc>
        <w:tc>
          <w:tcPr>
            <w:tcW w:w="4920" w:type="dxa"/>
            <w:vAlign w:val="bottom"/>
            <w:tcBorders>
              <w:top w:val="single" w:sz="8" w:color="auto"/>
            </w:tcBorders>
          </w:tcPr>
          <w:p>
            <w:pPr>
              <w:ind w:left="140"/>
              <w:spacing w:after="0" w:line="195" w:lineRule="exact"/>
              <w:rPr>
                <w:sz w:val="20"/>
                <w:szCs w:val="20"/>
                <w:color w:val="auto"/>
              </w:rPr>
            </w:pPr>
            <w:r>
              <w:rPr>
                <w:rFonts w:ascii="Arial" w:cs="Arial" w:eastAsia="Arial" w:hAnsi="Arial"/>
                <w:sz w:val="18"/>
                <w:szCs w:val="18"/>
                <w:color w:val="auto"/>
              </w:rPr>
              <w:t>Andrew J. Orekar</w:t>
            </w:r>
          </w:p>
        </w:tc>
        <w:tc>
          <w:tcPr>
            <w:tcW w:w="900" w:type="dxa"/>
            <w:vAlign w:val="bottom"/>
          </w:tcPr>
          <w:p>
            <w:pPr>
              <w:spacing w:after="0"/>
              <w:rPr>
                <w:sz w:val="16"/>
                <w:szCs w:val="16"/>
                <w:color w:val="auto"/>
              </w:rPr>
            </w:pPr>
          </w:p>
        </w:tc>
      </w:tr>
      <w:tr>
        <w:trPr>
          <w:trHeight w:val="230"/>
        </w:trPr>
        <w:tc>
          <w:tcPr>
            <w:tcW w:w="4940" w:type="dxa"/>
            <w:vAlign w:val="bottom"/>
          </w:tcPr>
          <w:p>
            <w:pPr>
              <w:spacing w:after="0"/>
              <w:rPr>
                <w:sz w:val="20"/>
                <w:szCs w:val="20"/>
                <w:color w:val="auto"/>
              </w:rPr>
            </w:pPr>
          </w:p>
        </w:tc>
        <w:tc>
          <w:tcPr>
            <w:tcW w:w="660" w:type="dxa"/>
            <w:vAlign w:val="bottom"/>
          </w:tcPr>
          <w:p>
            <w:pPr>
              <w:ind w:left="60"/>
              <w:spacing w:after="0"/>
              <w:rPr>
                <w:sz w:val="20"/>
                <w:szCs w:val="20"/>
                <w:color w:val="auto"/>
              </w:rPr>
            </w:pPr>
            <w:r>
              <w:rPr>
                <w:rFonts w:ascii="Arial" w:cs="Arial" w:eastAsia="Arial" w:hAnsi="Arial"/>
                <w:sz w:val="18"/>
                <w:szCs w:val="18"/>
                <w:color w:val="auto"/>
              </w:rPr>
              <w:t>Title:</w:t>
            </w:r>
          </w:p>
        </w:tc>
        <w:tc>
          <w:tcPr>
            <w:tcW w:w="4920" w:type="dxa"/>
            <w:vAlign w:val="bottom"/>
          </w:tcPr>
          <w:p>
            <w:pPr>
              <w:ind w:left="140"/>
              <w:spacing w:after="0"/>
              <w:rPr>
                <w:sz w:val="20"/>
                <w:szCs w:val="20"/>
                <w:color w:val="auto"/>
              </w:rPr>
            </w:pPr>
            <w:r>
              <w:rPr>
                <w:rFonts w:ascii="Arial" w:cs="Arial" w:eastAsia="Arial" w:hAnsi="Arial"/>
                <w:sz w:val="18"/>
                <w:szCs w:val="18"/>
                <w:color w:val="auto"/>
              </w:rPr>
              <w:t>Chief Executive Officer</w:t>
            </w:r>
          </w:p>
        </w:tc>
        <w:tc>
          <w:tcPr>
            <w:tcW w:w="900" w:type="dxa"/>
            <w:vAlign w:val="bottom"/>
          </w:tcPr>
          <w:p>
            <w:pPr>
              <w:spacing w:after="0"/>
              <w:rPr>
                <w:sz w:val="20"/>
                <w:szCs w:val="20"/>
                <w:color w:val="auto"/>
              </w:rPr>
            </w:pPr>
          </w:p>
        </w:tc>
      </w:tr>
      <w:tr>
        <w:trPr>
          <w:trHeight w:val="277"/>
        </w:trPr>
        <w:tc>
          <w:tcPr>
            <w:tcW w:w="4940" w:type="dxa"/>
            <w:vAlign w:val="bottom"/>
            <w:tcBorders>
              <w:bottom w:val="single" w:sz="8" w:color="C0C0C0"/>
            </w:tcBorders>
          </w:tcPr>
          <w:p>
            <w:pPr>
              <w:spacing w:after="0"/>
              <w:rPr>
                <w:sz w:val="24"/>
                <w:szCs w:val="24"/>
                <w:color w:val="auto"/>
              </w:rPr>
            </w:pPr>
          </w:p>
        </w:tc>
        <w:tc>
          <w:tcPr>
            <w:tcW w:w="660" w:type="dxa"/>
            <w:vAlign w:val="bottom"/>
            <w:tcBorders>
              <w:bottom w:val="single" w:sz="8" w:color="C0C0C0"/>
            </w:tcBorders>
          </w:tcPr>
          <w:p>
            <w:pPr>
              <w:spacing w:after="0"/>
              <w:rPr>
                <w:sz w:val="24"/>
                <w:szCs w:val="24"/>
                <w:color w:val="auto"/>
              </w:rPr>
            </w:pPr>
          </w:p>
        </w:tc>
        <w:tc>
          <w:tcPr>
            <w:tcW w:w="4920" w:type="dxa"/>
            <w:vAlign w:val="bottom"/>
            <w:tcBorders>
              <w:bottom w:val="single" w:sz="8" w:color="C0C0C0"/>
            </w:tcBorders>
          </w:tcPr>
          <w:p>
            <w:pPr>
              <w:spacing w:after="0"/>
              <w:rPr>
                <w:sz w:val="24"/>
                <w:szCs w:val="24"/>
                <w:color w:val="auto"/>
              </w:rPr>
            </w:pPr>
          </w:p>
        </w:tc>
        <w:tc>
          <w:tcPr>
            <w:tcW w:w="900" w:type="dxa"/>
            <w:vAlign w:val="bottom"/>
            <w:tcBorders>
              <w:bottom w:val="single" w:sz="8" w:color="C0C0C0"/>
            </w:tcBorders>
          </w:tcPr>
          <w:p>
            <w:pPr>
              <w:spacing w:after="0"/>
              <w:rPr>
                <w:sz w:val="24"/>
                <w:szCs w:val="24"/>
                <w:color w:val="auto"/>
              </w:rPr>
            </w:pPr>
          </w:p>
        </w:tc>
      </w:tr>
    </w:tbl>
    <w:p>
      <w:pPr>
        <w:sectPr>
          <w:pgSz w:w="11900" w:h="16838" w:orient="portrait"/>
          <w:cols w:equalWidth="0" w:num="1">
            <w:col w:w="11420"/>
          </w:cols>
          <w:pgMar w:left="240" w:top="405"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4.1</w:t>
      </w:r>
    </w:p>
    <w:p>
      <w:pPr>
        <w:spacing w:after="0" w:line="24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161925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179070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180"/>
        <w:spacing w:after="0"/>
        <w:rPr>
          <w:sz w:val="20"/>
          <w:szCs w:val="20"/>
          <w:color w:val="auto"/>
        </w:rPr>
      </w:pPr>
      <w:r>
        <w:rPr>
          <w:rFonts w:ascii="Arial" w:cs="Arial" w:eastAsia="Arial" w:hAnsi="Arial"/>
          <w:sz w:val="22"/>
          <w:szCs w:val="22"/>
          <w:b w:val="1"/>
          <w:bCs w:val="1"/>
          <w:color w:val="auto"/>
        </w:rPr>
        <w:t>SECOND AMENDED AND RESTATED</w:t>
      </w:r>
    </w:p>
    <w:p>
      <w:pPr>
        <w:spacing w:after="0" w:line="14" w:lineRule="exact"/>
        <w:rPr>
          <w:sz w:val="20"/>
          <w:szCs w:val="20"/>
          <w:color w:val="auto"/>
        </w:rPr>
      </w:pPr>
    </w:p>
    <w:p>
      <w:pPr>
        <w:jc w:val="center"/>
        <w:ind w:right="1180"/>
        <w:spacing w:after="0"/>
        <w:rPr>
          <w:sz w:val="20"/>
          <w:szCs w:val="20"/>
          <w:color w:val="auto"/>
        </w:rPr>
      </w:pPr>
      <w:r>
        <w:rPr>
          <w:rFonts w:ascii="Arial" w:cs="Arial" w:eastAsia="Arial" w:hAnsi="Arial"/>
          <w:sz w:val="22"/>
          <w:szCs w:val="22"/>
          <w:b w:val="1"/>
          <w:bCs w:val="1"/>
          <w:color w:val="auto"/>
        </w:rPr>
        <w:t>AGREEMENT OF LIMITED PARTNERSHIP</w:t>
      </w:r>
    </w:p>
    <w:p>
      <w:pPr>
        <w:spacing w:after="0" w:line="209" w:lineRule="exact"/>
        <w:rPr>
          <w:sz w:val="20"/>
          <w:szCs w:val="20"/>
          <w:color w:val="auto"/>
        </w:rPr>
      </w:pPr>
    </w:p>
    <w:p>
      <w:pPr>
        <w:jc w:val="center"/>
        <w:ind w:right="1180"/>
        <w:spacing w:after="0"/>
        <w:rPr>
          <w:sz w:val="20"/>
          <w:szCs w:val="20"/>
          <w:color w:val="auto"/>
        </w:rPr>
      </w:pPr>
      <w:r>
        <w:rPr>
          <w:rFonts w:ascii="Arial" w:cs="Arial" w:eastAsia="Arial" w:hAnsi="Arial"/>
          <w:sz w:val="22"/>
          <w:szCs w:val="22"/>
          <w:b w:val="1"/>
          <w:bCs w:val="1"/>
          <w:color w:val="auto"/>
        </w:rPr>
        <w:t>OF</w:t>
      </w:r>
    </w:p>
    <w:p>
      <w:pPr>
        <w:spacing w:after="0" w:line="233" w:lineRule="exact"/>
        <w:rPr>
          <w:sz w:val="20"/>
          <w:szCs w:val="20"/>
          <w:color w:val="auto"/>
        </w:rPr>
      </w:pPr>
    </w:p>
    <w:p>
      <w:pPr>
        <w:ind w:left="3280"/>
        <w:spacing w:after="0"/>
        <w:rPr>
          <w:sz w:val="20"/>
          <w:szCs w:val="20"/>
          <w:color w:val="auto"/>
        </w:rPr>
      </w:pPr>
      <w:r>
        <w:rPr>
          <w:rFonts w:ascii="Arial" w:cs="Arial" w:eastAsia="Arial" w:hAnsi="Arial"/>
          <w:sz w:val="22"/>
          <w:szCs w:val="22"/>
          <w:b w:val="1"/>
          <w:bCs w:val="1"/>
          <w:color w:val="auto"/>
        </w:rPr>
        <w:t>GASLOG PARTNERS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1597660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1614805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1778000</wp:posOffset>
            </wp:positionV>
            <wp:extent cx="72466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220"/>
          </w:cols>
          <w:pgMar w:left="1440" w:top="112"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81"/>
        </w:trPr>
        <w:tc>
          <w:tcPr>
            <w:tcW w:w="1660" w:type="dxa"/>
            <w:vAlign w:val="bottom"/>
          </w:tcPr>
          <w:p>
            <w:pPr>
              <w:spacing w:after="0"/>
              <w:rPr>
                <w:sz w:val="24"/>
                <w:szCs w:val="24"/>
                <w:color w:val="auto"/>
              </w:rPr>
            </w:pPr>
          </w:p>
        </w:tc>
        <w:tc>
          <w:tcPr>
            <w:tcW w:w="8820" w:type="dxa"/>
            <w:vAlign w:val="bottom"/>
          </w:tcPr>
          <w:p>
            <w:pPr>
              <w:ind w:left="2900"/>
              <w:spacing w:after="0"/>
              <w:rPr>
                <w:sz w:val="20"/>
                <w:szCs w:val="20"/>
                <w:color w:val="auto"/>
              </w:rPr>
            </w:pPr>
            <w:r>
              <w:rPr>
                <w:rFonts w:ascii="Arial" w:cs="Arial" w:eastAsia="Arial" w:hAnsi="Arial"/>
                <w:sz w:val="22"/>
                <w:szCs w:val="22"/>
                <w:b w:val="1"/>
                <w:bCs w:val="1"/>
                <w:color w:val="auto"/>
              </w:rPr>
              <w:t>TABLE OF CONTENTS</w:t>
            </w:r>
          </w:p>
        </w:tc>
        <w:tc>
          <w:tcPr>
            <w:tcW w:w="940" w:type="dxa"/>
            <w:vAlign w:val="bottom"/>
          </w:tcPr>
          <w:p>
            <w:pPr>
              <w:spacing w:after="0"/>
              <w:rPr>
                <w:sz w:val="24"/>
                <w:szCs w:val="24"/>
                <w:color w:val="auto"/>
              </w:rPr>
            </w:pPr>
          </w:p>
        </w:tc>
      </w:tr>
      <w:tr>
        <w:trPr>
          <w:trHeight w:val="455"/>
        </w:trPr>
        <w:tc>
          <w:tcPr>
            <w:tcW w:w="1660" w:type="dxa"/>
            <w:vAlign w:val="bottom"/>
          </w:tcPr>
          <w:p>
            <w:pPr>
              <w:spacing w:after="0"/>
              <w:rPr>
                <w:sz w:val="20"/>
                <w:szCs w:val="20"/>
                <w:color w:val="auto"/>
              </w:rPr>
            </w:pPr>
            <w:r>
              <w:rPr>
                <w:rFonts w:ascii="Arial" w:cs="Arial" w:eastAsia="Arial" w:hAnsi="Arial"/>
                <w:sz w:val="22"/>
                <w:szCs w:val="22"/>
                <w:color w:val="auto"/>
              </w:rPr>
              <w:t>ARTICLE I</w:t>
            </w:r>
          </w:p>
        </w:tc>
        <w:tc>
          <w:tcPr>
            <w:tcW w:w="8820" w:type="dxa"/>
            <w:vAlign w:val="bottom"/>
          </w:tcPr>
          <w:p>
            <w:pPr>
              <w:ind w:left="180"/>
              <w:spacing w:after="0"/>
              <w:rPr>
                <w:sz w:val="20"/>
                <w:szCs w:val="20"/>
                <w:color w:val="auto"/>
              </w:rPr>
            </w:pPr>
            <w:r>
              <w:rPr>
                <w:rFonts w:ascii="Arial" w:cs="Arial" w:eastAsia="Arial" w:hAnsi="Arial"/>
                <w:sz w:val="22"/>
                <w:szCs w:val="22"/>
                <w:color w:val="auto"/>
              </w:rPr>
              <w:t>DEFINITIONS AND CONSTRUCTION</w:t>
            </w:r>
          </w:p>
        </w:tc>
        <w:tc>
          <w:tcPr>
            <w:tcW w:w="940" w:type="dxa"/>
            <w:vAlign w:val="bottom"/>
          </w:tcPr>
          <w:p>
            <w:pPr>
              <w:jc w:val="right"/>
              <w:spacing w:after="0"/>
              <w:rPr>
                <w:sz w:val="20"/>
                <w:szCs w:val="20"/>
                <w:color w:val="auto"/>
              </w:rPr>
            </w:pPr>
            <w:r>
              <w:rPr>
                <w:rFonts w:ascii="Arial" w:cs="Arial" w:eastAsia="Arial" w:hAnsi="Arial"/>
                <w:sz w:val="22"/>
                <w:szCs w:val="22"/>
                <w:color w:val="auto"/>
              </w:rPr>
              <w:t>2</w:t>
            </w:r>
          </w:p>
        </w:tc>
      </w:tr>
      <w:tr>
        <w:trPr>
          <w:trHeight w:val="243"/>
        </w:trPr>
        <w:tc>
          <w:tcPr>
            <w:tcW w:w="1660" w:type="dxa"/>
            <w:vAlign w:val="bottom"/>
          </w:tcPr>
          <w:p>
            <w:pPr>
              <w:ind w:left="360"/>
              <w:spacing w:after="0" w:line="243" w:lineRule="exact"/>
              <w:rPr>
                <w:sz w:val="20"/>
                <w:szCs w:val="20"/>
                <w:color w:val="auto"/>
              </w:rPr>
            </w:pPr>
            <w:r>
              <w:rPr>
                <w:rFonts w:ascii="Arial" w:cs="Arial" w:eastAsia="Arial" w:hAnsi="Arial"/>
                <w:sz w:val="22"/>
                <w:szCs w:val="22"/>
                <w:color w:val="auto"/>
              </w:rPr>
              <w:t>Section 1.1.</w:t>
            </w:r>
          </w:p>
        </w:tc>
        <w:tc>
          <w:tcPr>
            <w:tcW w:w="8820" w:type="dxa"/>
            <w:vAlign w:val="bottom"/>
          </w:tcPr>
          <w:p>
            <w:pPr>
              <w:ind w:left="180"/>
              <w:spacing w:after="0" w:line="243" w:lineRule="exact"/>
              <w:rPr>
                <w:sz w:val="20"/>
                <w:szCs w:val="20"/>
                <w:color w:val="auto"/>
              </w:rPr>
            </w:pPr>
            <w:r>
              <w:rPr>
                <w:rFonts w:ascii="Arial" w:cs="Arial" w:eastAsia="Arial" w:hAnsi="Arial"/>
                <w:sz w:val="22"/>
                <w:szCs w:val="22"/>
                <w:color w:val="auto"/>
              </w:rPr>
              <w:t>Definitions</w:t>
            </w:r>
          </w:p>
        </w:tc>
        <w:tc>
          <w:tcPr>
            <w:tcW w:w="940" w:type="dxa"/>
            <w:vAlign w:val="bottom"/>
          </w:tcPr>
          <w:p>
            <w:pPr>
              <w:jc w:val="right"/>
              <w:spacing w:after="0" w:line="243" w:lineRule="exact"/>
              <w:rPr>
                <w:sz w:val="20"/>
                <w:szCs w:val="20"/>
                <w:color w:val="auto"/>
              </w:rPr>
            </w:pPr>
            <w:r>
              <w:rPr>
                <w:rFonts w:ascii="Arial" w:cs="Arial" w:eastAsia="Arial" w:hAnsi="Arial"/>
                <w:sz w:val="22"/>
                <w:szCs w:val="22"/>
                <w:color w:val="auto"/>
              </w:rPr>
              <w:t>2</w:t>
            </w:r>
          </w:p>
        </w:tc>
      </w:tr>
      <w:tr>
        <w:trPr>
          <w:trHeight w:val="275"/>
        </w:trPr>
        <w:tc>
          <w:tcPr>
            <w:tcW w:w="1660" w:type="dxa"/>
            <w:vAlign w:val="bottom"/>
          </w:tcPr>
          <w:p>
            <w:pPr>
              <w:ind w:left="360"/>
              <w:spacing w:after="0"/>
              <w:rPr>
                <w:sz w:val="20"/>
                <w:szCs w:val="20"/>
                <w:color w:val="auto"/>
              </w:rPr>
            </w:pPr>
            <w:r>
              <w:rPr>
                <w:rFonts w:ascii="Arial" w:cs="Arial" w:eastAsia="Arial" w:hAnsi="Arial"/>
                <w:sz w:val="22"/>
                <w:szCs w:val="22"/>
                <w:color w:val="auto"/>
              </w:rPr>
              <w:t>Section 1.2.</w:t>
            </w:r>
          </w:p>
        </w:tc>
        <w:tc>
          <w:tcPr>
            <w:tcW w:w="8820" w:type="dxa"/>
            <w:vAlign w:val="bottom"/>
          </w:tcPr>
          <w:p>
            <w:pPr>
              <w:ind w:left="180"/>
              <w:spacing w:after="0"/>
              <w:rPr>
                <w:sz w:val="20"/>
                <w:szCs w:val="20"/>
                <w:color w:val="auto"/>
              </w:rPr>
            </w:pPr>
            <w:r>
              <w:rPr>
                <w:rFonts w:ascii="Arial" w:cs="Arial" w:eastAsia="Arial" w:hAnsi="Arial"/>
                <w:sz w:val="22"/>
                <w:szCs w:val="22"/>
                <w:color w:val="auto"/>
              </w:rPr>
              <w:t>Construction</w:t>
            </w:r>
          </w:p>
        </w:tc>
        <w:tc>
          <w:tcPr>
            <w:tcW w:w="940" w:type="dxa"/>
            <w:vAlign w:val="bottom"/>
          </w:tcPr>
          <w:p>
            <w:pPr>
              <w:jc w:val="right"/>
              <w:spacing w:after="0"/>
              <w:rPr>
                <w:sz w:val="20"/>
                <w:szCs w:val="20"/>
                <w:color w:val="auto"/>
              </w:rPr>
            </w:pPr>
            <w:r>
              <w:rPr>
                <w:rFonts w:ascii="Arial" w:cs="Arial" w:eastAsia="Arial" w:hAnsi="Arial"/>
                <w:sz w:val="22"/>
                <w:szCs w:val="22"/>
                <w:color w:val="auto"/>
              </w:rPr>
              <w:t>24</w:t>
            </w:r>
          </w:p>
        </w:tc>
      </w:tr>
      <w:tr>
        <w:trPr>
          <w:trHeight w:val="455"/>
        </w:trPr>
        <w:tc>
          <w:tcPr>
            <w:tcW w:w="1660" w:type="dxa"/>
            <w:vAlign w:val="bottom"/>
          </w:tcPr>
          <w:p>
            <w:pPr>
              <w:spacing w:after="0"/>
              <w:rPr>
                <w:sz w:val="20"/>
                <w:szCs w:val="20"/>
                <w:color w:val="auto"/>
              </w:rPr>
            </w:pPr>
            <w:r>
              <w:rPr>
                <w:rFonts w:ascii="Arial" w:cs="Arial" w:eastAsia="Arial" w:hAnsi="Arial"/>
                <w:sz w:val="22"/>
                <w:szCs w:val="22"/>
                <w:color w:val="auto"/>
              </w:rPr>
              <w:t>ARTICLE II</w:t>
            </w:r>
          </w:p>
        </w:tc>
        <w:tc>
          <w:tcPr>
            <w:tcW w:w="8820" w:type="dxa"/>
            <w:vAlign w:val="bottom"/>
          </w:tcPr>
          <w:p>
            <w:pPr>
              <w:ind w:left="180"/>
              <w:spacing w:after="0"/>
              <w:rPr>
                <w:sz w:val="20"/>
                <w:szCs w:val="20"/>
                <w:color w:val="auto"/>
              </w:rPr>
            </w:pPr>
            <w:r>
              <w:rPr>
                <w:rFonts w:ascii="Arial" w:cs="Arial" w:eastAsia="Arial" w:hAnsi="Arial"/>
                <w:sz w:val="22"/>
                <w:szCs w:val="22"/>
                <w:color w:val="auto"/>
              </w:rPr>
              <w:t>ORGANIZATION</w:t>
            </w:r>
          </w:p>
        </w:tc>
        <w:tc>
          <w:tcPr>
            <w:tcW w:w="940" w:type="dxa"/>
            <w:vAlign w:val="bottom"/>
          </w:tcPr>
          <w:p>
            <w:pPr>
              <w:jc w:val="right"/>
              <w:spacing w:after="0"/>
              <w:rPr>
                <w:sz w:val="20"/>
                <w:szCs w:val="20"/>
                <w:color w:val="auto"/>
              </w:rPr>
            </w:pPr>
            <w:r>
              <w:rPr>
                <w:rFonts w:ascii="Arial" w:cs="Arial" w:eastAsia="Arial" w:hAnsi="Arial"/>
                <w:sz w:val="22"/>
                <w:szCs w:val="22"/>
                <w:color w:val="auto"/>
              </w:rPr>
              <w:t>24</w:t>
            </w:r>
          </w:p>
        </w:tc>
      </w:tr>
      <w:tr>
        <w:trPr>
          <w:trHeight w:val="243"/>
        </w:trPr>
        <w:tc>
          <w:tcPr>
            <w:tcW w:w="1660" w:type="dxa"/>
            <w:vAlign w:val="bottom"/>
          </w:tcPr>
          <w:p>
            <w:pPr>
              <w:ind w:left="360"/>
              <w:spacing w:after="0" w:line="243" w:lineRule="exact"/>
              <w:rPr>
                <w:sz w:val="20"/>
                <w:szCs w:val="20"/>
                <w:color w:val="auto"/>
              </w:rPr>
            </w:pPr>
            <w:r>
              <w:rPr>
                <w:rFonts w:ascii="Arial" w:cs="Arial" w:eastAsia="Arial" w:hAnsi="Arial"/>
                <w:sz w:val="22"/>
                <w:szCs w:val="22"/>
                <w:color w:val="auto"/>
              </w:rPr>
              <w:t>Section 2.1.</w:t>
            </w:r>
          </w:p>
        </w:tc>
        <w:tc>
          <w:tcPr>
            <w:tcW w:w="8820" w:type="dxa"/>
            <w:vAlign w:val="bottom"/>
          </w:tcPr>
          <w:p>
            <w:pPr>
              <w:ind w:left="180"/>
              <w:spacing w:after="0" w:line="243" w:lineRule="exact"/>
              <w:rPr>
                <w:sz w:val="20"/>
                <w:szCs w:val="20"/>
                <w:color w:val="auto"/>
              </w:rPr>
            </w:pPr>
            <w:r>
              <w:rPr>
                <w:rFonts w:ascii="Arial" w:cs="Arial" w:eastAsia="Arial" w:hAnsi="Arial"/>
                <w:sz w:val="22"/>
                <w:szCs w:val="22"/>
                <w:color w:val="auto"/>
              </w:rPr>
              <w:t>Formation</w:t>
            </w:r>
          </w:p>
        </w:tc>
        <w:tc>
          <w:tcPr>
            <w:tcW w:w="940" w:type="dxa"/>
            <w:vAlign w:val="bottom"/>
          </w:tcPr>
          <w:p>
            <w:pPr>
              <w:jc w:val="right"/>
              <w:spacing w:after="0" w:line="243" w:lineRule="exact"/>
              <w:rPr>
                <w:sz w:val="20"/>
                <w:szCs w:val="20"/>
                <w:color w:val="auto"/>
              </w:rPr>
            </w:pPr>
            <w:r>
              <w:rPr>
                <w:rFonts w:ascii="Arial" w:cs="Arial" w:eastAsia="Arial" w:hAnsi="Arial"/>
                <w:sz w:val="22"/>
                <w:szCs w:val="22"/>
                <w:color w:val="auto"/>
              </w:rPr>
              <w:t>24</w:t>
            </w:r>
          </w:p>
        </w:tc>
      </w:tr>
      <w:tr>
        <w:trPr>
          <w:trHeight w:val="243"/>
        </w:trPr>
        <w:tc>
          <w:tcPr>
            <w:tcW w:w="1660" w:type="dxa"/>
            <w:vAlign w:val="bottom"/>
          </w:tcPr>
          <w:p>
            <w:pPr>
              <w:ind w:left="360"/>
              <w:spacing w:after="0" w:line="243" w:lineRule="exact"/>
              <w:rPr>
                <w:sz w:val="20"/>
                <w:szCs w:val="20"/>
                <w:color w:val="auto"/>
              </w:rPr>
            </w:pPr>
            <w:r>
              <w:rPr>
                <w:rFonts w:ascii="Arial" w:cs="Arial" w:eastAsia="Arial" w:hAnsi="Arial"/>
                <w:sz w:val="22"/>
                <w:szCs w:val="22"/>
                <w:color w:val="auto"/>
              </w:rPr>
              <w:t>Section 2.2.</w:t>
            </w:r>
          </w:p>
        </w:tc>
        <w:tc>
          <w:tcPr>
            <w:tcW w:w="8820" w:type="dxa"/>
            <w:vAlign w:val="bottom"/>
          </w:tcPr>
          <w:p>
            <w:pPr>
              <w:ind w:left="180"/>
              <w:spacing w:after="0" w:line="243" w:lineRule="exact"/>
              <w:rPr>
                <w:sz w:val="20"/>
                <w:szCs w:val="20"/>
                <w:color w:val="auto"/>
              </w:rPr>
            </w:pPr>
            <w:r>
              <w:rPr>
                <w:rFonts w:ascii="Arial" w:cs="Arial" w:eastAsia="Arial" w:hAnsi="Arial"/>
                <w:sz w:val="22"/>
                <w:szCs w:val="22"/>
                <w:color w:val="auto"/>
              </w:rPr>
              <w:t>Name</w:t>
            </w:r>
          </w:p>
        </w:tc>
        <w:tc>
          <w:tcPr>
            <w:tcW w:w="940" w:type="dxa"/>
            <w:vAlign w:val="bottom"/>
          </w:tcPr>
          <w:p>
            <w:pPr>
              <w:jc w:val="right"/>
              <w:spacing w:after="0" w:line="243" w:lineRule="exact"/>
              <w:rPr>
                <w:sz w:val="20"/>
                <w:szCs w:val="20"/>
                <w:color w:val="auto"/>
              </w:rPr>
            </w:pPr>
            <w:r>
              <w:rPr>
                <w:rFonts w:ascii="Arial" w:cs="Arial" w:eastAsia="Arial" w:hAnsi="Arial"/>
                <w:sz w:val="22"/>
                <w:szCs w:val="22"/>
                <w:color w:val="auto"/>
              </w:rPr>
              <w:t>24</w:t>
            </w:r>
          </w:p>
        </w:tc>
      </w:tr>
      <w:tr>
        <w:trPr>
          <w:trHeight w:val="243"/>
        </w:trPr>
        <w:tc>
          <w:tcPr>
            <w:tcW w:w="1660" w:type="dxa"/>
            <w:vAlign w:val="bottom"/>
          </w:tcPr>
          <w:p>
            <w:pPr>
              <w:ind w:left="360"/>
              <w:spacing w:after="0" w:line="243" w:lineRule="exact"/>
              <w:rPr>
                <w:sz w:val="20"/>
                <w:szCs w:val="20"/>
                <w:color w:val="auto"/>
              </w:rPr>
            </w:pPr>
            <w:r>
              <w:rPr>
                <w:rFonts w:ascii="Arial" w:cs="Arial" w:eastAsia="Arial" w:hAnsi="Arial"/>
                <w:sz w:val="22"/>
                <w:szCs w:val="22"/>
                <w:color w:val="auto"/>
              </w:rPr>
              <w:t>Section 2.3.</w:t>
            </w:r>
          </w:p>
        </w:tc>
        <w:tc>
          <w:tcPr>
            <w:tcW w:w="8820" w:type="dxa"/>
            <w:vAlign w:val="bottom"/>
          </w:tcPr>
          <w:p>
            <w:pPr>
              <w:ind w:left="180"/>
              <w:spacing w:after="0" w:line="243" w:lineRule="exact"/>
              <w:rPr>
                <w:sz w:val="20"/>
                <w:szCs w:val="20"/>
                <w:color w:val="auto"/>
              </w:rPr>
            </w:pPr>
            <w:r>
              <w:rPr>
                <w:rFonts w:ascii="Arial" w:cs="Arial" w:eastAsia="Arial" w:hAnsi="Arial"/>
                <w:sz w:val="22"/>
                <w:szCs w:val="22"/>
                <w:color w:val="auto"/>
              </w:rPr>
              <w:t>Registered Office; Registered Agent; Principal Office; Other Offices</w:t>
            </w:r>
          </w:p>
        </w:tc>
        <w:tc>
          <w:tcPr>
            <w:tcW w:w="940" w:type="dxa"/>
            <w:vAlign w:val="bottom"/>
          </w:tcPr>
          <w:p>
            <w:pPr>
              <w:jc w:val="right"/>
              <w:spacing w:after="0" w:line="243" w:lineRule="exact"/>
              <w:rPr>
                <w:sz w:val="20"/>
                <w:szCs w:val="20"/>
                <w:color w:val="auto"/>
              </w:rPr>
            </w:pPr>
            <w:r>
              <w:rPr>
                <w:rFonts w:ascii="Arial" w:cs="Arial" w:eastAsia="Arial" w:hAnsi="Arial"/>
                <w:sz w:val="22"/>
                <w:szCs w:val="22"/>
                <w:color w:val="auto"/>
              </w:rPr>
              <w:t>24</w:t>
            </w:r>
          </w:p>
        </w:tc>
      </w:tr>
      <w:tr>
        <w:trPr>
          <w:trHeight w:val="243"/>
        </w:trPr>
        <w:tc>
          <w:tcPr>
            <w:tcW w:w="1660" w:type="dxa"/>
            <w:vAlign w:val="bottom"/>
          </w:tcPr>
          <w:p>
            <w:pPr>
              <w:ind w:left="360"/>
              <w:spacing w:after="0" w:line="243" w:lineRule="exact"/>
              <w:rPr>
                <w:sz w:val="20"/>
                <w:szCs w:val="20"/>
                <w:color w:val="auto"/>
              </w:rPr>
            </w:pPr>
            <w:r>
              <w:rPr>
                <w:rFonts w:ascii="Arial" w:cs="Arial" w:eastAsia="Arial" w:hAnsi="Arial"/>
                <w:sz w:val="22"/>
                <w:szCs w:val="22"/>
                <w:color w:val="auto"/>
              </w:rPr>
              <w:t>Section 2.4.</w:t>
            </w:r>
          </w:p>
        </w:tc>
        <w:tc>
          <w:tcPr>
            <w:tcW w:w="8820" w:type="dxa"/>
            <w:vAlign w:val="bottom"/>
          </w:tcPr>
          <w:p>
            <w:pPr>
              <w:ind w:left="180"/>
              <w:spacing w:after="0" w:line="243" w:lineRule="exact"/>
              <w:rPr>
                <w:sz w:val="20"/>
                <w:szCs w:val="20"/>
                <w:color w:val="auto"/>
              </w:rPr>
            </w:pPr>
            <w:r>
              <w:rPr>
                <w:rFonts w:ascii="Arial" w:cs="Arial" w:eastAsia="Arial" w:hAnsi="Arial"/>
                <w:sz w:val="22"/>
                <w:szCs w:val="22"/>
                <w:color w:val="auto"/>
              </w:rPr>
              <w:t>Purpose and Business</w:t>
            </w:r>
          </w:p>
        </w:tc>
        <w:tc>
          <w:tcPr>
            <w:tcW w:w="940" w:type="dxa"/>
            <w:vAlign w:val="bottom"/>
          </w:tcPr>
          <w:p>
            <w:pPr>
              <w:jc w:val="right"/>
              <w:spacing w:after="0" w:line="243" w:lineRule="exact"/>
              <w:rPr>
                <w:sz w:val="20"/>
                <w:szCs w:val="20"/>
                <w:color w:val="auto"/>
              </w:rPr>
            </w:pPr>
            <w:r>
              <w:rPr>
                <w:rFonts w:ascii="Arial" w:cs="Arial" w:eastAsia="Arial" w:hAnsi="Arial"/>
                <w:sz w:val="22"/>
                <w:szCs w:val="22"/>
                <w:color w:val="auto"/>
              </w:rPr>
              <w:t>25</w:t>
            </w:r>
          </w:p>
        </w:tc>
      </w:tr>
      <w:tr>
        <w:trPr>
          <w:trHeight w:val="243"/>
        </w:trPr>
        <w:tc>
          <w:tcPr>
            <w:tcW w:w="1660" w:type="dxa"/>
            <w:vAlign w:val="bottom"/>
          </w:tcPr>
          <w:p>
            <w:pPr>
              <w:ind w:left="360"/>
              <w:spacing w:after="0" w:line="243" w:lineRule="exact"/>
              <w:rPr>
                <w:sz w:val="20"/>
                <w:szCs w:val="20"/>
                <w:color w:val="auto"/>
              </w:rPr>
            </w:pPr>
            <w:r>
              <w:rPr>
                <w:rFonts w:ascii="Arial" w:cs="Arial" w:eastAsia="Arial" w:hAnsi="Arial"/>
                <w:sz w:val="22"/>
                <w:szCs w:val="22"/>
                <w:color w:val="auto"/>
              </w:rPr>
              <w:t>Section 2.5.</w:t>
            </w:r>
          </w:p>
        </w:tc>
        <w:tc>
          <w:tcPr>
            <w:tcW w:w="8820" w:type="dxa"/>
            <w:vAlign w:val="bottom"/>
          </w:tcPr>
          <w:p>
            <w:pPr>
              <w:ind w:left="180"/>
              <w:spacing w:after="0" w:line="243" w:lineRule="exact"/>
              <w:rPr>
                <w:sz w:val="20"/>
                <w:szCs w:val="20"/>
                <w:color w:val="auto"/>
              </w:rPr>
            </w:pPr>
            <w:r>
              <w:rPr>
                <w:rFonts w:ascii="Arial" w:cs="Arial" w:eastAsia="Arial" w:hAnsi="Arial"/>
                <w:sz w:val="22"/>
                <w:szCs w:val="22"/>
                <w:color w:val="auto"/>
              </w:rPr>
              <w:t>Powers</w:t>
            </w:r>
          </w:p>
        </w:tc>
        <w:tc>
          <w:tcPr>
            <w:tcW w:w="940" w:type="dxa"/>
            <w:vAlign w:val="bottom"/>
          </w:tcPr>
          <w:p>
            <w:pPr>
              <w:jc w:val="right"/>
              <w:spacing w:after="0" w:line="243" w:lineRule="exact"/>
              <w:rPr>
                <w:sz w:val="20"/>
                <w:szCs w:val="20"/>
                <w:color w:val="auto"/>
              </w:rPr>
            </w:pPr>
            <w:r>
              <w:rPr>
                <w:rFonts w:ascii="Arial" w:cs="Arial" w:eastAsia="Arial" w:hAnsi="Arial"/>
                <w:sz w:val="22"/>
                <w:szCs w:val="22"/>
                <w:color w:val="auto"/>
              </w:rPr>
              <w:t>25</w:t>
            </w:r>
          </w:p>
        </w:tc>
      </w:tr>
      <w:tr>
        <w:trPr>
          <w:trHeight w:val="243"/>
        </w:trPr>
        <w:tc>
          <w:tcPr>
            <w:tcW w:w="1660" w:type="dxa"/>
            <w:vAlign w:val="bottom"/>
          </w:tcPr>
          <w:p>
            <w:pPr>
              <w:ind w:left="360"/>
              <w:spacing w:after="0" w:line="243" w:lineRule="exact"/>
              <w:rPr>
                <w:sz w:val="20"/>
                <w:szCs w:val="20"/>
                <w:color w:val="auto"/>
              </w:rPr>
            </w:pPr>
            <w:r>
              <w:rPr>
                <w:rFonts w:ascii="Arial" w:cs="Arial" w:eastAsia="Arial" w:hAnsi="Arial"/>
                <w:sz w:val="22"/>
                <w:szCs w:val="22"/>
                <w:color w:val="auto"/>
              </w:rPr>
              <w:t>Section 2.6.</w:t>
            </w:r>
          </w:p>
        </w:tc>
        <w:tc>
          <w:tcPr>
            <w:tcW w:w="8820" w:type="dxa"/>
            <w:vAlign w:val="bottom"/>
          </w:tcPr>
          <w:p>
            <w:pPr>
              <w:ind w:left="180"/>
              <w:spacing w:after="0" w:line="243" w:lineRule="exact"/>
              <w:rPr>
                <w:sz w:val="20"/>
                <w:szCs w:val="20"/>
                <w:color w:val="auto"/>
              </w:rPr>
            </w:pPr>
            <w:r>
              <w:rPr>
                <w:rFonts w:ascii="Arial" w:cs="Arial" w:eastAsia="Arial" w:hAnsi="Arial"/>
                <w:sz w:val="22"/>
                <w:szCs w:val="22"/>
                <w:color w:val="auto"/>
              </w:rPr>
              <w:t>Term</w:t>
            </w:r>
          </w:p>
        </w:tc>
        <w:tc>
          <w:tcPr>
            <w:tcW w:w="940" w:type="dxa"/>
            <w:vAlign w:val="bottom"/>
          </w:tcPr>
          <w:p>
            <w:pPr>
              <w:jc w:val="right"/>
              <w:spacing w:after="0" w:line="243" w:lineRule="exact"/>
              <w:rPr>
                <w:sz w:val="20"/>
                <w:szCs w:val="20"/>
                <w:color w:val="auto"/>
              </w:rPr>
            </w:pPr>
            <w:r>
              <w:rPr>
                <w:rFonts w:ascii="Arial" w:cs="Arial" w:eastAsia="Arial" w:hAnsi="Arial"/>
                <w:sz w:val="22"/>
                <w:szCs w:val="22"/>
                <w:color w:val="auto"/>
              </w:rPr>
              <w:t>25</w:t>
            </w:r>
          </w:p>
        </w:tc>
      </w:tr>
      <w:tr>
        <w:trPr>
          <w:trHeight w:val="275"/>
        </w:trPr>
        <w:tc>
          <w:tcPr>
            <w:tcW w:w="1660" w:type="dxa"/>
            <w:vAlign w:val="bottom"/>
          </w:tcPr>
          <w:p>
            <w:pPr>
              <w:ind w:left="360"/>
              <w:spacing w:after="0"/>
              <w:rPr>
                <w:sz w:val="20"/>
                <w:szCs w:val="20"/>
                <w:color w:val="auto"/>
              </w:rPr>
            </w:pPr>
            <w:r>
              <w:rPr>
                <w:rFonts w:ascii="Arial" w:cs="Arial" w:eastAsia="Arial" w:hAnsi="Arial"/>
                <w:sz w:val="22"/>
                <w:szCs w:val="22"/>
                <w:color w:val="auto"/>
              </w:rPr>
              <w:t>Section 2.7.</w:t>
            </w:r>
          </w:p>
        </w:tc>
        <w:tc>
          <w:tcPr>
            <w:tcW w:w="8820" w:type="dxa"/>
            <w:vAlign w:val="bottom"/>
          </w:tcPr>
          <w:p>
            <w:pPr>
              <w:ind w:left="180"/>
              <w:spacing w:after="0"/>
              <w:rPr>
                <w:sz w:val="20"/>
                <w:szCs w:val="20"/>
                <w:color w:val="auto"/>
              </w:rPr>
            </w:pPr>
            <w:r>
              <w:rPr>
                <w:rFonts w:ascii="Arial" w:cs="Arial" w:eastAsia="Arial" w:hAnsi="Arial"/>
                <w:sz w:val="22"/>
                <w:szCs w:val="22"/>
                <w:color w:val="auto"/>
              </w:rPr>
              <w:t>Title to Partnership Assets</w:t>
            </w:r>
          </w:p>
        </w:tc>
        <w:tc>
          <w:tcPr>
            <w:tcW w:w="940" w:type="dxa"/>
            <w:vAlign w:val="bottom"/>
          </w:tcPr>
          <w:p>
            <w:pPr>
              <w:jc w:val="right"/>
              <w:spacing w:after="0"/>
              <w:rPr>
                <w:sz w:val="20"/>
                <w:szCs w:val="20"/>
                <w:color w:val="auto"/>
              </w:rPr>
            </w:pPr>
            <w:r>
              <w:rPr>
                <w:rFonts w:ascii="Arial" w:cs="Arial" w:eastAsia="Arial" w:hAnsi="Arial"/>
                <w:sz w:val="22"/>
                <w:szCs w:val="22"/>
                <w:color w:val="auto"/>
              </w:rPr>
              <w:t>25</w:t>
            </w:r>
          </w:p>
        </w:tc>
      </w:tr>
      <w:tr>
        <w:trPr>
          <w:trHeight w:val="455"/>
        </w:trPr>
        <w:tc>
          <w:tcPr>
            <w:tcW w:w="1660" w:type="dxa"/>
            <w:vAlign w:val="bottom"/>
          </w:tcPr>
          <w:p>
            <w:pPr>
              <w:spacing w:after="0"/>
              <w:rPr>
                <w:sz w:val="20"/>
                <w:szCs w:val="20"/>
                <w:color w:val="auto"/>
              </w:rPr>
            </w:pPr>
            <w:r>
              <w:rPr>
                <w:rFonts w:ascii="Arial" w:cs="Arial" w:eastAsia="Arial" w:hAnsi="Arial"/>
                <w:sz w:val="22"/>
                <w:szCs w:val="22"/>
                <w:color w:val="auto"/>
              </w:rPr>
              <w:t>ARTICLE III</w:t>
            </w:r>
          </w:p>
        </w:tc>
        <w:tc>
          <w:tcPr>
            <w:tcW w:w="8820" w:type="dxa"/>
            <w:vAlign w:val="bottom"/>
          </w:tcPr>
          <w:p>
            <w:pPr>
              <w:ind w:left="180"/>
              <w:spacing w:after="0"/>
              <w:rPr>
                <w:sz w:val="20"/>
                <w:szCs w:val="20"/>
                <w:color w:val="auto"/>
              </w:rPr>
            </w:pPr>
            <w:r>
              <w:rPr>
                <w:rFonts w:ascii="Arial" w:cs="Arial" w:eastAsia="Arial" w:hAnsi="Arial"/>
                <w:sz w:val="22"/>
                <w:szCs w:val="22"/>
                <w:color w:val="auto"/>
              </w:rPr>
              <w:t>RIGHTS OF LIMITED PARTNERS</w:t>
            </w:r>
          </w:p>
        </w:tc>
        <w:tc>
          <w:tcPr>
            <w:tcW w:w="940" w:type="dxa"/>
            <w:vAlign w:val="bottom"/>
          </w:tcPr>
          <w:p>
            <w:pPr>
              <w:jc w:val="right"/>
              <w:spacing w:after="0"/>
              <w:rPr>
                <w:sz w:val="20"/>
                <w:szCs w:val="20"/>
                <w:color w:val="auto"/>
              </w:rPr>
            </w:pPr>
            <w:r>
              <w:rPr>
                <w:rFonts w:ascii="Arial" w:cs="Arial" w:eastAsia="Arial" w:hAnsi="Arial"/>
                <w:sz w:val="22"/>
                <w:szCs w:val="22"/>
                <w:color w:val="auto"/>
              </w:rPr>
              <w:t>26</w:t>
            </w:r>
          </w:p>
        </w:tc>
      </w:tr>
      <w:tr>
        <w:trPr>
          <w:trHeight w:val="243"/>
        </w:trPr>
        <w:tc>
          <w:tcPr>
            <w:tcW w:w="1660" w:type="dxa"/>
            <w:vAlign w:val="bottom"/>
          </w:tcPr>
          <w:p>
            <w:pPr>
              <w:ind w:left="360"/>
              <w:spacing w:after="0" w:line="243" w:lineRule="exact"/>
              <w:rPr>
                <w:sz w:val="20"/>
                <w:szCs w:val="20"/>
                <w:color w:val="auto"/>
              </w:rPr>
            </w:pPr>
            <w:r>
              <w:rPr>
                <w:rFonts w:ascii="Arial" w:cs="Arial" w:eastAsia="Arial" w:hAnsi="Arial"/>
                <w:sz w:val="22"/>
                <w:szCs w:val="22"/>
                <w:color w:val="auto"/>
              </w:rPr>
              <w:t>Section 3.1.</w:t>
            </w:r>
          </w:p>
        </w:tc>
        <w:tc>
          <w:tcPr>
            <w:tcW w:w="8820" w:type="dxa"/>
            <w:vAlign w:val="bottom"/>
          </w:tcPr>
          <w:p>
            <w:pPr>
              <w:ind w:left="180"/>
              <w:spacing w:after="0" w:line="243" w:lineRule="exact"/>
              <w:rPr>
                <w:sz w:val="20"/>
                <w:szCs w:val="20"/>
                <w:color w:val="auto"/>
              </w:rPr>
            </w:pPr>
            <w:r>
              <w:rPr>
                <w:rFonts w:ascii="Arial" w:cs="Arial" w:eastAsia="Arial" w:hAnsi="Arial"/>
                <w:sz w:val="22"/>
                <w:szCs w:val="22"/>
                <w:color w:val="auto"/>
              </w:rPr>
              <w:t>Limitation of Liability</w:t>
            </w:r>
          </w:p>
        </w:tc>
        <w:tc>
          <w:tcPr>
            <w:tcW w:w="940" w:type="dxa"/>
            <w:vAlign w:val="bottom"/>
          </w:tcPr>
          <w:p>
            <w:pPr>
              <w:jc w:val="right"/>
              <w:spacing w:after="0" w:line="243" w:lineRule="exact"/>
              <w:rPr>
                <w:sz w:val="20"/>
                <w:szCs w:val="20"/>
                <w:color w:val="auto"/>
              </w:rPr>
            </w:pPr>
            <w:r>
              <w:rPr>
                <w:rFonts w:ascii="Arial" w:cs="Arial" w:eastAsia="Arial" w:hAnsi="Arial"/>
                <w:sz w:val="22"/>
                <w:szCs w:val="22"/>
                <w:color w:val="auto"/>
              </w:rPr>
              <w:t>26</w:t>
            </w:r>
          </w:p>
        </w:tc>
      </w:tr>
      <w:tr>
        <w:trPr>
          <w:trHeight w:val="243"/>
        </w:trPr>
        <w:tc>
          <w:tcPr>
            <w:tcW w:w="1660" w:type="dxa"/>
            <w:vAlign w:val="bottom"/>
          </w:tcPr>
          <w:p>
            <w:pPr>
              <w:ind w:left="360"/>
              <w:spacing w:after="0" w:line="243" w:lineRule="exact"/>
              <w:rPr>
                <w:sz w:val="20"/>
                <w:szCs w:val="20"/>
                <w:color w:val="auto"/>
              </w:rPr>
            </w:pPr>
            <w:r>
              <w:rPr>
                <w:rFonts w:ascii="Arial" w:cs="Arial" w:eastAsia="Arial" w:hAnsi="Arial"/>
                <w:sz w:val="22"/>
                <w:szCs w:val="22"/>
                <w:color w:val="auto"/>
              </w:rPr>
              <w:t>Section 3.2.</w:t>
            </w:r>
          </w:p>
        </w:tc>
        <w:tc>
          <w:tcPr>
            <w:tcW w:w="8820" w:type="dxa"/>
            <w:vAlign w:val="bottom"/>
          </w:tcPr>
          <w:p>
            <w:pPr>
              <w:ind w:left="180"/>
              <w:spacing w:after="0" w:line="243" w:lineRule="exact"/>
              <w:rPr>
                <w:sz w:val="20"/>
                <w:szCs w:val="20"/>
                <w:color w:val="auto"/>
              </w:rPr>
            </w:pPr>
            <w:r>
              <w:rPr>
                <w:rFonts w:ascii="Arial" w:cs="Arial" w:eastAsia="Arial" w:hAnsi="Arial"/>
                <w:sz w:val="22"/>
                <w:szCs w:val="22"/>
                <w:color w:val="auto"/>
              </w:rPr>
              <w:t>Management of Business</w:t>
            </w:r>
          </w:p>
        </w:tc>
        <w:tc>
          <w:tcPr>
            <w:tcW w:w="940" w:type="dxa"/>
            <w:vAlign w:val="bottom"/>
          </w:tcPr>
          <w:p>
            <w:pPr>
              <w:jc w:val="right"/>
              <w:spacing w:after="0" w:line="243" w:lineRule="exact"/>
              <w:rPr>
                <w:sz w:val="20"/>
                <w:szCs w:val="20"/>
                <w:color w:val="auto"/>
              </w:rPr>
            </w:pPr>
            <w:r>
              <w:rPr>
                <w:rFonts w:ascii="Arial" w:cs="Arial" w:eastAsia="Arial" w:hAnsi="Arial"/>
                <w:sz w:val="22"/>
                <w:szCs w:val="22"/>
                <w:color w:val="auto"/>
              </w:rPr>
              <w:t>26</w:t>
            </w:r>
          </w:p>
        </w:tc>
      </w:tr>
      <w:tr>
        <w:trPr>
          <w:trHeight w:val="243"/>
        </w:trPr>
        <w:tc>
          <w:tcPr>
            <w:tcW w:w="1660" w:type="dxa"/>
            <w:vAlign w:val="bottom"/>
          </w:tcPr>
          <w:p>
            <w:pPr>
              <w:ind w:left="360"/>
              <w:spacing w:after="0" w:line="243" w:lineRule="exact"/>
              <w:rPr>
                <w:sz w:val="20"/>
                <w:szCs w:val="20"/>
                <w:color w:val="auto"/>
              </w:rPr>
            </w:pPr>
            <w:r>
              <w:rPr>
                <w:rFonts w:ascii="Arial" w:cs="Arial" w:eastAsia="Arial" w:hAnsi="Arial"/>
                <w:sz w:val="22"/>
                <w:szCs w:val="22"/>
                <w:color w:val="auto"/>
              </w:rPr>
              <w:t>Section 3.3.</w:t>
            </w:r>
          </w:p>
        </w:tc>
        <w:tc>
          <w:tcPr>
            <w:tcW w:w="8820" w:type="dxa"/>
            <w:vAlign w:val="bottom"/>
          </w:tcPr>
          <w:p>
            <w:pPr>
              <w:ind w:left="180"/>
              <w:spacing w:after="0" w:line="243" w:lineRule="exact"/>
              <w:rPr>
                <w:sz w:val="20"/>
                <w:szCs w:val="20"/>
                <w:color w:val="auto"/>
              </w:rPr>
            </w:pPr>
            <w:r>
              <w:rPr>
                <w:rFonts w:ascii="Arial" w:cs="Arial" w:eastAsia="Arial" w:hAnsi="Arial"/>
                <w:sz w:val="22"/>
                <w:szCs w:val="22"/>
                <w:color w:val="auto"/>
              </w:rPr>
              <w:t>Outside Activities of the Limited Partners</w:t>
            </w:r>
          </w:p>
        </w:tc>
        <w:tc>
          <w:tcPr>
            <w:tcW w:w="940" w:type="dxa"/>
            <w:vAlign w:val="bottom"/>
          </w:tcPr>
          <w:p>
            <w:pPr>
              <w:jc w:val="right"/>
              <w:spacing w:after="0" w:line="243" w:lineRule="exact"/>
              <w:rPr>
                <w:sz w:val="20"/>
                <w:szCs w:val="20"/>
                <w:color w:val="auto"/>
              </w:rPr>
            </w:pPr>
            <w:r>
              <w:rPr>
                <w:rFonts w:ascii="Arial" w:cs="Arial" w:eastAsia="Arial" w:hAnsi="Arial"/>
                <w:sz w:val="22"/>
                <w:szCs w:val="22"/>
                <w:color w:val="auto"/>
              </w:rPr>
              <w:t>26</w:t>
            </w:r>
          </w:p>
        </w:tc>
      </w:tr>
      <w:tr>
        <w:trPr>
          <w:trHeight w:val="275"/>
        </w:trPr>
        <w:tc>
          <w:tcPr>
            <w:tcW w:w="1660" w:type="dxa"/>
            <w:vAlign w:val="bottom"/>
          </w:tcPr>
          <w:p>
            <w:pPr>
              <w:ind w:left="360"/>
              <w:spacing w:after="0"/>
              <w:rPr>
                <w:sz w:val="20"/>
                <w:szCs w:val="20"/>
                <w:color w:val="auto"/>
              </w:rPr>
            </w:pPr>
            <w:r>
              <w:rPr>
                <w:rFonts w:ascii="Arial" w:cs="Arial" w:eastAsia="Arial" w:hAnsi="Arial"/>
                <w:sz w:val="22"/>
                <w:szCs w:val="22"/>
                <w:color w:val="auto"/>
              </w:rPr>
              <w:t>Section 3.4.</w:t>
            </w:r>
          </w:p>
        </w:tc>
        <w:tc>
          <w:tcPr>
            <w:tcW w:w="8820" w:type="dxa"/>
            <w:vAlign w:val="bottom"/>
          </w:tcPr>
          <w:p>
            <w:pPr>
              <w:ind w:left="180"/>
              <w:spacing w:after="0"/>
              <w:rPr>
                <w:sz w:val="20"/>
                <w:szCs w:val="20"/>
                <w:color w:val="auto"/>
              </w:rPr>
            </w:pPr>
            <w:r>
              <w:rPr>
                <w:rFonts w:ascii="Arial" w:cs="Arial" w:eastAsia="Arial" w:hAnsi="Arial"/>
                <w:sz w:val="22"/>
                <w:szCs w:val="22"/>
                <w:color w:val="auto"/>
              </w:rPr>
              <w:t>Rights of Limited Partners</w:t>
            </w:r>
          </w:p>
        </w:tc>
        <w:tc>
          <w:tcPr>
            <w:tcW w:w="940" w:type="dxa"/>
            <w:vAlign w:val="bottom"/>
          </w:tcPr>
          <w:p>
            <w:pPr>
              <w:jc w:val="right"/>
              <w:spacing w:after="0"/>
              <w:rPr>
                <w:sz w:val="20"/>
                <w:szCs w:val="20"/>
                <w:color w:val="auto"/>
              </w:rPr>
            </w:pPr>
            <w:r>
              <w:rPr>
                <w:rFonts w:ascii="Arial" w:cs="Arial" w:eastAsia="Arial" w:hAnsi="Arial"/>
                <w:sz w:val="22"/>
                <w:szCs w:val="22"/>
                <w:color w:val="auto"/>
              </w:rPr>
              <w:t>26</w:t>
            </w:r>
          </w:p>
        </w:tc>
      </w:tr>
      <w:tr>
        <w:trPr>
          <w:trHeight w:val="455"/>
        </w:trPr>
        <w:tc>
          <w:tcPr>
            <w:tcW w:w="1660" w:type="dxa"/>
            <w:vAlign w:val="bottom"/>
          </w:tcPr>
          <w:p>
            <w:pPr>
              <w:spacing w:after="0"/>
              <w:rPr>
                <w:sz w:val="20"/>
                <w:szCs w:val="20"/>
                <w:color w:val="auto"/>
              </w:rPr>
            </w:pPr>
            <w:r>
              <w:rPr>
                <w:rFonts w:ascii="Arial" w:cs="Arial" w:eastAsia="Arial" w:hAnsi="Arial"/>
                <w:sz w:val="22"/>
                <w:szCs w:val="22"/>
                <w:color w:val="auto"/>
              </w:rPr>
              <w:t>ARTICLE IV</w:t>
            </w:r>
          </w:p>
        </w:tc>
        <w:tc>
          <w:tcPr>
            <w:tcW w:w="8820" w:type="dxa"/>
            <w:vAlign w:val="bottom"/>
          </w:tcPr>
          <w:p>
            <w:pPr>
              <w:ind w:left="180"/>
              <w:spacing w:after="0"/>
              <w:rPr>
                <w:sz w:val="20"/>
                <w:szCs w:val="20"/>
                <w:color w:val="auto"/>
              </w:rPr>
            </w:pPr>
            <w:r>
              <w:rPr>
                <w:rFonts w:ascii="Arial" w:cs="Arial" w:eastAsia="Arial" w:hAnsi="Arial"/>
                <w:sz w:val="22"/>
                <w:szCs w:val="22"/>
                <w:color w:val="auto"/>
              </w:rPr>
              <w:t>CERTIFICATES; RECORD HOLDERS; TRANSFER OF PARTNERSHIP INTERESTS</w:t>
            </w:r>
          </w:p>
        </w:tc>
        <w:tc>
          <w:tcPr>
            <w:tcW w:w="940" w:type="dxa"/>
            <w:vAlign w:val="bottom"/>
          </w:tcPr>
          <w:p>
            <w:pPr>
              <w:jc w:val="right"/>
              <w:spacing w:after="0"/>
              <w:rPr>
                <w:sz w:val="20"/>
                <w:szCs w:val="20"/>
                <w:color w:val="auto"/>
              </w:rPr>
            </w:pPr>
            <w:r>
              <w:rPr>
                <w:rFonts w:ascii="Arial" w:cs="Arial" w:eastAsia="Arial" w:hAnsi="Arial"/>
                <w:sz w:val="22"/>
                <w:szCs w:val="22"/>
                <w:color w:val="auto"/>
              </w:rPr>
              <w:t>27</w:t>
            </w:r>
          </w:p>
        </w:tc>
      </w:tr>
      <w:tr>
        <w:trPr>
          <w:trHeight w:val="243"/>
        </w:trPr>
        <w:tc>
          <w:tcPr>
            <w:tcW w:w="1660" w:type="dxa"/>
            <w:vAlign w:val="bottom"/>
          </w:tcPr>
          <w:p>
            <w:pPr>
              <w:ind w:left="360"/>
              <w:spacing w:after="0" w:line="243" w:lineRule="exact"/>
              <w:rPr>
                <w:sz w:val="20"/>
                <w:szCs w:val="20"/>
                <w:color w:val="auto"/>
              </w:rPr>
            </w:pPr>
            <w:r>
              <w:rPr>
                <w:rFonts w:ascii="Arial" w:cs="Arial" w:eastAsia="Arial" w:hAnsi="Arial"/>
                <w:sz w:val="22"/>
                <w:szCs w:val="22"/>
                <w:color w:val="auto"/>
              </w:rPr>
              <w:t>Section 4.1.</w:t>
            </w:r>
          </w:p>
        </w:tc>
        <w:tc>
          <w:tcPr>
            <w:tcW w:w="8820" w:type="dxa"/>
            <w:vAlign w:val="bottom"/>
          </w:tcPr>
          <w:p>
            <w:pPr>
              <w:ind w:left="180"/>
              <w:spacing w:after="0" w:line="243" w:lineRule="exact"/>
              <w:rPr>
                <w:sz w:val="20"/>
                <w:szCs w:val="20"/>
                <w:color w:val="auto"/>
              </w:rPr>
            </w:pPr>
            <w:r>
              <w:rPr>
                <w:rFonts w:ascii="Arial" w:cs="Arial" w:eastAsia="Arial" w:hAnsi="Arial"/>
                <w:sz w:val="22"/>
                <w:szCs w:val="22"/>
                <w:color w:val="auto"/>
              </w:rPr>
              <w:t>Certificates</w:t>
            </w:r>
          </w:p>
        </w:tc>
        <w:tc>
          <w:tcPr>
            <w:tcW w:w="940" w:type="dxa"/>
            <w:vAlign w:val="bottom"/>
          </w:tcPr>
          <w:p>
            <w:pPr>
              <w:jc w:val="right"/>
              <w:spacing w:after="0" w:line="243" w:lineRule="exact"/>
              <w:rPr>
                <w:sz w:val="20"/>
                <w:szCs w:val="20"/>
                <w:color w:val="auto"/>
              </w:rPr>
            </w:pPr>
            <w:r>
              <w:rPr>
                <w:rFonts w:ascii="Arial" w:cs="Arial" w:eastAsia="Arial" w:hAnsi="Arial"/>
                <w:sz w:val="22"/>
                <w:szCs w:val="22"/>
                <w:color w:val="auto"/>
              </w:rPr>
              <w:t>27</w:t>
            </w:r>
          </w:p>
        </w:tc>
      </w:tr>
      <w:tr>
        <w:trPr>
          <w:trHeight w:val="243"/>
        </w:trPr>
        <w:tc>
          <w:tcPr>
            <w:tcW w:w="1660" w:type="dxa"/>
            <w:vAlign w:val="bottom"/>
          </w:tcPr>
          <w:p>
            <w:pPr>
              <w:ind w:left="360"/>
              <w:spacing w:after="0" w:line="243" w:lineRule="exact"/>
              <w:rPr>
                <w:sz w:val="20"/>
                <w:szCs w:val="20"/>
                <w:color w:val="auto"/>
              </w:rPr>
            </w:pPr>
            <w:r>
              <w:rPr>
                <w:rFonts w:ascii="Arial" w:cs="Arial" w:eastAsia="Arial" w:hAnsi="Arial"/>
                <w:sz w:val="22"/>
                <w:szCs w:val="22"/>
                <w:color w:val="auto"/>
              </w:rPr>
              <w:t>Section 4.2.</w:t>
            </w:r>
          </w:p>
        </w:tc>
        <w:tc>
          <w:tcPr>
            <w:tcW w:w="8820" w:type="dxa"/>
            <w:vAlign w:val="bottom"/>
          </w:tcPr>
          <w:p>
            <w:pPr>
              <w:ind w:left="180"/>
              <w:spacing w:after="0" w:line="243" w:lineRule="exact"/>
              <w:rPr>
                <w:sz w:val="20"/>
                <w:szCs w:val="20"/>
                <w:color w:val="auto"/>
              </w:rPr>
            </w:pPr>
            <w:r>
              <w:rPr>
                <w:rFonts w:ascii="Arial" w:cs="Arial" w:eastAsia="Arial" w:hAnsi="Arial"/>
                <w:sz w:val="22"/>
                <w:szCs w:val="22"/>
                <w:color w:val="auto"/>
              </w:rPr>
              <w:t>Mutilated, Destroyed, Lost or Stolen Certificates</w:t>
            </w:r>
          </w:p>
        </w:tc>
        <w:tc>
          <w:tcPr>
            <w:tcW w:w="940" w:type="dxa"/>
            <w:vAlign w:val="bottom"/>
          </w:tcPr>
          <w:p>
            <w:pPr>
              <w:jc w:val="right"/>
              <w:spacing w:after="0" w:line="243" w:lineRule="exact"/>
              <w:rPr>
                <w:sz w:val="20"/>
                <w:szCs w:val="20"/>
                <w:color w:val="auto"/>
              </w:rPr>
            </w:pPr>
            <w:r>
              <w:rPr>
                <w:rFonts w:ascii="Arial" w:cs="Arial" w:eastAsia="Arial" w:hAnsi="Arial"/>
                <w:sz w:val="22"/>
                <w:szCs w:val="22"/>
                <w:color w:val="auto"/>
              </w:rPr>
              <w:t>27</w:t>
            </w:r>
          </w:p>
        </w:tc>
      </w:tr>
      <w:tr>
        <w:trPr>
          <w:trHeight w:val="243"/>
        </w:trPr>
        <w:tc>
          <w:tcPr>
            <w:tcW w:w="1660" w:type="dxa"/>
            <w:vAlign w:val="bottom"/>
          </w:tcPr>
          <w:p>
            <w:pPr>
              <w:ind w:left="360"/>
              <w:spacing w:after="0" w:line="243" w:lineRule="exact"/>
              <w:rPr>
                <w:sz w:val="20"/>
                <w:szCs w:val="20"/>
                <w:color w:val="auto"/>
              </w:rPr>
            </w:pPr>
            <w:r>
              <w:rPr>
                <w:rFonts w:ascii="Arial" w:cs="Arial" w:eastAsia="Arial" w:hAnsi="Arial"/>
                <w:sz w:val="22"/>
                <w:szCs w:val="22"/>
                <w:color w:val="auto"/>
              </w:rPr>
              <w:t>Section 4.3.</w:t>
            </w:r>
          </w:p>
        </w:tc>
        <w:tc>
          <w:tcPr>
            <w:tcW w:w="8820" w:type="dxa"/>
            <w:vAlign w:val="bottom"/>
          </w:tcPr>
          <w:p>
            <w:pPr>
              <w:ind w:left="180"/>
              <w:spacing w:after="0" w:line="243" w:lineRule="exact"/>
              <w:rPr>
                <w:sz w:val="20"/>
                <w:szCs w:val="20"/>
                <w:color w:val="auto"/>
              </w:rPr>
            </w:pPr>
            <w:r>
              <w:rPr>
                <w:rFonts w:ascii="Arial" w:cs="Arial" w:eastAsia="Arial" w:hAnsi="Arial"/>
                <w:sz w:val="22"/>
                <w:szCs w:val="22"/>
                <w:color w:val="auto"/>
              </w:rPr>
              <w:t>Record Holders</w:t>
            </w:r>
          </w:p>
        </w:tc>
        <w:tc>
          <w:tcPr>
            <w:tcW w:w="940" w:type="dxa"/>
            <w:vAlign w:val="bottom"/>
          </w:tcPr>
          <w:p>
            <w:pPr>
              <w:jc w:val="right"/>
              <w:spacing w:after="0" w:line="243" w:lineRule="exact"/>
              <w:rPr>
                <w:sz w:val="20"/>
                <w:szCs w:val="20"/>
                <w:color w:val="auto"/>
              </w:rPr>
            </w:pPr>
            <w:r>
              <w:rPr>
                <w:rFonts w:ascii="Arial" w:cs="Arial" w:eastAsia="Arial" w:hAnsi="Arial"/>
                <w:sz w:val="22"/>
                <w:szCs w:val="22"/>
                <w:color w:val="auto"/>
              </w:rPr>
              <w:t>28</w:t>
            </w:r>
          </w:p>
        </w:tc>
      </w:tr>
      <w:tr>
        <w:trPr>
          <w:trHeight w:val="243"/>
        </w:trPr>
        <w:tc>
          <w:tcPr>
            <w:tcW w:w="1660" w:type="dxa"/>
            <w:vAlign w:val="bottom"/>
          </w:tcPr>
          <w:p>
            <w:pPr>
              <w:ind w:left="360"/>
              <w:spacing w:after="0" w:line="243" w:lineRule="exact"/>
              <w:rPr>
                <w:sz w:val="20"/>
                <w:szCs w:val="20"/>
                <w:color w:val="auto"/>
              </w:rPr>
            </w:pPr>
            <w:r>
              <w:rPr>
                <w:rFonts w:ascii="Arial" w:cs="Arial" w:eastAsia="Arial" w:hAnsi="Arial"/>
                <w:sz w:val="22"/>
                <w:szCs w:val="22"/>
                <w:color w:val="auto"/>
              </w:rPr>
              <w:t>Section 4.4.</w:t>
            </w:r>
          </w:p>
        </w:tc>
        <w:tc>
          <w:tcPr>
            <w:tcW w:w="8820" w:type="dxa"/>
            <w:vAlign w:val="bottom"/>
          </w:tcPr>
          <w:p>
            <w:pPr>
              <w:ind w:left="180"/>
              <w:spacing w:after="0" w:line="243" w:lineRule="exact"/>
              <w:rPr>
                <w:sz w:val="20"/>
                <w:szCs w:val="20"/>
                <w:color w:val="auto"/>
              </w:rPr>
            </w:pPr>
            <w:r>
              <w:rPr>
                <w:rFonts w:ascii="Arial" w:cs="Arial" w:eastAsia="Arial" w:hAnsi="Arial"/>
                <w:sz w:val="22"/>
                <w:szCs w:val="22"/>
                <w:color w:val="auto"/>
              </w:rPr>
              <w:t>Transfer Generally</w:t>
            </w:r>
          </w:p>
        </w:tc>
        <w:tc>
          <w:tcPr>
            <w:tcW w:w="940" w:type="dxa"/>
            <w:vAlign w:val="bottom"/>
          </w:tcPr>
          <w:p>
            <w:pPr>
              <w:jc w:val="right"/>
              <w:spacing w:after="0" w:line="243" w:lineRule="exact"/>
              <w:rPr>
                <w:sz w:val="20"/>
                <w:szCs w:val="20"/>
                <w:color w:val="auto"/>
              </w:rPr>
            </w:pPr>
            <w:r>
              <w:rPr>
                <w:rFonts w:ascii="Arial" w:cs="Arial" w:eastAsia="Arial" w:hAnsi="Arial"/>
                <w:sz w:val="22"/>
                <w:szCs w:val="22"/>
                <w:color w:val="auto"/>
              </w:rPr>
              <w:t>28</w:t>
            </w:r>
          </w:p>
        </w:tc>
      </w:tr>
      <w:tr>
        <w:trPr>
          <w:trHeight w:val="243"/>
        </w:trPr>
        <w:tc>
          <w:tcPr>
            <w:tcW w:w="1660" w:type="dxa"/>
            <w:vAlign w:val="bottom"/>
          </w:tcPr>
          <w:p>
            <w:pPr>
              <w:ind w:left="360"/>
              <w:spacing w:after="0" w:line="243" w:lineRule="exact"/>
              <w:rPr>
                <w:sz w:val="20"/>
                <w:szCs w:val="20"/>
                <w:color w:val="auto"/>
              </w:rPr>
            </w:pPr>
            <w:r>
              <w:rPr>
                <w:rFonts w:ascii="Arial" w:cs="Arial" w:eastAsia="Arial" w:hAnsi="Arial"/>
                <w:sz w:val="22"/>
                <w:szCs w:val="22"/>
                <w:color w:val="auto"/>
              </w:rPr>
              <w:t>Section 4.5.</w:t>
            </w:r>
          </w:p>
        </w:tc>
        <w:tc>
          <w:tcPr>
            <w:tcW w:w="8820" w:type="dxa"/>
            <w:vAlign w:val="bottom"/>
          </w:tcPr>
          <w:p>
            <w:pPr>
              <w:ind w:left="180"/>
              <w:spacing w:after="0" w:line="243" w:lineRule="exact"/>
              <w:rPr>
                <w:sz w:val="20"/>
                <w:szCs w:val="20"/>
                <w:color w:val="auto"/>
              </w:rPr>
            </w:pPr>
            <w:r>
              <w:rPr>
                <w:rFonts w:ascii="Arial" w:cs="Arial" w:eastAsia="Arial" w:hAnsi="Arial"/>
                <w:sz w:val="22"/>
                <w:szCs w:val="22"/>
                <w:color w:val="auto"/>
              </w:rPr>
              <w:t>Registration and Transfer of Limited Partner Interests</w:t>
            </w:r>
          </w:p>
        </w:tc>
        <w:tc>
          <w:tcPr>
            <w:tcW w:w="940" w:type="dxa"/>
            <w:vAlign w:val="bottom"/>
          </w:tcPr>
          <w:p>
            <w:pPr>
              <w:jc w:val="right"/>
              <w:spacing w:after="0" w:line="243" w:lineRule="exact"/>
              <w:rPr>
                <w:sz w:val="20"/>
                <w:szCs w:val="20"/>
                <w:color w:val="auto"/>
              </w:rPr>
            </w:pPr>
            <w:r>
              <w:rPr>
                <w:rFonts w:ascii="Arial" w:cs="Arial" w:eastAsia="Arial" w:hAnsi="Arial"/>
                <w:sz w:val="22"/>
                <w:szCs w:val="22"/>
                <w:color w:val="auto"/>
              </w:rPr>
              <w:t>29</w:t>
            </w:r>
          </w:p>
        </w:tc>
      </w:tr>
      <w:tr>
        <w:trPr>
          <w:trHeight w:val="243"/>
        </w:trPr>
        <w:tc>
          <w:tcPr>
            <w:tcW w:w="1660" w:type="dxa"/>
            <w:vAlign w:val="bottom"/>
          </w:tcPr>
          <w:p>
            <w:pPr>
              <w:ind w:left="360"/>
              <w:spacing w:after="0" w:line="243" w:lineRule="exact"/>
              <w:rPr>
                <w:sz w:val="20"/>
                <w:szCs w:val="20"/>
                <w:color w:val="auto"/>
              </w:rPr>
            </w:pPr>
            <w:r>
              <w:rPr>
                <w:rFonts w:ascii="Arial" w:cs="Arial" w:eastAsia="Arial" w:hAnsi="Arial"/>
                <w:sz w:val="22"/>
                <w:szCs w:val="22"/>
                <w:color w:val="auto"/>
              </w:rPr>
              <w:t>Section 4.6.</w:t>
            </w:r>
          </w:p>
        </w:tc>
        <w:tc>
          <w:tcPr>
            <w:tcW w:w="8820" w:type="dxa"/>
            <w:vAlign w:val="bottom"/>
          </w:tcPr>
          <w:p>
            <w:pPr>
              <w:ind w:left="180"/>
              <w:spacing w:after="0" w:line="243" w:lineRule="exact"/>
              <w:rPr>
                <w:sz w:val="20"/>
                <w:szCs w:val="20"/>
                <w:color w:val="auto"/>
              </w:rPr>
            </w:pPr>
            <w:r>
              <w:rPr>
                <w:rFonts w:ascii="Arial" w:cs="Arial" w:eastAsia="Arial" w:hAnsi="Arial"/>
                <w:sz w:val="22"/>
                <w:szCs w:val="22"/>
                <w:color w:val="auto"/>
              </w:rPr>
              <w:t>Transfer of the General Partner’s General Partner Interest</w:t>
            </w:r>
          </w:p>
        </w:tc>
        <w:tc>
          <w:tcPr>
            <w:tcW w:w="940" w:type="dxa"/>
            <w:vAlign w:val="bottom"/>
          </w:tcPr>
          <w:p>
            <w:pPr>
              <w:jc w:val="right"/>
              <w:spacing w:after="0" w:line="243" w:lineRule="exact"/>
              <w:rPr>
                <w:sz w:val="20"/>
                <w:szCs w:val="20"/>
                <w:color w:val="auto"/>
              </w:rPr>
            </w:pPr>
            <w:r>
              <w:rPr>
                <w:rFonts w:ascii="Arial" w:cs="Arial" w:eastAsia="Arial" w:hAnsi="Arial"/>
                <w:sz w:val="22"/>
                <w:szCs w:val="22"/>
                <w:color w:val="auto"/>
              </w:rPr>
              <w:t>30</w:t>
            </w:r>
          </w:p>
        </w:tc>
      </w:tr>
      <w:tr>
        <w:trPr>
          <w:trHeight w:val="243"/>
        </w:trPr>
        <w:tc>
          <w:tcPr>
            <w:tcW w:w="1660" w:type="dxa"/>
            <w:vAlign w:val="bottom"/>
          </w:tcPr>
          <w:p>
            <w:pPr>
              <w:ind w:left="360"/>
              <w:spacing w:after="0" w:line="243" w:lineRule="exact"/>
              <w:rPr>
                <w:sz w:val="20"/>
                <w:szCs w:val="20"/>
                <w:color w:val="auto"/>
              </w:rPr>
            </w:pPr>
            <w:r>
              <w:rPr>
                <w:rFonts w:ascii="Arial" w:cs="Arial" w:eastAsia="Arial" w:hAnsi="Arial"/>
                <w:sz w:val="22"/>
                <w:szCs w:val="22"/>
                <w:color w:val="auto"/>
              </w:rPr>
              <w:t>Section 4.7.</w:t>
            </w:r>
          </w:p>
        </w:tc>
        <w:tc>
          <w:tcPr>
            <w:tcW w:w="8820" w:type="dxa"/>
            <w:vAlign w:val="bottom"/>
          </w:tcPr>
          <w:p>
            <w:pPr>
              <w:ind w:left="180"/>
              <w:spacing w:after="0" w:line="243" w:lineRule="exact"/>
              <w:rPr>
                <w:sz w:val="20"/>
                <w:szCs w:val="20"/>
                <w:color w:val="auto"/>
              </w:rPr>
            </w:pPr>
            <w:r>
              <w:rPr>
                <w:rFonts w:ascii="Arial" w:cs="Arial" w:eastAsia="Arial" w:hAnsi="Arial"/>
                <w:sz w:val="22"/>
                <w:szCs w:val="22"/>
                <w:color w:val="auto"/>
              </w:rPr>
              <w:t>Transfer of Incentive Distribution Rights</w:t>
            </w:r>
          </w:p>
        </w:tc>
        <w:tc>
          <w:tcPr>
            <w:tcW w:w="940" w:type="dxa"/>
            <w:vAlign w:val="bottom"/>
          </w:tcPr>
          <w:p>
            <w:pPr>
              <w:jc w:val="right"/>
              <w:spacing w:after="0" w:line="243" w:lineRule="exact"/>
              <w:rPr>
                <w:sz w:val="20"/>
                <w:szCs w:val="20"/>
                <w:color w:val="auto"/>
              </w:rPr>
            </w:pPr>
            <w:r>
              <w:rPr>
                <w:rFonts w:ascii="Arial" w:cs="Arial" w:eastAsia="Arial" w:hAnsi="Arial"/>
                <w:sz w:val="22"/>
                <w:szCs w:val="22"/>
                <w:color w:val="auto"/>
              </w:rPr>
              <w:t>31</w:t>
            </w:r>
          </w:p>
        </w:tc>
      </w:tr>
      <w:tr>
        <w:trPr>
          <w:trHeight w:val="275"/>
        </w:trPr>
        <w:tc>
          <w:tcPr>
            <w:tcW w:w="1660" w:type="dxa"/>
            <w:vAlign w:val="bottom"/>
          </w:tcPr>
          <w:p>
            <w:pPr>
              <w:ind w:left="360"/>
              <w:spacing w:after="0"/>
              <w:rPr>
                <w:sz w:val="20"/>
                <w:szCs w:val="20"/>
                <w:color w:val="auto"/>
              </w:rPr>
            </w:pPr>
            <w:r>
              <w:rPr>
                <w:rFonts w:ascii="Arial" w:cs="Arial" w:eastAsia="Arial" w:hAnsi="Arial"/>
                <w:sz w:val="22"/>
                <w:szCs w:val="22"/>
                <w:color w:val="auto"/>
              </w:rPr>
              <w:t>Section 4.8.</w:t>
            </w:r>
          </w:p>
        </w:tc>
        <w:tc>
          <w:tcPr>
            <w:tcW w:w="8820" w:type="dxa"/>
            <w:vAlign w:val="bottom"/>
          </w:tcPr>
          <w:p>
            <w:pPr>
              <w:ind w:left="180"/>
              <w:spacing w:after="0"/>
              <w:rPr>
                <w:sz w:val="20"/>
                <w:szCs w:val="20"/>
                <w:color w:val="auto"/>
              </w:rPr>
            </w:pPr>
            <w:r>
              <w:rPr>
                <w:rFonts w:ascii="Arial" w:cs="Arial" w:eastAsia="Arial" w:hAnsi="Arial"/>
                <w:sz w:val="22"/>
                <w:szCs w:val="22"/>
                <w:color w:val="auto"/>
              </w:rPr>
              <w:t>Restrictions on Transfers</w:t>
            </w:r>
          </w:p>
        </w:tc>
        <w:tc>
          <w:tcPr>
            <w:tcW w:w="940" w:type="dxa"/>
            <w:vAlign w:val="bottom"/>
          </w:tcPr>
          <w:p>
            <w:pPr>
              <w:jc w:val="right"/>
              <w:spacing w:after="0"/>
              <w:rPr>
                <w:sz w:val="20"/>
                <w:szCs w:val="20"/>
                <w:color w:val="auto"/>
              </w:rPr>
            </w:pPr>
            <w:r>
              <w:rPr>
                <w:rFonts w:ascii="Arial" w:cs="Arial" w:eastAsia="Arial" w:hAnsi="Arial"/>
                <w:sz w:val="22"/>
                <w:szCs w:val="22"/>
                <w:color w:val="auto"/>
              </w:rPr>
              <w:t>31</w:t>
            </w:r>
          </w:p>
        </w:tc>
      </w:tr>
      <w:tr>
        <w:trPr>
          <w:trHeight w:val="455"/>
        </w:trPr>
        <w:tc>
          <w:tcPr>
            <w:tcW w:w="1660" w:type="dxa"/>
            <w:vAlign w:val="bottom"/>
          </w:tcPr>
          <w:p>
            <w:pPr>
              <w:spacing w:after="0"/>
              <w:rPr>
                <w:sz w:val="20"/>
                <w:szCs w:val="20"/>
                <w:color w:val="auto"/>
              </w:rPr>
            </w:pPr>
            <w:r>
              <w:rPr>
                <w:rFonts w:ascii="Arial" w:cs="Arial" w:eastAsia="Arial" w:hAnsi="Arial"/>
                <w:sz w:val="22"/>
                <w:szCs w:val="22"/>
                <w:color w:val="auto"/>
              </w:rPr>
              <w:t>ARTICLE V</w:t>
            </w:r>
          </w:p>
        </w:tc>
        <w:tc>
          <w:tcPr>
            <w:tcW w:w="8820" w:type="dxa"/>
            <w:vAlign w:val="bottom"/>
          </w:tcPr>
          <w:p>
            <w:pPr>
              <w:ind w:left="180"/>
              <w:spacing w:after="0"/>
              <w:rPr>
                <w:sz w:val="20"/>
                <w:szCs w:val="20"/>
                <w:color w:val="auto"/>
              </w:rPr>
            </w:pPr>
            <w:r>
              <w:rPr>
                <w:rFonts w:ascii="Arial" w:cs="Arial" w:eastAsia="Arial" w:hAnsi="Arial"/>
                <w:sz w:val="22"/>
                <w:szCs w:val="22"/>
                <w:color w:val="auto"/>
              </w:rPr>
              <w:t>CAPITAL CONTRIBUTIONS AND ISSUANCE OF PARTNERSHIP INTERESTS</w:t>
            </w:r>
          </w:p>
        </w:tc>
        <w:tc>
          <w:tcPr>
            <w:tcW w:w="940" w:type="dxa"/>
            <w:vAlign w:val="bottom"/>
          </w:tcPr>
          <w:p>
            <w:pPr>
              <w:jc w:val="right"/>
              <w:spacing w:after="0"/>
              <w:rPr>
                <w:sz w:val="20"/>
                <w:szCs w:val="20"/>
                <w:color w:val="auto"/>
              </w:rPr>
            </w:pPr>
            <w:r>
              <w:rPr>
                <w:rFonts w:ascii="Arial" w:cs="Arial" w:eastAsia="Arial" w:hAnsi="Arial"/>
                <w:sz w:val="22"/>
                <w:szCs w:val="22"/>
                <w:color w:val="auto"/>
              </w:rPr>
              <w:t>31</w:t>
            </w:r>
          </w:p>
        </w:tc>
      </w:tr>
      <w:tr>
        <w:trPr>
          <w:trHeight w:val="243"/>
        </w:trPr>
        <w:tc>
          <w:tcPr>
            <w:tcW w:w="1660" w:type="dxa"/>
            <w:vAlign w:val="bottom"/>
          </w:tcPr>
          <w:p>
            <w:pPr>
              <w:ind w:left="360"/>
              <w:spacing w:after="0" w:line="243" w:lineRule="exact"/>
              <w:rPr>
                <w:sz w:val="20"/>
                <w:szCs w:val="20"/>
                <w:color w:val="auto"/>
              </w:rPr>
            </w:pPr>
            <w:r>
              <w:rPr>
                <w:rFonts w:ascii="Arial" w:cs="Arial" w:eastAsia="Arial" w:hAnsi="Arial"/>
                <w:sz w:val="22"/>
                <w:szCs w:val="22"/>
                <w:color w:val="auto"/>
              </w:rPr>
              <w:t>Section 5.1.</w:t>
            </w:r>
          </w:p>
        </w:tc>
        <w:tc>
          <w:tcPr>
            <w:tcW w:w="8820" w:type="dxa"/>
            <w:vAlign w:val="bottom"/>
          </w:tcPr>
          <w:p>
            <w:pPr>
              <w:ind w:left="180"/>
              <w:spacing w:after="0" w:line="243" w:lineRule="exact"/>
              <w:rPr>
                <w:sz w:val="20"/>
                <w:szCs w:val="20"/>
                <w:color w:val="auto"/>
              </w:rPr>
            </w:pPr>
            <w:r>
              <w:rPr>
                <w:rFonts w:ascii="Arial" w:cs="Arial" w:eastAsia="Arial" w:hAnsi="Arial"/>
                <w:sz w:val="22"/>
                <w:szCs w:val="22"/>
                <w:color w:val="auto"/>
              </w:rPr>
              <w:t>Contributions Prior to the Closing Date</w:t>
            </w:r>
          </w:p>
        </w:tc>
        <w:tc>
          <w:tcPr>
            <w:tcW w:w="940" w:type="dxa"/>
            <w:vAlign w:val="bottom"/>
          </w:tcPr>
          <w:p>
            <w:pPr>
              <w:jc w:val="right"/>
              <w:spacing w:after="0" w:line="243" w:lineRule="exact"/>
              <w:rPr>
                <w:sz w:val="20"/>
                <w:szCs w:val="20"/>
                <w:color w:val="auto"/>
              </w:rPr>
            </w:pPr>
            <w:r>
              <w:rPr>
                <w:rFonts w:ascii="Arial" w:cs="Arial" w:eastAsia="Arial" w:hAnsi="Arial"/>
                <w:sz w:val="22"/>
                <w:szCs w:val="22"/>
                <w:color w:val="auto"/>
              </w:rPr>
              <w:t>31</w:t>
            </w:r>
          </w:p>
        </w:tc>
      </w:tr>
      <w:tr>
        <w:trPr>
          <w:trHeight w:val="243"/>
        </w:trPr>
        <w:tc>
          <w:tcPr>
            <w:tcW w:w="1660" w:type="dxa"/>
            <w:vAlign w:val="bottom"/>
          </w:tcPr>
          <w:p>
            <w:pPr>
              <w:ind w:left="360"/>
              <w:spacing w:after="0" w:line="243" w:lineRule="exact"/>
              <w:rPr>
                <w:sz w:val="20"/>
                <w:szCs w:val="20"/>
                <w:color w:val="auto"/>
              </w:rPr>
            </w:pPr>
            <w:r>
              <w:rPr>
                <w:rFonts w:ascii="Arial" w:cs="Arial" w:eastAsia="Arial" w:hAnsi="Arial"/>
                <w:sz w:val="22"/>
                <w:szCs w:val="22"/>
                <w:color w:val="auto"/>
              </w:rPr>
              <w:t>Section 5.2.</w:t>
            </w:r>
          </w:p>
        </w:tc>
        <w:tc>
          <w:tcPr>
            <w:tcW w:w="8820" w:type="dxa"/>
            <w:vAlign w:val="bottom"/>
          </w:tcPr>
          <w:p>
            <w:pPr>
              <w:ind w:left="180"/>
              <w:spacing w:after="0" w:line="243" w:lineRule="exact"/>
              <w:rPr>
                <w:sz w:val="20"/>
                <w:szCs w:val="20"/>
                <w:color w:val="auto"/>
              </w:rPr>
            </w:pPr>
            <w:r>
              <w:rPr>
                <w:rFonts w:ascii="Arial" w:cs="Arial" w:eastAsia="Arial" w:hAnsi="Arial"/>
                <w:sz w:val="22"/>
                <w:szCs w:val="22"/>
                <w:color w:val="auto"/>
                <w:w w:val="99"/>
              </w:rPr>
              <w:t>Initial Unit Issuances; Tax Election; Initial Contributors and Redemption of Common Units</w:t>
            </w:r>
          </w:p>
        </w:tc>
        <w:tc>
          <w:tcPr>
            <w:tcW w:w="940" w:type="dxa"/>
            <w:vAlign w:val="bottom"/>
          </w:tcPr>
          <w:p>
            <w:pPr>
              <w:jc w:val="right"/>
              <w:spacing w:after="0" w:line="243" w:lineRule="exact"/>
              <w:rPr>
                <w:sz w:val="20"/>
                <w:szCs w:val="20"/>
                <w:color w:val="auto"/>
              </w:rPr>
            </w:pPr>
            <w:r>
              <w:rPr>
                <w:rFonts w:ascii="Arial" w:cs="Arial" w:eastAsia="Arial" w:hAnsi="Arial"/>
                <w:sz w:val="22"/>
                <w:szCs w:val="22"/>
                <w:color w:val="auto"/>
              </w:rPr>
              <w:t>31</w:t>
            </w:r>
          </w:p>
        </w:tc>
      </w:tr>
      <w:tr>
        <w:trPr>
          <w:trHeight w:val="243"/>
        </w:trPr>
        <w:tc>
          <w:tcPr>
            <w:tcW w:w="1660" w:type="dxa"/>
            <w:vAlign w:val="bottom"/>
          </w:tcPr>
          <w:p>
            <w:pPr>
              <w:ind w:left="360"/>
              <w:spacing w:after="0" w:line="243" w:lineRule="exact"/>
              <w:rPr>
                <w:sz w:val="20"/>
                <w:szCs w:val="20"/>
                <w:color w:val="auto"/>
              </w:rPr>
            </w:pPr>
            <w:r>
              <w:rPr>
                <w:rFonts w:ascii="Arial" w:cs="Arial" w:eastAsia="Arial" w:hAnsi="Arial"/>
                <w:sz w:val="22"/>
                <w:szCs w:val="22"/>
                <w:color w:val="auto"/>
              </w:rPr>
              <w:t>Section 5.3.</w:t>
            </w:r>
          </w:p>
        </w:tc>
        <w:tc>
          <w:tcPr>
            <w:tcW w:w="8820" w:type="dxa"/>
            <w:vAlign w:val="bottom"/>
          </w:tcPr>
          <w:p>
            <w:pPr>
              <w:ind w:left="180"/>
              <w:spacing w:after="0" w:line="243" w:lineRule="exact"/>
              <w:rPr>
                <w:sz w:val="20"/>
                <w:szCs w:val="20"/>
                <w:color w:val="auto"/>
              </w:rPr>
            </w:pPr>
            <w:r>
              <w:rPr>
                <w:rFonts w:ascii="Arial" w:cs="Arial" w:eastAsia="Arial" w:hAnsi="Arial"/>
                <w:sz w:val="22"/>
                <w:szCs w:val="22"/>
                <w:color w:val="auto"/>
              </w:rPr>
              <w:t>Interest and Withdrawal</w:t>
            </w:r>
          </w:p>
        </w:tc>
        <w:tc>
          <w:tcPr>
            <w:tcW w:w="940" w:type="dxa"/>
            <w:vAlign w:val="bottom"/>
          </w:tcPr>
          <w:p>
            <w:pPr>
              <w:jc w:val="right"/>
              <w:spacing w:after="0" w:line="243" w:lineRule="exact"/>
              <w:rPr>
                <w:sz w:val="20"/>
                <w:szCs w:val="20"/>
                <w:color w:val="auto"/>
              </w:rPr>
            </w:pPr>
            <w:r>
              <w:rPr>
                <w:rFonts w:ascii="Arial" w:cs="Arial" w:eastAsia="Arial" w:hAnsi="Arial"/>
                <w:sz w:val="22"/>
                <w:szCs w:val="22"/>
                <w:color w:val="auto"/>
              </w:rPr>
              <w:t>32</w:t>
            </w:r>
          </w:p>
        </w:tc>
      </w:tr>
      <w:tr>
        <w:trPr>
          <w:trHeight w:val="243"/>
        </w:trPr>
        <w:tc>
          <w:tcPr>
            <w:tcW w:w="1660" w:type="dxa"/>
            <w:vAlign w:val="bottom"/>
          </w:tcPr>
          <w:p>
            <w:pPr>
              <w:ind w:left="360"/>
              <w:spacing w:after="0" w:line="243" w:lineRule="exact"/>
              <w:rPr>
                <w:sz w:val="20"/>
                <w:szCs w:val="20"/>
                <w:color w:val="auto"/>
              </w:rPr>
            </w:pPr>
            <w:r>
              <w:rPr>
                <w:rFonts w:ascii="Arial" w:cs="Arial" w:eastAsia="Arial" w:hAnsi="Arial"/>
                <w:sz w:val="22"/>
                <w:szCs w:val="22"/>
                <w:color w:val="auto"/>
              </w:rPr>
              <w:t>Section 5.4.</w:t>
            </w:r>
          </w:p>
        </w:tc>
        <w:tc>
          <w:tcPr>
            <w:tcW w:w="8820" w:type="dxa"/>
            <w:vAlign w:val="bottom"/>
          </w:tcPr>
          <w:p>
            <w:pPr>
              <w:ind w:left="180"/>
              <w:spacing w:after="0" w:line="243" w:lineRule="exact"/>
              <w:rPr>
                <w:sz w:val="20"/>
                <w:szCs w:val="20"/>
                <w:color w:val="auto"/>
              </w:rPr>
            </w:pPr>
            <w:r>
              <w:rPr>
                <w:rFonts w:ascii="Arial" w:cs="Arial" w:eastAsia="Arial" w:hAnsi="Arial"/>
                <w:sz w:val="22"/>
                <w:szCs w:val="22"/>
                <w:color w:val="auto"/>
              </w:rPr>
              <w:t>Issuances of Additional Partnership Interests</w:t>
            </w:r>
          </w:p>
        </w:tc>
        <w:tc>
          <w:tcPr>
            <w:tcW w:w="940" w:type="dxa"/>
            <w:vAlign w:val="bottom"/>
          </w:tcPr>
          <w:p>
            <w:pPr>
              <w:jc w:val="right"/>
              <w:spacing w:after="0" w:line="243" w:lineRule="exact"/>
              <w:rPr>
                <w:sz w:val="20"/>
                <w:szCs w:val="20"/>
                <w:color w:val="auto"/>
              </w:rPr>
            </w:pPr>
            <w:r>
              <w:rPr>
                <w:rFonts w:ascii="Arial" w:cs="Arial" w:eastAsia="Arial" w:hAnsi="Arial"/>
                <w:sz w:val="22"/>
                <w:szCs w:val="22"/>
                <w:color w:val="auto"/>
              </w:rPr>
              <w:t>32</w:t>
            </w:r>
          </w:p>
        </w:tc>
      </w:tr>
      <w:tr>
        <w:trPr>
          <w:trHeight w:val="243"/>
        </w:trPr>
        <w:tc>
          <w:tcPr>
            <w:tcW w:w="1660" w:type="dxa"/>
            <w:vAlign w:val="bottom"/>
          </w:tcPr>
          <w:p>
            <w:pPr>
              <w:ind w:left="360"/>
              <w:spacing w:after="0" w:line="243" w:lineRule="exact"/>
              <w:rPr>
                <w:sz w:val="20"/>
                <w:szCs w:val="20"/>
                <w:color w:val="auto"/>
              </w:rPr>
            </w:pPr>
            <w:r>
              <w:rPr>
                <w:rFonts w:ascii="Arial" w:cs="Arial" w:eastAsia="Arial" w:hAnsi="Arial"/>
                <w:sz w:val="22"/>
                <w:szCs w:val="22"/>
                <w:color w:val="auto"/>
              </w:rPr>
              <w:t>Section 5.5.</w:t>
            </w:r>
          </w:p>
        </w:tc>
        <w:tc>
          <w:tcPr>
            <w:tcW w:w="8820" w:type="dxa"/>
            <w:vAlign w:val="bottom"/>
          </w:tcPr>
          <w:p>
            <w:pPr>
              <w:ind w:left="180"/>
              <w:spacing w:after="0" w:line="243" w:lineRule="exact"/>
              <w:rPr>
                <w:sz w:val="20"/>
                <w:szCs w:val="20"/>
                <w:color w:val="auto"/>
              </w:rPr>
            </w:pPr>
            <w:r>
              <w:rPr>
                <w:rFonts w:ascii="Arial" w:cs="Arial" w:eastAsia="Arial" w:hAnsi="Arial"/>
                <w:sz w:val="22"/>
                <w:szCs w:val="22"/>
                <w:color w:val="auto"/>
              </w:rPr>
              <w:t>Limitations on Issuance of Additional Partnership Interests</w:t>
            </w:r>
          </w:p>
        </w:tc>
        <w:tc>
          <w:tcPr>
            <w:tcW w:w="940" w:type="dxa"/>
            <w:vAlign w:val="bottom"/>
          </w:tcPr>
          <w:p>
            <w:pPr>
              <w:jc w:val="right"/>
              <w:spacing w:after="0" w:line="243" w:lineRule="exact"/>
              <w:rPr>
                <w:sz w:val="20"/>
                <w:szCs w:val="20"/>
                <w:color w:val="auto"/>
              </w:rPr>
            </w:pPr>
            <w:r>
              <w:rPr>
                <w:rFonts w:ascii="Arial" w:cs="Arial" w:eastAsia="Arial" w:hAnsi="Arial"/>
                <w:sz w:val="22"/>
                <w:szCs w:val="22"/>
                <w:color w:val="auto"/>
              </w:rPr>
              <w:t>33</w:t>
            </w:r>
          </w:p>
        </w:tc>
      </w:tr>
      <w:tr>
        <w:trPr>
          <w:trHeight w:val="243"/>
        </w:trPr>
        <w:tc>
          <w:tcPr>
            <w:tcW w:w="1660" w:type="dxa"/>
            <w:vAlign w:val="bottom"/>
          </w:tcPr>
          <w:p>
            <w:pPr>
              <w:ind w:left="360"/>
              <w:spacing w:after="0" w:line="243" w:lineRule="exact"/>
              <w:rPr>
                <w:sz w:val="20"/>
                <w:szCs w:val="20"/>
                <w:color w:val="auto"/>
              </w:rPr>
            </w:pPr>
            <w:r>
              <w:rPr>
                <w:rFonts w:ascii="Arial" w:cs="Arial" w:eastAsia="Arial" w:hAnsi="Arial"/>
                <w:sz w:val="22"/>
                <w:szCs w:val="22"/>
                <w:color w:val="auto"/>
              </w:rPr>
              <w:t>Section 5.6.</w:t>
            </w:r>
          </w:p>
        </w:tc>
        <w:tc>
          <w:tcPr>
            <w:tcW w:w="8820" w:type="dxa"/>
            <w:vAlign w:val="bottom"/>
          </w:tcPr>
          <w:p>
            <w:pPr>
              <w:ind w:left="180"/>
              <w:spacing w:after="0" w:line="243" w:lineRule="exact"/>
              <w:rPr>
                <w:sz w:val="20"/>
                <w:szCs w:val="20"/>
                <w:color w:val="auto"/>
              </w:rPr>
            </w:pPr>
            <w:r>
              <w:rPr>
                <w:rFonts w:ascii="Arial" w:cs="Arial" w:eastAsia="Arial" w:hAnsi="Arial"/>
                <w:sz w:val="22"/>
                <w:szCs w:val="22"/>
                <w:color w:val="auto"/>
              </w:rPr>
              <w:t>Conversion of Subordinated Units to Common Units</w:t>
            </w:r>
          </w:p>
        </w:tc>
        <w:tc>
          <w:tcPr>
            <w:tcW w:w="940" w:type="dxa"/>
            <w:vAlign w:val="bottom"/>
          </w:tcPr>
          <w:p>
            <w:pPr>
              <w:jc w:val="right"/>
              <w:spacing w:after="0" w:line="243" w:lineRule="exact"/>
              <w:rPr>
                <w:sz w:val="20"/>
                <w:szCs w:val="20"/>
                <w:color w:val="auto"/>
              </w:rPr>
            </w:pPr>
            <w:r>
              <w:rPr>
                <w:rFonts w:ascii="Arial" w:cs="Arial" w:eastAsia="Arial" w:hAnsi="Arial"/>
                <w:sz w:val="22"/>
                <w:szCs w:val="22"/>
                <w:color w:val="auto"/>
              </w:rPr>
              <w:t>33</w:t>
            </w:r>
          </w:p>
        </w:tc>
      </w:tr>
      <w:tr>
        <w:trPr>
          <w:trHeight w:val="243"/>
        </w:trPr>
        <w:tc>
          <w:tcPr>
            <w:tcW w:w="1660" w:type="dxa"/>
            <w:vAlign w:val="bottom"/>
          </w:tcPr>
          <w:p>
            <w:pPr>
              <w:ind w:left="360"/>
              <w:spacing w:after="0" w:line="243" w:lineRule="exact"/>
              <w:rPr>
                <w:sz w:val="20"/>
                <w:szCs w:val="20"/>
                <w:color w:val="auto"/>
              </w:rPr>
            </w:pPr>
            <w:r>
              <w:rPr>
                <w:rFonts w:ascii="Arial" w:cs="Arial" w:eastAsia="Arial" w:hAnsi="Arial"/>
                <w:sz w:val="22"/>
                <w:szCs w:val="22"/>
                <w:color w:val="auto"/>
              </w:rPr>
              <w:t>Section 5.7.</w:t>
            </w:r>
          </w:p>
        </w:tc>
        <w:tc>
          <w:tcPr>
            <w:tcW w:w="8820" w:type="dxa"/>
            <w:vAlign w:val="bottom"/>
          </w:tcPr>
          <w:p>
            <w:pPr>
              <w:ind w:left="180"/>
              <w:spacing w:after="0" w:line="243" w:lineRule="exact"/>
              <w:rPr>
                <w:sz w:val="20"/>
                <w:szCs w:val="20"/>
                <w:color w:val="auto"/>
              </w:rPr>
            </w:pPr>
            <w:r>
              <w:rPr>
                <w:rFonts w:ascii="Arial" w:cs="Arial" w:eastAsia="Arial" w:hAnsi="Arial"/>
                <w:sz w:val="22"/>
                <w:szCs w:val="22"/>
                <w:color w:val="auto"/>
              </w:rPr>
              <w:t>Limited Preemptive Right</w:t>
            </w:r>
          </w:p>
        </w:tc>
        <w:tc>
          <w:tcPr>
            <w:tcW w:w="940" w:type="dxa"/>
            <w:vAlign w:val="bottom"/>
          </w:tcPr>
          <w:p>
            <w:pPr>
              <w:jc w:val="right"/>
              <w:spacing w:after="0" w:line="243" w:lineRule="exact"/>
              <w:rPr>
                <w:sz w:val="20"/>
                <w:szCs w:val="20"/>
                <w:color w:val="auto"/>
              </w:rPr>
            </w:pPr>
            <w:r>
              <w:rPr>
                <w:rFonts w:ascii="Arial" w:cs="Arial" w:eastAsia="Arial" w:hAnsi="Arial"/>
                <w:sz w:val="22"/>
                <w:szCs w:val="22"/>
                <w:color w:val="auto"/>
              </w:rPr>
              <w:t>34</w:t>
            </w:r>
          </w:p>
        </w:tc>
      </w:tr>
      <w:tr>
        <w:trPr>
          <w:trHeight w:val="243"/>
        </w:trPr>
        <w:tc>
          <w:tcPr>
            <w:tcW w:w="1660" w:type="dxa"/>
            <w:vAlign w:val="bottom"/>
          </w:tcPr>
          <w:p>
            <w:pPr>
              <w:ind w:left="360"/>
              <w:spacing w:after="0" w:line="243" w:lineRule="exact"/>
              <w:rPr>
                <w:sz w:val="20"/>
                <w:szCs w:val="20"/>
                <w:color w:val="auto"/>
              </w:rPr>
            </w:pPr>
            <w:r>
              <w:rPr>
                <w:rFonts w:ascii="Arial" w:cs="Arial" w:eastAsia="Arial" w:hAnsi="Arial"/>
                <w:sz w:val="22"/>
                <w:szCs w:val="22"/>
                <w:color w:val="auto"/>
              </w:rPr>
              <w:t>Section 5.8.</w:t>
            </w:r>
          </w:p>
        </w:tc>
        <w:tc>
          <w:tcPr>
            <w:tcW w:w="8820" w:type="dxa"/>
            <w:vAlign w:val="bottom"/>
          </w:tcPr>
          <w:p>
            <w:pPr>
              <w:ind w:left="180"/>
              <w:spacing w:after="0" w:line="243" w:lineRule="exact"/>
              <w:rPr>
                <w:sz w:val="20"/>
                <w:szCs w:val="20"/>
                <w:color w:val="auto"/>
              </w:rPr>
            </w:pPr>
            <w:r>
              <w:rPr>
                <w:rFonts w:ascii="Arial" w:cs="Arial" w:eastAsia="Arial" w:hAnsi="Arial"/>
                <w:sz w:val="22"/>
                <w:szCs w:val="22"/>
                <w:color w:val="auto"/>
              </w:rPr>
              <w:t>Splits and Combinations</w:t>
            </w:r>
          </w:p>
        </w:tc>
        <w:tc>
          <w:tcPr>
            <w:tcW w:w="940" w:type="dxa"/>
            <w:vAlign w:val="bottom"/>
          </w:tcPr>
          <w:p>
            <w:pPr>
              <w:jc w:val="right"/>
              <w:spacing w:after="0" w:line="243" w:lineRule="exact"/>
              <w:rPr>
                <w:sz w:val="20"/>
                <w:szCs w:val="20"/>
                <w:color w:val="auto"/>
              </w:rPr>
            </w:pPr>
            <w:r>
              <w:rPr>
                <w:rFonts w:ascii="Arial" w:cs="Arial" w:eastAsia="Arial" w:hAnsi="Arial"/>
                <w:sz w:val="22"/>
                <w:szCs w:val="22"/>
                <w:color w:val="auto"/>
              </w:rPr>
              <w:t>34</w:t>
            </w:r>
          </w:p>
        </w:tc>
      </w:tr>
      <w:tr>
        <w:trPr>
          <w:trHeight w:val="243"/>
        </w:trPr>
        <w:tc>
          <w:tcPr>
            <w:tcW w:w="1660" w:type="dxa"/>
            <w:vAlign w:val="bottom"/>
          </w:tcPr>
          <w:p>
            <w:pPr>
              <w:ind w:left="360"/>
              <w:spacing w:after="0" w:line="243" w:lineRule="exact"/>
              <w:rPr>
                <w:sz w:val="20"/>
                <w:szCs w:val="20"/>
                <w:color w:val="auto"/>
              </w:rPr>
            </w:pPr>
            <w:r>
              <w:rPr>
                <w:rFonts w:ascii="Arial" w:cs="Arial" w:eastAsia="Arial" w:hAnsi="Arial"/>
                <w:sz w:val="22"/>
                <w:szCs w:val="22"/>
                <w:color w:val="auto"/>
              </w:rPr>
              <w:t>Section 5.9.</w:t>
            </w:r>
          </w:p>
        </w:tc>
        <w:tc>
          <w:tcPr>
            <w:tcW w:w="8820" w:type="dxa"/>
            <w:vAlign w:val="bottom"/>
          </w:tcPr>
          <w:p>
            <w:pPr>
              <w:ind w:left="180"/>
              <w:spacing w:after="0" w:line="243" w:lineRule="exact"/>
              <w:rPr>
                <w:sz w:val="20"/>
                <w:szCs w:val="20"/>
                <w:color w:val="auto"/>
              </w:rPr>
            </w:pPr>
            <w:r>
              <w:rPr>
                <w:rFonts w:ascii="Arial" w:cs="Arial" w:eastAsia="Arial" w:hAnsi="Arial"/>
                <w:sz w:val="22"/>
                <w:szCs w:val="22"/>
                <w:color w:val="auto"/>
              </w:rPr>
              <w:t>Fully Paid and Non-Assessable Nature of Limited Partner Interests</w:t>
            </w:r>
          </w:p>
        </w:tc>
        <w:tc>
          <w:tcPr>
            <w:tcW w:w="940" w:type="dxa"/>
            <w:vAlign w:val="bottom"/>
          </w:tcPr>
          <w:p>
            <w:pPr>
              <w:jc w:val="right"/>
              <w:spacing w:after="0" w:line="243" w:lineRule="exact"/>
              <w:rPr>
                <w:sz w:val="20"/>
                <w:szCs w:val="20"/>
                <w:color w:val="auto"/>
              </w:rPr>
            </w:pPr>
            <w:r>
              <w:rPr>
                <w:rFonts w:ascii="Arial" w:cs="Arial" w:eastAsia="Arial" w:hAnsi="Arial"/>
                <w:sz w:val="22"/>
                <w:szCs w:val="22"/>
                <w:color w:val="auto"/>
              </w:rPr>
              <w:t>35</w:t>
            </w:r>
          </w:p>
        </w:tc>
      </w:tr>
      <w:tr>
        <w:trPr>
          <w:trHeight w:val="275"/>
        </w:trPr>
        <w:tc>
          <w:tcPr>
            <w:tcW w:w="1660" w:type="dxa"/>
            <w:vAlign w:val="bottom"/>
          </w:tcPr>
          <w:p>
            <w:pPr>
              <w:ind w:left="360"/>
              <w:spacing w:after="0"/>
              <w:rPr>
                <w:sz w:val="20"/>
                <w:szCs w:val="20"/>
                <w:color w:val="auto"/>
              </w:rPr>
            </w:pPr>
            <w:r>
              <w:rPr>
                <w:rFonts w:ascii="Arial" w:cs="Arial" w:eastAsia="Arial" w:hAnsi="Arial"/>
                <w:sz w:val="22"/>
                <w:szCs w:val="22"/>
                <w:color w:val="auto"/>
                <w:w w:val="99"/>
              </w:rPr>
              <w:t>Section 5.10.</w:t>
            </w:r>
          </w:p>
        </w:tc>
        <w:tc>
          <w:tcPr>
            <w:tcW w:w="8820" w:type="dxa"/>
            <w:vAlign w:val="bottom"/>
          </w:tcPr>
          <w:p>
            <w:pPr>
              <w:ind w:left="180"/>
              <w:spacing w:after="0"/>
              <w:rPr>
                <w:sz w:val="20"/>
                <w:szCs w:val="20"/>
                <w:color w:val="auto"/>
              </w:rPr>
            </w:pPr>
            <w:r>
              <w:rPr>
                <w:rFonts w:ascii="Arial" w:cs="Arial" w:eastAsia="Arial" w:hAnsi="Arial"/>
                <w:sz w:val="22"/>
                <w:szCs w:val="22"/>
                <w:color w:val="auto"/>
              </w:rPr>
              <w:t>Issuance of Common Units in Connection with Reset of Incentive Distribution Rights</w:t>
            </w:r>
          </w:p>
        </w:tc>
        <w:tc>
          <w:tcPr>
            <w:tcW w:w="940" w:type="dxa"/>
            <w:vAlign w:val="bottom"/>
          </w:tcPr>
          <w:p>
            <w:pPr>
              <w:jc w:val="right"/>
              <w:spacing w:after="0"/>
              <w:rPr>
                <w:sz w:val="20"/>
                <w:szCs w:val="20"/>
                <w:color w:val="auto"/>
              </w:rPr>
            </w:pPr>
            <w:r>
              <w:rPr>
                <w:rFonts w:ascii="Arial" w:cs="Arial" w:eastAsia="Arial" w:hAnsi="Arial"/>
                <w:sz w:val="22"/>
                <w:szCs w:val="22"/>
                <w:color w:val="auto"/>
              </w:rPr>
              <w:t>35</w:t>
            </w:r>
          </w:p>
        </w:tc>
      </w:tr>
    </w:tbl>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53"/>
        </w:trPr>
        <w:tc>
          <w:tcPr>
            <w:tcW w:w="1660" w:type="dxa"/>
            <w:vAlign w:val="bottom"/>
          </w:tcPr>
          <w:p>
            <w:pPr>
              <w:spacing w:after="0"/>
              <w:rPr>
                <w:sz w:val="20"/>
                <w:szCs w:val="20"/>
                <w:color w:val="auto"/>
              </w:rPr>
            </w:pPr>
            <w:r>
              <w:rPr>
                <w:rFonts w:ascii="Arial" w:cs="Arial" w:eastAsia="Arial" w:hAnsi="Arial"/>
                <w:sz w:val="22"/>
                <w:szCs w:val="22"/>
                <w:color w:val="auto"/>
              </w:rPr>
              <w:t>ARTICLE VI</w:t>
            </w:r>
          </w:p>
        </w:tc>
        <w:tc>
          <w:tcPr>
            <w:tcW w:w="9060" w:type="dxa"/>
            <w:vAlign w:val="bottom"/>
          </w:tcPr>
          <w:p>
            <w:pPr>
              <w:ind w:left="180"/>
              <w:spacing w:after="0"/>
              <w:rPr>
                <w:sz w:val="20"/>
                <w:szCs w:val="20"/>
                <w:color w:val="auto"/>
              </w:rPr>
            </w:pPr>
            <w:r>
              <w:rPr>
                <w:rFonts w:ascii="Arial" w:cs="Arial" w:eastAsia="Arial" w:hAnsi="Arial"/>
                <w:sz w:val="22"/>
                <w:szCs w:val="22"/>
                <w:color w:val="auto"/>
              </w:rPr>
              <w:t>DISTRIBUTIONS</w:t>
            </w:r>
          </w:p>
        </w:tc>
        <w:tc>
          <w:tcPr>
            <w:tcW w:w="700" w:type="dxa"/>
            <w:vAlign w:val="bottom"/>
          </w:tcPr>
          <w:p>
            <w:pPr>
              <w:jc w:val="right"/>
              <w:spacing w:after="0"/>
              <w:rPr>
                <w:sz w:val="20"/>
                <w:szCs w:val="20"/>
                <w:color w:val="auto"/>
              </w:rPr>
            </w:pPr>
            <w:r>
              <w:rPr>
                <w:rFonts w:ascii="Arial" w:cs="Arial" w:eastAsia="Arial" w:hAnsi="Arial"/>
                <w:sz w:val="22"/>
                <w:szCs w:val="22"/>
                <w:color w:val="auto"/>
              </w:rPr>
              <w:t>37</w:t>
            </w:r>
          </w:p>
        </w:tc>
      </w:tr>
      <w:tr>
        <w:trPr>
          <w:trHeight w:val="243"/>
        </w:trPr>
        <w:tc>
          <w:tcPr>
            <w:tcW w:w="1660" w:type="dxa"/>
            <w:vAlign w:val="bottom"/>
          </w:tcPr>
          <w:p>
            <w:pPr>
              <w:ind w:left="360"/>
              <w:spacing w:after="0" w:line="243" w:lineRule="exact"/>
              <w:rPr>
                <w:sz w:val="20"/>
                <w:szCs w:val="20"/>
                <w:color w:val="auto"/>
              </w:rPr>
            </w:pPr>
            <w:r>
              <w:rPr>
                <w:rFonts w:ascii="Arial" w:cs="Arial" w:eastAsia="Arial" w:hAnsi="Arial"/>
                <w:sz w:val="22"/>
                <w:szCs w:val="22"/>
                <w:color w:val="auto"/>
              </w:rPr>
              <w:t>Section 6.1.</w:t>
            </w:r>
          </w:p>
        </w:tc>
        <w:tc>
          <w:tcPr>
            <w:tcW w:w="9060" w:type="dxa"/>
            <w:vAlign w:val="bottom"/>
          </w:tcPr>
          <w:p>
            <w:pPr>
              <w:ind w:left="180"/>
              <w:spacing w:after="0" w:line="243" w:lineRule="exact"/>
              <w:rPr>
                <w:sz w:val="20"/>
                <w:szCs w:val="20"/>
                <w:color w:val="auto"/>
              </w:rPr>
            </w:pPr>
            <w:r>
              <w:rPr>
                <w:rFonts w:ascii="Arial" w:cs="Arial" w:eastAsia="Arial" w:hAnsi="Arial"/>
                <w:sz w:val="22"/>
                <w:szCs w:val="22"/>
                <w:color w:val="auto"/>
              </w:rPr>
              <w:t>Allocations</w:t>
            </w:r>
          </w:p>
        </w:tc>
        <w:tc>
          <w:tcPr>
            <w:tcW w:w="700" w:type="dxa"/>
            <w:vAlign w:val="bottom"/>
          </w:tcPr>
          <w:p>
            <w:pPr>
              <w:jc w:val="right"/>
              <w:spacing w:after="0" w:line="243" w:lineRule="exact"/>
              <w:rPr>
                <w:sz w:val="20"/>
                <w:szCs w:val="20"/>
                <w:color w:val="auto"/>
              </w:rPr>
            </w:pPr>
            <w:r>
              <w:rPr>
                <w:rFonts w:ascii="Arial" w:cs="Arial" w:eastAsia="Arial" w:hAnsi="Arial"/>
                <w:sz w:val="22"/>
                <w:szCs w:val="22"/>
                <w:color w:val="auto"/>
              </w:rPr>
              <w:t>37</w:t>
            </w:r>
          </w:p>
        </w:tc>
      </w:tr>
      <w:tr>
        <w:trPr>
          <w:trHeight w:val="243"/>
        </w:trPr>
        <w:tc>
          <w:tcPr>
            <w:tcW w:w="1660" w:type="dxa"/>
            <w:vAlign w:val="bottom"/>
          </w:tcPr>
          <w:p>
            <w:pPr>
              <w:ind w:left="360"/>
              <w:spacing w:after="0" w:line="243" w:lineRule="exact"/>
              <w:rPr>
                <w:sz w:val="20"/>
                <w:szCs w:val="20"/>
                <w:color w:val="auto"/>
              </w:rPr>
            </w:pPr>
            <w:r>
              <w:rPr>
                <w:rFonts w:ascii="Arial" w:cs="Arial" w:eastAsia="Arial" w:hAnsi="Arial"/>
                <w:sz w:val="22"/>
                <w:szCs w:val="22"/>
                <w:color w:val="auto"/>
              </w:rPr>
              <w:t>Section 6.2.</w:t>
            </w:r>
          </w:p>
        </w:tc>
        <w:tc>
          <w:tcPr>
            <w:tcW w:w="9060" w:type="dxa"/>
            <w:vAlign w:val="bottom"/>
          </w:tcPr>
          <w:p>
            <w:pPr>
              <w:ind w:left="180"/>
              <w:spacing w:after="0" w:line="243" w:lineRule="exact"/>
              <w:rPr>
                <w:sz w:val="20"/>
                <w:szCs w:val="20"/>
                <w:color w:val="auto"/>
              </w:rPr>
            </w:pPr>
            <w:r>
              <w:rPr>
                <w:rFonts w:ascii="Arial" w:cs="Arial" w:eastAsia="Arial" w:hAnsi="Arial"/>
                <w:sz w:val="22"/>
                <w:szCs w:val="22"/>
                <w:color w:val="auto"/>
              </w:rPr>
              <w:t>Requirement and Characterization of Distributions; Distributions to Record Holders</w:t>
            </w:r>
          </w:p>
        </w:tc>
        <w:tc>
          <w:tcPr>
            <w:tcW w:w="700" w:type="dxa"/>
            <w:vAlign w:val="bottom"/>
          </w:tcPr>
          <w:p>
            <w:pPr>
              <w:jc w:val="right"/>
              <w:spacing w:after="0" w:line="243" w:lineRule="exact"/>
              <w:rPr>
                <w:sz w:val="20"/>
                <w:szCs w:val="20"/>
                <w:color w:val="auto"/>
              </w:rPr>
            </w:pPr>
            <w:r>
              <w:rPr>
                <w:rFonts w:ascii="Arial" w:cs="Arial" w:eastAsia="Arial" w:hAnsi="Arial"/>
                <w:sz w:val="22"/>
                <w:szCs w:val="22"/>
                <w:color w:val="auto"/>
              </w:rPr>
              <w:t>37</w:t>
            </w:r>
          </w:p>
        </w:tc>
      </w:tr>
      <w:tr>
        <w:trPr>
          <w:trHeight w:val="243"/>
        </w:trPr>
        <w:tc>
          <w:tcPr>
            <w:tcW w:w="1660" w:type="dxa"/>
            <w:vAlign w:val="bottom"/>
          </w:tcPr>
          <w:p>
            <w:pPr>
              <w:ind w:left="360"/>
              <w:spacing w:after="0" w:line="243" w:lineRule="exact"/>
              <w:rPr>
                <w:sz w:val="20"/>
                <w:szCs w:val="20"/>
                <w:color w:val="auto"/>
              </w:rPr>
            </w:pPr>
            <w:r>
              <w:rPr>
                <w:rFonts w:ascii="Arial" w:cs="Arial" w:eastAsia="Arial" w:hAnsi="Arial"/>
                <w:sz w:val="22"/>
                <w:szCs w:val="22"/>
                <w:color w:val="auto"/>
              </w:rPr>
              <w:t>Section 6.3.</w:t>
            </w:r>
          </w:p>
        </w:tc>
        <w:tc>
          <w:tcPr>
            <w:tcW w:w="9060" w:type="dxa"/>
            <w:vAlign w:val="bottom"/>
          </w:tcPr>
          <w:p>
            <w:pPr>
              <w:ind w:left="180"/>
              <w:spacing w:after="0" w:line="243" w:lineRule="exact"/>
              <w:rPr>
                <w:sz w:val="20"/>
                <w:szCs w:val="20"/>
                <w:color w:val="auto"/>
              </w:rPr>
            </w:pPr>
            <w:r>
              <w:rPr>
                <w:rFonts w:ascii="Arial" w:cs="Arial" w:eastAsia="Arial" w:hAnsi="Arial"/>
                <w:sz w:val="22"/>
                <w:szCs w:val="22"/>
                <w:color w:val="auto"/>
              </w:rPr>
              <w:t>Distributions of Available Cash from Operating Surplus</w:t>
            </w:r>
          </w:p>
        </w:tc>
        <w:tc>
          <w:tcPr>
            <w:tcW w:w="700" w:type="dxa"/>
            <w:vAlign w:val="bottom"/>
          </w:tcPr>
          <w:p>
            <w:pPr>
              <w:jc w:val="right"/>
              <w:spacing w:after="0" w:line="243" w:lineRule="exact"/>
              <w:rPr>
                <w:sz w:val="20"/>
                <w:szCs w:val="20"/>
                <w:color w:val="auto"/>
              </w:rPr>
            </w:pPr>
            <w:r>
              <w:rPr>
                <w:rFonts w:ascii="Arial" w:cs="Arial" w:eastAsia="Arial" w:hAnsi="Arial"/>
                <w:sz w:val="22"/>
                <w:szCs w:val="22"/>
                <w:color w:val="auto"/>
              </w:rPr>
              <w:t>38</w:t>
            </w:r>
          </w:p>
        </w:tc>
      </w:tr>
      <w:tr>
        <w:trPr>
          <w:trHeight w:val="243"/>
        </w:trPr>
        <w:tc>
          <w:tcPr>
            <w:tcW w:w="1660" w:type="dxa"/>
            <w:vAlign w:val="bottom"/>
          </w:tcPr>
          <w:p>
            <w:pPr>
              <w:ind w:left="360"/>
              <w:spacing w:after="0" w:line="243" w:lineRule="exact"/>
              <w:rPr>
                <w:sz w:val="20"/>
                <w:szCs w:val="20"/>
                <w:color w:val="auto"/>
              </w:rPr>
            </w:pPr>
            <w:r>
              <w:rPr>
                <w:rFonts w:ascii="Arial" w:cs="Arial" w:eastAsia="Arial" w:hAnsi="Arial"/>
                <w:sz w:val="22"/>
                <w:szCs w:val="22"/>
                <w:color w:val="auto"/>
              </w:rPr>
              <w:t>Section 6.4.</w:t>
            </w:r>
          </w:p>
        </w:tc>
        <w:tc>
          <w:tcPr>
            <w:tcW w:w="9060" w:type="dxa"/>
            <w:vAlign w:val="bottom"/>
          </w:tcPr>
          <w:p>
            <w:pPr>
              <w:ind w:left="180"/>
              <w:spacing w:after="0" w:line="243" w:lineRule="exact"/>
              <w:rPr>
                <w:sz w:val="20"/>
                <w:szCs w:val="20"/>
                <w:color w:val="auto"/>
              </w:rPr>
            </w:pPr>
            <w:r>
              <w:rPr>
                <w:rFonts w:ascii="Arial" w:cs="Arial" w:eastAsia="Arial" w:hAnsi="Arial"/>
                <w:sz w:val="22"/>
                <w:szCs w:val="22"/>
                <w:color w:val="auto"/>
              </w:rPr>
              <w:t>Distributions of Available Cash from Capital Surplus</w:t>
            </w:r>
          </w:p>
        </w:tc>
        <w:tc>
          <w:tcPr>
            <w:tcW w:w="700" w:type="dxa"/>
            <w:vAlign w:val="bottom"/>
          </w:tcPr>
          <w:p>
            <w:pPr>
              <w:jc w:val="right"/>
              <w:spacing w:after="0" w:line="243" w:lineRule="exact"/>
              <w:rPr>
                <w:sz w:val="20"/>
                <w:szCs w:val="20"/>
                <w:color w:val="auto"/>
              </w:rPr>
            </w:pPr>
            <w:r>
              <w:rPr>
                <w:rFonts w:ascii="Arial" w:cs="Arial" w:eastAsia="Arial" w:hAnsi="Arial"/>
                <w:sz w:val="22"/>
                <w:szCs w:val="22"/>
                <w:color w:val="auto"/>
              </w:rPr>
              <w:t>40</w:t>
            </w:r>
          </w:p>
        </w:tc>
      </w:tr>
      <w:tr>
        <w:trPr>
          <w:trHeight w:val="243"/>
        </w:trPr>
        <w:tc>
          <w:tcPr>
            <w:tcW w:w="1660" w:type="dxa"/>
            <w:vAlign w:val="bottom"/>
          </w:tcPr>
          <w:p>
            <w:pPr>
              <w:ind w:left="360"/>
              <w:spacing w:after="0" w:line="243" w:lineRule="exact"/>
              <w:rPr>
                <w:sz w:val="20"/>
                <w:szCs w:val="20"/>
                <w:color w:val="auto"/>
              </w:rPr>
            </w:pPr>
            <w:r>
              <w:rPr>
                <w:rFonts w:ascii="Arial" w:cs="Arial" w:eastAsia="Arial" w:hAnsi="Arial"/>
                <w:sz w:val="22"/>
                <w:szCs w:val="22"/>
                <w:color w:val="auto"/>
              </w:rPr>
              <w:t>Section 6.5.</w:t>
            </w:r>
          </w:p>
        </w:tc>
        <w:tc>
          <w:tcPr>
            <w:tcW w:w="9060" w:type="dxa"/>
            <w:vAlign w:val="bottom"/>
          </w:tcPr>
          <w:p>
            <w:pPr>
              <w:ind w:left="180"/>
              <w:spacing w:after="0" w:line="243" w:lineRule="exact"/>
              <w:rPr>
                <w:sz w:val="20"/>
                <w:szCs w:val="20"/>
                <w:color w:val="auto"/>
              </w:rPr>
            </w:pPr>
            <w:r>
              <w:rPr>
                <w:rFonts w:ascii="Arial" w:cs="Arial" w:eastAsia="Arial" w:hAnsi="Arial"/>
                <w:sz w:val="22"/>
                <w:szCs w:val="22"/>
                <w:color w:val="auto"/>
              </w:rPr>
              <w:t>Adjustment of Minimum Quarterly Distribution and Target Distribution Levels</w:t>
            </w:r>
          </w:p>
        </w:tc>
        <w:tc>
          <w:tcPr>
            <w:tcW w:w="700" w:type="dxa"/>
            <w:vAlign w:val="bottom"/>
          </w:tcPr>
          <w:p>
            <w:pPr>
              <w:jc w:val="right"/>
              <w:spacing w:after="0" w:line="243" w:lineRule="exact"/>
              <w:rPr>
                <w:sz w:val="20"/>
                <w:szCs w:val="20"/>
                <w:color w:val="auto"/>
              </w:rPr>
            </w:pPr>
            <w:r>
              <w:rPr>
                <w:rFonts w:ascii="Arial" w:cs="Arial" w:eastAsia="Arial" w:hAnsi="Arial"/>
                <w:sz w:val="22"/>
                <w:szCs w:val="22"/>
                <w:color w:val="auto"/>
              </w:rPr>
              <w:t>40</w:t>
            </w:r>
          </w:p>
        </w:tc>
      </w:tr>
      <w:tr>
        <w:trPr>
          <w:trHeight w:val="243"/>
        </w:trPr>
        <w:tc>
          <w:tcPr>
            <w:tcW w:w="1660" w:type="dxa"/>
            <w:vAlign w:val="bottom"/>
          </w:tcPr>
          <w:p>
            <w:pPr>
              <w:ind w:left="360"/>
              <w:spacing w:after="0" w:line="243" w:lineRule="exact"/>
              <w:rPr>
                <w:sz w:val="20"/>
                <w:szCs w:val="20"/>
                <w:color w:val="auto"/>
              </w:rPr>
            </w:pPr>
            <w:r>
              <w:rPr>
                <w:rFonts w:ascii="Arial" w:cs="Arial" w:eastAsia="Arial" w:hAnsi="Arial"/>
                <w:sz w:val="22"/>
                <w:szCs w:val="22"/>
                <w:color w:val="auto"/>
              </w:rPr>
              <w:t>Section 6.6.</w:t>
            </w:r>
          </w:p>
        </w:tc>
        <w:tc>
          <w:tcPr>
            <w:tcW w:w="9060" w:type="dxa"/>
            <w:vAlign w:val="bottom"/>
          </w:tcPr>
          <w:p>
            <w:pPr>
              <w:ind w:left="180"/>
              <w:spacing w:after="0" w:line="243" w:lineRule="exact"/>
              <w:rPr>
                <w:sz w:val="20"/>
                <w:szCs w:val="20"/>
                <w:color w:val="auto"/>
              </w:rPr>
            </w:pPr>
            <w:r>
              <w:rPr>
                <w:rFonts w:ascii="Arial" w:cs="Arial" w:eastAsia="Arial" w:hAnsi="Arial"/>
                <w:sz w:val="22"/>
                <w:szCs w:val="22"/>
                <w:color w:val="auto"/>
              </w:rPr>
              <w:t>Special Provisions Relating to the Holders of Subordinated Units</w:t>
            </w:r>
          </w:p>
        </w:tc>
        <w:tc>
          <w:tcPr>
            <w:tcW w:w="700" w:type="dxa"/>
            <w:vAlign w:val="bottom"/>
          </w:tcPr>
          <w:p>
            <w:pPr>
              <w:jc w:val="right"/>
              <w:spacing w:after="0" w:line="243" w:lineRule="exact"/>
              <w:rPr>
                <w:sz w:val="20"/>
                <w:szCs w:val="20"/>
                <w:color w:val="auto"/>
              </w:rPr>
            </w:pPr>
            <w:r>
              <w:rPr>
                <w:rFonts w:ascii="Arial" w:cs="Arial" w:eastAsia="Arial" w:hAnsi="Arial"/>
                <w:sz w:val="22"/>
                <w:szCs w:val="22"/>
                <w:color w:val="auto"/>
              </w:rPr>
              <w:t>41</w:t>
            </w:r>
          </w:p>
        </w:tc>
      </w:tr>
      <w:tr>
        <w:trPr>
          <w:trHeight w:val="275"/>
        </w:trPr>
        <w:tc>
          <w:tcPr>
            <w:tcW w:w="1660" w:type="dxa"/>
            <w:vAlign w:val="bottom"/>
          </w:tcPr>
          <w:p>
            <w:pPr>
              <w:ind w:left="360"/>
              <w:spacing w:after="0"/>
              <w:rPr>
                <w:sz w:val="20"/>
                <w:szCs w:val="20"/>
                <w:color w:val="auto"/>
              </w:rPr>
            </w:pPr>
            <w:r>
              <w:rPr>
                <w:rFonts w:ascii="Arial" w:cs="Arial" w:eastAsia="Arial" w:hAnsi="Arial"/>
                <w:sz w:val="22"/>
                <w:szCs w:val="22"/>
                <w:color w:val="auto"/>
              </w:rPr>
              <w:t>Section 6.7.</w:t>
            </w:r>
          </w:p>
        </w:tc>
        <w:tc>
          <w:tcPr>
            <w:tcW w:w="9060" w:type="dxa"/>
            <w:vAlign w:val="bottom"/>
          </w:tcPr>
          <w:p>
            <w:pPr>
              <w:ind w:left="180"/>
              <w:spacing w:after="0"/>
              <w:rPr>
                <w:sz w:val="20"/>
                <w:szCs w:val="20"/>
                <w:color w:val="auto"/>
              </w:rPr>
            </w:pPr>
            <w:r>
              <w:rPr>
                <w:rFonts w:ascii="Arial" w:cs="Arial" w:eastAsia="Arial" w:hAnsi="Arial"/>
                <w:sz w:val="22"/>
                <w:szCs w:val="22"/>
                <w:color w:val="auto"/>
              </w:rPr>
              <w:t>Special Provisions Relating to the Holders of Incentive Distribution Rights</w:t>
            </w:r>
          </w:p>
        </w:tc>
        <w:tc>
          <w:tcPr>
            <w:tcW w:w="700" w:type="dxa"/>
            <w:vAlign w:val="bottom"/>
          </w:tcPr>
          <w:p>
            <w:pPr>
              <w:jc w:val="right"/>
              <w:spacing w:after="0"/>
              <w:rPr>
                <w:sz w:val="20"/>
                <w:szCs w:val="20"/>
                <w:color w:val="auto"/>
              </w:rPr>
            </w:pPr>
            <w:r>
              <w:rPr>
                <w:rFonts w:ascii="Arial" w:cs="Arial" w:eastAsia="Arial" w:hAnsi="Arial"/>
                <w:sz w:val="22"/>
                <w:szCs w:val="22"/>
                <w:color w:val="auto"/>
              </w:rPr>
              <w:t>41</w:t>
            </w:r>
          </w:p>
        </w:tc>
      </w:tr>
      <w:tr>
        <w:trPr>
          <w:trHeight w:val="455"/>
        </w:trPr>
        <w:tc>
          <w:tcPr>
            <w:tcW w:w="1660" w:type="dxa"/>
            <w:vAlign w:val="bottom"/>
          </w:tcPr>
          <w:p>
            <w:pPr>
              <w:spacing w:after="0"/>
              <w:rPr>
                <w:sz w:val="20"/>
                <w:szCs w:val="20"/>
                <w:color w:val="auto"/>
              </w:rPr>
            </w:pPr>
            <w:r>
              <w:rPr>
                <w:rFonts w:ascii="Arial" w:cs="Arial" w:eastAsia="Arial" w:hAnsi="Arial"/>
                <w:sz w:val="22"/>
                <w:szCs w:val="22"/>
                <w:color w:val="auto"/>
              </w:rPr>
              <w:t>ARTICLE VII</w:t>
            </w:r>
          </w:p>
        </w:tc>
        <w:tc>
          <w:tcPr>
            <w:tcW w:w="9060" w:type="dxa"/>
            <w:vAlign w:val="bottom"/>
          </w:tcPr>
          <w:p>
            <w:pPr>
              <w:ind w:left="180"/>
              <w:spacing w:after="0"/>
              <w:rPr>
                <w:sz w:val="20"/>
                <w:szCs w:val="20"/>
                <w:color w:val="auto"/>
              </w:rPr>
            </w:pPr>
            <w:r>
              <w:rPr>
                <w:rFonts w:ascii="Arial" w:cs="Arial" w:eastAsia="Arial" w:hAnsi="Arial"/>
                <w:sz w:val="22"/>
                <w:szCs w:val="22"/>
                <w:color w:val="auto"/>
              </w:rPr>
              <w:t>MANAGEMENT AND OPERATION OF BUSINESS</w:t>
            </w:r>
          </w:p>
        </w:tc>
        <w:tc>
          <w:tcPr>
            <w:tcW w:w="700" w:type="dxa"/>
            <w:vAlign w:val="bottom"/>
          </w:tcPr>
          <w:p>
            <w:pPr>
              <w:jc w:val="right"/>
              <w:spacing w:after="0"/>
              <w:rPr>
                <w:sz w:val="20"/>
                <w:szCs w:val="20"/>
                <w:color w:val="auto"/>
              </w:rPr>
            </w:pPr>
            <w:r>
              <w:rPr>
                <w:rFonts w:ascii="Arial" w:cs="Arial" w:eastAsia="Arial" w:hAnsi="Arial"/>
                <w:sz w:val="22"/>
                <w:szCs w:val="22"/>
                <w:color w:val="auto"/>
              </w:rPr>
              <w:t>41</w:t>
            </w:r>
          </w:p>
        </w:tc>
      </w:tr>
      <w:tr>
        <w:trPr>
          <w:trHeight w:val="243"/>
        </w:trPr>
        <w:tc>
          <w:tcPr>
            <w:tcW w:w="1660" w:type="dxa"/>
            <w:vAlign w:val="bottom"/>
          </w:tcPr>
          <w:p>
            <w:pPr>
              <w:ind w:left="360"/>
              <w:spacing w:after="0" w:line="243" w:lineRule="exact"/>
              <w:rPr>
                <w:sz w:val="20"/>
                <w:szCs w:val="20"/>
                <w:color w:val="auto"/>
              </w:rPr>
            </w:pPr>
            <w:r>
              <w:rPr>
                <w:rFonts w:ascii="Arial" w:cs="Arial" w:eastAsia="Arial" w:hAnsi="Arial"/>
                <w:sz w:val="22"/>
                <w:szCs w:val="22"/>
                <w:color w:val="auto"/>
              </w:rPr>
              <w:t>Section 7.1.</w:t>
            </w:r>
          </w:p>
        </w:tc>
        <w:tc>
          <w:tcPr>
            <w:tcW w:w="9060" w:type="dxa"/>
            <w:vAlign w:val="bottom"/>
          </w:tcPr>
          <w:p>
            <w:pPr>
              <w:ind w:left="180"/>
              <w:spacing w:after="0" w:line="243" w:lineRule="exact"/>
              <w:rPr>
                <w:sz w:val="20"/>
                <w:szCs w:val="20"/>
                <w:color w:val="auto"/>
              </w:rPr>
            </w:pPr>
            <w:r>
              <w:rPr>
                <w:rFonts w:ascii="Arial" w:cs="Arial" w:eastAsia="Arial" w:hAnsi="Arial"/>
                <w:sz w:val="22"/>
                <w:szCs w:val="22"/>
                <w:color w:val="auto"/>
              </w:rPr>
              <w:t>Management</w:t>
            </w:r>
          </w:p>
        </w:tc>
        <w:tc>
          <w:tcPr>
            <w:tcW w:w="700" w:type="dxa"/>
            <w:vAlign w:val="bottom"/>
          </w:tcPr>
          <w:p>
            <w:pPr>
              <w:jc w:val="right"/>
              <w:spacing w:after="0" w:line="243" w:lineRule="exact"/>
              <w:rPr>
                <w:sz w:val="20"/>
                <w:szCs w:val="20"/>
                <w:color w:val="auto"/>
              </w:rPr>
            </w:pPr>
            <w:r>
              <w:rPr>
                <w:rFonts w:ascii="Arial" w:cs="Arial" w:eastAsia="Arial" w:hAnsi="Arial"/>
                <w:sz w:val="22"/>
                <w:szCs w:val="22"/>
                <w:color w:val="auto"/>
              </w:rPr>
              <w:t>41</w:t>
            </w:r>
          </w:p>
        </w:tc>
      </w:tr>
      <w:tr>
        <w:trPr>
          <w:trHeight w:val="243"/>
        </w:trPr>
        <w:tc>
          <w:tcPr>
            <w:tcW w:w="1660" w:type="dxa"/>
            <w:vAlign w:val="bottom"/>
          </w:tcPr>
          <w:p>
            <w:pPr>
              <w:ind w:left="360"/>
              <w:spacing w:after="0" w:line="243" w:lineRule="exact"/>
              <w:rPr>
                <w:sz w:val="20"/>
                <w:szCs w:val="20"/>
                <w:color w:val="auto"/>
              </w:rPr>
            </w:pPr>
            <w:r>
              <w:rPr>
                <w:rFonts w:ascii="Arial" w:cs="Arial" w:eastAsia="Arial" w:hAnsi="Arial"/>
                <w:sz w:val="22"/>
                <w:szCs w:val="22"/>
                <w:color w:val="auto"/>
              </w:rPr>
              <w:t>Section 7.2.</w:t>
            </w:r>
          </w:p>
        </w:tc>
        <w:tc>
          <w:tcPr>
            <w:tcW w:w="9060" w:type="dxa"/>
            <w:vAlign w:val="bottom"/>
          </w:tcPr>
          <w:p>
            <w:pPr>
              <w:ind w:left="180"/>
              <w:spacing w:after="0" w:line="243" w:lineRule="exact"/>
              <w:rPr>
                <w:sz w:val="20"/>
                <w:szCs w:val="20"/>
                <w:color w:val="auto"/>
              </w:rPr>
            </w:pPr>
            <w:r>
              <w:rPr>
                <w:rFonts w:ascii="Arial" w:cs="Arial" w:eastAsia="Arial" w:hAnsi="Arial"/>
                <w:sz w:val="22"/>
                <w:szCs w:val="22"/>
                <w:color w:val="auto"/>
              </w:rPr>
              <w:t>Election and Appointment; Term; Manner of Acting</w:t>
            </w:r>
          </w:p>
        </w:tc>
        <w:tc>
          <w:tcPr>
            <w:tcW w:w="700" w:type="dxa"/>
            <w:vAlign w:val="bottom"/>
          </w:tcPr>
          <w:p>
            <w:pPr>
              <w:jc w:val="right"/>
              <w:spacing w:after="0" w:line="243" w:lineRule="exact"/>
              <w:rPr>
                <w:sz w:val="20"/>
                <w:szCs w:val="20"/>
                <w:color w:val="auto"/>
              </w:rPr>
            </w:pPr>
            <w:r>
              <w:rPr>
                <w:rFonts w:ascii="Arial" w:cs="Arial" w:eastAsia="Arial" w:hAnsi="Arial"/>
                <w:sz w:val="22"/>
                <w:szCs w:val="22"/>
                <w:color w:val="auto"/>
              </w:rPr>
              <w:t>42</w:t>
            </w:r>
          </w:p>
        </w:tc>
      </w:tr>
      <w:tr>
        <w:trPr>
          <w:trHeight w:val="243"/>
        </w:trPr>
        <w:tc>
          <w:tcPr>
            <w:tcW w:w="1660" w:type="dxa"/>
            <w:vAlign w:val="bottom"/>
          </w:tcPr>
          <w:p>
            <w:pPr>
              <w:ind w:left="360"/>
              <w:spacing w:after="0" w:line="243" w:lineRule="exact"/>
              <w:rPr>
                <w:sz w:val="20"/>
                <w:szCs w:val="20"/>
                <w:color w:val="auto"/>
              </w:rPr>
            </w:pPr>
            <w:r>
              <w:rPr>
                <w:rFonts w:ascii="Arial" w:cs="Arial" w:eastAsia="Arial" w:hAnsi="Arial"/>
                <w:sz w:val="22"/>
                <w:szCs w:val="22"/>
                <w:color w:val="auto"/>
              </w:rPr>
              <w:t>Section 7.3.</w:t>
            </w:r>
          </w:p>
        </w:tc>
        <w:tc>
          <w:tcPr>
            <w:tcW w:w="9060" w:type="dxa"/>
            <w:vAlign w:val="bottom"/>
          </w:tcPr>
          <w:p>
            <w:pPr>
              <w:ind w:left="180"/>
              <w:spacing w:after="0" w:line="243" w:lineRule="exact"/>
              <w:rPr>
                <w:sz w:val="20"/>
                <w:szCs w:val="20"/>
                <w:color w:val="auto"/>
              </w:rPr>
            </w:pPr>
            <w:r>
              <w:rPr>
                <w:rFonts w:ascii="Arial" w:cs="Arial" w:eastAsia="Arial" w:hAnsi="Arial"/>
                <w:sz w:val="22"/>
                <w:szCs w:val="22"/>
                <w:color w:val="auto"/>
              </w:rPr>
              <w:t>Nominations of Elected Directors</w:t>
            </w:r>
          </w:p>
        </w:tc>
        <w:tc>
          <w:tcPr>
            <w:tcW w:w="700" w:type="dxa"/>
            <w:vAlign w:val="bottom"/>
          </w:tcPr>
          <w:p>
            <w:pPr>
              <w:jc w:val="right"/>
              <w:spacing w:after="0" w:line="243" w:lineRule="exact"/>
              <w:rPr>
                <w:sz w:val="20"/>
                <w:szCs w:val="20"/>
                <w:color w:val="auto"/>
              </w:rPr>
            </w:pPr>
            <w:r>
              <w:rPr>
                <w:rFonts w:ascii="Arial" w:cs="Arial" w:eastAsia="Arial" w:hAnsi="Arial"/>
                <w:sz w:val="22"/>
                <w:szCs w:val="22"/>
                <w:color w:val="auto"/>
              </w:rPr>
              <w:t>44</w:t>
            </w:r>
          </w:p>
        </w:tc>
      </w:tr>
      <w:tr>
        <w:trPr>
          <w:trHeight w:val="243"/>
        </w:trPr>
        <w:tc>
          <w:tcPr>
            <w:tcW w:w="1660" w:type="dxa"/>
            <w:vAlign w:val="bottom"/>
          </w:tcPr>
          <w:p>
            <w:pPr>
              <w:ind w:left="360"/>
              <w:spacing w:after="0" w:line="243" w:lineRule="exact"/>
              <w:rPr>
                <w:sz w:val="20"/>
                <w:szCs w:val="20"/>
                <w:color w:val="auto"/>
              </w:rPr>
            </w:pPr>
            <w:r>
              <w:rPr>
                <w:rFonts w:ascii="Arial" w:cs="Arial" w:eastAsia="Arial" w:hAnsi="Arial"/>
                <w:sz w:val="22"/>
                <w:szCs w:val="22"/>
                <w:color w:val="auto"/>
              </w:rPr>
              <w:t>Section 7.4.</w:t>
            </w:r>
          </w:p>
        </w:tc>
        <w:tc>
          <w:tcPr>
            <w:tcW w:w="9060" w:type="dxa"/>
            <w:vAlign w:val="bottom"/>
          </w:tcPr>
          <w:p>
            <w:pPr>
              <w:ind w:left="180"/>
              <w:spacing w:after="0" w:line="243" w:lineRule="exact"/>
              <w:rPr>
                <w:sz w:val="20"/>
                <w:szCs w:val="20"/>
                <w:color w:val="auto"/>
              </w:rPr>
            </w:pPr>
            <w:r>
              <w:rPr>
                <w:rFonts w:ascii="Arial" w:cs="Arial" w:eastAsia="Arial" w:hAnsi="Arial"/>
                <w:sz w:val="22"/>
                <w:szCs w:val="22"/>
                <w:color w:val="auto"/>
              </w:rPr>
              <w:t>Removal of Members of Board of Directors</w:t>
            </w:r>
          </w:p>
        </w:tc>
        <w:tc>
          <w:tcPr>
            <w:tcW w:w="700" w:type="dxa"/>
            <w:vAlign w:val="bottom"/>
          </w:tcPr>
          <w:p>
            <w:pPr>
              <w:jc w:val="right"/>
              <w:spacing w:after="0" w:line="243" w:lineRule="exact"/>
              <w:rPr>
                <w:sz w:val="20"/>
                <w:szCs w:val="20"/>
                <w:color w:val="auto"/>
              </w:rPr>
            </w:pPr>
            <w:r>
              <w:rPr>
                <w:rFonts w:ascii="Arial" w:cs="Arial" w:eastAsia="Arial" w:hAnsi="Arial"/>
                <w:sz w:val="22"/>
                <w:szCs w:val="22"/>
                <w:color w:val="auto"/>
              </w:rPr>
              <w:t>44</w:t>
            </w:r>
          </w:p>
        </w:tc>
      </w:tr>
      <w:tr>
        <w:trPr>
          <w:trHeight w:val="243"/>
        </w:trPr>
        <w:tc>
          <w:tcPr>
            <w:tcW w:w="1660" w:type="dxa"/>
            <w:vAlign w:val="bottom"/>
          </w:tcPr>
          <w:p>
            <w:pPr>
              <w:ind w:left="360"/>
              <w:spacing w:after="0" w:line="243" w:lineRule="exact"/>
              <w:rPr>
                <w:sz w:val="20"/>
                <w:szCs w:val="20"/>
                <w:color w:val="auto"/>
              </w:rPr>
            </w:pPr>
            <w:r>
              <w:rPr>
                <w:rFonts w:ascii="Arial" w:cs="Arial" w:eastAsia="Arial" w:hAnsi="Arial"/>
                <w:sz w:val="22"/>
                <w:szCs w:val="22"/>
                <w:color w:val="auto"/>
              </w:rPr>
              <w:t>Section 7.5.</w:t>
            </w:r>
          </w:p>
        </w:tc>
        <w:tc>
          <w:tcPr>
            <w:tcW w:w="9060" w:type="dxa"/>
            <w:vAlign w:val="bottom"/>
          </w:tcPr>
          <w:p>
            <w:pPr>
              <w:ind w:left="180"/>
              <w:spacing w:after="0" w:line="243" w:lineRule="exact"/>
              <w:rPr>
                <w:sz w:val="20"/>
                <w:szCs w:val="20"/>
                <w:color w:val="auto"/>
              </w:rPr>
            </w:pPr>
            <w:r>
              <w:rPr>
                <w:rFonts w:ascii="Arial" w:cs="Arial" w:eastAsia="Arial" w:hAnsi="Arial"/>
                <w:sz w:val="22"/>
                <w:szCs w:val="22"/>
                <w:color w:val="auto"/>
              </w:rPr>
              <w:t>Resignations of Members of the Board of Directors</w:t>
            </w:r>
          </w:p>
        </w:tc>
        <w:tc>
          <w:tcPr>
            <w:tcW w:w="700" w:type="dxa"/>
            <w:vAlign w:val="bottom"/>
          </w:tcPr>
          <w:p>
            <w:pPr>
              <w:jc w:val="right"/>
              <w:spacing w:after="0" w:line="243" w:lineRule="exact"/>
              <w:rPr>
                <w:sz w:val="20"/>
                <w:szCs w:val="20"/>
                <w:color w:val="auto"/>
              </w:rPr>
            </w:pPr>
            <w:r>
              <w:rPr>
                <w:rFonts w:ascii="Arial" w:cs="Arial" w:eastAsia="Arial" w:hAnsi="Arial"/>
                <w:sz w:val="22"/>
                <w:szCs w:val="22"/>
                <w:color w:val="auto"/>
              </w:rPr>
              <w:t>45</w:t>
            </w:r>
          </w:p>
        </w:tc>
      </w:tr>
      <w:tr>
        <w:trPr>
          <w:trHeight w:val="243"/>
        </w:trPr>
        <w:tc>
          <w:tcPr>
            <w:tcW w:w="1660" w:type="dxa"/>
            <w:vAlign w:val="bottom"/>
          </w:tcPr>
          <w:p>
            <w:pPr>
              <w:ind w:left="360"/>
              <w:spacing w:after="0" w:line="243" w:lineRule="exact"/>
              <w:rPr>
                <w:sz w:val="20"/>
                <w:szCs w:val="20"/>
                <w:color w:val="auto"/>
              </w:rPr>
            </w:pPr>
            <w:r>
              <w:rPr>
                <w:rFonts w:ascii="Arial" w:cs="Arial" w:eastAsia="Arial" w:hAnsi="Arial"/>
                <w:sz w:val="22"/>
                <w:szCs w:val="22"/>
                <w:color w:val="auto"/>
              </w:rPr>
              <w:t>Section 7.6.</w:t>
            </w:r>
          </w:p>
        </w:tc>
        <w:tc>
          <w:tcPr>
            <w:tcW w:w="9060" w:type="dxa"/>
            <w:vAlign w:val="bottom"/>
          </w:tcPr>
          <w:p>
            <w:pPr>
              <w:ind w:left="180"/>
              <w:spacing w:after="0" w:line="243" w:lineRule="exact"/>
              <w:rPr>
                <w:sz w:val="20"/>
                <w:szCs w:val="20"/>
                <w:color w:val="auto"/>
              </w:rPr>
            </w:pPr>
            <w:r>
              <w:rPr>
                <w:rFonts w:ascii="Arial" w:cs="Arial" w:eastAsia="Arial" w:hAnsi="Arial"/>
                <w:sz w:val="22"/>
                <w:szCs w:val="22"/>
                <w:color w:val="auto"/>
              </w:rPr>
              <w:t>Vacancies on the Board of Directors</w:t>
            </w:r>
          </w:p>
        </w:tc>
        <w:tc>
          <w:tcPr>
            <w:tcW w:w="700" w:type="dxa"/>
            <w:vAlign w:val="bottom"/>
          </w:tcPr>
          <w:p>
            <w:pPr>
              <w:jc w:val="right"/>
              <w:spacing w:after="0" w:line="243" w:lineRule="exact"/>
              <w:rPr>
                <w:sz w:val="20"/>
                <w:szCs w:val="20"/>
                <w:color w:val="auto"/>
              </w:rPr>
            </w:pPr>
            <w:r>
              <w:rPr>
                <w:rFonts w:ascii="Arial" w:cs="Arial" w:eastAsia="Arial" w:hAnsi="Arial"/>
                <w:sz w:val="22"/>
                <w:szCs w:val="22"/>
                <w:color w:val="auto"/>
              </w:rPr>
              <w:t>45</w:t>
            </w:r>
          </w:p>
        </w:tc>
      </w:tr>
      <w:tr>
        <w:trPr>
          <w:trHeight w:val="243"/>
        </w:trPr>
        <w:tc>
          <w:tcPr>
            <w:tcW w:w="1660" w:type="dxa"/>
            <w:vAlign w:val="bottom"/>
          </w:tcPr>
          <w:p>
            <w:pPr>
              <w:ind w:left="360"/>
              <w:spacing w:after="0" w:line="243" w:lineRule="exact"/>
              <w:rPr>
                <w:sz w:val="20"/>
                <w:szCs w:val="20"/>
                <w:color w:val="auto"/>
              </w:rPr>
            </w:pPr>
            <w:r>
              <w:rPr>
                <w:rFonts w:ascii="Arial" w:cs="Arial" w:eastAsia="Arial" w:hAnsi="Arial"/>
                <w:sz w:val="22"/>
                <w:szCs w:val="22"/>
                <w:color w:val="auto"/>
              </w:rPr>
              <w:t>Section 7.7.</w:t>
            </w:r>
          </w:p>
        </w:tc>
        <w:tc>
          <w:tcPr>
            <w:tcW w:w="9060" w:type="dxa"/>
            <w:vAlign w:val="bottom"/>
          </w:tcPr>
          <w:p>
            <w:pPr>
              <w:ind w:left="180"/>
              <w:spacing w:after="0" w:line="243" w:lineRule="exact"/>
              <w:rPr>
                <w:sz w:val="20"/>
                <w:szCs w:val="20"/>
                <w:color w:val="auto"/>
              </w:rPr>
            </w:pPr>
            <w:r>
              <w:rPr>
                <w:rFonts w:ascii="Arial" w:cs="Arial" w:eastAsia="Arial" w:hAnsi="Arial"/>
                <w:sz w:val="22"/>
                <w:szCs w:val="22"/>
                <w:color w:val="auto"/>
              </w:rPr>
              <w:t>Meetings; Committees; Chairman</w:t>
            </w:r>
          </w:p>
        </w:tc>
        <w:tc>
          <w:tcPr>
            <w:tcW w:w="700" w:type="dxa"/>
            <w:vAlign w:val="bottom"/>
          </w:tcPr>
          <w:p>
            <w:pPr>
              <w:jc w:val="right"/>
              <w:spacing w:after="0" w:line="243" w:lineRule="exact"/>
              <w:rPr>
                <w:sz w:val="20"/>
                <w:szCs w:val="20"/>
                <w:color w:val="auto"/>
              </w:rPr>
            </w:pPr>
            <w:r>
              <w:rPr>
                <w:rFonts w:ascii="Arial" w:cs="Arial" w:eastAsia="Arial" w:hAnsi="Arial"/>
                <w:sz w:val="22"/>
                <w:szCs w:val="22"/>
                <w:color w:val="auto"/>
              </w:rPr>
              <w:t>45</w:t>
            </w:r>
          </w:p>
        </w:tc>
      </w:tr>
      <w:tr>
        <w:trPr>
          <w:trHeight w:val="243"/>
        </w:trPr>
        <w:tc>
          <w:tcPr>
            <w:tcW w:w="1660" w:type="dxa"/>
            <w:vAlign w:val="bottom"/>
          </w:tcPr>
          <w:p>
            <w:pPr>
              <w:ind w:left="360"/>
              <w:spacing w:after="0" w:line="243" w:lineRule="exact"/>
              <w:rPr>
                <w:sz w:val="20"/>
                <w:szCs w:val="20"/>
                <w:color w:val="auto"/>
              </w:rPr>
            </w:pPr>
            <w:r>
              <w:rPr>
                <w:rFonts w:ascii="Arial" w:cs="Arial" w:eastAsia="Arial" w:hAnsi="Arial"/>
                <w:sz w:val="22"/>
                <w:szCs w:val="22"/>
                <w:color w:val="auto"/>
              </w:rPr>
              <w:t>Section 7.8.</w:t>
            </w:r>
          </w:p>
        </w:tc>
        <w:tc>
          <w:tcPr>
            <w:tcW w:w="9060" w:type="dxa"/>
            <w:vAlign w:val="bottom"/>
          </w:tcPr>
          <w:p>
            <w:pPr>
              <w:ind w:left="180"/>
              <w:spacing w:after="0" w:line="243" w:lineRule="exact"/>
              <w:rPr>
                <w:sz w:val="20"/>
                <w:szCs w:val="20"/>
                <w:color w:val="auto"/>
              </w:rPr>
            </w:pPr>
            <w:r>
              <w:rPr>
                <w:rFonts w:ascii="Arial" w:cs="Arial" w:eastAsia="Arial" w:hAnsi="Arial"/>
                <w:sz w:val="22"/>
                <w:szCs w:val="22"/>
                <w:color w:val="auto"/>
              </w:rPr>
              <w:t>Officers</w:t>
            </w:r>
          </w:p>
        </w:tc>
        <w:tc>
          <w:tcPr>
            <w:tcW w:w="700" w:type="dxa"/>
            <w:vAlign w:val="bottom"/>
          </w:tcPr>
          <w:p>
            <w:pPr>
              <w:jc w:val="right"/>
              <w:spacing w:after="0" w:line="243" w:lineRule="exact"/>
              <w:rPr>
                <w:sz w:val="20"/>
                <w:szCs w:val="20"/>
                <w:color w:val="auto"/>
              </w:rPr>
            </w:pPr>
            <w:r>
              <w:rPr>
                <w:rFonts w:ascii="Arial" w:cs="Arial" w:eastAsia="Arial" w:hAnsi="Arial"/>
                <w:sz w:val="22"/>
                <w:szCs w:val="22"/>
                <w:color w:val="auto"/>
              </w:rPr>
              <w:t>46</w:t>
            </w:r>
          </w:p>
        </w:tc>
      </w:tr>
      <w:tr>
        <w:trPr>
          <w:trHeight w:val="243"/>
        </w:trPr>
        <w:tc>
          <w:tcPr>
            <w:tcW w:w="1660" w:type="dxa"/>
            <w:vAlign w:val="bottom"/>
          </w:tcPr>
          <w:p>
            <w:pPr>
              <w:ind w:left="360"/>
              <w:spacing w:after="0" w:line="243" w:lineRule="exact"/>
              <w:rPr>
                <w:sz w:val="20"/>
                <w:szCs w:val="20"/>
                <w:color w:val="auto"/>
              </w:rPr>
            </w:pPr>
            <w:r>
              <w:rPr>
                <w:rFonts w:ascii="Arial" w:cs="Arial" w:eastAsia="Arial" w:hAnsi="Arial"/>
                <w:sz w:val="22"/>
                <w:szCs w:val="22"/>
                <w:color w:val="auto"/>
              </w:rPr>
              <w:t>Section 7.9.</w:t>
            </w:r>
          </w:p>
        </w:tc>
        <w:tc>
          <w:tcPr>
            <w:tcW w:w="9060" w:type="dxa"/>
            <w:vAlign w:val="bottom"/>
          </w:tcPr>
          <w:p>
            <w:pPr>
              <w:ind w:left="180"/>
              <w:spacing w:after="0" w:line="243" w:lineRule="exact"/>
              <w:rPr>
                <w:sz w:val="20"/>
                <w:szCs w:val="20"/>
                <w:color w:val="auto"/>
              </w:rPr>
            </w:pPr>
            <w:r>
              <w:rPr>
                <w:rFonts w:ascii="Arial" w:cs="Arial" w:eastAsia="Arial" w:hAnsi="Arial"/>
                <w:sz w:val="22"/>
                <w:szCs w:val="22"/>
                <w:color w:val="auto"/>
              </w:rPr>
              <w:t>Compensation of Directors</w:t>
            </w:r>
          </w:p>
        </w:tc>
        <w:tc>
          <w:tcPr>
            <w:tcW w:w="700" w:type="dxa"/>
            <w:vAlign w:val="bottom"/>
          </w:tcPr>
          <w:p>
            <w:pPr>
              <w:jc w:val="right"/>
              <w:spacing w:after="0" w:line="243" w:lineRule="exact"/>
              <w:rPr>
                <w:sz w:val="20"/>
                <w:szCs w:val="20"/>
                <w:color w:val="auto"/>
              </w:rPr>
            </w:pPr>
            <w:r>
              <w:rPr>
                <w:rFonts w:ascii="Arial" w:cs="Arial" w:eastAsia="Arial" w:hAnsi="Arial"/>
                <w:sz w:val="22"/>
                <w:szCs w:val="22"/>
                <w:color w:val="auto"/>
              </w:rPr>
              <w:t>47</w:t>
            </w:r>
          </w:p>
        </w:tc>
      </w:tr>
      <w:tr>
        <w:trPr>
          <w:trHeight w:val="243"/>
        </w:trPr>
        <w:tc>
          <w:tcPr>
            <w:tcW w:w="1660" w:type="dxa"/>
            <w:vAlign w:val="bottom"/>
          </w:tcPr>
          <w:p>
            <w:pPr>
              <w:ind w:left="360"/>
              <w:spacing w:after="0" w:line="243" w:lineRule="exact"/>
              <w:rPr>
                <w:sz w:val="20"/>
                <w:szCs w:val="20"/>
                <w:color w:val="auto"/>
              </w:rPr>
            </w:pPr>
            <w:r>
              <w:rPr>
                <w:rFonts w:ascii="Arial" w:cs="Arial" w:eastAsia="Arial" w:hAnsi="Arial"/>
                <w:sz w:val="22"/>
                <w:szCs w:val="22"/>
                <w:color w:val="auto"/>
                <w:w w:val="99"/>
              </w:rPr>
              <w:t>Section 7.10.</w:t>
            </w:r>
          </w:p>
        </w:tc>
        <w:tc>
          <w:tcPr>
            <w:tcW w:w="9060" w:type="dxa"/>
            <w:vAlign w:val="bottom"/>
          </w:tcPr>
          <w:p>
            <w:pPr>
              <w:ind w:left="180"/>
              <w:spacing w:after="0" w:line="243" w:lineRule="exact"/>
              <w:rPr>
                <w:sz w:val="20"/>
                <w:szCs w:val="20"/>
                <w:color w:val="auto"/>
              </w:rPr>
            </w:pPr>
            <w:r>
              <w:rPr>
                <w:rFonts w:ascii="Arial" w:cs="Arial" w:eastAsia="Arial" w:hAnsi="Arial"/>
                <w:sz w:val="22"/>
                <w:szCs w:val="22"/>
                <w:color w:val="auto"/>
              </w:rPr>
              <w:t>Certificate of Limited Partnership</w:t>
            </w:r>
          </w:p>
        </w:tc>
        <w:tc>
          <w:tcPr>
            <w:tcW w:w="700" w:type="dxa"/>
            <w:vAlign w:val="bottom"/>
          </w:tcPr>
          <w:p>
            <w:pPr>
              <w:jc w:val="right"/>
              <w:spacing w:after="0" w:line="243" w:lineRule="exact"/>
              <w:rPr>
                <w:sz w:val="20"/>
                <w:szCs w:val="20"/>
                <w:color w:val="auto"/>
              </w:rPr>
            </w:pPr>
            <w:r>
              <w:rPr>
                <w:rFonts w:ascii="Arial" w:cs="Arial" w:eastAsia="Arial" w:hAnsi="Arial"/>
                <w:sz w:val="22"/>
                <w:szCs w:val="22"/>
                <w:color w:val="auto"/>
              </w:rPr>
              <w:t>47</w:t>
            </w:r>
          </w:p>
        </w:tc>
      </w:tr>
      <w:tr>
        <w:trPr>
          <w:trHeight w:val="243"/>
        </w:trPr>
        <w:tc>
          <w:tcPr>
            <w:tcW w:w="1660" w:type="dxa"/>
            <w:vAlign w:val="bottom"/>
          </w:tcPr>
          <w:p>
            <w:pPr>
              <w:ind w:left="360"/>
              <w:spacing w:after="0" w:line="243" w:lineRule="exact"/>
              <w:rPr>
                <w:sz w:val="20"/>
                <w:szCs w:val="20"/>
                <w:color w:val="auto"/>
              </w:rPr>
            </w:pPr>
            <w:r>
              <w:rPr>
                <w:rFonts w:ascii="Arial" w:cs="Arial" w:eastAsia="Arial" w:hAnsi="Arial"/>
                <w:sz w:val="22"/>
                <w:szCs w:val="22"/>
                <w:color w:val="auto"/>
                <w:w w:val="99"/>
              </w:rPr>
              <w:t>Section 7.11.</w:t>
            </w:r>
          </w:p>
        </w:tc>
        <w:tc>
          <w:tcPr>
            <w:tcW w:w="9060" w:type="dxa"/>
            <w:vAlign w:val="bottom"/>
          </w:tcPr>
          <w:p>
            <w:pPr>
              <w:ind w:left="180"/>
              <w:spacing w:after="0" w:line="243" w:lineRule="exact"/>
              <w:rPr>
                <w:sz w:val="20"/>
                <w:szCs w:val="20"/>
                <w:color w:val="auto"/>
              </w:rPr>
            </w:pPr>
            <w:r>
              <w:rPr>
                <w:rFonts w:ascii="Arial" w:cs="Arial" w:eastAsia="Arial" w:hAnsi="Arial"/>
                <w:sz w:val="22"/>
                <w:szCs w:val="22"/>
                <w:color w:val="auto"/>
              </w:rPr>
              <w:t>Restrictions on the Authority of the Board of Directors and the General Partner</w:t>
            </w:r>
          </w:p>
        </w:tc>
        <w:tc>
          <w:tcPr>
            <w:tcW w:w="700" w:type="dxa"/>
            <w:vAlign w:val="bottom"/>
          </w:tcPr>
          <w:p>
            <w:pPr>
              <w:jc w:val="right"/>
              <w:spacing w:after="0" w:line="243" w:lineRule="exact"/>
              <w:rPr>
                <w:sz w:val="20"/>
                <w:szCs w:val="20"/>
                <w:color w:val="auto"/>
              </w:rPr>
            </w:pPr>
            <w:r>
              <w:rPr>
                <w:rFonts w:ascii="Arial" w:cs="Arial" w:eastAsia="Arial" w:hAnsi="Arial"/>
                <w:sz w:val="22"/>
                <w:szCs w:val="22"/>
                <w:color w:val="auto"/>
              </w:rPr>
              <w:t>47</w:t>
            </w:r>
          </w:p>
        </w:tc>
      </w:tr>
      <w:tr>
        <w:trPr>
          <w:trHeight w:val="243"/>
        </w:trPr>
        <w:tc>
          <w:tcPr>
            <w:tcW w:w="1660" w:type="dxa"/>
            <w:vAlign w:val="bottom"/>
          </w:tcPr>
          <w:p>
            <w:pPr>
              <w:ind w:left="360"/>
              <w:spacing w:after="0" w:line="243" w:lineRule="exact"/>
              <w:rPr>
                <w:sz w:val="20"/>
                <w:szCs w:val="20"/>
                <w:color w:val="auto"/>
              </w:rPr>
            </w:pPr>
            <w:r>
              <w:rPr>
                <w:rFonts w:ascii="Arial" w:cs="Arial" w:eastAsia="Arial" w:hAnsi="Arial"/>
                <w:sz w:val="22"/>
                <w:szCs w:val="22"/>
                <w:color w:val="auto"/>
                <w:w w:val="99"/>
              </w:rPr>
              <w:t>Section 7.12.</w:t>
            </w:r>
          </w:p>
        </w:tc>
        <w:tc>
          <w:tcPr>
            <w:tcW w:w="9060" w:type="dxa"/>
            <w:vAlign w:val="bottom"/>
          </w:tcPr>
          <w:p>
            <w:pPr>
              <w:ind w:left="180"/>
              <w:spacing w:after="0" w:line="243" w:lineRule="exact"/>
              <w:rPr>
                <w:sz w:val="20"/>
                <w:szCs w:val="20"/>
                <w:color w:val="auto"/>
              </w:rPr>
            </w:pPr>
            <w:r>
              <w:rPr>
                <w:rFonts w:ascii="Arial" w:cs="Arial" w:eastAsia="Arial" w:hAnsi="Arial"/>
                <w:sz w:val="22"/>
                <w:szCs w:val="22"/>
                <w:color w:val="auto"/>
              </w:rPr>
              <w:t>Reimbursement of the General Partner</w:t>
            </w:r>
          </w:p>
        </w:tc>
        <w:tc>
          <w:tcPr>
            <w:tcW w:w="700" w:type="dxa"/>
            <w:vAlign w:val="bottom"/>
          </w:tcPr>
          <w:p>
            <w:pPr>
              <w:jc w:val="right"/>
              <w:spacing w:after="0" w:line="243" w:lineRule="exact"/>
              <w:rPr>
                <w:sz w:val="20"/>
                <w:szCs w:val="20"/>
                <w:color w:val="auto"/>
              </w:rPr>
            </w:pPr>
            <w:r>
              <w:rPr>
                <w:rFonts w:ascii="Arial" w:cs="Arial" w:eastAsia="Arial" w:hAnsi="Arial"/>
                <w:sz w:val="22"/>
                <w:szCs w:val="22"/>
                <w:color w:val="auto"/>
              </w:rPr>
              <w:t>48</w:t>
            </w:r>
          </w:p>
        </w:tc>
      </w:tr>
      <w:tr>
        <w:trPr>
          <w:trHeight w:val="243"/>
        </w:trPr>
        <w:tc>
          <w:tcPr>
            <w:tcW w:w="1660" w:type="dxa"/>
            <w:vAlign w:val="bottom"/>
          </w:tcPr>
          <w:p>
            <w:pPr>
              <w:ind w:left="360"/>
              <w:spacing w:after="0" w:line="243" w:lineRule="exact"/>
              <w:rPr>
                <w:sz w:val="20"/>
                <w:szCs w:val="20"/>
                <w:color w:val="auto"/>
              </w:rPr>
            </w:pPr>
            <w:r>
              <w:rPr>
                <w:rFonts w:ascii="Arial" w:cs="Arial" w:eastAsia="Arial" w:hAnsi="Arial"/>
                <w:sz w:val="22"/>
                <w:szCs w:val="22"/>
                <w:color w:val="auto"/>
                <w:w w:val="99"/>
              </w:rPr>
              <w:t>Section 7.13.</w:t>
            </w:r>
          </w:p>
        </w:tc>
        <w:tc>
          <w:tcPr>
            <w:tcW w:w="9060" w:type="dxa"/>
            <w:vAlign w:val="bottom"/>
          </w:tcPr>
          <w:p>
            <w:pPr>
              <w:ind w:left="180"/>
              <w:spacing w:after="0" w:line="243" w:lineRule="exact"/>
              <w:rPr>
                <w:sz w:val="20"/>
                <w:szCs w:val="20"/>
                <w:color w:val="auto"/>
              </w:rPr>
            </w:pPr>
            <w:r>
              <w:rPr>
                <w:rFonts w:ascii="Arial" w:cs="Arial" w:eastAsia="Arial" w:hAnsi="Arial"/>
                <w:sz w:val="22"/>
                <w:szCs w:val="22"/>
                <w:color w:val="auto"/>
              </w:rPr>
              <w:t>Outside Activities</w:t>
            </w:r>
          </w:p>
        </w:tc>
        <w:tc>
          <w:tcPr>
            <w:tcW w:w="700" w:type="dxa"/>
            <w:vAlign w:val="bottom"/>
          </w:tcPr>
          <w:p>
            <w:pPr>
              <w:jc w:val="right"/>
              <w:spacing w:after="0" w:line="243" w:lineRule="exact"/>
              <w:rPr>
                <w:sz w:val="20"/>
                <w:szCs w:val="20"/>
                <w:color w:val="auto"/>
              </w:rPr>
            </w:pPr>
            <w:r>
              <w:rPr>
                <w:rFonts w:ascii="Arial" w:cs="Arial" w:eastAsia="Arial" w:hAnsi="Arial"/>
                <w:sz w:val="22"/>
                <w:szCs w:val="22"/>
                <w:color w:val="auto"/>
              </w:rPr>
              <w:t>49</w:t>
            </w:r>
          </w:p>
        </w:tc>
      </w:tr>
      <w:tr>
        <w:trPr>
          <w:trHeight w:val="243"/>
        </w:trPr>
        <w:tc>
          <w:tcPr>
            <w:tcW w:w="1660" w:type="dxa"/>
            <w:vAlign w:val="bottom"/>
          </w:tcPr>
          <w:p>
            <w:pPr>
              <w:ind w:left="360"/>
              <w:spacing w:after="0" w:line="243" w:lineRule="exact"/>
              <w:rPr>
                <w:sz w:val="20"/>
                <w:szCs w:val="20"/>
                <w:color w:val="auto"/>
              </w:rPr>
            </w:pPr>
            <w:r>
              <w:rPr>
                <w:rFonts w:ascii="Arial" w:cs="Arial" w:eastAsia="Arial" w:hAnsi="Arial"/>
                <w:sz w:val="22"/>
                <w:szCs w:val="22"/>
                <w:color w:val="auto"/>
                <w:w w:val="99"/>
              </w:rPr>
              <w:t>Section 7.14.</w:t>
            </w:r>
          </w:p>
        </w:tc>
        <w:tc>
          <w:tcPr>
            <w:tcW w:w="9060" w:type="dxa"/>
            <w:vAlign w:val="bottom"/>
          </w:tcPr>
          <w:p>
            <w:pPr>
              <w:ind w:left="180"/>
              <w:spacing w:after="0" w:line="243" w:lineRule="exact"/>
              <w:rPr>
                <w:sz w:val="20"/>
                <w:szCs w:val="20"/>
                <w:color w:val="auto"/>
              </w:rPr>
            </w:pPr>
            <w:r>
              <w:rPr>
                <w:rFonts w:ascii="Arial" w:cs="Arial" w:eastAsia="Arial" w:hAnsi="Arial"/>
                <w:sz w:val="22"/>
                <w:szCs w:val="22"/>
                <w:color w:val="auto"/>
                <w:w w:val="94"/>
              </w:rPr>
              <w:t>Loans from the General Partner; Loans or Contributions from the Partnership or Group Members</w:t>
            </w:r>
          </w:p>
        </w:tc>
        <w:tc>
          <w:tcPr>
            <w:tcW w:w="700" w:type="dxa"/>
            <w:vAlign w:val="bottom"/>
          </w:tcPr>
          <w:p>
            <w:pPr>
              <w:jc w:val="right"/>
              <w:spacing w:after="0" w:line="243" w:lineRule="exact"/>
              <w:rPr>
                <w:sz w:val="20"/>
                <w:szCs w:val="20"/>
                <w:color w:val="auto"/>
              </w:rPr>
            </w:pPr>
            <w:r>
              <w:rPr>
                <w:rFonts w:ascii="Arial" w:cs="Arial" w:eastAsia="Arial" w:hAnsi="Arial"/>
                <w:sz w:val="22"/>
                <w:szCs w:val="22"/>
                <w:color w:val="auto"/>
              </w:rPr>
              <w:t>50</w:t>
            </w:r>
          </w:p>
        </w:tc>
      </w:tr>
      <w:tr>
        <w:trPr>
          <w:trHeight w:val="243"/>
        </w:trPr>
        <w:tc>
          <w:tcPr>
            <w:tcW w:w="1660" w:type="dxa"/>
            <w:vAlign w:val="bottom"/>
          </w:tcPr>
          <w:p>
            <w:pPr>
              <w:ind w:left="360"/>
              <w:spacing w:after="0" w:line="243" w:lineRule="exact"/>
              <w:rPr>
                <w:sz w:val="20"/>
                <w:szCs w:val="20"/>
                <w:color w:val="auto"/>
              </w:rPr>
            </w:pPr>
            <w:r>
              <w:rPr>
                <w:rFonts w:ascii="Arial" w:cs="Arial" w:eastAsia="Arial" w:hAnsi="Arial"/>
                <w:sz w:val="22"/>
                <w:szCs w:val="22"/>
                <w:color w:val="auto"/>
                <w:w w:val="99"/>
              </w:rPr>
              <w:t>Section 7.15.</w:t>
            </w:r>
          </w:p>
        </w:tc>
        <w:tc>
          <w:tcPr>
            <w:tcW w:w="9060" w:type="dxa"/>
            <w:vAlign w:val="bottom"/>
          </w:tcPr>
          <w:p>
            <w:pPr>
              <w:ind w:left="180"/>
              <w:spacing w:after="0" w:line="243" w:lineRule="exact"/>
              <w:rPr>
                <w:sz w:val="20"/>
                <w:szCs w:val="20"/>
                <w:color w:val="auto"/>
              </w:rPr>
            </w:pPr>
            <w:r>
              <w:rPr>
                <w:rFonts w:ascii="Arial" w:cs="Arial" w:eastAsia="Arial" w:hAnsi="Arial"/>
                <w:sz w:val="22"/>
                <w:szCs w:val="22"/>
                <w:color w:val="auto"/>
              </w:rPr>
              <w:t>Indemnification</w:t>
            </w:r>
          </w:p>
        </w:tc>
        <w:tc>
          <w:tcPr>
            <w:tcW w:w="700" w:type="dxa"/>
            <w:vAlign w:val="bottom"/>
          </w:tcPr>
          <w:p>
            <w:pPr>
              <w:jc w:val="right"/>
              <w:spacing w:after="0" w:line="243" w:lineRule="exact"/>
              <w:rPr>
                <w:sz w:val="20"/>
                <w:szCs w:val="20"/>
                <w:color w:val="auto"/>
              </w:rPr>
            </w:pPr>
            <w:r>
              <w:rPr>
                <w:rFonts w:ascii="Arial" w:cs="Arial" w:eastAsia="Arial" w:hAnsi="Arial"/>
                <w:sz w:val="22"/>
                <w:szCs w:val="22"/>
                <w:color w:val="auto"/>
              </w:rPr>
              <w:t>51</w:t>
            </w:r>
          </w:p>
        </w:tc>
      </w:tr>
      <w:tr>
        <w:trPr>
          <w:trHeight w:val="243"/>
        </w:trPr>
        <w:tc>
          <w:tcPr>
            <w:tcW w:w="1660" w:type="dxa"/>
            <w:vAlign w:val="bottom"/>
          </w:tcPr>
          <w:p>
            <w:pPr>
              <w:ind w:left="360"/>
              <w:spacing w:after="0" w:line="243" w:lineRule="exact"/>
              <w:rPr>
                <w:sz w:val="20"/>
                <w:szCs w:val="20"/>
                <w:color w:val="auto"/>
              </w:rPr>
            </w:pPr>
            <w:r>
              <w:rPr>
                <w:rFonts w:ascii="Arial" w:cs="Arial" w:eastAsia="Arial" w:hAnsi="Arial"/>
                <w:sz w:val="22"/>
                <w:szCs w:val="22"/>
                <w:color w:val="auto"/>
                <w:w w:val="99"/>
              </w:rPr>
              <w:t>Section 7.16.</w:t>
            </w:r>
          </w:p>
        </w:tc>
        <w:tc>
          <w:tcPr>
            <w:tcW w:w="9060" w:type="dxa"/>
            <w:vAlign w:val="bottom"/>
          </w:tcPr>
          <w:p>
            <w:pPr>
              <w:ind w:left="180"/>
              <w:spacing w:after="0" w:line="243" w:lineRule="exact"/>
              <w:rPr>
                <w:sz w:val="20"/>
                <w:szCs w:val="20"/>
                <w:color w:val="auto"/>
              </w:rPr>
            </w:pPr>
            <w:r>
              <w:rPr>
                <w:rFonts w:ascii="Arial" w:cs="Arial" w:eastAsia="Arial" w:hAnsi="Arial"/>
                <w:sz w:val="22"/>
                <w:szCs w:val="22"/>
                <w:color w:val="auto"/>
              </w:rPr>
              <w:t>Liability of Indemnitees</w:t>
            </w:r>
          </w:p>
        </w:tc>
        <w:tc>
          <w:tcPr>
            <w:tcW w:w="700" w:type="dxa"/>
            <w:vAlign w:val="bottom"/>
          </w:tcPr>
          <w:p>
            <w:pPr>
              <w:jc w:val="right"/>
              <w:spacing w:after="0" w:line="243" w:lineRule="exact"/>
              <w:rPr>
                <w:sz w:val="20"/>
                <w:szCs w:val="20"/>
                <w:color w:val="auto"/>
              </w:rPr>
            </w:pPr>
            <w:r>
              <w:rPr>
                <w:rFonts w:ascii="Arial" w:cs="Arial" w:eastAsia="Arial" w:hAnsi="Arial"/>
                <w:sz w:val="22"/>
                <w:szCs w:val="22"/>
                <w:color w:val="auto"/>
              </w:rPr>
              <w:t>52</w:t>
            </w:r>
          </w:p>
        </w:tc>
      </w:tr>
      <w:tr>
        <w:trPr>
          <w:trHeight w:val="243"/>
        </w:trPr>
        <w:tc>
          <w:tcPr>
            <w:tcW w:w="1660" w:type="dxa"/>
            <w:vAlign w:val="bottom"/>
          </w:tcPr>
          <w:p>
            <w:pPr>
              <w:ind w:left="360"/>
              <w:spacing w:after="0" w:line="243" w:lineRule="exact"/>
              <w:rPr>
                <w:sz w:val="20"/>
                <w:szCs w:val="20"/>
                <w:color w:val="auto"/>
              </w:rPr>
            </w:pPr>
            <w:r>
              <w:rPr>
                <w:rFonts w:ascii="Arial" w:cs="Arial" w:eastAsia="Arial" w:hAnsi="Arial"/>
                <w:sz w:val="22"/>
                <w:szCs w:val="22"/>
                <w:color w:val="auto"/>
                <w:w w:val="99"/>
              </w:rPr>
              <w:t>Section 7.17.</w:t>
            </w:r>
          </w:p>
        </w:tc>
        <w:tc>
          <w:tcPr>
            <w:tcW w:w="9060" w:type="dxa"/>
            <w:vAlign w:val="bottom"/>
          </w:tcPr>
          <w:p>
            <w:pPr>
              <w:ind w:left="180"/>
              <w:spacing w:after="0" w:line="243" w:lineRule="exact"/>
              <w:rPr>
                <w:sz w:val="20"/>
                <w:szCs w:val="20"/>
                <w:color w:val="auto"/>
              </w:rPr>
            </w:pPr>
            <w:r>
              <w:rPr>
                <w:rFonts w:ascii="Arial" w:cs="Arial" w:eastAsia="Arial" w:hAnsi="Arial"/>
                <w:sz w:val="22"/>
                <w:szCs w:val="22"/>
                <w:color w:val="auto"/>
              </w:rPr>
              <w:t>Resolution of Conflicts of Interest; Standards of Conduct and Modification of Duties</w:t>
            </w:r>
          </w:p>
        </w:tc>
        <w:tc>
          <w:tcPr>
            <w:tcW w:w="700" w:type="dxa"/>
            <w:vAlign w:val="bottom"/>
          </w:tcPr>
          <w:p>
            <w:pPr>
              <w:jc w:val="right"/>
              <w:spacing w:after="0" w:line="243" w:lineRule="exact"/>
              <w:rPr>
                <w:sz w:val="20"/>
                <w:szCs w:val="20"/>
                <w:color w:val="auto"/>
              </w:rPr>
            </w:pPr>
            <w:r>
              <w:rPr>
                <w:rFonts w:ascii="Arial" w:cs="Arial" w:eastAsia="Arial" w:hAnsi="Arial"/>
                <w:sz w:val="22"/>
                <w:szCs w:val="22"/>
                <w:color w:val="auto"/>
              </w:rPr>
              <w:t>53</w:t>
            </w:r>
          </w:p>
        </w:tc>
      </w:tr>
      <w:tr>
        <w:trPr>
          <w:trHeight w:val="243"/>
        </w:trPr>
        <w:tc>
          <w:tcPr>
            <w:tcW w:w="1660" w:type="dxa"/>
            <w:vAlign w:val="bottom"/>
          </w:tcPr>
          <w:p>
            <w:pPr>
              <w:ind w:left="360"/>
              <w:spacing w:after="0" w:line="243" w:lineRule="exact"/>
              <w:rPr>
                <w:sz w:val="20"/>
                <w:szCs w:val="20"/>
                <w:color w:val="auto"/>
              </w:rPr>
            </w:pPr>
            <w:r>
              <w:rPr>
                <w:rFonts w:ascii="Arial" w:cs="Arial" w:eastAsia="Arial" w:hAnsi="Arial"/>
                <w:sz w:val="22"/>
                <w:szCs w:val="22"/>
                <w:color w:val="auto"/>
                <w:w w:val="99"/>
              </w:rPr>
              <w:t>Section 7.18.</w:t>
            </w:r>
          </w:p>
        </w:tc>
        <w:tc>
          <w:tcPr>
            <w:tcW w:w="9060" w:type="dxa"/>
            <w:vAlign w:val="bottom"/>
          </w:tcPr>
          <w:p>
            <w:pPr>
              <w:ind w:left="180"/>
              <w:spacing w:after="0" w:line="243" w:lineRule="exact"/>
              <w:rPr>
                <w:sz w:val="20"/>
                <w:szCs w:val="20"/>
                <w:color w:val="auto"/>
              </w:rPr>
            </w:pPr>
            <w:r>
              <w:rPr>
                <w:rFonts w:ascii="Arial" w:cs="Arial" w:eastAsia="Arial" w:hAnsi="Arial"/>
                <w:sz w:val="22"/>
                <w:szCs w:val="22"/>
                <w:color w:val="auto"/>
              </w:rPr>
              <w:t>Other Matters Concerning the General Partner and the Board of Directors</w:t>
            </w:r>
          </w:p>
        </w:tc>
        <w:tc>
          <w:tcPr>
            <w:tcW w:w="700" w:type="dxa"/>
            <w:vAlign w:val="bottom"/>
          </w:tcPr>
          <w:p>
            <w:pPr>
              <w:jc w:val="right"/>
              <w:spacing w:after="0" w:line="243" w:lineRule="exact"/>
              <w:rPr>
                <w:sz w:val="20"/>
                <w:szCs w:val="20"/>
                <w:color w:val="auto"/>
              </w:rPr>
            </w:pPr>
            <w:r>
              <w:rPr>
                <w:rFonts w:ascii="Arial" w:cs="Arial" w:eastAsia="Arial" w:hAnsi="Arial"/>
                <w:sz w:val="22"/>
                <w:szCs w:val="22"/>
                <w:color w:val="auto"/>
              </w:rPr>
              <w:t>55</w:t>
            </w:r>
          </w:p>
        </w:tc>
      </w:tr>
      <w:tr>
        <w:trPr>
          <w:trHeight w:val="243"/>
        </w:trPr>
        <w:tc>
          <w:tcPr>
            <w:tcW w:w="1660" w:type="dxa"/>
            <w:vAlign w:val="bottom"/>
          </w:tcPr>
          <w:p>
            <w:pPr>
              <w:ind w:left="360"/>
              <w:spacing w:after="0" w:line="243" w:lineRule="exact"/>
              <w:rPr>
                <w:sz w:val="20"/>
                <w:szCs w:val="20"/>
                <w:color w:val="auto"/>
              </w:rPr>
            </w:pPr>
            <w:r>
              <w:rPr>
                <w:rFonts w:ascii="Arial" w:cs="Arial" w:eastAsia="Arial" w:hAnsi="Arial"/>
                <w:sz w:val="22"/>
                <w:szCs w:val="22"/>
                <w:color w:val="auto"/>
                <w:w w:val="99"/>
              </w:rPr>
              <w:t>Section 7.19.</w:t>
            </w:r>
          </w:p>
        </w:tc>
        <w:tc>
          <w:tcPr>
            <w:tcW w:w="9060" w:type="dxa"/>
            <w:vAlign w:val="bottom"/>
          </w:tcPr>
          <w:p>
            <w:pPr>
              <w:ind w:left="180"/>
              <w:spacing w:after="0" w:line="243" w:lineRule="exact"/>
              <w:rPr>
                <w:sz w:val="20"/>
                <w:szCs w:val="20"/>
                <w:color w:val="auto"/>
              </w:rPr>
            </w:pPr>
            <w:r>
              <w:rPr>
                <w:rFonts w:ascii="Arial" w:cs="Arial" w:eastAsia="Arial" w:hAnsi="Arial"/>
                <w:sz w:val="22"/>
                <w:szCs w:val="22"/>
                <w:color w:val="auto"/>
              </w:rPr>
              <w:t>Purchase or Sale of Partnership Interests</w:t>
            </w:r>
          </w:p>
        </w:tc>
        <w:tc>
          <w:tcPr>
            <w:tcW w:w="700" w:type="dxa"/>
            <w:vAlign w:val="bottom"/>
          </w:tcPr>
          <w:p>
            <w:pPr>
              <w:jc w:val="right"/>
              <w:spacing w:after="0" w:line="243" w:lineRule="exact"/>
              <w:rPr>
                <w:sz w:val="20"/>
                <w:szCs w:val="20"/>
                <w:color w:val="auto"/>
              </w:rPr>
            </w:pPr>
            <w:r>
              <w:rPr>
                <w:rFonts w:ascii="Arial" w:cs="Arial" w:eastAsia="Arial" w:hAnsi="Arial"/>
                <w:sz w:val="22"/>
                <w:szCs w:val="22"/>
                <w:color w:val="auto"/>
              </w:rPr>
              <w:t>56</w:t>
            </w:r>
          </w:p>
        </w:tc>
      </w:tr>
      <w:tr>
        <w:trPr>
          <w:trHeight w:val="243"/>
        </w:trPr>
        <w:tc>
          <w:tcPr>
            <w:tcW w:w="1660" w:type="dxa"/>
            <w:vAlign w:val="bottom"/>
          </w:tcPr>
          <w:p>
            <w:pPr>
              <w:ind w:left="360"/>
              <w:spacing w:after="0" w:line="243" w:lineRule="exact"/>
              <w:rPr>
                <w:sz w:val="20"/>
                <w:szCs w:val="20"/>
                <w:color w:val="auto"/>
              </w:rPr>
            </w:pPr>
            <w:r>
              <w:rPr>
                <w:rFonts w:ascii="Arial" w:cs="Arial" w:eastAsia="Arial" w:hAnsi="Arial"/>
                <w:sz w:val="22"/>
                <w:szCs w:val="22"/>
                <w:color w:val="auto"/>
                <w:w w:val="99"/>
              </w:rPr>
              <w:t>Section 7.20.</w:t>
            </w:r>
          </w:p>
        </w:tc>
        <w:tc>
          <w:tcPr>
            <w:tcW w:w="9060" w:type="dxa"/>
            <w:vAlign w:val="bottom"/>
          </w:tcPr>
          <w:p>
            <w:pPr>
              <w:ind w:left="180"/>
              <w:spacing w:after="0" w:line="243" w:lineRule="exact"/>
              <w:rPr>
                <w:sz w:val="20"/>
                <w:szCs w:val="20"/>
                <w:color w:val="auto"/>
              </w:rPr>
            </w:pPr>
            <w:r>
              <w:rPr>
                <w:rFonts w:ascii="Arial" w:cs="Arial" w:eastAsia="Arial" w:hAnsi="Arial"/>
                <w:sz w:val="22"/>
                <w:szCs w:val="22"/>
                <w:color w:val="auto"/>
              </w:rPr>
              <w:t>Registration Rights of the General Partner and its Affiliates</w:t>
            </w:r>
          </w:p>
        </w:tc>
        <w:tc>
          <w:tcPr>
            <w:tcW w:w="700" w:type="dxa"/>
            <w:vAlign w:val="bottom"/>
          </w:tcPr>
          <w:p>
            <w:pPr>
              <w:jc w:val="right"/>
              <w:spacing w:after="0" w:line="243" w:lineRule="exact"/>
              <w:rPr>
                <w:sz w:val="20"/>
                <w:szCs w:val="20"/>
                <w:color w:val="auto"/>
              </w:rPr>
            </w:pPr>
            <w:r>
              <w:rPr>
                <w:rFonts w:ascii="Arial" w:cs="Arial" w:eastAsia="Arial" w:hAnsi="Arial"/>
                <w:sz w:val="22"/>
                <w:szCs w:val="22"/>
                <w:color w:val="auto"/>
              </w:rPr>
              <w:t>56</w:t>
            </w:r>
          </w:p>
        </w:tc>
      </w:tr>
      <w:tr>
        <w:trPr>
          <w:trHeight w:val="275"/>
        </w:trPr>
        <w:tc>
          <w:tcPr>
            <w:tcW w:w="1660" w:type="dxa"/>
            <w:vAlign w:val="bottom"/>
          </w:tcPr>
          <w:p>
            <w:pPr>
              <w:ind w:left="360"/>
              <w:spacing w:after="0"/>
              <w:rPr>
                <w:sz w:val="20"/>
                <w:szCs w:val="20"/>
                <w:color w:val="auto"/>
              </w:rPr>
            </w:pPr>
            <w:r>
              <w:rPr>
                <w:rFonts w:ascii="Arial" w:cs="Arial" w:eastAsia="Arial" w:hAnsi="Arial"/>
                <w:sz w:val="22"/>
                <w:szCs w:val="22"/>
                <w:color w:val="auto"/>
                <w:w w:val="99"/>
              </w:rPr>
              <w:t>Section 7.21.</w:t>
            </w:r>
          </w:p>
        </w:tc>
        <w:tc>
          <w:tcPr>
            <w:tcW w:w="9060" w:type="dxa"/>
            <w:vAlign w:val="bottom"/>
          </w:tcPr>
          <w:p>
            <w:pPr>
              <w:ind w:left="180"/>
              <w:spacing w:after="0"/>
              <w:rPr>
                <w:sz w:val="20"/>
                <w:szCs w:val="20"/>
                <w:color w:val="auto"/>
              </w:rPr>
            </w:pPr>
            <w:r>
              <w:rPr>
                <w:rFonts w:ascii="Arial" w:cs="Arial" w:eastAsia="Arial" w:hAnsi="Arial"/>
                <w:sz w:val="22"/>
                <w:szCs w:val="22"/>
                <w:color w:val="auto"/>
              </w:rPr>
              <w:t>Reliance by Third Parties</w:t>
            </w:r>
          </w:p>
        </w:tc>
        <w:tc>
          <w:tcPr>
            <w:tcW w:w="700" w:type="dxa"/>
            <w:vAlign w:val="bottom"/>
          </w:tcPr>
          <w:p>
            <w:pPr>
              <w:jc w:val="right"/>
              <w:spacing w:after="0"/>
              <w:rPr>
                <w:sz w:val="20"/>
                <w:szCs w:val="20"/>
                <w:color w:val="auto"/>
              </w:rPr>
            </w:pPr>
            <w:r>
              <w:rPr>
                <w:rFonts w:ascii="Arial" w:cs="Arial" w:eastAsia="Arial" w:hAnsi="Arial"/>
                <w:sz w:val="22"/>
                <w:szCs w:val="22"/>
                <w:color w:val="auto"/>
              </w:rPr>
              <w:t>59</w:t>
            </w:r>
          </w:p>
        </w:tc>
      </w:tr>
      <w:tr>
        <w:trPr>
          <w:trHeight w:val="455"/>
        </w:trPr>
        <w:tc>
          <w:tcPr>
            <w:tcW w:w="1660" w:type="dxa"/>
            <w:vAlign w:val="bottom"/>
          </w:tcPr>
          <w:p>
            <w:pPr>
              <w:spacing w:after="0"/>
              <w:rPr>
                <w:sz w:val="20"/>
                <w:szCs w:val="20"/>
                <w:color w:val="auto"/>
              </w:rPr>
            </w:pPr>
            <w:r>
              <w:rPr>
                <w:rFonts w:ascii="Arial" w:cs="Arial" w:eastAsia="Arial" w:hAnsi="Arial"/>
                <w:sz w:val="22"/>
                <w:szCs w:val="22"/>
                <w:color w:val="auto"/>
              </w:rPr>
              <w:t>ARTICLE VIII</w:t>
            </w:r>
          </w:p>
        </w:tc>
        <w:tc>
          <w:tcPr>
            <w:tcW w:w="9060" w:type="dxa"/>
            <w:vAlign w:val="bottom"/>
          </w:tcPr>
          <w:p>
            <w:pPr>
              <w:ind w:left="180"/>
              <w:spacing w:after="0"/>
              <w:rPr>
                <w:sz w:val="20"/>
                <w:szCs w:val="20"/>
                <w:color w:val="auto"/>
              </w:rPr>
            </w:pPr>
            <w:r>
              <w:rPr>
                <w:rFonts w:ascii="Arial" w:cs="Arial" w:eastAsia="Arial" w:hAnsi="Arial"/>
                <w:sz w:val="22"/>
                <w:szCs w:val="22"/>
                <w:color w:val="auto"/>
              </w:rPr>
              <w:t>BOOKS, RECORDS, ACCOUNTING AND REPORTS</w:t>
            </w:r>
          </w:p>
        </w:tc>
        <w:tc>
          <w:tcPr>
            <w:tcW w:w="700" w:type="dxa"/>
            <w:vAlign w:val="bottom"/>
          </w:tcPr>
          <w:p>
            <w:pPr>
              <w:jc w:val="right"/>
              <w:spacing w:after="0"/>
              <w:rPr>
                <w:sz w:val="20"/>
                <w:szCs w:val="20"/>
                <w:color w:val="auto"/>
              </w:rPr>
            </w:pPr>
            <w:r>
              <w:rPr>
                <w:rFonts w:ascii="Arial" w:cs="Arial" w:eastAsia="Arial" w:hAnsi="Arial"/>
                <w:sz w:val="22"/>
                <w:szCs w:val="22"/>
                <w:color w:val="auto"/>
              </w:rPr>
              <w:t>59</w:t>
            </w:r>
          </w:p>
        </w:tc>
      </w:tr>
      <w:tr>
        <w:trPr>
          <w:trHeight w:val="243"/>
        </w:trPr>
        <w:tc>
          <w:tcPr>
            <w:tcW w:w="1660" w:type="dxa"/>
            <w:vAlign w:val="bottom"/>
          </w:tcPr>
          <w:p>
            <w:pPr>
              <w:ind w:left="360"/>
              <w:spacing w:after="0" w:line="243" w:lineRule="exact"/>
              <w:rPr>
                <w:sz w:val="20"/>
                <w:szCs w:val="20"/>
                <w:color w:val="auto"/>
              </w:rPr>
            </w:pPr>
            <w:r>
              <w:rPr>
                <w:rFonts w:ascii="Arial" w:cs="Arial" w:eastAsia="Arial" w:hAnsi="Arial"/>
                <w:sz w:val="22"/>
                <w:szCs w:val="22"/>
                <w:color w:val="auto"/>
              </w:rPr>
              <w:t>Section 8.1.</w:t>
            </w:r>
          </w:p>
        </w:tc>
        <w:tc>
          <w:tcPr>
            <w:tcW w:w="9060" w:type="dxa"/>
            <w:vAlign w:val="bottom"/>
          </w:tcPr>
          <w:p>
            <w:pPr>
              <w:ind w:left="180"/>
              <w:spacing w:after="0" w:line="243" w:lineRule="exact"/>
              <w:rPr>
                <w:sz w:val="20"/>
                <w:szCs w:val="20"/>
                <w:color w:val="auto"/>
              </w:rPr>
            </w:pPr>
            <w:r>
              <w:rPr>
                <w:rFonts w:ascii="Arial" w:cs="Arial" w:eastAsia="Arial" w:hAnsi="Arial"/>
                <w:sz w:val="22"/>
                <w:szCs w:val="22"/>
                <w:color w:val="auto"/>
              </w:rPr>
              <w:t>Records and Accounting</w:t>
            </w:r>
          </w:p>
        </w:tc>
        <w:tc>
          <w:tcPr>
            <w:tcW w:w="700" w:type="dxa"/>
            <w:vAlign w:val="bottom"/>
          </w:tcPr>
          <w:p>
            <w:pPr>
              <w:jc w:val="right"/>
              <w:spacing w:after="0" w:line="243" w:lineRule="exact"/>
              <w:rPr>
                <w:sz w:val="20"/>
                <w:szCs w:val="20"/>
                <w:color w:val="auto"/>
              </w:rPr>
            </w:pPr>
            <w:r>
              <w:rPr>
                <w:rFonts w:ascii="Arial" w:cs="Arial" w:eastAsia="Arial" w:hAnsi="Arial"/>
                <w:sz w:val="22"/>
                <w:szCs w:val="22"/>
                <w:color w:val="auto"/>
              </w:rPr>
              <w:t>59</w:t>
            </w:r>
          </w:p>
        </w:tc>
      </w:tr>
      <w:tr>
        <w:trPr>
          <w:trHeight w:val="243"/>
        </w:trPr>
        <w:tc>
          <w:tcPr>
            <w:tcW w:w="1660" w:type="dxa"/>
            <w:vAlign w:val="bottom"/>
          </w:tcPr>
          <w:p>
            <w:pPr>
              <w:ind w:left="360"/>
              <w:spacing w:after="0" w:line="243" w:lineRule="exact"/>
              <w:rPr>
                <w:sz w:val="20"/>
                <w:szCs w:val="20"/>
                <w:color w:val="auto"/>
              </w:rPr>
            </w:pPr>
            <w:r>
              <w:rPr>
                <w:rFonts w:ascii="Arial" w:cs="Arial" w:eastAsia="Arial" w:hAnsi="Arial"/>
                <w:sz w:val="22"/>
                <w:szCs w:val="22"/>
                <w:color w:val="auto"/>
              </w:rPr>
              <w:t>Section 8.2.</w:t>
            </w:r>
          </w:p>
        </w:tc>
        <w:tc>
          <w:tcPr>
            <w:tcW w:w="9060" w:type="dxa"/>
            <w:vAlign w:val="bottom"/>
          </w:tcPr>
          <w:p>
            <w:pPr>
              <w:ind w:left="180"/>
              <w:spacing w:after="0" w:line="243" w:lineRule="exact"/>
              <w:rPr>
                <w:sz w:val="20"/>
                <w:szCs w:val="20"/>
                <w:color w:val="auto"/>
              </w:rPr>
            </w:pPr>
            <w:r>
              <w:rPr>
                <w:rFonts w:ascii="Arial" w:cs="Arial" w:eastAsia="Arial" w:hAnsi="Arial"/>
                <w:sz w:val="22"/>
                <w:szCs w:val="22"/>
                <w:color w:val="auto"/>
              </w:rPr>
              <w:t>Fiscal Year</w:t>
            </w:r>
          </w:p>
        </w:tc>
        <w:tc>
          <w:tcPr>
            <w:tcW w:w="700" w:type="dxa"/>
            <w:vAlign w:val="bottom"/>
          </w:tcPr>
          <w:p>
            <w:pPr>
              <w:jc w:val="right"/>
              <w:spacing w:after="0" w:line="243" w:lineRule="exact"/>
              <w:rPr>
                <w:sz w:val="20"/>
                <w:szCs w:val="20"/>
                <w:color w:val="auto"/>
              </w:rPr>
            </w:pPr>
            <w:r>
              <w:rPr>
                <w:rFonts w:ascii="Arial" w:cs="Arial" w:eastAsia="Arial" w:hAnsi="Arial"/>
                <w:sz w:val="22"/>
                <w:szCs w:val="22"/>
                <w:color w:val="auto"/>
              </w:rPr>
              <w:t>60</w:t>
            </w:r>
          </w:p>
        </w:tc>
      </w:tr>
      <w:tr>
        <w:trPr>
          <w:trHeight w:val="275"/>
        </w:trPr>
        <w:tc>
          <w:tcPr>
            <w:tcW w:w="1660" w:type="dxa"/>
            <w:vAlign w:val="bottom"/>
          </w:tcPr>
          <w:p>
            <w:pPr>
              <w:ind w:left="360"/>
              <w:spacing w:after="0"/>
              <w:rPr>
                <w:sz w:val="20"/>
                <w:szCs w:val="20"/>
                <w:color w:val="auto"/>
              </w:rPr>
            </w:pPr>
            <w:r>
              <w:rPr>
                <w:rFonts w:ascii="Arial" w:cs="Arial" w:eastAsia="Arial" w:hAnsi="Arial"/>
                <w:sz w:val="22"/>
                <w:szCs w:val="22"/>
                <w:color w:val="auto"/>
              </w:rPr>
              <w:t>Section 8.3.</w:t>
            </w:r>
          </w:p>
        </w:tc>
        <w:tc>
          <w:tcPr>
            <w:tcW w:w="9060" w:type="dxa"/>
            <w:vAlign w:val="bottom"/>
          </w:tcPr>
          <w:p>
            <w:pPr>
              <w:ind w:left="180"/>
              <w:spacing w:after="0"/>
              <w:rPr>
                <w:sz w:val="20"/>
                <w:szCs w:val="20"/>
                <w:color w:val="auto"/>
              </w:rPr>
            </w:pPr>
            <w:r>
              <w:rPr>
                <w:rFonts w:ascii="Arial" w:cs="Arial" w:eastAsia="Arial" w:hAnsi="Arial"/>
                <w:sz w:val="22"/>
                <w:szCs w:val="22"/>
                <w:color w:val="auto"/>
              </w:rPr>
              <w:t>Reports</w:t>
            </w:r>
          </w:p>
        </w:tc>
        <w:tc>
          <w:tcPr>
            <w:tcW w:w="700" w:type="dxa"/>
            <w:vAlign w:val="bottom"/>
          </w:tcPr>
          <w:p>
            <w:pPr>
              <w:jc w:val="right"/>
              <w:spacing w:after="0"/>
              <w:rPr>
                <w:sz w:val="20"/>
                <w:szCs w:val="20"/>
                <w:color w:val="auto"/>
              </w:rPr>
            </w:pPr>
            <w:r>
              <w:rPr>
                <w:rFonts w:ascii="Arial" w:cs="Arial" w:eastAsia="Arial" w:hAnsi="Arial"/>
                <w:sz w:val="22"/>
                <w:szCs w:val="22"/>
                <w:color w:val="auto"/>
              </w:rPr>
              <w:t>60</w:t>
            </w:r>
          </w:p>
        </w:tc>
      </w:tr>
      <w:tr>
        <w:trPr>
          <w:trHeight w:val="455"/>
        </w:trPr>
        <w:tc>
          <w:tcPr>
            <w:tcW w:w="1660" w:type="dxa"/>
            <w:vAlign w:val="bottom"/>
          </w:tcPr>
          <w:p>
            <w:pPr>
              <w:spacing w:after="0"/>
              <w:rPr>
                <w:sz w:val="20"/>
                <w:szCs w:val="20"/>
                <w:color w:val="auto"/>
              </w:rPr>
            </w:pPr>
            <w:r>
              <w:rPr>
                <w:rFonts w:ascii="Arial" w:cs="Arial" w:eastAsia="Arial" w:hAnsi="Arial"/>
                <w:sz w:val="22"/>
                <w:szCs w:val="22"/>
                <w:color w:val="auto"/>
              </w:rPr>
              <w:t>ARTICLE IX</w:t>
            </w:r>
          </w:p>
        </w:tc>
        <w:tc>
          <w:tcPr>
            <w:tcW w:w="9060" w:type="dxa"/>
            <w:vAlign w:val="bottom"/>
          </w:tcPr>
          <w:p>
            <w:pPr>
              <w:ind w:left="180"/>
              <w:spacing w:after="0"/>
              <w:rPr>
                <w:sz w:val="20"/>
                <w:szCs w:val="20"/>
                <w:color w:val="auto"/>
              </w:rPr>
            </w:pPr>
            <w:r>
              <w:rPr>
                <w:rFonts w:ascii="Arial" w:cs="Arial" w:eastAsia="Arial" w:hAnsi="Arial"/>
                <w:sz w:val="22"/>
                <w:szCs w:val="22"/>
                <w:color w:val="auto"/>
              </w:rPr>
              <w:t>TAX MATTERS</w:t>
            </w:r>
          </w:p>
        </w:tc>
        <w:tc>
          <w:tcPr>
            <w:tcW w:w="700" w:type="dxa"/>
            <w:vAlign w:val="bottom"/>
          </w:tcPr>
          <w:p>
            <w:pPr>
              <w:jc w:val="right"/>
              <w:spacing w:after="0"/>
              <w:rPr>
                <w:sz w:val="20"/>
                <w:szCs w:val="20"/>
                <w:color w:val="auto"/>
              </w:rPr>
            </w:pPr>
            <w:r>
              <w:rPr>
                <w:rFonts w:ascii="Arial" w:cs="Arial" w:eastAsia="Arial" w:hAnsi="Arial"/>
                <w:sz w:val="22"/>
                <w:szCs w:val="22"/>
                <w:color w:val="auto"/>
              </w:rPr>
              <w:t>60</w:t>
            </w:r>
          </w:p>
        </w:tc>
      </w:tr>
      <w:tr>
        <w:trPr>
          <w:trHeight w:val="275"/>
        </w:trPr>
        <w:tc>
          <w:tcPr>
            <w:tcW w:w="1660" w:type="dxa"/>
            <w:vAlign w:val="bottom"/>
          </w:tcPr>
          <w:p>
            <w:pPr>
              <w:ind w:left="360"/>
              <w:spacing w:after="0"/>
              <w:rPr>
                <w:sz w:val="20"/>
                <w:szCs w:val="20"/>
                <w:color w:val="auto"/>
              </w:rPr>
            </w:pPr>
            <w:r>
              <w:rPr>
                <w:rFonts w:ascii="Arial" w:cs="Arial" w:eastAsia="Arial" w:hAnsi="Arial"/>
                <w:sz w:val="22"/>
                <w:szCs w:val="22"/>
                <w:color w:val="auto"/>
              </w:rPr>
              <w:t>Section 9.1.</w:t>
            </w:r>
          </w:p>
        </w:tc>
        <w:tc>
          <w:tcPr>
            <w:tcW w:w="9060" w:type="dxa"/>
            <w:vAlign w:val="bottom"/>
          </w:tcPr>
          <w:p>
            <w:pPr>
              <w:ind w:left="180"/>
              <w:spacing w:after="0"/>
              <w:rPr>
                <w:sz w:val="20"/>
                <w:szCs w:val="20"/>
                <w:color w:val="auto"/>
              </w:rPr>
            </w:pPr>
            <w:r>
              <w:rPr>
                <w:rFonts w:ascii="Arial" w:cs="Arial" w:eastAsia="Arial" w:hAnsi="Arial"/>
                <w:sz w:val="22"/>
                <w:szCs w:val="22"/>
                <w:color w:val="auto"/>
              </w:rPr>
              <w:t>Tax Elections and Information</w:t>
            </w:r>
          </w:p>
        </w:tc>
        <w:tc>
          <w:tcPr>
            <w:tcW w:w="700" w:type="dxa"/>
            <w:vAlign w:val="bottom"/>
          </w:tcPr>
          <w:p>
            <w:pPr>
              <w:jc w:val="right"/>
              <w:spacing w:after="0"/>
              <w:rPr>
                <w:sz w:val="20"/>
                <w:szCs w:val="20"/>
                <w:color w:val="auto"/>
              </w:rPr>
            </w:pPr>
            <w:r>
              <w:rPr>
                <w:rFonts w:ascii="Arial" w:cs="Arial" w:eastAsia="Arial" w:hAnsi="Arial"/>
                <w:sz w:val="22"/>
                <w:szCs w:val="22"/>
                <w:color w:val="auto"/>
              </w:rPr>
              <w:t>60</w:t>
            </w:r>
          </w:p>
        </w:tc>
      </w:tr>
    </w:tbl>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2"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53"/>
        </w:trPr>
        <w:tc>
          <w:tcPr>
            <w:tcW w:w="1760" w:type="dxa"/>
            <w:vAlign w:val="bottom"/>
          </w:tcPr>
          <w:p>
            <w:pPr>
              <w:ind w:left="360"/>
              <w:spacing w:after="0"/>
              <w:rPr>
                <w:sz w:val="20"/>
                <w:szCs w:val="20"/>
                <w:color w:val="auto"/>
              </w:rPr>
            </w:pPr>
            <w:r>
              <w:rPr>
                <w:rFonts w:ascii="Arial" w:cs="Arial" w:eastAsia="Arial" w:hAnsi="Arial"/>
                <w:sz w:val="22"/>
                <w:szCs w:val="22"/>
                <w:color w:val="auto"/>
              </w:rPr>
              <w:t>Section 9.2.</w:t>
            </w:r>
          </w:p>
        </w:tc>
        <w:tc>
          <w:tcPr>
            <w:tcW w:w="8940" w:type="dxa"/>
            <w:vAlign w:val="bottom"/>
          </w:tcPr>
          <w:p>
            <w:pPr>
              <w:ind w:left="160"/>
              <w:spacing w:after="0"/>
              <w:rPr>
                <w:sz w:val="20"/>
                <w:szCs w:val="20"/>
                <w:color w:val="auto"/>
              </w:rPr>
            </w:pPr>
            <w:r>
              <w:rPr>
                <w:rFonts w:ascii="Arial" w:cs="Arial" w:eastAsia="Arial" w:hAnsi="Arial"/>
                <w:sz w:val="22"/>
                <w:szCs w:val="22"/>
                <w:color w:val="auto"/>
              </w:rPr>
              <w:t>Tax Withholding</w:t>
            </w:r>
          </w:p>
        </w:tc>
        <w:tc>
          <w:tcPr>
            <w:tcW w:w="720" w:type="dxa"/>
            <w:vAlign w:val="bottom"/>
          </w:tcPr>
          <w:p>
            <w:pPr>
              <w:jc w:val="right"/>
              <w:spacing w:after="0"/>
              <w:rPr>
                <w:sz w:val="20"/>
                <w:szCs w:val="20"/>
                <w:color w:val="auto"/>
              </w:rPr>
            </w:pPr>
            <w:r>
              <w:rPr>
                <w:rFonts w:ascii="Arial" w:cs="Arial" w:eastAsia="Arial" w:hAnsi="Arial"/>
                <w:sz w:val="22"/>
                <w:szCs w:val="22"/>
                <w:color w:val="auto"/>
              </w:rPr>
              <w:t>60</w:t>
            </w:r>
          </w:p>
        </w:tc>
      </w:tr>
      <w:tr>
        <w:trPr>
          <w:trHeight w:val="275"/>
        </w:trPr>
        <w:tc>
          <w:tcPr>
            <w:tcW w:w="1760" w:type="dxa"/>
            <w:vAlign w:val="bottom"/>
          </w:tcPr>
          <w:p>
            <w:pPr>
              <w:ind w:left="360"/>
              <w:spacing w:after="0"/>
              <w:rPr>
                <w:sz w:val="20"/>
                <w:szCs w:val="20"/>
                <w:color w:val="auto"/>
              </w:rPr>
            </w:pPr>
            <w:r>
              <w:rPr>
                <w:rFonts w:ascii="Arial" w:cs="Arial" w:eastAsia="Arial" w:hAnsi="Arial"/>
                <w:sz w:val="22"/>
                <w:szCs w:val="22"/>
                <w:color w:val="auto"/>
              </w:rPr>
              <w:t>Section 9.3.</w:t>
            </w:r>
          </w:p>
        </w:tc>
        <w:tc>
          <w:tcPr>
            <w:tcW w:w="8940" w:type="dxa"/>
            <w:vAlign w:val="bottom"/>
          </w:tcPr>
          <w:p>
            <w:pPr>
              <w:ind w:left="160"/>
              <w:spacing w:after="0"/>
              <w:rPr>
                <w:sz w:val="20"/>
                <w:szCs w:val="20"/>
                <w:color w:val="auto"/>
              </w:rPr>
            </w:pPr>
            <w:r>
              <w:rPr>
                <w:rFonts w:ascii="Arial" w:cs="Arial" w:eastAsia="Arial" w:hAnsi="Arial"/>
                <w:sz w:val="22"/>
                <w:szCs w:val="22"/>
                <w:color w:val="auto"/>
              </w:rPr>
              <w:t>Conduct of Operations</w:t>
            </w:r>
          </w:p>
        </w:tc>
        <w:tc>
          <w:tcPr>
            <w:tcW w:w="720" w:type="dxa"/>
            <w:vAlign w:val="bottom"/>
          </w:tcPr>
          <w:p>
            <w:pPr>
              <w:jc w:val="right"/>
              <w:spacing w:after="0"/>
              <w:rPr>
                <w:sz w:val="20"/>
                <w:szCs w:val="20"/>
                <w:color w:val="auto"/>
              </w:rPr>
            </w:pPr>
            <w:r>
              <w:rPr>
                <w:rFonts w:ascii="Arial" w:cs="Arial" w:eastAsia="Arial" w:hAnsi="Arial"/>
                <w:sz w:val="22"/>
                <w:szCs w:val="22"/>
                <w:color w:val="auto"/>
              </w:rPr>
              <w:t>60</w:t>
            </w:r>
          </w:p>
        </w:tc>
      </w:tr>
      <w:tr>
        <w:trPr>
          <w:trHeight w:val="455"/>
        </w:trPr>
        <w:tc>
          <w:tcPr>
            <w:tcW w:w="1760" w:type="dxa"/>
            <w:vAlign w:val="bottom"/>
          </w:tcPr>
          <w:p>
            <w:pPr>
              <w:spacing w:after="0"/>
              <w:rPr>
                <w:sz w:val="20"/>
                <w:szCs w:val="20"/>
                <w:color w:val="auto"/>
              </w:rPr>
            </w:pPr>
            <w:r>
              <w:rPr>
                <w:rFonts w:ascii="Arial" w:cs="Arial" w:eastAsia="Arial" w:hAnsi="Arial"/>
                <w:sz w:val="22"/>
                <w:szCs w:val="22"/>
                <w:color w:val="auto"/>
              </w:rPr>
              <w:t>ARTICLE X</w:t>
            </w:r>
          </w:p>
        </w:tc>
        <w:tc>
          <w:tcPr>
            <w:tcW w:w="8940" w:type="dxa"/>
            <w:vAlign w:val="bottom"/>
          </w:tcPr>
          <w:p>
            <w:pPr>
              <w:ind w:left="160"/>
              <w:spacing w:after="0"/>
              <w:rPr>
                <w:sz w:val="20"/>
                <w:szCs w:val="20"/>
                <w:color w:val="auto"/>
              </w:rPr>
            </w:pPr>
            <w:r>
              <w:rPr>
                <w:rFonts w:ascii="Arial" w:cs="Arial" w:eastAsia="Arial" w:hAnsi="Arial"/>
                <w:sz w:val="22"/>
                <w:szCs w:val="22"/>
                <w:color w:val="auto"/>
              </w:rPr>
              <w:t>ADMISSION OF PARTNERS</w:t>
            </w:r>
          </w:p>
        </w:tc>
        <w:tc>
          <w:tcPr>
            <w:tcW w:w="720" w:type="dxa"/>
            <w:vAlign w:val="bottom"/>
          </w:tcPr>
          <w:p>
            <w:pPr>
              <w:jc w:val="right"/>
              <w:spacing w:after="0"/>
              <w:rPr>
                <w:sz w:val="20"/>
                <w:szCs w:val="20"/>
                <w:color w:val="auto"/>
              </w:rPr>
            </w:pPr>
            <w:r>
              <w:rPr>
                <w:rFonts w:ascii="Arial" w:cs="Arial" w:eastAsia="Arial" w:hAnsi="Arial"/>
                <w:sz w:val="22"/>
                <w:szCs w:val="22"/>
                <w:color w:val="auto"/>
              </w:rPr>
              <w:t>61</w:t>
            </w:r>
          </w:p>
        </w:tc>
      </w:tr>
      <w:tr>
        <w:trPr>
          <w:trHeight w:val="243"/>
        </w:trPr>
        <w:tc>
          <w:tcPr>
            <w:tcW w:w="1760" w:type="dxa"/>
            <w:vAlign w:val="bottom"/>
          </w:tcPr>
          <w:p>
            <w:pPr>
              <w:ind w:left="360"/>
              <w:spacing w:after="0" w:line="243" w:lineRule="exact"/>
              <w:rPr>
                <w:sz w:val="20"/>
                <w:szCs w:val="20"/>
                <w:color w:val="auto"/>
              </w:rPr>
            </w:pPr>
            <w:r>
              <w:rPr>
                <w:rFonts w:ascii="Arial" w:cs="Arial" w:eastAsia="Arial" w:hAnsi="Arial"/>
                <w:sz w:val="22"/>
                <w:szCs w:val="22"/>
                <w:color w:val="auto"/>
              </w:rPr>
              <w:t>Section 10.1.</w:t>
            </w:r>
          </w:p>
        </w:tc>
        <w:tc>
          <w:tcPr>
            <w:tcW w:w="8940" w:type="dxa"/>
            <w:vAlign w:val="bottom"/>
          </w:tcPr>
          <w:p>
            <w:pPr>
              <w:ind w:left="160"/>
              <w:spacing w:after="0" w:line="243" w:lineRule="exact"/>
              <w:rPr>
                <w:sz w:val="20"/>
                <w:szCs w:val="20"/>
                <w:color w:val="auto"/>
              </w:rPr>
            </w:pPr>
            <w:r>
              <w:rPr>
                <w:rFonts w:ascii="Arial" w:cs="Arial" w:eastAsia="Arial" w:hAnsi="Arial"/>
                <w:sz w:val="22"/>
                <w:szCs w:val="22"/>
                <w:color w:val="auto"/>
              </w:rPr>
              <w:t>Admission of Initial Limited Partners</w:t>
            </w:r>
          </w:p>
        </w:tc>
        <w:tc>
          <w:tcPr>
            <w:tcW w:w="720" w:type="dxa"/>
            <w:vAlign w:val="bottom"/>
          </w:tcPr>
          <w:p>
            <w:pPr>
              <w:jc w:val="right"/>
              <w:spacing w:after="0" w:line="243" w:lineRule="exact"/>
              <w:rPr>
                <w:sz w:val="20"/>
                <w:szCs w:val="20"/>
                <w:color w:val="auto"/>
              </w:rPr>
            </w:pPr>
            <w:r>
              <w:rPr>
                <w:rFonts w:ascii="Arial" w:cs="Arial" w:eastAsia="Arial" w:hAnsi="Arial"/>
                <w:sz w:val="22"/>
                <w:szCs w:val="22"/>
                <w:color w:val="auto"/>
              </w:rPr>
              <w:t>61</w:t>
            </w:r>
          </w:p>
        </w:tc>
      </w:tr>
      <w:tr>
        <w:trPr>
          <w:trHeight w:val="243"/>
        </w:trPr>
        <w:tc>
          <w:tcPr>
            <w:tcW w:w="1760" w:type="dxa"/>
            <w:vAlign w:val="bottom"/>
          </w:tcPr>
          <w:p>
            <w:pPr>
              <w:ind w:left="360"/>
              <w:spacing w:after="0" w:line="243" w:lineRule="exact"/>
              <w:rPr>
                <w:sz w:val="20"/>
                <w:szCs w:val="20"/>
                <w:color w:val="auto"/>
              </w:rPr>
            </w:pPr>
            <w:r>
              <w:rPr>
                <w:rFonts w:ascii="Arial" w:cs="Arial" w:eastAsia="Arial" w:hAnsi="Arial"/>
                <w:sz w:val="22"/>
                <w:szCs w:val="22"/>
                <w:color w:val="auto"/>
              </w:rPr>
              <w:t>Section 10.2.</w:t>
            </w:r>
          </w:p>
        </w:tc>
        <w:tc>
          <w:tcPr>
            <w:tcW w:w="8940" w:type="dxa"/>
            <w:vAlign w:val="bottom"/>
          </w:tcPr>
          <w:p>
            <w:pPr>
              <w:ind w:left="160"/>
              <w:spacing w:after="0" w:line="243" w:lineRule="exact"/>
              <w:rPr>
                <w:sz w:val="20"/>
                <w:szCs w:val="20"/>
                <w:color w:val="auto"/>
              </w:rPr>
            </w:pPr>
            <w:r>
              <w:rPr>
                <w:rFonts w:ascii="Arial" w:cs="Arial" w:eastAsia="Arial" w:hAnsi="Arial"/>
                <w:sz w:val="22"/>
                <w:szCs w:val="22"/>
                <w:color w:val="auto"/>
              </w:rPr>
              <w:t>Admission of Additional Limited Partners</w:t>
            </w:r>
          </w:p>
        </w:tc>
        <w:tc>
          <w:tcPr>
            <w:tcW w:w="720" w:type="dxa"/>
            <w:vAlign w:val="bottom"/>
          </w:tcPr>
          <w:p>
            <w:pPr>
              <w:jc w:val="right"/>
              <w:spacing w:after="0" w:line="243" w:lineRule="exact"/>
              <w:rPr>
                <w:sz w:val="20"/>
                <w:szCs w:val="20"/>
                <w:color w:val="auto"/>
              </w:rPr>
            </w:pPr>
            <w:r>
              <w:rPr>
                <w:rFonts w:ascii="Arial" w:cs="Arial" w:eastAsia="Arial" w:hAnsi="Arial"/>
                <w:sz w:val="22"/>
                <w:szCs w:val="22"/>
                <w:color w:val="auto"/>
              </w:rPr>
              <w:t>61</w:t>
            </w:r>
          </w:p>
        </w:tc>
      </w:tr>
      <w:tr>
        <w:trPr>
          <w:trHeight w:val="243"/>
        </w:trPr>
        <w:tc>
          <w:tcPr>
            <w:tcW w:w="1760" w:type="dxa"/>
            <w:vAlign w:val="bottom"/>
          </w:tcPr>
          <w:p>
            <w:pPr>
              <w:ind w:left="360"/>
              <w:spacing w:after="0" w:line="243" w:lineRule="exact"/>
              <w:rPr>
                <w:sz w:val="20"/>
                <w:szCs w:val="20"/>
                <w:color w:val="auto"/>
              </w:rPr>
            </w:pPr>
            <w:r>
              <w:rPr>
                <w:rFonts w:ascii="Arial" w:cs="Arial" w:eastAsia="Arial" w:hAnsi="Arial"/>
                <w:sz w:val="22"/>
                <w:szCs w:val="22"/>
                <w:color w:val="auto"/>
              </w:rPr>
              <w:t>Section 10.3.</w:t>
            </w:r>
          </w:p>
        </w:tc>
        <w:tc>
          <w:tcPr>
            <w:tcW w:w="8940" w:type="dxa"/>
            <w:vAlign w:val="bottom"/>
          </w:tcPr>
          <w:p>
            <w:pPr>
              <w:ind w:left="160"/>
              <w:spacing w:after="0" w:line="243" w:lineRule="exact"/>
              <w:rPr>
                <w:sz w:val="20"/>
                <w:szCs w:val="20"/>
                <w:color w:val="auto"/>
              </w:rPr>
            </w:pPr>
            <w:r>
              <w:rPr>
                <w:rFonts w:ascii="Arial" w:cs="Arial" w:eastAsia="Arial" w:hAnsi="Arial"/>
                <w:sz w:val="22"/>
                <w:szCs w:val="22"/>
                <w:color w:val="auto"/>
              </w:rPr>
              <w:t>Admission of Successor General Partner</w:t>
            </w:r>
          </w:p>
        </w:tc>
        <w:tc>
          <w:tcPr>
            <w:tcW w:w="720" w:type="dxa"/>
            <w:vAlign w:val="bottom"/>
          </w:tcPr>
          <w:p>
            <w:pPr>
              <w:jc w:val="right"/>
              <w:spacing w:after="0" w:line="243" w:lineRule="exact"/>
              <w:rPr>
                <w:sz w:val="20"/>
                <w:szCs w:val="20"/>
                <w:color w:val="auto"/>
              </w:rPr>
            </w:pPr>
            <w:r>
              <w:rPr>
                <w:rFonts w:ascii="Arial" w:cs="Arial" w:eastAsia="Arial" w:hAnsi="Arial"/>
                <w:sz w:val="22"/>
                <w:szCs w:val="22"/>
                <w:color w:val="auto"/>
              </w:rPr>
              <w:t>62</w:t>
            </w:r>
          </w:p>
        </w:tc>
      </w:tr>
      <w:tr>
        <w:trPr>
          <w:trHeight w:val="275"/>
        </w:trPr>
        <w:tc>
          <w:tcPr>
            <w:tcW w:w="1760" w:type="dxa"/>
            <w:vAlign w:val="bottom"/>
          </w:tcPr>
          <w:p>
            <w:pPr>
              <w:ind w:left="360"/>
              <w:spacing w:after="0"/>
              <w:rPr>
                <w:sz w:val="20"/>
                <w:szCs w:val="20"/>
                <w:color w:val="auto"/>
              </w:rPr>
            </w:pPr>
            <w:r>
              <w:rPr>
                <w:rFonts w:ascii="Arial" w:cs="Arial" w:eastAsia="Arial" w:hAnsi="Arial"/>
                <w:sz w:val="22"/>
                <w:szCs w:val="22"/>
                <w:color w:val="auto"/>
              </w:rPr>
              <w:t>Section 10.4.</w:t>
            </w:r>
          </w:p>
        </w:tc>
        <w:tc>
          <w:tcPr>
            <w:tcW w:w="8940" w:type="dxa"/>
            <w:vAlign w:val="bottom"/>
          </w:tcPr>
          <w:p>
            <w:pPr>
              <w:ind w:left="160"/>
              <w:spacing w:after="0"/>
              <w:rPr>
                <w:sz w:val="20"/>
                <w:szCs w:val="20"/>
                <w:color w:val="auto"/>
              </w:rPr>
            </w:pPr>
            <w:r>
              <w:rPr>
                <w:rFonts w:ascii="Arial" w:cs="Arial" w:eastAsia="Arial" w:hAnsi="Arial"/>
                <w:sz w:val="22"/>
                <w:szCs w:val="22"/>
                <w:color w:val="auto"/>
              </w:rPr>
              <w:t>Amendment of Agreement and Certificate of Limited Partnership</w:t>
            </w:r>
          </w:p>
        </w:tc>
        <w:tc>
          <w:tcPr>
            <w:tcW w:w="720" w:type="dxa"/>
            <w:vAlign w:val="bottom"/>
          </w:tcPr>
          <w:p>
            <w:pPr>
              <w:jc w:val="right"/>
              <w:spacing w:after="0"/>
              <w:rPr>
                <w:sz w:val="20"/>
                <w:szCs w:val="20"/>
                <w:color w:val="auto"/>
              </w:rPr>
            </w:pPr>
            <w:r>
              <w:rPr>
                <w:rFonts w:ascii="Arial" w:cs="Arial" w:eastAsia="Arial" w:hAnsi="Arial"/>
                <w:sz w:val="22"/>
                <w:szCs w:val="22"/>
                <w:color w:val="auto"/>
              </w:rPr>
              <w:t>62</w:t>
            </w:r>
          </w:p>
        </w:tc>
      </w:tr>
      <w:tr>
        <w:trPr>
          <w:trHeight w:val="455"/>
        </w:trPr>
        <w:tc>
          <w:tcPr>
            <w:tcW w:w="1760" w:type="dxa"/>
            <w:vAlign w:val="bottom"/>
          </w:tcPr>
          <w:p>
            <w:pPr>
              <w:spacing w:after="0"/>
              <w:rPr>
                <w:sz w:val="20"/>
                <w:szCs w:val="20"/>
                <w:color w:val="auto"/>
              </w:rPr>
            </w:pPr>
            <w:r>
              <w:rPr>
                <w:rFonts w:ascii="Arial" w:cs="Arial" w:eastAsia="Arial" w:hAnsi="Arial"/>
                <w:sz w:val="22"/>
                <w:szCs w:val="22"/>
                <w:color w:val="auto"/>
              </w:rPr>
              <w:t>ARTICLE XI</w:t>
            </w:r>
          </w:p>
        </w:tc>
        <w:tc>
          <w:tcPr>
            <w:tcW w:w="8940" w:type="dxa"/>
            <w:vAlign w:val="bottom"/>
          </w:tcPr>
          <w:p>
            <w:pPr>
              <w:ind w:left="160"/>
              <w:spacing w:after="0"/>
              <w:rPr>
                <w:sz w:val="20"/>
                <w:szCs w:val="20"/>
                <w:color w:val="auto"/>
              </w:rPr>
            </w:pPr>
            <w:r>
              <w:rPr>
                <w:rFonts w:ascii="Arial" w:cs="Arial" w:eastAsia="Arial" w:hAnsi="Arial"/>
                <w:sz w:val="22"/>
                <w:szCs w:val="22"/>
                <w:color w:val="auto"/>
              </w:rPr>
              <w:t>WITHDRAWAL OR REMOVAL OF PARTNERS</w:t>
            </w:r>
          </w:p>
        </w:tc>
        <w:tc>
          <w:tcPr>
            <w:tcW w:w="720" w:type="dxa"/>
            <w:vAlign w:val="bottom"/>
          </w:tcPr>
          <w:p>
            <w:pPr>
              <w:jc w:val="right"/>
              <w:spacing w:after="0"/>
              <w:rPr>
                <w:sz w:val="20"/>
                <w:szCs w:val="20"/>
                <w:color w:val="auto"/>
              </w:rPr>
            </w:pPr>
            <w:r>
              <w:rPr>
                <w:rFonts w:ascii="Arial" w:cs="Arial" w:eastAsia="Arial" w:hAnsi="Arial"/>
                <w:sz w:val="22"/>
                <w:szCs w:val="22"/>
                <w:color w:val="auto"/>
              </w:rPr>
              <w:t>62</w:t>
            </w:r>
          </w:p>
        </w:tc>
      </w:tr>
      <w:tr>
        <w:trPr>
          <w:trHeight w:val="243"/>
        </w:trPr>
        <w:tc>
          <w:tcPr>
            <w:tcW w:w="1760" w:type="dxa"/>
            <w:vAlign w:val="bottom"/>
          </w:tcPr>
          <w:p>
            <w:pPr>
              <w:ind w:left="360"/>
              <w:spacing w:after="0" w:line="243" w:lineRule="exact"/>
              <w:rPr>
                <w:sz w:val="20"/>
                <w:szCs w:val="20"/>
                <w:color w:val="auto"/>
              </w:rPr>
            </w:pPr>
            <w:r>
              <w:rPr>
                <w:rFonts w:ascii="Arial" w:cs="Arial" w:eastAsia="Arial" w:hAnsi="Arial"/>
                <w:sz w:val="22"/>
                <w:szCs w:val="22"/>
                <w:color w:val="auto"/>
              </w:rPr>
              <w:t>Section 11.1.</w:t>
            </w:r>
          </w:p>
        </w:tc>
        <w:tc>
          <w:tcPr>
            <w:tcW w:w="8940" w:type="dxa"/>
            <w:vAlign w:val="bottom"/>
          </w:tcPr>
          <w:p>
            <w:pPr>
              <w:ind w:left="160"/>
              <w:spacing w:after="0" w:line="243" w:lineRule="exact"/>
              <w:rPr>
                <w:sz w:val="20"/>
                <w:szCs w:val="20"/>
                <w:color w:val="auto"/>
              </w:rPr>
            </w:pPr>
            <w:r>
              <w:rPr>
                <w:rFonts w:ascii="Arial" w:cs="Arial" w:eastAsia="Arial" w:hAnsi="Arial"/>
                <w:sz w:val="22"/>
                <w:szCs w:val="22"/>
                <w:color w:val="auto"/>
              </w:rPr>
              <w:t>Withdrawal of the General Partner</w:t>
            </w:r>
          </w:p>
        </w:tc>
        <w:tc>
          <w:tcPr>
            <w:tcW w:w="720" w:type="dxa"/>
            <w:vAlign w:val="bottom"/>
          </w:tcPr>
          <w:p>
            <w:pPr>
              <w:jc w:val="right"/>
              <w:spacing w:after="0" w:line="243" w:lineRule="exact"/>
              <w:rPr>
                <w:sz w:val="20"/>
                <w:szCs w:val="20"/>
                <w:color w:val="auto"/>
              </w:rPr>
            </w:pPr>
            <w:r>
              <w:rPr>
                <w:rFonts w:ascii="Arial" w:cs="Arial" w:eastAsia="Arial" w:hAnsi="Arial"/>
                <w:sz w:val="22"/>
                <w:szCs w:val="22"/>
                <w:color w:val="auto"/>
              </w:rPr>
              <w:t>62</w:t>
            </w:r>
          </w:p>
        </w:tc>
      </w:tr>
      <w:tr>
        <w:trPr>
          <w:trHeight w:val="243"/>
        </w:trPr>
        <w:tc>
          <w:tcPr>
            <w:tcW w:w="1760" w:type="dxa"/>
            <w:vAlign w:val="bottom"/>
          </w:tcPr>
          <w:p>
            <w:pPr>
              <w:ind w:left="360"/>
              <w:spacing w:after="0" w:line="243" w:lineRule="exact"/>
              <w:rPr>
                <w:sz w:val="20"/>
                <w:szCs w:val="20"/>
                <w:color w:val="auto"/>
              </w:rPr>
            </w:pPr>
            <w:r>
              <w:rPr>
                <w:rFonts w:ascii="Arial" w:cs="Arial" w:eastAsia="Arial" w:hAnsi="Arial"/>
                <w:sz w:val="22"/>
                <w:szCs w:val="22"/>
                <w:color w:val="auto"/>
              </w:rPr>
              <w:t>Section 11.2.</w:t>
            </w:r>
          </w:p>
        </w:tc>
        <w:tc>
          <w:tcPr>
            <w:tcW w:w="8940" w:type="dxa"/>
            <w:vAlign w:val="bottom"/>
          </w:tcPr>
          <w:p>
            <w:pPr>
              <w:ind w:left="160"/>
              <w:spacing w:after="0" w:line="243" w:lineRule="exact"/>
              <w:rPr>
                <w:sz w:val="20"/>
                <w:szCs w:val="20"/>
                <w:color w:val="auto"/>
              </w:rPr>
            </w:pPr>
            <w:r>
              <w:rPr>
                <w:rFonts w:ascii="Arial" w:cs="Arial" w:eastAsia="Arial" w:hAnsi="Arial"/>
                <w:sz w:val="22"/>
                <w:szCs w:val="22"/>
                <w:color w:val="auto"/>
              </w:rPr>
              <w:t>Removal of the General Partner</w:t>
            </w:r>
          </w:p>
        </w:tc>
        <w:tc>
          <w:tcPr>
            <w:tcW w:w="720" w:type="dxa"/>
            <w:vAlign w:val="bottom"/>
          </w:tcPr>
          <w:p>
            <w:pPr>
              <w:jc w:val="right"/>
              <w:spacing w:after="0" w:line="243" w:lineRule="exact"/>
              <w:rPr>
                <w:sz w:val="20"/>
                <w:szCs w:val="20"/>
                <w:color w:val="auto"/>
              </w:rPr>
            </w:pPr>
            <w:r>
              <w:rPr>
                <w:rFonts w:ascii="Arial" w:cs="Arial" w:eastAsia="Arial" w:hAnsi="Arial"/>
                <w:sz w:val="22"/>
                <w:szCs w:val="22"/>
                <w:color w:val="auto"/>
              </w:rPr>
              <w:t>64</w:t>
            </w:r>
          </w:p>
        </w:tc>
      </w:tr>
      <w:tr>
        <w:trPr>
          <w:trHeight w:val="243"/>
        </w:trPr>
        <w:tc>
          <w:tcPr>
            <w:tcW w:w="1760" w:type="dxa"/>
            <w:vAlign w:val="bottom"/>
          </w:tcPr>
          <w:p>
            <w:pPr>
              <w:ind w:left="360"/>
              <w:spacing w:after="0" w:line="243" w:lineRule="exact"/>
              <w:rPr>
                <w:sz w:val="20"/>
                <w:szCs w:val="20"/>
                <w:color w:val="auto"/>
              </w:rPr>
            </w:pPr>
            <w:r>
              <w:rPr>
                <w:rFonts w:ascii="Arial" w:cs="Arial" w:eastAsia="Arial" w:hAnsi="Arial"/>
                <w:sz w:val="22"/>
                <w:szCs w:val="22"/>
                <w:color w:val="auto"/>
              </w:rPr>
              <w:t>Section 11.3.</w:t>
            </w:r>
          </w:p>
        </w:tc>
        <w:tc>
          <w:tcPr>
            <w:tcW w:w="8940" w:type="dxa"/>
            <w:vAlign w:val="bottom"/>
          </w:tcPr>
          <w:p>
            <w:pPr>
              <w:ind w:left="160"/>
              <w:spacing w:after="0" w:line="243" w:lineRule="exact"/>
              <w:rPr>
                <w:sz w:val="20"/>
                <w:szCs w:val="20"/>
                <w:color w:val="auto"/>
              </w:rPr>
            </w:pPr>
            <w:r>
              <w:rPr>
                <w:rFonts w:ascii="Arial" w:cs="Arial" w:eastAsia="Arial" w:hAnsi="Arial"/>
                <w:sz w:val="22"/>
                <w:szCs w:val="22"/>
                <w:color w:val="auto"/>
              </w:rPr>
              <w:t>Interest of Departing General Partner and Successor General Partner</w:t>
            </w:r>
          </w:p>
        </w:tc>
        <w:tc>
          <w:tcPr>
            <w:tcW w:w="720" w:type="dxa"/>
            <w:vAlign w:val="bottom"/>
          </w:tcPr>
          <w:p>
            <w:pPr>
              <w:jc w:val="right"/>
              <w:spacing w:after="0" w:line="243" w:lineRule="exact"/>
              <w:rPr>
                <w:sz w:val="20"/>
                <w:szCs w:val="20"/>
                <w:color w:val="auto"/>
              </w:rPr>
            </w:pPr>
            <w:r>
              <w:rPr>
                <w:rFonts w:ascii="Arial" w:cs="Arial" w:eastAsia="Arial" w:hAnsi="Arial"/>
                <w:sz w:val="22"/>
                <w:szCs w:val="22"/>
                <w:color w:val="auto"/>
              </w:rPr>
              <w:t>64</w:t>
            </w:r>
          </w:p>
        </w:tc>
      </w:tr>
      <w:tr>
        <w:trPr>
          <w:trHeight w:val="243"/>
        </w:trPr>
        <w:tc>
          <w:tcPr>
            <w:tcW w:w="1760" w:type="dxa"/>
            <w:vAlign w:val="bottom"/>
          </w:tcPr>
          <w:p>
            <w:pPr>
              <w:ind w:left="360"/>
              <w:spacing w:after="0" w:line="243" w:lineRule="exact"/>
              <w:rPr>
                <w:sz w:val="20"/>
                <w:szCs w:val="20"/>
                <w:color w:val="auto"/>
              </w:rPr>
            </w:pPr>
            <w:r>
              <w:rPr>
                <w:rFonts w:ascii="Arial" w:cs="Arial" w:eastAsia="Arial" w:hAnsi="Arial"/>
                <w:sz w:val="22"/>
                <w:szCs w:val="22"/>
                <w:color w:val="auto"/>
              </w:rPr>
              <w:t>Section 11.4.</w:t>
            </w:r>
          </w:p>
        </w:tc>
        <w:tc>
          <w:tcPr>
            <w:tcW w:w="8940" w:type="dxa"/>
            <w:vAlign w:val="bottom"/>
          </w:tcPr>
          <w:p>
            <w:pPr>
              <w:ind w:left="160"/>
              <w:spacing w:after="0" w:line="243" w:lineRule="exact"/>
              <w:rPr>
                <w:sz w:val="20"/>
                <w:szCs w:val="20"/>
                <w:color w:val="auto"/>
              </w:rPr>
            </w:pPr>
            <w:r>
              <w:rPr>
                <w:rFonts w:ascii="Arial" w:cs="Arial" w:eastAsia="Arial" w:hAnsi="Arial"/>
                <w:sz w:val="22"/>
                <w:szCs w:val="22"/>
                <w:color w:val="auto"/>
                <w:w w:val="95"/>
              </w:rPr>
              <w:t>Termination of Subordination Period, Conversion of Subordinated Units and Extinguishment of</w:t>
            </w:r>
          </w:p>
        </w:tc>
        <w:tc>
          <w:tcPr>
            <w:tcW w:w="720" w:type="dxa"/>
            <w:vAlign w:val="bottom"/>
          </w:tcPr>
          <w:p>
            <w:pPr>
              <w:spacing w:after="0"/>
              <w:rPr>
                <w:sz w:val="21"/>
                <w:szCs w:val="21"/>
                <w:color w:val="auto"/>
              </w:rPr>
            </w:pPr>
          </w:p>
        </w:tc>
      </w:tr>
      <w:tr>
        <w:trPr>
          <w:trHeight w:val="243"/>
        </w:trPr>
        <w:tc>
          <w:tcPr>
            <w:tcW w:w="1760" w:type="dxa"/>
            <w:vAlign w:val="bottom"/>
          </w:tcPr>
          <w:p>
            <w:pPr>
              <w:spacing w:after="0"/>
              <w:rPr>
                <w:sz w:val="21"/>
                <w:szCs w:val="21"/>
                <w:color w:val="auto"/>
              </w:rPr>
            </w:pPr>
          </w:p>
        </w:tc>
        <w:tc>
          <w:tcPr>
            <w:tcW w:w="8940" w:type="dxa"/>
            <w:vAlign w:val="bottom"/>
          </w:tcPr>
          <w:p>
            <w:pPr>
              <w:ind w:left="160"/>
              <w:spacing w:after="0" w:line="243" w:lineRule="exact"/>
              <w:rPr>
                <w:sz w:val="20"/>
                <w:szCs w:val="20"/>
                <w:color w:val="auto"/>
              </w:rPr>
            </w:pPr>
            <w:r>
              <w:rPr>
                <w:rFonts w:ascii="Arial" w:cs="Arial" w:eastAsia="Arial" w:hAnsi="Arial"/>
                <w:sz w:val="22"/>
                <w:szCs w:val="22"/>
                <w:color w:val="auto"/>
              </w:rPr>
              <w:t>Cumulative Common Unit Arrearages</w:t>
            </w:r>
          </w:p>
        </w:tc>
        <w:tc>
          <w:tcPr>
            <w:tcW w:w="720" w:type="dxa"/>
            <w:vAlign w:val="bottom"/>
          </w:tcPr>
          <w:p>
            <w:pPr>
              <w:jc w:val="right"/>
              <w:spacing w:after="0" w:line="243" w:lineRule="exact"/>
              <w:rPr>
                <w:sz w:val="20"/>
                <w:szCs w:val="20"/>
                <w:color w:val="auto"/>
              </w:rPr>
            </w:pPr>
            <w:r>
              <w:rPr>
                <w:rFonts w:ascii="Arial" w:cs="Arial" w:eastAsia="Arial" w:hAnsi="Arial"/>
                <w:sz w:val="22"/>
                <w:szCs w:val="22"/>
                <w:color w:val="auto"/>
              </w:rPr>
              <w:t>66</w:t>
            </w:r>
          </w:p>
        </w:tc>
      </w:tr>
      <w:tr>
        <w:trPr>
          <w:trHeight w:val="275"/>
        </w:trPr>
        <w:tc>
          <w:tcPr>
            <w:tcW w:w="1760" w:type="dxa"/>
            <w:vAlign w:val="bottom"/>
          </w:tcPr>
          <w:p>
            <w:pPr>
              <w:ind w:left="360"/>
              <w:spacing w:after="0"/>
              <w:rPr>
                <w:sz w:val="20"/>
                <w:szCs w:val="20"/>
                <w:color w:val="auto"/>
              </w:rPr>
            </w:pPr>
            <w:r>
              <w:rPr>
                <w:rFonts w:ascii="Arial" w:cs="Arial" w:eastAsia="Arial" w:hAnsi="Arial"/>
                <w:sz w:val="22"/>
                <w:szCs w:val="22"/>
                <w:color w:val="auto"/>
              </w:rPr>
              <w:t>Section 11.5.</w:t>
            </w:r>
          </w:p>
        </w:tc>
        <w:tc>
          <w:tcPr>
            <w:tcW w:w="8940" w:type="dxa"/>
            <w:vAlign w:val="bottom"/>
          </w:tcPr>
          <w:p>
            <w:pPr>
              <w:ind w:left="160"/>
              <w:spacing w:after="0"/>
              <w:rPr>
                <w:sz w:val="20"/>
                <w:szCs w:val="20"/>
                <w:color w:val="auto"/>
              </w:rPr>
            </w:pPr>
            <w:r>
              <w:rPr>
                <w:rFonts w:ascii="Arial" w:cs="Arial" w:eastAsia="Arial" w:hAnsi="Arial"/>
                <w:sz w:val="22"/>
                <w:szCs w:val="22"/>
                <w:color w:val="auto"/>
              </w:rPr>
              <w:t>Withdrawal of Limited Partners</w:t>
            </w:r>
          </w:p>
        </w:tc>
        <w:tc>
          <w:tcPr>
            <w:tcW w:w="720" w:type="dxa"/>
            <w:vAlign w:val="bottom"/>
          </w:tcPr>
          <w:p>
            <w:pPr>
              <w:jc w:val="right"/>
              <w:spacing w:after="0"/>
              <w:rPr>
                <w:sz w:val="20"/>
                <w:szCs w:val="20"/>
                <w:color w:val="auto"/>
              </w:rPr>
            </w:pPr>
            <w:r>
              <w:rPr>
                <w:rFonts w:ascii="Arial" w:cs="Arial" w:eastAsia="Arial" w:hAnsi="Arial"/>
                <w:sz w:val="22"/>
                <w:szCs w:val="22"/>
                <w:color w:val="auto"/>
              </w:rPr>
              <w:t>67</w:t>
            </w:r>
          </w:p>
        </w:tc>
      </w:tr>
      <w:tr>
        <w:trPr>
          <w:trHeight w:val="455"/>
        </w:trPr>
        <w:tc>
          <w:tcPr>
            <w:tcW w:w="1760" w:type="dxa"/>
            <w:vAlign w:val="bottom"/>
          </w:tcPr>
          <w:p>
            <w:pPr>
              <w:spacing w:after="0"/>
              <w:rPr>
                <w:sz w:val="20"/>
                <w:szCs w:val="20"/>
                <w:color w:val="auto"/>
              </w:rPr>
            </w:pPr>
            <w:r>
              <w:rPr>
                <w:rFonts w:ascii="Arial" w:cs="Arial" w:eastAsia="Arial" w:hAnsi="Arial"/>
                <w:sz w:val="22"/>
                <w:szCs w:val="22"/>
                <w:color w:val="auto"/>
              </w:rPr>
              <w:t>ARTICLE XII</w:t>
            </w:r>
          </w:p>
        </w:tc>
        <w:tc>
          <w:tcPr>
            <w:tcW w:w="8940" w:type="dxa"/>
            <w:vAlign w:val="bottom"/>
          </w:tcPr>
          <w:p>
            <w:pPr>
              <w:ind w:left="160"/>
              <w:spacing w:after="0"/>
              <w:rPr>
                <w:sz w:val="20"/>
                <w:szCs w:val="20"/>
                <w:color w:val="auto"/>
              </w:rPr>
            </w:pPr>
            <w:r>
              <w:rPr>
                <w:rFonts w:ascii="Arial" w:cs="Arial" w:eastAsia="Arial" w:hAnsi="Arial"/>
                <w:sz w:val="22"/>
                <w:szCs w:val="22"/>
                <w:color w:val="auto"/>
              </w:rPr>
              <w:t>DISSOLUTION AND LIQUIDATION</w:t>
            </w:r>
          </w:p>
        </w:tc>
        <w:tc>
          <w:tcPr>
            <w:tcW w:w="720" w:type="dxa"/>
            <w:vAlign w:val="bottom"/>
          </w:tcPr>
          <w:p>
            <w:pPr>
              <w:jc w:val="right"/>
              <w:spacing w:after="0"/>
              <w:rPr>
                <w:sz w:val="20"/>
                <w:szCs w:val="20"/>
                <w:color w:val="auto"/>
              </w:rPr>
            </w:pPr>
            <w:r>
              <w:rPr>
                <w:rFonts w:ascii="Arial" w:cs="Arial" w:eastAsia="Arial" w:hAnsi="Arial"/>
                <w:sz w:val="22"/>
                <w:szCs w:val="22"/>
                <w:color w:val="auto"/>
              </w:rPr>
              <w:t>67</w:t>
            </w:r>
          </w:p>
        </w:tc>
      </w:tr>
      <w:tr>
        <w:trPr>
          <w:trHeight w:val="243"/>
        </w:trPr>
        <w:tc>
          <w:tcPr>
            <w:tcW w:w="1760" w:type="dxa"/>
            <w:vAlign w:val="bottom"/>
          </w:tcPr>
          <w:p>
            <w:pPr>
              <w:ind w:left="360"/>
              <w:spacing w:after="0" w:line="243" w:lineRule="exact"/>
              <w:rPr>
                <w:sz w:val="20"/>
                <w:szCs w:val="20"/>
                <w:color w:val="auto"/>
              </w:rPr>
            </w:pPr>
            <w:r>
              <w:rPr>
                <w:rFonts w:ascii="Arial" w:cs="Arial" w:eastAsia="Arial" w:hAnsi="Arial"/>
                <w:sz w:val="22"/>
                <w:szCs w:val="22"/>
                <w:color w:val="auto"/>
              </w:rPr>
              <w:t>Section 12.1.</w:t>
            </w:r>
          </w:p>
        </w:tc>
        <w:tc>
          <w:tcPr>
            <w:tcW w:w="8940" w:type="dxa"/>
            <w:vAlign w:val="bottom"/>
          </w:tcPr>
          <w:p>
            <w:pPr>
              <w:ind w:left="160"/>
              <w:spacing w:after="0" w:line="243" w:lineRule="exact"/>
              <w:rPr>
                <w:sz w:val="20"/>
                <w:szCs w:val="20"/>
                <w:color w:val="auto"/>
              </w:rPr>
            </w:pPr>
            <w:r>
              <w:rPr>
                <w:rFonts w:ascii="Arial" w:cs="Arial" w:eastAsia="Arial" w:hAnsi="Arial"/>
                <w:sz w:val="22"/>
                <w:szCs w:val="22"/>
                <w:color w:val="auto"/>
              </w:rPr>
              <w:t>Dissolution</w:t>
            </w:r>
          </w:p>
        </w:tc>
        <w:tc>
          <w:tcPr>
            <w:tcW w:w="720" w:type="dxa"/>
            <w:vAlign w:val="bottom"/>
          </w:tcPr>
          <w:p>
            <w:pPr>
              <w:jc w:val="right"/>
              <w:spacing w:after="0" w:line="243" w:lineRule="exact"/>
              <w:rPr>
                <w:sz w:val="20"/>
                <w:szCs w:val="20"/>
                <w:color w:val="auto"/>
              </w:rPr>
            </w:pPr>
            <w:r>
              <w:rPr>
                <w:rFonts w:ascii="Arial" w:cs="Arial" w:eastAsia="Arial" w:hAnsi="Arial"/>
                <w:sz w:val="22"/>
                <w:szCs w:val="22"/>
                <w:color w:val="auto"/>
              </w:rPr>
              <w:t>67</w:t>
            </w:r>
          </w:p>
        </w:tc>
      </w:tr>
      <w:tr>
        <w:trPr>
          <w:trHeight w:val="243"/>
        </w:trPr>
        <w:tc>
          <w:tcPr>
            <w:tcW w:w="1760" w:type="dxa"/>
            <w:vAlign w:val="bottom"/>
          </w:tcPr>
          <w:p>
            <w:pPr>
              <w:ind w:left="360"/>
              <w:spacing w:after="0" w:line="243" w:lineRule="exact"/>
              <w:rPr>
                <w:sz w:val="20"/>
                <w:szCs w:val="20"/>
                <w:color w:val="auto"/>
              </w:rPr>
            </w:pPr>
            <w:r>
              <w:rPr>
                <w:rFonts w:ascii="Arial" w:cs="Arial" w:eastAsia="Arial" w:hAnsi="Arial"/>
                <w:sz w:val="22"/>
                <w:szCs w:val="22"/>
                <w:color w:val="auto"/>
              </w:rPr>
              <w:t>Section 12.2.</w:t>
            </w:r>
          </w:p>
        </w:tc>
        <w:tc>
          <w:tcPr>
            <w:tcW w:w="8940" w:type="dxa"/>
            <w:vAlign w:val="bottom"/>
          </w:tcPr>
          <w:p>
            <w:pPr>
              <w:ind w:left="160"/>
              <w:spacing w:after="0" w:line="243" w:lineRule="exact"/>
              <w:rPr>
                <w:sz w:val="20"/>
                <w:szCs w:val="20"/>
                <w:color w:val="auto"/>
              </w:rPr>
            </w:pPr>
            <w:r>
              <w:rPr>
                <w:rFonts w:ascii="Arial" w:cs="Arial" w:eastAsia="Arial" w:hAnsi="Arial"/>
                <w:sz w:val="22"/>
                <w:szCs w:val="22"/>
                <w:color w:val="auto"/>
              </w:rPr>
              <w:t>Continuation of the Business of the Partnership After Dissolution</w:t>
            </w:r>
          </w:p>
        </w:tc>
        <w:tc>
          <w:tcPr>
            <w:tcW w:w="720" w:type="dxa"/>
            <w:vAlign w:val="bottom"/>
          </w:tcPr>
          <w:p>
            <w:pPr>
              <w:jc w:val="right"/>
              <w:spacing w:after="0" w:line="243" w:lineRule="exact"/>
              <w:rPr>
                <w:sz w:val="20"/>
                <w:szCs w:val="20"/>
                <w:color w:val="auto"/>
              </w:rPr>
            </w:pPr>
            <w:r>
              <w:rPr>
                <w:rFonts w:ascii="Arial" w:cs="Arial" w:eastAsia="Arial" w:hAnsi="Arial"/>
                <w:sz w:val="22"/>
                <w:szCs w:val="22"/>
                <w:color w:val="auto"/>
              </w:rPr>
              <w:t>67</w:t>
            </w:r>
          </w:p>
        </w:tc>
      </w:tr>
      <w:tr>
        <w:trPr>
          <w:trHeight w:val="243"/>
        </w:trPr>
        <w:tc>
          <w:tcPr>
            <w:tcW w:w="1760" w:type="dxa"/>
            <w:vAlign w:val="bottom"/>
          </w:tcPr>
          <w:p>
            <w:pPr>
              <w:ind w:left="360"/>
              <w:spacing w:after="0" w:line="243" w:lineRule="exact"/>
              <w:rPr>
                <w:sz w:val="20"/>
                <w:szCs w:val="20"/>
                <w:color w:val="auto"/>
              </w:rPr>
            </w:pPr>
            <w:r>
              <w:rPr>
                <w:rFonts w:ascii="Arial" w:cs="Arial" w:eastAsia="Arial" w:hAnsi="Arial"/>
                <w:sz w:val="22"/>
                <w:szCs w:val="22"/>
                <w:color w:val="auto"/>
              </w:rPr>
              <w:t>Section 12.3.</w:t>
            </w:r>
          </w:p>
        </w:tc>
        <w:tc>
          <w:tcPr>
            <w:tcW w:w="8940" w:type="dxa"/>
            <w:vAlign w:val="bottom"/>
          </w:tcPr>
          <w:p>
            <w:pPr>
              <w:ind w:left="160"/>
              <w:spacing w:after="0" w:line="243" w:lineRule="exact"/>
              <w:rPr>
                <w:sz w:val="20"/>
                <w:szCs w:val="20"/>
                <w:color w:val="auto"/>
              </w:rPr>
            </w:pPr>
            <w:r>
              <w:rPr>
                <w:rFonts w:ascii="Arial" w:cs="Arial" w:eastAsia="Arial" w:hAnsi="Arial"/>
                <w:sz w:val="22"/>
                <w:szCs w:val="22"/>
                <w:color w:val="auto"/>
              </w:rPr>
              <w:t>Liquidating Trustee</w:t>
            </w:r>
          </w:p>
        </w:tc>
        <w:tc>
          <w:tcPr>
            <w:tcW w:w="720" w:type="dxa"/>
            <w:vAlign w:val="bottom"/>
          </w:tcPr>
          <w:p>
            <w:pPr>
              <w:jc w:val="right"/>
              <w:spacing w:after="0" w:line="243" w:lineRule="exact"/>
              <w:rPr>
                <w:sz w:val="20"/>
                <w:szCs w:val="20"/>
                <w:color w:val="auto"/>
              </w:rPr>
            </w:pPr>
            <w:r>
              <w:rPr>
                <w:rFonts w:ascii="Arial" w:cs="Arial" w:eastAsia="Arial" w:hAnsi="Arial"/>
                <w:sz w:val="22"/>
                <w:szCs w:val="22"/>
                <w:color w:val="auto"/>
              </w:rPr>
              <w:t>68</w:t>
            </w:r>
          </w:p>
        </w:tc>
      </w:tr>
      <w:tr>
        <w:trPr>
          <w:trHeight w:val="243"/>
        </w:trPr>
        <w:tc>
          <w:tcPr>
            <w:tcW w:w="1760" w:type="dxa"/>
            <w:vAlign w:val="bottom"/>
          </w:tcPr>
          <w:p>
            <w:pPr>
              <w:ind w:left="360"/>
              <w:spacing w:after="0" w:line="243" w:lineRule="exact"/>
              <w:rPr>
                <w:sz w:val="20"/>
                <w:szCs w:val="20"/>
                <w:color w:val="auto"/>
              </w:rPr>
            </w:pPr>
            <w:r>
              <w:rPr>
                <w:rFonts w:ascii="Arial" w:cs="Arial" w:eastAsia="Arial" w:hAnsi="Arial"/>
                <w:sz w:val="22"/>
                <w:szCs w:val="22"/>
                <w:color w:val="auto"/>
              </w:rPr>
              <w:t>Section 12.4.</w:t>
            </w:r>
          </w:p>
        </w:tc>
        <w:tc>
          <w:tcPr>
            <w:tcW w:w="8940" w:type="dxa"/>
            <w:vAlign w:val="bottom"/>
          </w:tcPr>
          <w:p>
            <w:pPr>
              <w:ind w:left="160"/>
              <w:spacing w:after="0" w:line="243" w:lineRule="exact"/>
              <w:rPr>
                <w:sz w:val="20"/>
                <w:szCs w:val="20"/>
                <w:color w:val="auto"/>
              </w:rPr>
            </w:pPr>
            <w:r>
              <w:rPr>
                <w:rFonts w:ascii="Arial" w:cs="Arial" w:eastAsia="Arial" w:hAnsi="Arial"/>
                <w:sz w:val="22"/>
                <w:szCs w:val="22"/>
                <w:color w:val="auto"/>
              </w:rPr>
              <w:t>Liquidation</w:t>
            </w:r>
          </w:p>
        </w:tc>
        <w:tc>
          <w:tcPr>
            <w:tcW w:w="720" w:type="dxa"/>
            <w:vAlign w:val="bottom"/>
          </w:tcPr>
          <w:p>
            <w:pPr>
              <w:jc w:val="right"/>
              <w:spacing w:after="0" w:line="243" w:lineRule="exact"/>
              <w:rPr>
                <w:sz w:val="20"/>
                <w:szCs w:val="20"/>
                <w:color w:val="auto"/>
              </w:rPr>
            </w:pPr>
            <w:r>
              <w:rPr>
                <w:rFonts w:ascii="Arial" w:cs="Arial" w:eastAsia="Arial" w:hAnsi="Arial"/>
                <w:sz w:val="22"/>
                <w:szCs w:val="22"/>
                <w:color w:val="auto"/>
              </w:rPr>
              <w:t>68</w:t>
            </w:r>
          </w:p>
        </w:tc>
      </w:tr>
      <w:tr>
        <w:trPr>
          <w:trHeight w:val="243"/>
        </w:trPr>
        <w:tc>
          <w:tcPr>
            <w:tcW w:w="1760" w:type="dxa"/>
            <w:vAlign w:val="bottom"/>
          </w:tcPr>
          <w:p>
            <w:pPr>
              <w:ind w:left="360"/>
              <w:spacing w:after="0" w:line="243" w:lineRule="exact"/>
              <w:rPr>
                <w:sz w:val="20"/>
                <w:szCs w:val="20"/>
                <w:color w:val="auto"/>
              </w:rPr>
            </w:pPr>
            <w:r>
              <w:rPr>
                <w:rFonts w:ascii="Arial" w:cs="Arial" w:eastAsia="Arial" w:hAnsi="Arial"/>
                <w:sz w:val="22"/>
                <w:szCs w:val="22"/>
                <w:color w:val="auto"/>
              </w:rPr>
              <w:t>Section 12.5.</w:t>
            </w:r>
          </w:p>
        </w:tc>
        <w:tc>
          <w:tcPr>
            <w:tcW w:w="8940" w:type="dxa"/>
            <w:vAlign w:val="bottom"/>
          </w:tcPr>
          <w:p>
            <w:pPr>
              <w:ind w:left="160"/>
              <w:spacing w:after="0" w:line="243" w:lineRule="exact"/>
              <w:rPr>
                <w:sz w:val="20"/>
                <w:szCs w:val="20"/>
                <w:color w:val="auto"/>
              </w:rPr>
            </w:pPr>
            <w:r>
              <w:rPr>
                <w:rFonts w:ascii="Arial" w:cs="Arial" w:eastAsia="Arial" w:hAnsi="Arial"/>
                <w:sz w:val="22"/>
                <w:szCs w:val="22"/>
                <w:color w:val="auto"/>
              </w:rPr>
              <w:t>Cancellation of Certificate of Limited Partnership</w:t>
            </w:r>
          </w:p>
        </w:tc>
        <w:tc>
          <w:tcPr>
            <w:tcW w:w="720" w:type="dxa"/>
            <w:vAlign w:val="bottom"/>
          </w:tcPr>
          <w:p>
            <w:pPr>
              <w:jc w:val="right"/>
              <w:spacing w:after="0" w:line="243" w:lineRule="exact"/>
              <w:rPr>
                <w:sz w:val="20"/>
                <w:szCs w:val="20"/>
                <w:color w:val="auto"/>
              </w:rPr>
            </w:pPr>
            <w:r>
              <w:rPr>
                <w:rFonts w:ascii="Arial" w:cs="Arial" w:eastAsia="Arial" w:hAnsi="Arial"/>
                <w:sz w:val="22"/>
                <w:szCs w:val="22"/>
                <w:color w:val="auto"/>
              </w:rPr>
              <w:t>70</w:t>
            </w:r>
          </w:p>
        </w:tc>
      </w:tr>
      <w:tr>
        <w:trPr>
          <w:trHeight w:val="243"/>
        </w:trPr>
        <w:tc>
          <w:tcPr>
            <w:tcW w:w="1760" w:type="dxa"/>
            <w:vAlign w:val="bottom"/>
          </w:tcPr>
          <w:p>
            <w:pPr>
              <w:ind w:left="360"/>
              <w:spacing w:after="0" w:line="243" w:lineRule="exact"/>
              <w:rPr>
                <w:sz w:val="20"/>
                <w:szCs w:val="20"/>
                <w:color w:val="auto"/>
              </w:rPr>
            </w:pPr>
            <w:r>
              <w:rPr>
                <w:rFonts w:ascii="Arial" w:cs="Arial" w:eastAsia="Arial" w:hAnsi="Arial"/>
                <w:sz w:val="22"/>
                <w:szCs w:val="22"/>
                <w:color w:val="auto"/>
              </w:rPr>
              <w:t>Section 12.6.</w:t>
            </w:r>
          </w:p>
        </w:tc>
        <w:tc>
          <w:tcPr>
            <w:tcW w:w="8940" w:type="dxa"/>
            <w:vAlign w:val="bottom"/>
          </w:tcPr>
          <w:p>
            <w:pPr>
              <w:ind w:left="160"/>
              <w:spacing w:after="0" w:line="243" w:lineRule="exact"/>
              <w:rPr>
                <w:sz w:val="20"/>
                <w:szCs w:val="20"/>
                <w:color w:val="auto"/>
              </w:rPr>
            </w:pPr>
            <w:r>
              <w:rPr>
                <w:rFonts w:ascii="Arial" w:cs="Arial" w:eastAsia="Arial" w:hAnsi="Arial"/>
                <w:sz w:val="22"/>
                <w:szCs w:val="22"/>
                <w:color w:val="auto"/>
              </w:rPr>
              <w:t>Return of Contributions</w:t>
            </w:r>
          </w:p>
        </w:tc>
        <w:tc>
          <w:tcPr>
            <w:tcW w:w="720" w:type="dxa"/>
            <w:vAlign w:val="bottom"/>
          </w:tcPr>
          <w:p>
            <w:pPr>
              <w:jc w:val="right"/>
              <w:spacing w:after="0" w:line="243" w:lineRule="exact"/>
              <w:rPr>
                <w:sz w:val="20"/>
                <w:szCs w:val="20"/>
                <w:color w:val="auto"/>
              </w:rPr>
            </w:pPr>
            <w:r>
              <w:rPr>
                <w:rFonts w:ascii="Arial" w:cs="Arial" w:eastAsia="Arial" w:hAnsi="Arial"/>
                <w:sz w:val="22"/>
                <w:szCs w:val="22"/>
                <w:color w:val="auto"/>
              </w:rPr>
              <w:t>70</w:t>
            </w:r>
          </w:p>
        </w:tc>
      </w:tr>
      <w:tr>
        <w:trPr>
          <w:trHeight w:val="275"/>
        </w:trPr>
        <w:tc>
          <w:tcPr>
            <w:tcW w:w="1760" w:type="dxa"/>
            <w:vAlign w:val="bottom"/>
          </w:tcPr>
          <w:p>
            <w:pPr>
              <w:ind w:left="360"/>
              <w:spacing w:after="0"/>
              <w:rPr>
                <w:sz w:val="20"/>
                <w:szCs w:val="20"/>
                <w:color w:val="auto"/>
              </w:rPr>
            </w:pPr>
            <w:r>
              <w:rPr>
                <w:rFonts w:ascii="Arial" w:cs="Arial" w:eastAsia="Arial" w:hAnsi="Arial"/>
                <w:sz w:val="22"/>
                <w:szCs w:val="22"/>
                <w:color w:val="auto"/>
              </w:rPr>
              <w:t>Section 12.7.</w:t>
            </w:r>
          </w:p>
        </w:tc>
        <w:tc>
          <w:tcPr>
            <w:tcW w:w="8940" w:type="dxa"/>
            <w:vAlign w:val="bottom"/>
          </w:tcPr>
          <w:p>
            <w:pPr>
              <w:ind w:left="160"/>
              <w:spacing w:after="0"/>
              <w:rPr>
                <w:sz w:val="20"/>
                <w:szCs w:val="20"/>
                <w:color w:val="auto"/>
              </w:rPr>
            </w:pPr>
            <w:r>
              <w:rPr>
                <w:rFonts w:ascii="Arial" w:cs="Arial" w:eastAsia="Arial" w:hAnsi="Arial"/>
                <w:sz w:val="22"/>
                <w:szCs w:val="22"/>
                <w:color w:val="auto"/>
              </w:rPr>
              <w:t>Waiver of Partition</w:t>
            </w:r>
          </w:p>
        </w:tc>
        <w:tc>
          <w:tcPr>
            <w:tcW w:w="720" w:type="dxa"/>
            <w:vAlign w:val="bottom"/>
          </w:tcPr>
          <w:p>
            <w:pPr>
              <w:jc w:val="right"/>
              <w:spacing w:after="0"/>
              <w:rPr>
                <w:sz w:val="20"/>
                <w:szCs w:val="20"/>
                <w:color w:val="auto"/>
              </w:rPr>
            </w:pPr>
            <w:r>
              <w:rPr>
                <w:rFonts w:ascii="Arial" w:cs="Arial" w:eastAsia="Arial" w:hAnsi="Arial"/>
                <w:sz w:val="22"/>
                <w:szCs w:val="22"/>
                <w:color w:val="auto"/>
              </w:rPr>
              <w:t>70</w:t>
            </w:r>
          </w:p>
        </w:tc>
      </w:tr>
      <w:tr>
        <w:trPr>
          <w:trHeight w:val="455"/>
        </w:trPr>
        <w:tc>
          <w:tcPr>
            <w:tcW w:w="1760" w:type="dxa"/>
            <w:vAlign w:val="bottom"/>
          </w:tcPr>
          <w:p>
            <w:pPr>
              <w:spacing w:after="0"/>
              <w:rPr>
                <w:sz w:val="20"/>
                <w:szCs w:val="20"/>
                <w:color w:val="auto"/>
              </w:rPr>
            </w:pPr>
            <w:r>
              <w:rPr>
                <w:rFonts w:ascii="Arial" w:cs="Arial" w:eastAsia="Arial" w:hAnsi="Arial"/>
                <w:sz w:val="22"/>
                <w:szCs w:val="22"/>
                <w:color w:val="auto"/>
              </w:rPr>
              <w:t>ARTICLE XIII</w:t>
            </w:r>
          </w:p>
        </w:tc>
        <w:tc>
          <w:tcPr>
            <w:tcW w:w="8940" w:type="dxa"/>
            <w:vAlign w:val="bottom"/>
          </w:tcPr>
          <w:p>
            <w:pPr>
              <w:ind w:left="160"/>
              <w:spacing w:after="0"/>
              <w:rPr>
                <w:sz w:val="20"/>
                <w:szCs w:val="20"/>
                <w:color w:val="auto"/>
              </w:rPr>
            </w:pPr>
            <w:r>
              <w:rPr>
                <w:rFonts w:ascii="Arial" w:cs="Arial" w:eastAsia="Arial" w:hAnsi="Arial"/>
                <w:sz w:val="22"/>
                <w:szCs w:val="22"/>
                <w:color w:val="auto"/>
              </w:rPr>
              <w:t>AMENDMENT OF PARTNERSHIP AGREEMENT; MEETINGS; RECORD DATE</w:t>
            </w:r>
          </w:p>
        </w:tc>
        <w:tc>
          <w:tcPr>
            <w:tcW w:w="720" w:type="dxa"/>
            <w:vAlign w:val="bottom"/>
          </w:tcPr>
          <w:p>
            <w:pPr>
              <w:jc w:val="right"/>
              <w:spacing w:after="0"/>
              <w:rPr>
                <w:sz w:val="20"/>
                <w:szCs w:val="20"/>
                <w:color w:val="auto"/>
              </w:rPr>
            </w:pPr>
            <w:r>
              <w:rPr>
                <w:rFonts w:ascii="Arial" w:cs="Arial" w:eastAsia="Arial" w:hAnsi="Arial"/>
                <w:sz w:val="22"/>
                <w:szCs w:val="22"/>
                <w:color w:val="auto"/>
              </w:rPr>
              <w:t>71</w:t>
            </w:r>
          </w:p>
        </w:tc>
      </w:tr>
      <w:tr>
        <w:trPr>
          <w:trHeight w:val="243"/>
        </w:trPr>
        <w:tc>
          <w:tcPr>
            <w:tcW w:w="1760" w:type="dxa"/>
            <w:vAlign w:val="bottom"/>
          </w:tcPr>
          <w:p>
            <w:pPr>
              <w:ind w:left="360"/>
              <w:spacing w:after="0" w:line="243" w:lineRule="exact"/>
              <w:rPr>
                <w:sz w:val="20"/>
                <w:szCs w:val="20"/>
                <w:color w:val="auto"/>
              </w:rPr>
            </w:pPr>
            <w:r>
              <w:rPr>
                <w:rFonts w:ascii="Arial" w:cs="Arial" w:eastAsia="Arial" w:hAnsi="Arial"/>
                <w:sz w:val="22"/>
                <w:szCs w:val="22"/>
                <w:color w:val="auto"/>
              </w:rPr>
              <w:t>Section 13.1.</w:t>
            </w:r>
          </w:p>
        </w:tc>
        <w:tc>
          <w:tcPr>
            <w:tcW w:w="8940" w:type="dxa"/>
            <w:vAlign w:val="bottom"/>
          </w:tcPr>
          <w:p>
            <w:pPr>
              <w:ind w:left="160"/>
              <w:spacing w:after="0" w:line="243" w:lineRule="exact"/>
              <w:rPr>
                <w:sz w:val="20"/>
                <w:szCs w:val="20"/>
                <w:color w:val="auto"/>
              </w:rPr>
            </w:pPr>
            <w:r>
              <w:rPr>
                <w:rFonts w:ascii="Arial" w:cs="Arial" w:eastAsia="Arial" w:hAnsi="Arial"/>
                <w:sz w:val="22"/>
                <w:szCs w:val="22"/>
                <w:color w:val="auto"/>
                <w:w w:val="97"/>
              </w:rPr>
              <w:t>Amendments to be Adopted Without Approval of the Limited Partners or the General Partner</w:t>
            </w:r>
          </w:p>
        </w:tc>
        <w:tc>
          <w:tcPr>
            <w:tcW w:w="720" w:type="dxa"/>
            <w:vAlign w:val="bottom"/>
          </w:tcPr>
          <w:p>
            <w:pPr>
              <w:jc w:val="right"/>
              <w:spacing w:after="0" w:line="243" w:lineRule="exact"/>
              <w:rPr>
                <w:sz w:val="20"/>
                <w:szCs w:val="20"/>
                <w:color w:val="auto"/>
              </w:rPr>
            </w:pPr>
            <w:r>
              <w:rPr>
                <w:rFonts w:ascii="Arial" w:cs="Arial" w:eastAsia="Arial" w:hAnsi="Arial"/>
                <w:sz w:val="22"/>
                <w:szCs w:val="22"/>
                <w:color w:val="auto"/>
              </w:rPr>
              <w:t>71</w:t>
            </w:r>
          </w:p>
        </w:tc>
      </w:tr>
      <w:tr>
        <w:trPr>
          <w:trHeight w:val="243"/>
        </w:trPr>
        <w:tc>
          <w:tcPr>
            <w:tcW w:w="1760" w:type="dxa"/>
            <w:vAlign w:val="bottom"/>
          </w:tcPr>
          <w:p>
            <w:pPr>
              <w:ind w:left="360"/>
              <w:spacing w:after="0" w:line="243" w:lineRule="exact"/>
              <w:rPr>
                <w:sz w:val="20"/>
                <w:szCs w:val="20"/>
                <w:color w:val="auto"/>
              </w:rPr>
            </w:pPr>
            <w:r>
              <w:rPr>
                <w:rFonts w:ascii="Arial" w:cs="Arial" w:eastAsia="Arial" w:hAnsi="Arial"/>
                <w:sz w:val="22"/>
                <w:szCs w:val="22"/>
                <w:color w:val="auto"/>
              </w:rPr>
              <w:t>Section 13.2.</w:t>
            </w:r>
          </w:p>
        </w:tc>
        <w:tc>
          <w:tcPr>
            <w:tcW w:w="8940" w:type="dxa"/>
            <w:vAlign w:val="bottom"/>
          </w:tcPr>
          <w:p>
            <w:pPr>
              <w:ind w:left="160"/>
              <w:spacing w:after="0" w:line="243" w:lineRule="exact"/>
              <w:rPr>
                <w:sz w:val="20"/>
                <w:szCs w:val="20"/>
                <w:color w:val="auto"/>
              </w:rPr>
            </w:pPr>
            <w:r>
              <w:rPr>
                <w:rFonts w:ascii="Arial" w:cs="Arial" w:eastAsia="Arial" w:hAnsi="Arial"/>
                <w:sz w:val="22"/>
                <w:szCs w:val="22"/>
                <w:color w:val="auto"/>
              </w:rPr>
              <w:t>Amendment Procedures</w:t>
            </w:r>
          </w:p>
        </w:tc>
        <w:tc>
          <w:tcPr>
            <w:tcW w:w="720" w:type="dxa"/>
            <w:vAlign w:val="bottom"/>
          </w:tcPr>
          <w:p>
            <w:pPr>
              <w:jc w:val="right"/>
              <w:spacing w:after="0" w:line="243" w:lineRule="exact"/>
              <w:rPr>
                <w:sz w:val="20"/>
                <w:szCs w:val="20"/>
                <w:color w:val="auto"/>
              </w:rPr>
            </w:pPr>
            <w:r>
              <w:rPr>
                <w:rFonts w:ascii="Arial" w:cs="Arial" w:eastAsia="Arial" w:hAnsi="Arial"/>
                <w:sz w:val="22"/>
                <w:szCs w:val="22"/>
                <w:color w:val="auto"/>
              </w:rPr>
              <w:t>72</w:t>
            </w:r>
          </w:p>
        </w:tc>
      </w:tr>
      <w:tr>
        <w:trPr>
          <w:trHeight w:val="243"/>
        </w:trPr>
        <w:tc>
          <w:tcPr>
            <w:tcW w:w="1760" w:type="dxa"/>
            <w:vAlign w:val="bottom"/>
          </w:tcPr>
          <w:p>
            <w:pPr>
              <w:ind w:left="360"/>
              <w:spacing w:after="0" w:line="243" w:lineRule="exact"/>
              <w:rPr>
                <w:sz w:val="20"/>
                <w:szCs w:val="20"/>
                <w:color w:val="auto"/>
              </w:rPr>
            </w:pPr>
            <w:r>
              <w:rPr>
                <w:rFonts w:ascii="Arial" w:cs="Arial" w:eastAsia="Arial" w:hAnsi="Arial"/>
                <w:sz w:val="22"/>
                <w:szCs w:val="22"/>
                <w:color w:val="auto"/>
              </w:rPr>
              <w:t>Section 13.3.</w:t>
            </w:r>
          </w:p>
        </w:tc>
        <w:tc>
          <w:tcPr>
            <w:tcW w:w="8940" w:type="dxa"/>
            <w:vAlign w:val="bottom"/>
          </w:tcPr>
          <w:p>
            <w:pPr>
              <w:ind w:left="160"/>
              <w:spacing w:after="0" w:line="243" w:lineRule="exact"/>
              <w:rPr>
                <w:sz w:val="20"/>
                <w:szCs w:val="20"/>
                <w:color w:val="auto"/>
              </w:rPr>
            </w:pPr>
            <w:r>
              <w:rPr>
                <w:rFonts w:ascii="Arial" w:cs="Arial" w:eastAsia="Arial" w:hAnsi="Arial"/>
                <w:sz w:val="22"/>
                <w:szCs w:val="22"/>
                <w:color w:val="auto"/>
              </w:rPr>
              <w:t>Amendment Requirements</w:t>
            </w:r>
          </w:p>
        </w:tc>
        <w:tc>
          <w:tcPr>
            <w:tcW w:w="720" w:type="dxa"/>
            <w:vAlign w:val="bottom"/>
          </w:tcPr>
          <w:p>
            <w:pPr>
              <w:jc w:val="right"/>
              <w:spacing w:after="0" w:line="243" w:lineRule="exact"/>
              <w:rPr>
                <w:sz w:val="20"/>
                <w:szCs w:val="20"/>
                <w:color w:val="auto"/>
              </w:rPr>
            </w:pPr>
            <w:r>
              <w:rPr>
                <w:rFonts w:ascii="Arial" w:cs="Arial" w:eastAsia="Arial" w:hAnsi="Arial"/>
                <w:sz w:val="22"/>
                <w:szCs w:val="22"/>
                <w:color w:val="auto"/>
              </w:rPr>
              <w:t>73</w:t>
            </w:r>
          </w:p>
        </w:tc>
      </w:tr>
      <w:tr>
        <w:trPr>
          <w:trHeight w:val="243"/>
        </w:trPr>
        <w:tc>
          <w:tcPr>
            <w:tcW w:w="1760" w:type="dxa"/>
            <w:vAlign w:val="bottom"/>
          </w:tcPr>
          <w:p>
            <w:pPr>
              <w:ind w:left="360"/>
              <w:spacing w:after="0" w:line="243" w:lineRule="exact"/>
              <w:rPr>
                <w:sz w:val="20"/>
                <w:szCs w:val="20"/>
                <w:color w:val="auto"/>
              </w:rPr>
            </w:pPr>
            <w:r>
              <w:rPr>
                <w:rFonts w:ascii="Arial" w:cs="Arial" w:eastAsia="Arial" w:hAnsi="Arial"/>
                <w:sz w:val="22"/>
                <w:szCs w:val="22"/>
                <w:color w:val="auto"/>
              </w:rPr>
              <w:t>Section 13.4.</w:t>
            </w:r>
          </w:p>
        </w:tc>
        <w:tc>
          <w:tcPr>
            <w:tcW w:w="8940" w:type="dxa"/>
            <w:vAlign w:val="bottom"/>
          </w:tcPr>
          <w:p>
            <w:pPr>
              <w:ind w:left="160"/>
              <w:spacing w:after="0" w:line="243" w:lineRule="exact"/>
              <w:rPr>
                <w:sz w:val="20"/>
                <w:szCs w:val="20"/>
                <w:color w:val="auto"/>
              </w:rPr>
            </w:pPr>
            <w:r>
              <w:rPr>
                <w:rFonts w:ascii="Arial" w:cs="Arial" w:eastAsia="Arial" w:hAnsi="Arial"/>
                <w:sz w:val="22"/>
                <w:szCs w:val="22"/>
                <w:color w:val="auto"/>
              </w:rPr>
              <w:t>Special Meetings</w:t>
            </w:r>
          </w:p>
        </w:tc>
        <w:tc>
          <w:tcPr>
            <w:tcW w:w="720" w:type="dxa"/>
            <w:vAlign w:val="bottom"/>
          </w:tcPr>
          <w:p>
            <w:pPr>
              <w:jc w:val="right"/>
              <w:spacing w:after="0" w:line="243" w:lineRule="exact"/>
              <w:rPr>
                <w:sz w:val="20"/>
                <w:szCs w:val="20"/>
                <w:color w:val="auto"/>
              </w:rPr>
            </w:pPr>
            <w:r>
              <w:rPr>
                <w:rFonts w:ascii="Arial" w:cs="Arial" w:eastAsia="Arial" w:hAnsi="Arial"/>
                <w:sz w:val="22"/>
                <w:szCs w:val="22"/>
                <w:color w:val="auto"/>
              </w:rPr>
              <w:t>74</w:t>
            </w:r>
          </w:p>
        </w:tc>
      </w:tr>
      <w:tr>
        <w:trPr>
          <w:trHeight w:val="243"/>
        </w:trPr>
        <w:tc>
          <w:tcPr>
            <w:tcW w:w="1760" w:type="dxa"/>
            <w:vAlign w:val="bottom"/>
          </w:tcPr>
          <w:p>
            <w:pPr>
              <w:ind w:left="360"/>
              <w:spacing w:after="0" w:line="243" w:lineRule="exact"/>
              <w:rPr>
                <w:sz w:val="20"/>
                <w:szCs w:val="20"/>
                <w:color w:val="auto"/>
              </w:rPr>
            </w:pPr>
            <w:r>
              <w:rPr>
                <w:rFonts w:ascii="Arial" w:cs="Arial" w:eastAsia="Arial" w:hAnsi="Arial"/>
                <w:sz w:val="22"/>
                <w:szCs w:val="22"/>
                <w:color w:val="auto"/>
              </w:rPr>
              <w:t>Section 13.5.</w:t>
            </w:r>
          </w:p>
        </w:tc>
        <w:tc>
          <w:tcPr>
            <w:tcW w:w="8940" w:type="dxa"/>
            <w:vAlign w:val="bottom"/>
          </w:tcPr>
          <w:p>
            <w:pPr>
              <w:ind w:left="160"/>
              <w:spacing w:after="0" w:line="243" w:lineRule="exact"/>
              <w:rPr>
                <w:sz w:val="20"/>
                <w:szCs w:val="20"/>
                <w:color w:val="auto"/>
              </w:rPr>
            </w:pPr>
            <w:r>
              <w:rPr>
                <w:rFonts w:ascii="Arial" w:cs="Arial" w:eastAsia="Arial" w:hAnsi="Arial"/>
                <w:sz w:val="22"/>
                <w:szCs w:val="22"/>
                <w:color w:val="auto"/>
              </w:rPr>
              <w:t>Notice of a Meeting</w:t>
            </w:r>
          </w:p>
        </w:tc>
        <w:tc>
          <w:tcPr>
            <w:tcW w:w="720" w:type="dxa"/>
            <w:vAlign w:val="bottom"/>
          </w:tcPr>
          <w:p>
            <w:pPr>
              <w:jc w:val="right"/>
              <w:spacing w:after="0" w:line="243" w:lineRule="exact"/>
              <w:rPr>
                <w:sz w:val="20"/>
                <w:szCs w:val="20"/>
                <w:color w:val="auto"/>
              </w:rPr>
            </w:pPr>
            <w:r>
              <w:rPr>
                <w:rFonts w:ascii="Arial" w:cs="Arial" w:eastAsia="Arial" w:hAnsi="Arial"/>
                <w:sz w:val="22"/>
                <w:szCs w:val="22"/>
                <w:color w:val="auto"/>
              </w:rPr>
              <w:t>74</w:t>
            </w:r>
          </w:p>
        </w:tc>
      </w:tr>
      <w:tr>
        <w:trPr>
          <w:trHeight w:val="243"/>
        </w:trPr>
        <w:tc>
          <w:tcPr>
            <w:tcW w:w="1760" w:type="dxa"/>
            <w:vAlign w:val="bottom"/>
          </w:tcPr>
          <w:p>
            <w:pPr>
              <w:ind w:left="360"/>
              <w:spacing w:after="0" w:line="243" w:lineRule="exact"/>
              <w:rPr>
                <w:sz w:val="20"/>
                <w:szCs w:val="20"/>
                <w:color w:val="auto"/>
              </w:rPr>
            </w:pPr>
            <w:r>
              <w:rPr>
                <w:rFonts w:ascii="Arial" w:cs="Arial" w:eastAsia="Arial" w:hAnsi="Arial"/>
                <w:sz w:val="22"/>
                <w:szCs w:val="22"/>
                <w:color w:val="auto"/>
              </w:rPr>
              <w:t>Section 13.6.</w:t>
            </w:r>
          </w:p>
        </w:tc>
        <w:tc>
          <w:tcPr>
            <w:tcW w:w="8940" w:type="dxa"/>
            <w:vAlign w:val="bottom"/>
          </w:tcPr>
          <w:p>
            <w:pPr>
              <w:ind w:left="160"/>
              <w:spacing w:after="0" w:line="243" w:lineRule="exact"/>
              <w:rPr>
                <w:sz w:val="20"/>
                <w:szCs w:val="20"/>
                <w:color w:val="auto"/>
              </w:rPr>
            </w:pPr>
            <w:r>
              <w:rPr>
                <w:rFonts w:ascii="Arial" w:cs="Arial" w:eastAsia="Arial" w:hAnsi="Arial"/>
                <w:sz w:val="22"/>
                <w:szCs w:val="22"/>
                <w:color w:val="auto"/>
              </w:rPr>
              <w:t>Record Date</w:t>
            </w:r>
          </w:p>
        </w:tc>
        <w:tc>
          <w:tcPr>
            <w:tcW w:w="720" w:type="dxa"/>
            <w:vAlign w:val="bottom"/>
          </w:tcPr>
          <w:p>
            <w:pPr>
              <w:jc w:val="right"/>
              <w:spacing w:after="0" w:line="243" w:lineRule="exact"/>
              <w:rPr>
                <w:sz w:val="20"/>
                <w:szCs w:val="20"/>
                <w:color w:val="auto"/>
              </w:rPr>
            </w:pPr>
            <w:r>
              <w:rPr>
                <w:rFonts w:ascii="Arial" w:cs="Arial" w:eastAsia="Arial" w:hAnsi="Arial"/>
                <w:sz w:val="22"/>
                <w:szCs w:val="22"/>
                <w:color w:val="auto"/>
              </w:rPr>
              <w:t>74</w:t>
            </w:r>
          </w:p>
        </w:tc>
      </w:tr>
      <w:tr>
        <w:trPr>
          <w:trHeight w:val="243"/>
        </w:trPr>
        <w:tc>
          <w:tcPr>
            <w:tcW w:w="1760" w:type="dxa"/>
            <w:vAlign w:val="bottom"/>
          </w:tcPr>
          <w:p>
            <w:pPr>
              <w:ind w:left="360"/>
              <w:spacing w:after="0" w:line="243" w:lineRule="exact"/>
              <w:rPr>
                <w:sz w:val="20"/>
                <w:szCs w:val="20"/>
                <w:color w:val="auto"/>
              </w:rPr>
            </w:pPr>
            <w:r>
              <w:rPr>
                <w:rFonts w:ascii="Arial" w:cs="Arial" w:eastAsia="Arial" w:hAnsi="Arial"/>
                <w:sz w:val="22"/>
                <w:szCs w:val="22"/>
                <w:color w:val="auto"/>
              </w:rPr>
              <w:t>Section 13.7.</w:t>
            </w:r>
          </w:p>
        </w:tc>
        <w:tc>
          <w:tcPr>
            <w:tcW w:w="8940" w:type="dxa"/>
            <w:vAlign w:val="bottom"/>
          </w:tcPr>
          <w:p>
            <w:pPr>
              <w:ind w:left="160"/>
              <w:spacing w:after="0" w:line="243" w:lineRule="exact"/>
              <w:rPr>
                <w:sz w:val="20"/>
                <w:szCs w:val="20"/>
                <w:color w:val="auto"/>
              </w:rPr>
            </w:pPr>
            <w:r>
              <w:rPr>
                <w:rFonts w:ascii="Arial" w:cs="Arial" w:eastAsia="Arial" w:hAnsi="Arial"/>
                <w:sz w:val="22"/>
                <w:szCs w:val="22"/>
                <w:color w:val="auto"/>
              </w:rPr>
              <w:t>Adjournment</w:t>
            </w:r>
          </w:p>
        </w:tc>
        <w:tc>
          <w:tcPr>
            <w:tcW w:w="720" w:type="dxa"/>
            <w:vAlign w:val="bottom"/>
          </w:tcPr>
          <w:p>
            <w:pPr>
              <w:jc w:val="right"/>
              <w:spacing w:after="0" w:line="243" w:lineRule="exact"/>
              <w:rPr>
                <w:sz w:val="20"/>
                <w:szCs w:val="20"/>
                <w:color w:val="auto"/>
              </w:rPr>
            </w:pPr>
            <w:r>
              <w:rPr>
                <w:rFonts w:ascii="Arial" w:cs="Arial" w:eastAsia="Arial" w:hAnsi="Arial"/>
                <w:sz w:val="22"/>
                <w:szCs w:val="22"/>
                <w:color w:val="auto"/>
              </w:rPr>
              <w:t>75</w:t>
            </w:r>
          </w:p>
        </w:tc>
      </w:tr>
      <w:tr>
        <w:trPr>
          <w:trHeight w:val="243"/>
        </w:trPr>
        <w:tc>
          <w:tcPr>
            <w:tcW w:w="1760" w:type="dxa"/>
            <w:vAlign w:val="bottom"/>
          </w:tcPr>
          <w:p>
            <w:pPr>
              <w:ind w:left="360"/>
              <w:spacing w:after="0" w:line="243" w:lineRule="exact"/>
              <w:rPr>
                <w:sz w:val="20"/>
                <w:szCs w:val="20"/>
                <w:color w:val="auto"/>
              </w:rPr>
            </w:pPr>
            <w:r>
              <w:rPr>
                <w:rFonts w:ascii="Arial" w:cs="Arial" w:eastAsia="Arial" w:hAnsi="Arial"/>
                <w:sz w:val="22"/>
                <w:szCs w:val="22"/>
                <w:color w:val="auto"/>
              </w:rPr>
              <w:t>Section 13.8.</w:t>
            </w:r>
          </w:p>
        </w:tc>
        <w:tc>
          <w:tcPr>
            <w:tcW w:w="8940" w:type="dxa"/>
            <w:vAlign w:val="bottom"/>
          </w:tcPr>
          <w:p>
            <w:pPr>
              <w:ind w:left="160"/>
              <w:spacing w:after="0" w:line="243" w:lineRule="exact"/>
              <w:rPr>
                <w:sz w:val="20"/>
                <w:szCs w:val="20"/>
                <w:color w:val="auto"/>
              </w:rPr>
            </w:pPr>
            <w:r>
              <w:rPr>
                <w:rFonts w:ascii="Arial" w:cs="Arial" w:eastAsia="Arial" w:hAnsi="Arial"/>
                <w:sz w:val="22"/>
                <w:szCs w:val="22"/>
                <w:color w:val="auto"/>
              </w:rPr>
              <w:t>Waiver of Notice; Approval of Meeting; Approval of Minutes</w:t>
            </w:r>
          </w:p>
        </w:tc>
        <w:tc>
          <w:tcPr>
            <w:tcW w:w="720" w:type="dxa"/>
            <w:vAlign w:val="bottom"/>
          </w:tcPr>
          <w:p>
            <w:pPr>
              <w:jc w:val="right"/>
              <w:spacing w:after="0" w:line="243" w:lineRule="exact"/>
              <w:rPr>
                <w:sz w:val="20"/>
                <w:szCs w:val="20"/>
                <w:color w:val="auto"/>
              </w:rPr>
            </w:pPr>
            <w:r>
              <w:rPr>
                <w:rFonts w:ascii="Arial" w:cs="Arial" w:eastAsia="Arial" w:hAnsi="Arial"/>
                <w:sz w:val="22"/>
                <w:szCs w:val="22"/>
                <w:color w:val="auto"/>
              </w:rPr>
              <w:t>75</w:t>
            </w:r>
          </w:p>
        </w:tc>
      </w:tr>
      <w:tr>
        <w:trPr>
          <w:trHeight w:val="243"/>
        </w:trPr>
        <w:tc>
          <w:tcPr>
            <w:tcW w:w="1760" w:type="dxa"/>
            <w:vAlign w:val="bottom"/>
          </w:tcPr>
          <w:p>
            <w:pPr>
              <w:ind w:left="360"/>
              <w:spacing w:after="0" w:line="243" w:lineRule="exact"/>
              <w:rPr>
                <w:sz w:val="20"/>
                <w:szCs w:val="20"/>
                <w:color w:val="auto"/>
              </w:rPr>
            </w:pPr>
            <w:r>
              <w:rPr>
                <w:rFonts w:ascii="Arial" w:cs="Arial" w:eastAsia="Arial" w:hAnsi="Arial"/>
                <w:sz w:val="22"/>
                <w:szCs w:val="22"/>
                <w:color w:val="auto"/>
              </w:rPr>
              <w:t>Section 13.9.</w:t>
            </w:r>
          </w:p>
        </w:tc>
        <w:tc>
          <w:tcPr>
            <w:tcW w:w="8940" w:type="dxa"/>
            <w:vAlign w:val="bottom"/>
          </w:tcPr>
          <w:p>
            <w:pPr>
              <w:ind w:left="160"/>
              <w:spacing w:after="0" w:line="243" w:lineRule="exact"/>
              <w:rPr>
                <w:sz w:val="20"/>
                <w:szCs w:val="20"/>
                <w:color w:val="auto"/>
              </w:rPr>
            </w:pPr>
            <w:r>
              <w:rPr>
                <w:rFonts w:ascii="Arial" w:cs="Arial" w:eastAsia="Arial" w:hAnsi="Arial"/>
                <w:sz w:val="22"/>
                <w:szCs w:val="22"/>
                <w:color w:val="auto"/>
              </w:rPr>
              <w:t>Quorum and Voting</w:t>
            </w:r>
          </w:p>
        </w:tc>
        <w:tc>
          <w:tcPr>
            <w:tcW w:w="720" w:type="dxa"/>
            <w:vAlign w:val="bottom"/>
          </w:tcPr>
          <w:p>
            <w:pPr>
              <w:jc w:val="right"/>
              <w:spacing w:after="0" w:line="243" w:lineRule="exact"/>
              <w:rPr>
                <w:sz w:val="20"/>
                <w:szCs w:val="20"/>
                <w:color w:val="auto"/>
              </w:rPr>
            </w:pPr>
            <w:r>
              <w:rPr>
                <w:rFonts w:ascii="Arial" w:cs="Arial" w:eastAsia="Arial" w:hAnsi="Arial"/>
                <w:sz w:val="22"/>
                <w:szCs w:val="22"/>
                <w:color w:val="auto"/>
              </w:rPr>
              <w:t>75</w:t>
            </w:r>
          </w:p>
        </w:tc>
      </w:tr>
      <w:tr>
        <w:trPr>
          <w:trHeight w:val="243"/>
        </w:trPr>
        <w:tc>
          <w:tcPr>
            <w:tcW w:w="1760" w:type="dxa"/>
            <w:vAlign w:val="bottom"/>
          </w:tcPr>
          <w:p>
            <w:pPr>
              <w:ind w:left="360"/>
              <w:spacing w:after="0" w:line="243" w:lineRule="exact"/>
              <w:rPr>
                <w:sz w:val="20"/>
                <w:szCs w:val="20"/>
                <w:color w:val="auto"/>
              </w:rPr>
            </w:pPr>
            <w:r>
              <w:rPr>
                <w:rFonts w:ascii="Arial" w:cs="Arial" w:eastAsia="Arial" w:hAnsi="Arial"/>
                <w:sz w:val="22"/>
                <w:szCs w:val="22"/>
                <w:color w:val="auto"/>
                <w:w w:val="98"/>
              </w:rPr>
              <w:t>Section 13.10.</w:t>
            </w:r>
          </w:p>
        </w:tc>
        <w:tc>
          <w:tcPr>
            <w:tcW w:w="8940" w:type="dxa"/>
            <w:vAlign w:val="bottom"/>
          </w:tcPr>
          <w:p>
            <w:pPr>
              <w:ind w:left="160"/>
              <w:spacing w:after="0" w:line="243" w:lineRule="exact"/>
              <w:rPr>
                <w:sz w:val="20"/>
                <w:szCs w:val="20"/>
                <w:color w:val="auto"/>
              </w:rPr>
            </w:pPr>
            <w:r>
              <w:rPr>
                <w:rFonts w:ascii="Arial" w:cs="Arial" w:eastAsia="Arial" w:hAnsi="Arial"/>
                <w:sz w:val="22"/>
                <w:szCs w:val="22"/>
                <w:color w:val="auto"/>
              </w:rPr>
              <w:t>Conduct of a Meeting</w:t>
            </w:r>
          </w:p>
        </w:tc>
        <w:tc>
          <w:tcPr>
            <w:tcW w:w="720" w:type="dxa"/>
            <w:vAlign w:val="bottom"/>
          </w:tcPr>
          <w:p>
            <w:pPr>
              <w:jc w:val="right"/>
              <w:spacing w:after="0" w:line="243" w:lineRule="exact"/>
              <w:rPr>
                <w:sz w:val="20"/>
                <w:szCs w:val="20"/>
                <w:color w:val="auto"/>
              </w:rPr>
            </w:pPr>
            <w:r>
              <w:rPr>
                <w:rFonts w:ascii="Arial" w:cs="Arial" w:eastAsia="Arial" w:hAnsi="Arial"/>
                <w:sz w:val="22"/>
                <w:szCs w:val="22"/>
                <w:color w:val="auto"/>
              </w:rPr>
              <w:t>76</w:t>
            </w:r>
          </w:p>
        </w:tc>
      </w:tr>
      <w:tr>
        <w:trPr>
          <w:trHeight w:val="243"/>
        </w:trPr>
        <w:tc>
          <w:tcPr>
            <w:tcW w:w="1760" w:type="dxa"/>
            <w:vAlign w:val="bottom"/>
          </w:tcPr>
          <w:p>
            <w:pPr>
              <w:ind w:left="360"/>
              <w:spacing w:after="0" w:line="243" w:lineRule="exact"/>
              <w:rPr>
                <w:sz w:val="20"/>
                <w:szCs w:val="20"/>
                <w:color w:val="auto"/>
              </w:rPr>
            </w:pPr>
            <w:r>
              <w:rPr>
                <w:rFonts w:ascii="Arial" w:cs="Arial" w:eastAsia="Arial" w:hAnsi="Arial"/>
                <w:sz w:val="22"/>
                <w:szCs w:val="22"/>
                <w:color w:val="auto"/>
                <w:w w:val="98"/>
              </w:rPr>
              <w:t>Section 13.11.</w:t>
            </w:r>
          </w:p>
        </w:tc>
        <w:tc>
          <w:tcPr>
            <w:tcW w:w="8940" w:type="dxa"/>
            <w:vAlign w:val="bottom"/>
          </w:tcPr>
          <w:p>
            <w:pPr>
              <w:ind w:left="160"/>
              <w:spacing w:after="0" w:line="243" w:lineRule="exact"/>
              <w:rPr>
                <w:sz w:val="20"/>
                <w:szCs w:val="20"/>
                <w:color w:val="auto"/>
              </w:rPr>
            </w:pPr>
            <w:r>
              <w:rPr>
                <w:rFonts w:ascii="Arial" w:cs="Arial" w:eastAsia="Arial" w:hAnsi="Arial"/>
                <w:sz w:val="22"/>
                <w:szCs w:val="22"/>
                <w:color w:val="auto"/>
              </w:rPr>
              <w:t>Action Without a Meeting</w:t>
            </w:r>
          </w:p>
        </w:tc>
        <w:tc>
          <w:tcPr>
            <w:tcW w:w="720" w:type="dxa"/>
            <w:vAlign w:val="bottom"/>
          </w:tcPr>
          <w:p>
            <w:pPr>
              <w:jc w:val="right"/>
              <w:spacing w:after="0" w:line="243" w:lineRule="exact"/>
              <w:rPr>
                <w:sz w:val="20"/>
                <w:szCs w:val="20"/>
                <w:color w:val="auto"/>
              </w:rPr>
            </w:pPr>
            <w:r>
              <w:rPr>
                <w:rFonts w:ascii="Arial" w:cs="Arial" w:eastAsia="Arial" w:hAnsi="Arial"/>
                <w:sz w:val="22"/>
                <w:szCs w:val="22"/>
                <w:color w:val="auto"/>
              </w:rPr>
              <w:t>76</w:t>
            </w:r>
          </w:p>
        </w:tc>
      </w:tr>
      <w:tr>
        <w:trPr>
          <w:trHeight w:val="275"/>
        </w:trPr>
        <w:tc>
          <w:tcPr>
            <w:tcW w:w="1760" w:type="dxa"/>
            <w:vAlign w:val="bottom"/>
          </w:tcPr>
          <w:p>
            <w:pPr>
              <w:ind w:left="360"/>
              <w:spacing w:after="0"/>
              <w:rPr>
                <w:sz w:val="20"/>
                <w:szCs w:val="20"/>
                <w:color w:val="auto"/>
              </w:rPr>
            </w:pPr>
            <w:r>
              <w:rPr>
                <w:rFonts w:ascii="Arial" w:cs="Arial" w:eastAsia="Arial" w:hAnsi="Arial"/>
                <w:sz w:val="22"/>
                <w:szCs w:val="22"/>
                <w:color w:val="auto"/>
                <w:w w:val="98"/>
              </w:rPr>
              <w:t>Section 13.12.</w:t>
            </w:r>
          </w:p>
        </w:tc>
        <w:tc>
          <w:tcPr>
            <w:tcW w:w="8940" w:type="dxa"/>
            <w:vAlign w:val="bottom"/>
          </w:tcPr>
          <w:p>
            <w:pPr>
              <w:ind w:left="160"/>
              <w:spacing w:after="0"/>
              <w:rPr>
                <w:sz w:val="20"/>
                <w:szCs w:val="20"/>
                <w:color w:val="auto"/>
              </w:rPr>
            </w:pPr>
            <w:r>
              <w:rPr>
                <w:rFonts w:ascii="Arial" w:cs="Arial" w:eastAsia="Arial" w:hAnsi="Arial"/>
                <w:sz w:val="22"/>
                <w:szCs w:val="22"/>
                <w:color w:val="auto"/>
              </w:rPr>
              <w:t>Right to Vote and Related Matters</w:t>
            </w:r>
          </w:p>
        </w:tc>
        <w:tc>
          <w:tcPr>
            <w:tcW w:w="720" w:type="dxa"/>
            <w:vAlign w:val="bottom"/>
          </w:tcPr>
          <w:p>
            <w:pPr>
              <w:jc w:val="right"/>
              <w:spacing w:after="0"/>
              <w:rPr>
                <w:sz w:val="20"/>
                <w:szCs w:val="20"/>
                <w:color w:val="auto"/>
              </w:rPr>
            </w:pPr>
            <w:r>
              <w:rPr>
                <w:rFonts w:ascii="Arial" w:cs="Arial" w:eastAsia="Arial" w:hAnsi="Arial"/>
                <w:sz w:val="22"/>
                <w:szCs w:val="22"/>
                <w:color w:val="auto"/>
              </w:rPr>
              <w:t>77</w:t>
            </w:r>
          </w:p>
        </w:tc>
      </w:tr>
      <w:tr>
        <w:trPr>
          <w:trHeight w:val="455"/>
        </w:trPr>
        <w:tc>
          <w:tcPr>
            <w:tcW w:w="1760" w:type="dxa"/>
            <w:vAlign w:val="bottom"/>
          </w:tcPr>
          <w:p>
            <w:pPr>
              <w:spacing w:after="0"/>
              <w:rPr>
                <w:sz w:val="20"/>
                <w:szCs w:val="20"/>
                <w:color w:val="auto"/>
              </w:rPr>
            </w:pPr>
            <w:r>
              <w:rPr>
                <w:rFonts w:ascii="Arial" w:cs="Arial" w:eastAsia="Arial" w:hAnsi="Arial"/>
                <w:sz w:val="22"/>
                <w:szCs w:val="22"/>
                <w:color w:val="auto"/>
              </w:rPr>
              <w:t>ARTICLE XIV</w:t>
            </w:r>
          </w:p>
        </w:tc>
        <w:tc>
          <w:tcPr>
            <w:tcW w:w="8940" w:type="dxa"/>
            <w:vAlign w:val="bottom"/>
          </w:tcPr>
          <w:p>
            <w:pPr>
              <w:ind w:left="160"/>
              <w:spacing w:after="0"/>
              <w:rPr>
                <w:sz w:val="20"/>
                <w:szCs w:val="20"/>
                <w:color w:val="auto"/>
              </w:rPr>
            </w:pPr>
            <w:r>
              <w:rPr>
                <w:rFonts w:ascii="Arial" w:cs="Arial" w:eastAsia="Arial" w:hAnsi="Arial"/>
                <w:sz w:val="22"/>
                <w:szCs w:val="22"/>
                <w:color w:val="auto"/>
              </w:rPr>
              <w:t>MERGER, CONSOLIDATION OR CONVERSION</w:t>
            </w:r>
          </w:p>
        </w:tc>
        <w:tc>
          <w:tcPr>
            <w:tcW w:w="720" w:type="dxa"/>
            <w:vAlign w:val="bottom"/>
          </w:tcPr>
          <w:p>
            <w:pPr>
              <w:jc w:val="right"/>
              <w:spacing w:after="0"/>
              <w:rPr>
                <w:sz w:val="20"/>
                <w:szCs w:val="20"/>
                <w:color w:val="auto"/>
              </w:rPr>
            </w:pPr>
            <w:r>
              <w:rPr>
                <w:rFonts w:ascii="Arial" w:cs="Arial" w:eastAsia="Arial" w:hAnsi="Arial"/>
                <w:sz w:val="22"/>
                <w:szCs w:val="22"/>
                <w:color w:val="auto"/>
              </w:rPr>
              <w:t>77</w:t>
            </w:r>
          </w:p>
        </w:tc>
      </w:tr>
      <w:tr>
        <w:trPr>
          <w:trHeight w:val="243"/>
        </w:trPr>
        <w:tc>
          <w:tcPr>
            <w:tcW w:w="1760" w:type="dxa"/>
            <w:vAlign w:val="bottom"/>
          </w:tcPr>
          <w:p>
            <w:pPr>
              <w:ind w:left="360"/>
              <w:spacing w:after="0" w:line="243" w:lineRule="exact"/>
              <w:rPr>
                <w:sz w:val="20"/>
                <w:szCs w:val="20"/>
                <w:color w:val="auto"/>
              </w:rPr>
            </w:pPr>
            <w:r>
              <w:rPr>
                <w:rFonts w:ascii="Arial" w:cs="Arial" w:eastAsia="Arial" w:hAnsi="Arial"/>
                <w:sz w:val="22"/>
                <w:szCs w:val="22"/>
                <w:color w:val="auto"/>
              </w:rPr>
              <w:t>Section 14.1.</w:t>
            </w:r>
          </w:p>
        </w:tc>
        <w:tc>
          <w:tcPr>
            <w:tcW w:w="8940" w:type="dxa"/>
            <w:vAlign w:val="bottom"/>
          </w:tcPr>
          <w:p>
            <w:pPr>
              <w:ind w:left="160"/>
              <w:spacing w:after="0" w:line="243" w:lineRule="exact"/>
              <w:rPr>
                <w:sz w:val="20"/>
                <w:szCs w:val="20"/>
                <w:color w:val="auto"/>
              </w:rPr>
            </w:pPr>
            <w:r>
              <w:rPr>
                <w:rFonts w:ascii="Arial" w:cs="Arial" w:eastAsia="Arial" w:hAnsi="Arial"/>
                <w:sz w:val="22"/>
                <w:szCs w:val="22"/>
                <w:color w:val="auto"/>
              </w:rPr>
              <w:t>Authority</w:t>
            </w:r>
          </w:p>
        </w:tc>
        <w:tc>
          <w:tcPr>
            <w:tcW w:w="720" w:type="dxa"/>
            <w:vAlign w:val="bottom"/>
          </w:tcPr>
          <w:p>
            <w:pPr>
              <w:jc w:val="right"/>
              <w:spacing w:after="0" w:line="243" w:lineRule="exact"/>
              <w:rPr>
                <w:sz w:val="20"/>
                <w:szCs w:val="20"/>
                <w:color w:val="auto"/>
              </w:rPr>
            </w:pPr>
            <w:r>
              <w:rPr>
                <w:rFonts w:ascii="Arial" w:cs="Arial" w:eastAsia="Arial" w:hAnsi="Arial"/>
                <w:sz w:val="22"/>
                <w:szCs w:val="22"/>
                <w:color w:val="auto"/>
              </w:rPr>
              <w:t>77</w:t>
            </w:r>
          </w:p>
        </w:tc>
      </w:tr>
      <w:tr>
        <w:trPr>
          <w:trHeight w:val="243"/>
        </w:trPr>
        <w:tc>
          <w:tcPr>
            <w:tcW w:w="1760" w:type="dxa"/>
            <w:vAlign w:val="bottom"/>
          </w:tcPr>
          <w:p>
            <w:pPr>
              <w:ind w:left="360"/>
              <w:spacing w:after="0" w:line="243" w:lineRule="exact"/>
              <w:rPr>
                <w:sz w:val="20"/>
                <w:szCs w:val="20"/>
                <w:color w:val="auto"/>
              </w:rPr>
            </w:pPr>
            <w:r>
              <w:rPr>
                <w:rFonts w:ascii="Arial" w:cs="Arial" w:eastAsia="Arial" w:hAnsi="Arial"/>
                <w:sz w:val="22"/>
                <w:szCs w:val="22"/>
                <w:color w:val="auto"/>
              </w:rPr>
              <w:t>Section 14.2.</w:t>
            </w:r>
          </w:p>
        </w:tc>
        <w:tc>
          <w:tcPr>
            <w:tcW w:w="8940" w:type="dxa"/>
            <w:vAlign w:val="bottom"/>
          </w:tcPr>
          <w:p>
            <w:pPr>
              <w:ind w:left="160"/>
              <w:spacing w:after="0" w:line="243" w:lineRule="exact"/>
              <w:rPr>
                <w:sz w:val="20"/>
                <w:szCs w:val="20"/>
                <w:color w:val="auto"/>
              </w:rPr>
            </w:pPr>
            <w:r>
              <w:rPr>
                <w:rFonts w:ascii="Arial" w:cs="Arial" w:eastAsia="Arial" w:hAnsi="Arial"/>
                <w:sz w:val="22"/>
                <w:szCs w:val="22"/>
                <w:color w:val="auto"/>
              </w:rPr>
              <w:t>Procedure for Merger, Consolidation or Conversion</w:t>
            </w:r>
          </w:p>
        </w:tc>
        <w:tc>
          <w:tcPr>
            <w:tcW w:w="720" w:type="dxa"/>
            <w:vAlign w:val="bottom"/>
          </w:tcPr>
          <w:p>
            <w:pPr>
              <w:jc w:val="right"/>
              <w:spacing w:after="0" w:line="243" w:lineRule="exact"/>
              <w:rPr>
                <w:sz w:val="20"/>
                <w:szCs w:val="20"/>
                <w:color w:val="auto"/>
              </w:rPr>
            </w:pPr>
            <w:r>
              <w:rPr>
                <w:rFonts w:ascii="Arial" w:cs="Arial" w:eastAsia="Arial" w:hAnsi="Arial"/>
                <w:sz w:val="22"/>
                <w:szCs w:val="22"/>
                <w:color w:val="auto"/>
              </w:rPr>
              <w:t>77</w:t>
            </w:r>
          </w:p>
        </w:tc>
      </w:tr>
      <w:tr>
        <w:trPr>
          <w:trHeight w:val="275"/>
        </w:trPr>
        <w:tc>
          <w:tcPr>
            <w:tcW w:w="1760" w:type="dxa"/>
            <w:vAlign w:val="bottom"/>
          </w:tcPr>
          <w:p>
            <w:pPr>
              <w:ind w:left="360"/>
              <w:spacing w:after="0"/>
              <w:rPr>
                <w:sz w:val="20"/>
                <w:szCs w:val="20"/>
                <w:color w:val="auto"/>
              </w:rPr>
            </w:pPr>
            <w:r>
              <w:rPr>
                <w:rFonts w:ascii="Arial" w:cs="Arial" w:eastAsia="Arial" w:hAnsi="Arial"/>
                <w:sz w:val="22"/>
                <w:szCs w:val="22"/>
                <w:color w:val="auto"/>
              </w:rPr>
              <w:t>Section 14.3.</w:t>
            </w:r>
          </w:p>
        </w:tc>
        <w:tc>
          <w:tcPr>
            <w:tcW w:w="8940" w:type="dxa"/>
            <w:vAlign w:val="bottom"/>
          </w:tcPr>
          <w:p>
            <w:pPr>
              <w:ind w:left="160"/>
              <w:spacing w:after="0"/>
              <w:rPr>
                <w:sz w:val="20"/>
                <w:szCs w:val="20"/>
                <w:color w:val="auto"/>
              </w:rPr>
            </w:pPr>
            <w:r>
              <w:rPr>
                <w:rFonts w:ascii="Arial" w:cs="Arial" w:eastAsia="Arial" w:hAnsi="Arial"/>
                <w:sz w:val="22"/>
                <w:szCs w:val="22"/>
                <w:color w:val="auto"/>
              </w:rPr>
              <w:t>Approval by Limited Partners of Merger, Consolidation or Conversion</w:t>
            </w:r>
          </w:p>
        </w:tc>
        <w:tc>
          <w:tcPr>
            <w:tcW w:w="720" w:type="dxa"/>
            <w:vAlign w:val="bottom"/>
          </w:tcPr>
          <w:p>
            <w:pPr>
              <w:jc w:val="right"/>
              <w:spacing w:after="0"/>
              <w:rPr>
                <w:sz w:val="20"/>
                <w:szCs w:val="20"/>
                <w:color w:val="auto"/>
              </w:rPr>
            </w:pPr>
            <w:r>
              <w:rPr>
                <w:rFonts w:ascii="Arial" w:cs="Arial" w:eastAsia="Arial" w:hAnsi="Arial"/>
                <w:sz w:val="22"/>
                <w:szCs w:val="22"/>
                <w:color w:val="auto"/>
              </w:rPr>
              <w:t>79</w:t>
            </w:r>
          </w:p>
        </w:tc>
      </w:tr>
    </w:tbl>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2"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53"/>
        </w:trPr>
        <w:tc>
          <w:tcPr>
            <w:tcW w:w="1760" w:type="dxa"/>
            <w:vAlign w:val="bottom"/>
          </w:tcPr>
          <w:p>
            <w:pPr>
              <w:ind w:left="360"/>
              <w:spacing w:after="0"/>
              <w:rPr>
                <w:sz w:val="20"/>
                <w:szCs w:val="20"/>
                <w:color w:val="auto"/>
              </w:rPr>
            </w:pPr>
            <w:r>
              <w:rPr>
                <w:rFonts w:ascii="Arial" w:cs="Arial" w:eastAsia="Arial" w:hAnsi="Arial"/>
                <w:sz w:val="22"/>
                <w:szCs w:val="22"/>
                <w:color w:val="auto"/>
              </w:rPr>
              <w:t>Section 14.4.</w:t>
            </w:r>
          </w:p>
        </w:tc>
        <w:tc>
          <w:tcPr>
            <w:tcW w:w="8760" w:type="dxa"/>
            <w:vAlign w:val="bottom"/>
          </w:tcPr>
          <w:p>
            <w:pPr>
              <w:ind w:left="160"/>
              <w:spacing w:after="0"/>
              <w:rPr>
                <w:sz w:val="20"/>
                <w:szCs w:val="20"/>
                <w:color w:val="auto"/>
              </w:rPr>
            </w:pPr>
            <w:r>
              <w:rPr>
                <w:rFonts w:ascii="Arial" w:cs="Arial" w:eastAsia="Arial" w:hAnsi="Arial"/>
                <w:sz w:val="22"/>
                <w:szCs w:val="22"/>
                <w:color w:val="auto"/>
              </w:rPr>
              <w:t>Certificate of Merger or Conversion</w:t>
            </w:r>
          </w:p>
        </w:tc>
        <w:tc>
          <w:tcPr>
            <w:tcW w:w="900" w:type="dxa"/>
            <w:vAlign w:val="bottom"/>
          </w:tcPr>
          <w:p>
            <w:pPr>
              <w:jc w:val="right"/>
              <w:spacing w:after="0"/>
              <w:rPr>
                <w:sz w:val="20"/>
                <w:szCs w:val="20"/>
                <w:color w:val="auto"/>
              </w:rPr>
            </w:pPr>
            <w:r>
              <w:rPr>
                <w:rFonts w:ascii="Arial" w:cs="Arial" w:eastAsia="Arial" w:hAnsi="Arial"/>
                <w:sz w:val="22"/>
                <w:szCs w:val="22"/>
                <w:color w:val="auto"/>
              </w:rPr>
              <w:t>80</w:t>
            </w:r>
          </w:p>
        </w:tc>
      </w:tr>
      <w:tr>
        <w:trPr>
          <w:trHeight w:val="243"/>
        </w:trPr>
        <w:tc>
          <w:tcPr>
            <w:tcW w:w="1760" w:type="dxa"/>
            <w:vAlign w:val="bottom"/>
          </w:tcPr>
          <w:p>
            <w:pPr>
              <w:ind w:left="360"/>
              <w:spacing w:after="0" w:line="243" w:lineRule="exact"/>
              <w:rPr>
                <w:sz w:val="20"/>
                <w:szCs w:val="20"/>
                <w:color w:val="auto"/>
              </w:rPr>
            </w:pPr>
            <w:r>
              <w:rPr>
                <w:rFonts w:ascii="Arial" w:cs="Arial" w:eastAsia="Arial" w:hAnsi="Arial"/>
                <w:sz w:val="22"/>
                <w:szCs w:val="22"/>
                <w:color w:val="auto"/>
              </w:rPr>
              <w:t>Section 14.5.</w:t>
            </w:r>
          </w:p>
        </w:tc>
        <w:tc>
          <w:tcPr>
            <w:tcW w:w="8760" w:type="dxa"/>
            <w:vAlign w:val="bottom"/>
          </w:tcPr>
          <w:p>
            <w:pPr>
              <w:ind w:left="160"/>
              <w:spacing w:after="0" w:line="243" w:lineRule="exact"/>
              <w:rPr>
                <w:sz w:val="20"/>
                <w:szCs w:val="20"/>
                <w:color w:val="auto"/>
              </w:rPr>
            </w:pPr>
            <w:r>
              <w:rPr>
                <w:rFonts w:ascii="Arial" w:cs="Arial" w:eastAsia="Arial" w:hAnsi="Arial"/>
                <w:sz w:val="22"/>
                <w:szCs w:val="22"/>
                <w:color w:val="auto"/>
              </w:rPr>
              <w:t>Amendment of Partnership Agreement</w:t>
            </w: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80</w:t>
            </w:r>
          </w:p>
        </w:tc>
      </w:tr>
      <w:tr>
        <w:trPr>
          <w:trHeight w:val="275"/>
        </w:trPr>
        <w:tc>
          <w:tcPr>
            <w:tcW w:w="1760" w:type="dxa"/>
            <w:vAlign w:val="bottom"/>
          </w:tcPr>
          <w:p>
            <w:pPr>
              <w:ind w:left="360"/>
              <w:spacing w:after="0"/>
              <w:rPr>
                <w:sz w:val="20"/>
                <w:szCs w:val="20"/>
                <w:color w:val="auto"/>
              </w:rPr>
            </w:pPr>
            <w:r>
              <w:rPr>
                <w:rFonts w:ascii="Arial" w:cs="Arial" w:eastAsia="Arial" w:hAnsi="Arial"/>
                <w:sz w:val="22"/>
                <w:szCs w:val="22"/>
                <w:color w:val="auto"/>
              </w:rPr>
              <w:t>Section 14.6.</w:t>
            </w:r>
          </w:p>
        </w:tc>
        <w:tc>
          <w:tcPr>
            <w:tcW w:w="8760" w:type="dxa"/>
            <w:vAlign w:val="bottom"/>
          </w:tcPr>
          <w:p>
            <w:pPr>
              <w:ind w:left="160"/>
              <w:spacing w:after="0"/>
              <w:rPr>
                <w:sz w:val="20"/>
                <w:szCs w:val="20"/>
                <w:color w:val="auto"/>
              </w:rPr>
            </w:pPr>
            <w:r>
              <w:rPr>
                <w:rFonts w:ascii="Arial" w:cs="Arial" w:eastAsia="Arial" w:hAnsi="Arial"/>
                <w:sz w:val="22"/>
                <w:szCs w:val="22"/>
                <w:color w:val="auto"/>
              </w:rPr>
              <w:t>Effect of Merger, Consolidation or Conversion</w:t>
            </w:r>
          </w:p>
        </w:tc>
        <w:tc>
          <w:tcPr>
            <w:tcW w:w="900" w:type="dxa"/>
            <w:vAlign w:val="bottom"/>
          </w:tcPr>
          <w:p>
            <w:pPr>
              <w:jc w:val="right"/>
              <w:spacing w:after="0"/>
              <w:rPr>
                <w:sz w:val="20"/>
                <w:szCs w:val="20"/>
                <w:color w:val="auto"/>
              </w:rPr>
            </w:pPr>
            <w:r>
              <w:rPr>
                <w:rFonts w:ascii="Arial" w:cs="Arial" w:eastAsia="Arial" w:hAnsi="Arial"/>
                <w:sz w:val="22"/>
                <w:szCs w:val="22"/>
                <w:color w:val="auto"/>
              </w:rPr>
              <w:t>80</w:t>
            </w:r>
          </w:p>
        </w:tc>
      </w:tr>
      <w:tr>
        <w:trPr>
          <w:trHeight w:val="455"/>
        </w:trPr>
        <w:tc>
          <w:tcPr>
            <w:tcW w:w="1760" w:type="dxa"/>
            <w:vAlign w:val="bottom"/>
          </w:tcPr>
          <w:p>
            <w:pPr>
              <w:spacing w:after="0"/>
              <w:rPr>
                <w:sz w:val="20"/>
                <w:szCs w:val="20"/>
                <w:color w:val="auto"/>
              </w:rPr>
            </w:pPr>
            <w:r>
              <w:rPr>
                <w:rFonts w:ascii="Arial" w:cs="Arial" w:eastAsia="Arial" w:hAnsi="Arial"/>
                <w:sz w:val="22"/>
                <w:szCs w:val="22"/>
                <w:color w:val="auto"/>
              </w:rPr>
              <w:t>ARTICLE XV</w:t>
            </w:r>
          </w:p>
        </w:tc>
        <w:tc>
          <w:tcPr>
            <w:tcW w:w="8760" w:type="dxa"/>
            <w:vAlign w:val="bottom"/>
          </w:tcPr>
          <w:p>
            <w:pPr>
              <w:ind w:left="160"/>
              <w:spacing w:after="0"/>
              <w:rPr>
                <w:sz w:val="20"/>
                <w:szCs w:val="20"/>
                <w:color w:val="auto"/>
              </w:rPr>
            </w:pPr>
            <w:r>
              <w:rPr>
                <w:rFonts w:ascii="Arial" w:cs="Arial" w:eastAsia="Arial" w:hAnsi="Arial"/>
                <w:sz w:val="22"/>
                <w:szCs w:val="22"/>
                <w:color w:val="auto"/>
              </w:rPr>
              <w:t>RIGHT TO ACQUIRE LIMITED PARTNER INTERESTS</w:t>
            </w:r>
          </w:p>
        </w:tc>
        <w:tc>
          <w:tcPr>
            <w:tcW w:w="900" w:type="dxa"/>
            <w:vAlign w:val="bottom"/>
          </w:tcPr>
          <w:p>
            <w:pPr>
              <w:jc w:val="right"/>
              <w:spacing w:after="0"/>
              <w:rPr>
                <w:sz w:val="20"/>
                <w:szCs w:val="20"/>
                <w:color w:val="auto"/>
              </w:rPr>
            </w:pPr>
            <w:r>
              <w:rPr>
                <w:rFonts w:ascii="Arial" w:cs="Arial" w:eastAsia="Arial" w:hAnsi="Arial"/>
                <w:sz w:val="22"/>
                <w:szCs w:val="22"/>
                <w:color w:val="auto"/>
              </w:rPr>
              <w:t>81</w:t>
            </w:r>
          </w:p>
        </w:tc>
      </w:tr>
      <w:tr>
        <w:trPr>
          <w:trHeight w:val="275"/>
        </w:trPr>
        <w:tc>
          <w:tcPr>
            <w:tcW w:w="1760" w:type="dxa"/>
            <w:vAlign w:val="bottom"/>
          </w:tcPr>
          <w:p>
            <w:pPr>
              <w:ind w:left="360"/>
              <w:spacing w:after="0"/>
              <w:rPr>
                <w:sz w:val="20"/>
                <w:szCs w:val="20"/>
                <w:color w:val="auto"/>
              </w:rPr>
            </w:pPr>
            <w:r>
              <w:rPr>
                <w:rFonts w:ascii="Arial" w:cs="Arial" w:eastAsia="Arial" w:hAnsi="Arial"/>
                <w:sz w:val="22"/>
                <w:szCs w:val="22"/>
                <w:color w:val="auto"/>
              </w:rPr>
              <w:t>Section 15.1.</w:t>
            </w:r>
          </w:p>
        </w:tc>
        <w:tc>
          <w:tcPr>
            <w:tcW w:w="8760" w:type="dxa"/>
            <w:vAlign w:val="bottom"/>
          </w:tcPr>
          <w:p>
            <w:pPr>
              <w:ind w:left="160"/>
              <w:spacing w:after="0"/>
              <w:rPr>
                <w:sz w:val="20"/>
                <w:szCs w:val="20"/>
                <w:color w:val="auto"/>
              </w:rPr>
            </w:pPr>
            <w:r>
              <w:rPr>
                <w:rFonts w:ascii="Arial" w:cs="Arial" w:eastAsia="Arial" w:hAnsi="Arial"/>
                <w:sz w:val="22"/>
                <w:szCs w:val="22"/>
                <w:color w:val="auto"/>
              </w:rPr>
              <w:t>Right to Acquire Limited Partner Interests</w:t>
            </w:r>
          </w:p>
        </w:tc>
        <w:tc>
          <w:tcPr>
            <w:tcW w:w="900" w:type="dxa"/>
            <w:vAlign w:val="bottom"/>
          </w:tcPr>
          <w:p>
            <w:pPr>
              <w:jc w:val="right"/>
              <w:spacing w:after="0"/>
              <w:rPr>
                <w:sz w:val="20"/>
                <w:szCs w:val="20"/>
                <w:color w:val="auto"/>
              </w:rPr>
            </w:pPr>
            <w:r>
              <w:rPr>
                <w:rFonts w:ascii="Arial" w:cs="Arial" w:eastAsia="Arial" w:hAnsi="Arial"/>
                <w:sz w:val="22"/>
                <w:szCs w:val="22"/>
                <w:color w:val="auto"/>
              </w:rPr>
              <w:t>81</w:t>
            </w:r>
          </w:p>
        </w:tc>
      </w:tr>
      <w:tr>
        <w:trPr>
          <w:trHeight w:val="455"/>
        </w:trPr>
        <w:tc>
          <w:tcPr>
            <w:tcW w:w="1760" w:type="dxa"/>
            <w:vAlign w:val="bottom"/>
          </w:tcPr>
          <w:p>
            <w:pPr>
              <w:spacing w:after="0"/>
              <w:rPr>
                <w:sz w:val="20"/>
                <w:szCs w:val="20"/>
                <w:color w:val="auto"/>
              </w:rPr>
            </w:pPr>
            <w:r>
              <w:rPr>
                <w:rFonts w:ascii="Arial" w:cs="Arial" w:eastAsia="Arial" w:hAnsi="Arial"/>
                <w:sz w:val="22"/>
                <w:szCs w:val="22"/>
                <w:color w:val="auto"/>
              </w:rPr>
              <w:t>ARTICLE XVI</w:t>
            </w:r>
          </w:p>
        </w:tc>
        <w:tc>
          <w:tcPr>
            <w:tcW w:w="8760" w:type="dxa"/>
            <w:vAlign w:val="bottom"/>
          </w:tcPr>
          <w:p>
            <w:pPr>
              <w:ind w:left="160"/>
              <w:spacing w:after="0"/>
              <w:rPr>
                <w:sz w:val="20"/>
                <w:szCs w:val="20"/>
                <w:color w:val="auto"/>
              </w:rPr>
            </w:pPr>
            <w:r>
              <w:rPr>
                <w:rFonts w:ascii="Arial" w:cs="Arial" w:eastAsia="Arial" w:hAnsi="Arial"/>
                <w:sz w:val="22"/>
                <w:szCs w:val="22"/>
                <w:color w:val="auto"/>
              </w:rPr>
              <w:t>SERIES A CUMULATIVE REDEEMABLE PERPETUAL FIXED TO FLOATING RATE</w:t>
            </w:r>
          </w:p>
        </w:tc>
        <w:tc>
          <w:tcPr>
            <w:tcW w:w="900" w:type="dxa"/>
            <w:vAlign w:val="bottom"/>
          </w:tcPr>
          <w:p>
            <w:pPr>
              <w:spacing w:after="0"/>
              <w:rPr>
                <w:sz w:val="24"/>
                <w:szCs w:val="24"/>
                <w:color w:val="auto"/>
              </w:rPr>
            </w:pPr>
          </w:p>
        </w:tc>
      </w:tr>
      <w:tr>
        <w:trPr>
          <w:trHeight w:val="243"/>
        </w:trPr>
        <w:tc>
          <w:tcPr>
            <w:tcW w:w="1760" w:type="dxa"/>
            <w:vAlign w:val="bottom"/>
          </w:tcPr>
          <w:p>
            <w:pPr>
              <w:spacing w:after="0"/>
              <w:rPr>
                <w:sz w:val="21"/>
                <w:szCs w:val="21"/>
                <w:color w:val="auto"/>
              </w:rPr>
            </w:pPr>
          </w:p>
        </w:tc>
        <w:tc>
          <w:tcPr>
            <w:tcW w:w="8760" w:type="dxa"/>
            <w:vAlign w:val="bottom"/>
          </w:tcPr>
          <w:p>
            <w:pPr>
              <w:ind w:left="160"/>
              <w:spacing w:after="0" w:line="243" w:lineRule="exact"/>
              <w:rPr>
                <w:sz w:val="20"/>
                <w:szCs w:val="20"/>
                <w:color w:val="auto"/>
              </w:rPr>
            </w:pPr>
            <w:r>
              <w:rPr>
                <w:rFonts w:ascii="Arial" w:cs="Arial" w:eastAsia="Arial" w:hAnsi="Arial"/>
                <w:sz w:val="22"/>
                <w:szCs w:val="22"/>
                <w:color w:val="auto"/>
              </w:rPr>
              <w:t>PREFERENCE UNITS</w:t>
            </w: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83</w:t>
            </w:r>
          </w:p>
        </w:tc>
      </w:tr>
      <w:tr>
        <w:trPr>
          <w:trHeight w:val="243"/>
        </w:trPr>
        <w:tc>
          <w:tcPr>
            <w:tcW w:w="1760" w:type="dxa"/>
            <w:vAlign w:val="bottom"/>
          </w:tcPr>
          <w:p>
            <w:pPr>
              <w:ind w:left="360"/>
              <w:spacing w:after="0" w:line="243" w:lineRule="exact"/>
              <w:rPr>
                <w:sz w:val="20"/>
                <w:szCs w:val="20"/>
                <w:color w:val="auto"/>
              </w:rPr>
            </w:pPr>
            <w:r>
              <w:rPr>
                <w:rFonts w:ascii="Arial" w:cs="Arial" w:eastAsia="Arial" w:hAnsi="Arial"/>
                <w:sz w:val="22"/>
                <w:szCs w:val="22"/>
                <w:color w:val="auto"/>
              </w:rPr>
              <w:t>Section 16.1.</w:t>
            </w:r>
          </w:p>
        </w:tc>
        <w:tc>
          <w:tcPr>
            <w:tcW w:w="8760" w:type="dxa"/>
            <w:vAlign w:val="bottom"/>
          </w:tcPr>
          <w:p>
            <w:pPr>
              <w:ind w:left="160"/>
              <w:spacing w:after="0" w:line="243" w:lineRule="exact"/>
              <w:rPr>
                <w:sz w:val="20"/>
                <w:szCs w:val="20"/>
                <w:color w:val="auto"/>
              </w:rPr>
            </w:pPr>
            <w:r>
              <w:rPr>
                <w:rFonts w:ascii="Arial" w:cs="Arial" w:eastAsia="Arial" w:hAnsi="Arial"/>
                <w:sz w:val="22"/>
                <w:szCs w:val="22"/>
                <w:color w:val="auto"/>
              </w:rPr>
              <w:t>Designations</w:t>
            </w: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83</w:t>
            </w:r>
          </w:p>
        </w:tc>
      </w:tr>
      <w:tr>
        <w:trPr>
          <w:trHeight w:val="243"/>
        </w:trPr>
        <w:tc>
          <w:tcPr>
            <w:tcW w:w="1760" w:type="dxa"/>
            <w:vAlign w:val="bottom"/>
          </w:tcPr>
          <w:p>
            <w:pPr>
              <w:ind w:left="360"/>
              <w:spacing w:after="0" w:line="243" w:lineRule="exact"/>
              <w:rPr>
                <w:sz w:val="20"/>
                <w:szCs w:val="20"/>
                <w:color w:val="auto"/>
              </w:rPr>
            </w:pPr>
            <w:r>
              <w:rPr>
                <w:rFonts w:ascii="Arial" w:cs="Arial" w:eastAsia="Arial" w:hAnsi="Arial"/>
                <w:sz w:val="22"/>
                <w:szCs w:val="22"/>
                <w:color w:val="auto"/>
              </w:rPr>
              <w:t>Section 16.2.</w:t>
            </w:r>
          </w:p>
        </w:tc>
        <w:tc>
          <w:tcPr>
            <w:tcW w:w="8760" w:type="dxa"/>
            <w:vAlign w:val="bottom"/>
          </w:tcPr>
          <w:p>
            <w:pPr>
              <w:ind w:left="160"/>
              <w:spacing w:after="0" w:line="243" w:lineRule="exact"/>
              <w:rPr>
                <w:sz w:val="20"/>
                <w:szCs w:val="20"/>
                <w:color w:val="auto"/>
              </w:rPr>
            </w:pPr>
            <w:r>
              <w:rPr>
                <w:rFonts w:ascii="Arial" w:cs="Arial" w:eastAsia="Arial" w:hAnsi="Arial"/>
                <w:sz w:val="22"/>
                <w:szCs w:val="22"/>
                <w:color w:val="auto"/>
              </w:rPr>
              <w:t>Units</w:t>
            </w: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83</w:t>
            </w:r>
          </w:p>
        </w:tc>
      </w:tr>
      <w:tr>
        <w:trPr>
          <w:trHeight w:val="243"/>
        </w:trPr>
        <w:tc>
          <w:tcPr>
            <w:tcW w:w="1760" w:type="dxa"/>
            <w:vAlign w:val="bottom"/>
          </w:tcPr>
          <w:p>
            <w:pPr>
              <w:ind w:left="360"/>
              <w:spacing w:after="0" w:line="243" w:lineRule="exact"/>
              <w:rPr>
                <w:sz w:val="20"/>
                <w:szCs w:val="20"/>
                <w:color w:val="auto"/>
              </w:rPr>
            </w:pPr>
            <w:r>
              <w:rPr>
                <w:rFonts w:ascii="Arial" w:cs="Arial" w:eastAsia="Arial" w:hAnsi="Arial"/>
                <w:sz w:val="22"/>
                <w:szCs w:val="22"/>
                <w:color w:val="auto"/>
              </w:rPr>
              <w:t>Section 16.3.</w:t>
            </w:r>
          </w:p>
        </w:tc>
        <w:tc>
          <w:tcPr>
            <w:tcW w:w="8760" w:type="dxa"/>
            <w:vAlign w:val="bottom"/>
          </w:tcPr>
          <w:p>
            <w:pPr>
              <w:ind w:left="160"/>
              <w:spacing w:after="0" w:line="243" w:lineRule="exact"/>
              <w:rPr>
                <w:sz w:val="20"/>
                <w:szCs w:val="20"/>
                <w:color w:val="auto"/>
              </w:rPr>
            </w:pPr>
            <w:r>
              <w:rPr>
                <w:rFonts w:ascii="Arial" w:cs="Arial" w:eastAsia="Arial" w:hAnsi="Arial"/>
                <w:sz w:val="22"/>
                <w:szCs w:val="22"/>
                <w:color w:val="auto"/>
              </w:rPr>
              <w:t>Distributions</w:t>
            </w: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83</w:t>
            </w:r>
          </w:p>
        </w:tc>
      </w:tr>
      <w:tr>
        <w:trPr>
          <w:trHeight w:val="243"/>
        </w:trPr>
        <w:tc>
          <w:tcPr>
            <w:tcW w:w="1760" w:type="dxa"/>
            <w:vAlign w:val="bottom"/>
          </w:tcPr>
          <w:p>
            <w:pPr>
              <w:ind w:left="360"/>
              <w:spacing w:after="0" w:line="243" w:lineRule="exact"/>
              <w:rPr>
                <w:sz w:val="20"/>
                <w:szCs w:val="20"/>
                <w:color w:val="auto"/>
              </w:rPr>
            </w:pPr>
            <w:r>
              <w:rPr>
                <w:rFonts w:ascii="Arial" w:cs="Arial" w:eastAsia="Arial" w:hAnsi="Arial"/>
                <w:sz w:val="22"/>
                <w:szCs w:val="22"/>
                <w:color w:val="auto"/>
              </w:rPr>
              <w:t>Section 16.4.</w:t>
            </w:r>
          </w:p>
        </w:tc>
        <w:tc>
          <w:tcPr>
            <w:tcW w:w="8760" w:type="dxa"/>
            <w:vAlign w:val="bottom"/>
          </w:tcPr>
          <w:p>
            <w:pPr>
              <w:ind w:left="160"/>
              <w:spacing w:after="0" w:line="243" w:lineRule="exact"/>
              <w:rPr>
                <w:sz w:val="20"/>
                <w:szCs w:val="20"/>
                <w:color w:val="auto"/>
              </w:rPr>
            </w:pPr>
            <w:r>
              <w:rPr>
                <w:rFonts w:ascii="Arial" w:cs="Arial" w:eastAsia="Arial" w:hAnsi="Arial"/>
                <w:sz w:val="22"/>
                <w:szCs w:val="22"/>
                <w:color w:val="auto"/>
              </w:rPr>
              <w:t>Liquidation Rights</w:t>
            </w: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86</w:t>
            </w:r>
          </w:p>
        </w:tc>
      </w:tr>
      <w:tr>
        <w:trPr>
          <w:trHeight w:val="243"/>
        </w:trPr>
        <w:tc>
          <w:tcPr>
            <w:tcW w:w="1760" w:type="dxa"/>
            <w:vAlign w:val="bottom"/>
          </w:tcPr>
          <w:p>
            <w:pPr>
              <w:ind w:left="360"/>
              <w:spacing w:after="0" w:line="243" w:lineRule="exact"/>
              <w:rPr>
                <w:sz w:val="20"/>
                <w:szCs w:val="20"/>
                <w:color w:val="auto"/>
              </w:rPr>
            </w:pPr>
            <w:r>
              <w:rPr>
                <w:rFonts w:ascii="Arial" w:cs="Arial" w:eastAsia="Arial" w:hAnsi="Arial"/>
                <w:sz w:val="22"/>
                <w:szCs w:val="22"/>
                <w:color w:val="auto"/>
              </w:rPr>
              <w:t>Section 16.5.</w:t>
            </w:r>
          </w:p>
        </w:tc>
        <w:tc>
          <w:tcPr>
            <w:tcW w:w="8760" w:type="dxa"/>
            <w:vAlign w:val="bottom"/>
          </w:tcPr>
          <w:p>
            <w:pPr>
              <w:ind w:left="160"/>
              <w:spacing w:after="0" w:line="243" w:lineRule="exact"/>
              <w:rPr>
                <w:sz w:val="20"/>
                <w:szCs w:val="20"/>
                <w:color w:val="auto"/>
              </w:rPr>
            </w:pPr>
            <w:r>
              <w:rPr>
                <w:rFonts w:ascii="Arial" w:cs="Arial" w:eastAsia="Arial" w:hAnsi="Arial"/>
                <w:sz w:val="22"/>
                <w:szCs w:val="22"/>
                <w:color w:val="auto"/>
              </w:rPr>
              <w:t>Voting Rights</w:t>
            </w: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87</w:t>
            </w:r>
          </w:p>
        </w:tc>
      </w:tr>
      <w:tr>
        <w:trPr>
          <w:trHeight w:val="243"/>
        </w:trPr>
        <w:tc>
          <w:tcPr>
            <w:tcW w:w="1760" w:type="dxa"/>
            <w:vAlign w:val="bottom"/>
          </w:tcPr>
          <w:p>
            <w:pPr>
              <w:ind w:left="360"/>
              <w:spacing w:after="0" w:line="243" w:lineRule="exact"/>
              <w:rPr>
                <w:sz w:val="20"/>
                <w:szCs w:val="20"/>
                <w:color w:val="auto"/>
              </w:rPr>
            </w:pPr>
            <w:r>
              <w:rPr>
                <w:rFonts w:ascii="Arial" w:cs="Arial" w:eastAsia="Arial" w:hAnsi="Arial"/>
                <w:sz w:val="22"/>
                <w:szCs w:val="22"/>
                <w:color w:val="auto"/>
              </w:rPr>
              <w:t>Section 16.6.</w:t>
            </w:r>
          </w:p>
        </w:tc>
        <w:tc>
          <w:tcPr>
            <w:tcW w:w="8760" w:type="dxa"/>
            <w:vAlign w:val="bottom"/>
          </w:tcPr>
          <w:p>
            <w:pPr>
              <w:ind w:left="160"/>
              <w:spacing w:after="0" w:line="243" w:lineRule="exact"/>
              <w:rPr>
                <w:sz w:val="20"/>
                <w:szCs w:val="20"/>
                <w:color w:val="auto"/>
              </w:rPr>
            </w:pPr>
            <w:r>
              <w:rPr>
                <w:rFonts w:ascii="Arial" w:cs="Arial" w:eastAsia="Arial" w:hAnsi="Arial"/>
                <w:sz w:val="22"/>
                <w:szCs w:val="22"/>
                <w:color w:val="auto"/>
              </w:rPr>
              <w:t>Optional Redemption</w:t>
            </w: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88</w:t>
            </w:r>
          </w:p>
        </w:tc>
      </w:tr>
      <w:tr>
        <w:trPr>
          <w:trHeight w:val="243"/>
        </w:trPr>
        <w:tc>
          <w:tcPr>
            <w:tcW w:w="1760" w:type="dxa"/>
            <w:vAlign w:val="bottom"/>
          </w:tcPr>
          <w:p>
            <w:pPr>
              <w:ind w:left="360"/>
              <w:spacing w:after="0" w:line="243" w:lineRule="exact"/>
              <w:rPr>
                <w:sz w:val="20"/>
                <w:szCs w:val="20"/>
                <w:color w:val="auto"/>
              </w:rPr>
            </w:pPr>
            <w:r>
              <w:rPr>
                <w:rFonts w:ascii="Arial" w:cs="Arial" w:eastAsia="Arial" w:hAnsi="Arial"/>
                <w:sz w:val="22"/>
                <w:szCs w:val="22"/>
                <w:color w:val="auto"/>
              </w:rPr>
              <w:t>Section 16.7.</w:t>
            </w:r>
          </w:p>
        </w:tc>
        <w:tc>
          <w:tcPr>
            <w:tcW w:w="8760" w:type="dxa"/>
            <w:vAlign w:val="bottom"/>
          </w:tcPr>
          <w:p>
            <w:pPr>
              <w:ind w:left="160"/>
              <w:spacing w:after="0" w:line="243" w:lineRule="exact"/>
              <w:rPr>
                <w:sz w:val="20"/>
                <w:szCs w:val="20"/>
                <w:color w:val="auto"/>
              </w:rPr>
            </w:pPr>
            <w:r>
              <w:rPr>
                <w:rFonts w:ascii="Arial" w:cs="Arial" w:eastAsia="Arial" w:hAnsi="Arial"/>
                <w:sz w:val="22"/>
                <w:szCs w:val="22"/>
                <w:color w:val="auto"/>
              </w:rPr>
              <w:t>Rank</w:t>
            </w: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90</w:t>
            </w:r>
          </w:p>
        </w:tc>
      </w:tr>
      <w:tr>
        <w:trPr>
          <w:trHeight w:val="243"/>
        </w:trPr>
        <w:tc>
          <w:tcPr>
            <w:tcW w:w="1760" w:type="dxa"/>
            <w:vAlign w:val="bottom"/>
          </w:tcPr>
          <w:p>
            <w:pPr>
              <w:ind w:left="360"/>
              <w:spacing w:after="0" w:line="243" w:lineRule="exact"/>
              <w:rPr>
                <w:sz w:val="20"/>
                <w:szCs w:val="20"/>
                <w:color w:val="auto"/>
              </w:rPr>
            </w:pPr>
            <w:r>
              <w:rPr>
                <w:rFonts w:ascii="Arial" w:cs="Arial" w:eastAsia="Arial" w:hAnsi="Arial"/>
                <w:sz w:val="22"/>
                <w:szCs w:val="22"/>
                <w:color w:val="auto"/>
              </w:rPr>
              <w:t>Section 16.8.</w:t>
            </w:r>
          </w:p>
        </w:tc>
        <w:tc>
          <w:tcPr>
            <w:tcW w:w="8760" w:type="dxa"/>
            <w:vAlign w:val="bottom"/>
          </w:tcPr>
          <w:p>
            <w:pPr>
              <w:ind w:left="160"/>
              <w:spacing w:after="0" w:line="243" w:lineRule="exact"/>
              <w:rPr>
                <w:sz w:val="20"/>
                <w:szCs w:val="20"/>
                <w:color w:val="auto"/>
              </w:rPr>
            </w:pPr>
            <w:r>
              <w:rPr>
                <w:rFonts w:ascii="Arial" w:cs="Arial" w:eastAsia="Arial" w:hAnsi="Arial"/>
                <w:sz w:val="22"/>
                <w:szCs w:val="22"/>
                <w:color w:val="auto"/>
              </w:rPr>
              <w:t>No Sinking Fund</w:t>
            </w: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90</w:t>
            </w:r>
          </w:p>
        </w:tc>
      </w:tr>
      <w:tr>
        <w:trPr>
          <w:trHeight w:val="243"/>
        </w:trPr>
        <w:tc>
          <w:tcPr>
            <w:tcW w:w="1760" w:type="dxa"/>
            <w:vAlign w:val="bottom"/>
          </w:tcPr>
          <w:p>
            <w:pPr>
              <w:ind w:left="360"/>
              <w:spacing w:after="0" w:line="243" w:lineRule="exact"/>
              <w:rPr>
                <w:sz w:val="20"/>
                <w:szCs w:val="20"/>
                <w:color w:val="auto"/>
              </w:rPr>
            </w:pPr>
            <w:r>
              <w:rPr>
                <w:rFonts w:ascii="Arial" w:cs="Arial" w:eastAsia="Arial" w:hAnsi="Arial"/>
                <w:sz w:val="22"/>
                <w:szCs w:val="22"/>
                <w:color w:val="auto"/>
              </w:rPr>
              <w:t>Section 16.9.</w:t>
            </w:r>
          </w:p>
        </w:tc>
        <w:tc>
          <w:tcPr>
            <w:tcW w:w="8760" w:type="dxa"/>
            <w:vAlign w:val="bottom"/>
          </w:tcPr>
          <w:p>
            <w:pPr>
              <w:ind w:left="160"/>
              <w:spacing w:after="0" w:line="243" w:lineRule="exact"/>
              <w:rPr>
                <w:sz w:val="20"/>
                <w:szCs w:val="20"/>
                <w:color w:val="auto"/>
              </w:rPr>
            </w:pPr>
            <w:r>
              <w:rPr>
                <w:rFonts w:ascii="Arial" w:cs="Arial" w:eastAsia="Arial" w:hAnsi="Arial"/>
                <w:sz w:val="22"/>
                <w:szCs w:val="22"/>
                <w:color w:val="auto"/>
              </w:rPr>
              <w:t>Record Holders</w:t>
            </w: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90</w:t>
            </w:r>
          </w:p>
        </w:tc>
      </w:tr>
      <w:tr>
        <w:trPr>
          <w:trHeight w:val="243"/>
        </w:trPr>
        <w:tc>
          <w:tcPr>
            <w:tcW w:w="1760" w:type="dxa"/>
            <w:vAlign w:val="bottom"/>
          </w:tcPr>
          <w:p>
            <w:pPr>
              <w:ind w:left="360"/>
              <w:spacing w:after="0" w:line="243" w:lineRule="exact"/>
              <w:rPr>
                <w:sz w:val="20"/>
                <w:szCs w:val="20"/>
                <w:color w:val="auto"/>
              </w:rPr>
            </w:pPr>
            <w:r>
              <w:rPr>
                <w:rFonts w:ascii="Arial" w:cs="Arial" w:eastAsia="Arial" w:hAnsi="Arial"/>
                <w:sz w:val="22"/>
                <w:szCs w:val="22"/>
                <w:color w:val="auto"/>
                <w:w w:val="98"/>
              </w:rPr>
              <w:t>Section 16.10.</w:t>
            </w:r>
          </w:p>
        </w:tc>
        <w:tc>
          <w:tcPr>
            <w:tcW w:w="8760" w:type="dxa"/>
            <w:vAlign w:val="bottom"/>
          </w:tcPr>
          <w:p>
            <w:pPr>
              <w:ind w:left="160"/>
              <w:spacing w:after="0" w:line="243" w:lineRule="exact"/>
              <w:rPr>
                <w:sz w:val="20"/>
                <w:szCs w:val="20"/>
                <w:color w:val="auto"/>
              </w:rPr>
            </w:pPr>
            <w:r>
              <w:rPr>
                <w:rFonts w:ascii="Arial" w:cs="Arial" w:eastAsia="Arial" w:hAnsi="Arial"/>
                <w:sz w:val="22"/>
                <w:szCs w:val="22"/>
                <w:color w:val="auto"/>
              </w:rPr>
              <w:t>Notices</w:t>
            </w: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91</w:t>
            </w:r>
          </w:p>
        </w:tc>
      </w:tr>
      <w:tr>
        <w:trPr>
          <w:trHeight w:val="275"/>
        </w:trPr>
        <w:tc>
          <w:tcPr>
            <w:tcW w:w="1760" w:type="dxa"/>
            <w:vAlign w:val="bottom"/>
          </w:tcPr>
          <w:p>
            <w:pPr>
              <w:ind w:left="360"/>
              <w:spacing w:after="0"/>
              <w:rPr>
                <w:sz w:val="20"/>
                <w:szCs w:val="20"/>
                <w:color w:val="auto"/>
              </w:rPr>
            </w:pPr>
            <w:r>
              <w:rPr>
                <w:rFonts w:ascii="Arial" w:cs="Arial" w:eastAsia="Arial" w:hAnsi="Arial"/>
                <w:sz w:val="22"/>
                <w:szCs w:val="22"/>
                <w:color w:val="auto"/>
                <w:w w:val="98"/>
              </w:rPr>
              <w:t>Section 16.11.</w:t>
            </w:r>
          </w:p>
        </w:tc>
        <w:tc>
          <w:tcPr>
            <w:tcW w:w="8760" w:type="dxa"/>
            <w:vAlign w:val="bottom"/>
          </w:tcPr>
          <w:p>
            <w:pPr>
              <w:ind w:left="160"/>
              <w:spacing w:after="0"/>
              <w:rPr>
                <w:sz w:val="20"/>
                <w:szCs w:val="20"/>
                <w:color w:val="auto"/>
              </w:rPr>
            </w:pPr>
            <w:r>
              <w:rPr>
                <w:rFonts w:ascii="Arial" w:cs="Arial" w:eastAsia="Arial" w:hAnsi="Arial"/>
                <w:sz w:val="22"/>
                <w:szCs w:val="22"/>
                <w:color w:val="auto"/>
              </w:rPr>
              <w:t>Other Rights; Fiduciary Duties</w:t>
            </w:r>
          </w:p>
        </w:tc>
        <w:tc>
          <w:tcPr>
            <w:tcW w:w="900" w:type="dxa"/>
            <w:vAlign w:val="bottom"/>
          </w:tcPr>
          <w:p>
            <w:pPr>
              <w:jc w:val="right"/>
              <w:spacing w:after="0"/>
              <w:rPr>
                <w:sz w:val="20"/>
                <w:szCs w:val="20"/>
                <w:color w:val="auto"/>
              </w:rPr>
            </w:pPr>
            <w:r>
              <w:rPr>
                <w:rFonts w:ascii="Arial" w:cs="Arial" w:eastAsia="Arial" w:hAnsi="Arial"/>
                <w:sz w:val="22"/>
                <w:szCs w:val="22"/>
                <w:color w:val="auto"/>
              </w:rPr>
              <w:t>91</w:t>
            </w:r>
          </w:p>
        </w:tc>
      </w:tr>
      <w:tr>
        <w:trPr>
          <w:trHeight w:val="455"/>
        </w:trPr>
        <w:tc>
          <w:tcPr>
            <w:tcW w:w="1760" w:type="dxa"/>
            <w:vAlign w:val="bottom"/>
          </w:tcPr>
          <w:p>
            <w:pPr>
              <w:spacing w:after="0"/>
              <w:rPr>
                <w:sz w:val="20"/>
                <w:szCs w:val="20"/>
                <w:color w:val="auto"/>
              </w:rPr>
            </w:pPr>
            <w:r>
              <w:rPr>
                <w:rFonts w:ascii="Arial" w:cs="Arial" w:eastAsia="Arial" w:hAnsi="Arial"/>
                <w:sz w:val="22"/>
                <w:szCs w:val="22"/>
                <w:color w:val="auto"/>
              </w:rPr>
              <w:t>ARTICLE XVII</w:t>
            </w:r>
          </w:p>
        </w:tc>
        <w:tc>
          <w:tcPr>
            <w:tcW w:w="8760" w:type="dxa"/>
            <w:vAlign w:val="bottom"/>
          </w:tcPr>
          <w:p>
            <w:pPr>
              <w:ind w:left="160"/>
              <w:spacing w:after="0"/>
              <w:rPr>
                <w:sz w:val="20"/>
                <w:szCs w:val="20"/>
                <w:color w:val="auto"/>
              </w:rPr>
            </w:pPr>
            <w:r>
              <w:rPr>
                <w:rFonts w:ascii="Arial" w:cs="Arial" w:eastAsia="Arial" w:hAnsi="Arial"/>
                <w:sz w:val="22"/>
                <w:szCs w:val="22"/>
                <w:color w:val="auto"/>
              </w:rPr>
              <w:t>GENERAL PROVISIONS</w:t>
            </w:r>
          </w:p>
        </w:tc>
        <w:tc>
          <w:tcPr>
            <w:tcW w:w="900" w:type="dxa"/>
            <w:vAlign w:val="bottom"/>
          </w:tcPr>
          <w:p>
            <w:pPr>
              <w:jc w:val="right"/>
              <w:spacing w:after="0"/>
              <w:rPr>
                <w:sz w:val="20"/>
                <w:szCs w:val="20"/>
                <w:color w:val="auto"/>
              </w:rPr>
            </w:pPr>
            <w:r>
              <w:rPr>
                <w:rFonts w:ascii="Arial" w:cs="Arial" w:eastAsia="Arial" w:hAnsi="Arial"/>
                <w:sz w:val="22"/>
                <w:szCs w:val="22"/>
                <w:color w:val="auto"/>
              </w:rPr>
              <w:t>91</w:t>
            </w:r>
          </w:p>
        </w:tc>
      </w:tr>
      <w:tr>
        <w:trPr>
          <w:trHeight w:val="243"/>
        </w:trPr>
        <w:tc>
          <w:tcPr>
            <w:tcW w:w="1760" w:type="dxa"/>
            <w:vAlign w:val="bottom"/>
          </w:tcPr>
          <w:p>
            <w:pPr>
              <w:ind w:left="360"/>
              <w:spacing w:after="0" w:line="243" w:lineRule="exact"/>
              <w:rPr>
                <w:sz w:val="20"/>
                <w:szCs w:val="20"/>
                <w:color w:val="auto"/>
              </w:rPr>
            </w:pPr>
            <w:r>
              <w:rPr>
                <w:rFonts w:ascii="Arial" w:cs="Arial" w:eastAsia="Arial" w:hAnsi="Arial"/>
                <w:sz w:val="22"/>
                <w:szCs w:val="22"/>
                <w:color w:val="auto"/>
              </w:rPr>
              <w:t>Section 17.1.</w:t>
            </w:r>
          </w:p>
        </w:tc>
        <w:tc>
          <w:tcPr>
            <w:tcW w:w="8760" w:type="dxa"/>
            <w:vAlign w:val="bottom"/>
          </w:tcPr>
          <w:p>
            <w:pPr>
              <w:ind w:left="160"/>
              <w:spacing w:after="0" w:line="243" w:lineRule="exact"/>
              <w:rPr>
                <w:sz w:val="20"/>
                <w:szCs w:val="20"/>
                <w:color w:val="auto"/>
              </w:rPr>
            </w:pPr>
            <w:r>
              <w:rPr>
                <w:rFonts w:ascii="Arial" w:cs="Arial" w:eastAsia="Arial" w:hAnsi="Arial"/>
                <w:sz w:val="22"/>
                <w:szCs w:val="22"/>
                <w:color w:val="auto"/>
              </w:rPr>
              <w:t>Addresses and Notices</w:t>
            </w: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91</w:t>
            </w:r>
          </w:p>
        </w:tc>
      </w:tr>
      <w:tr>
        <w:trPr>
          <w:trHeight w:val="243"/>
        </w:trPr>
        <w:tc>
          <w:tcPr>
            <w:tcW w:w="1760" w:type="dxa"/>
            <w:vAlign w:val="bottom"/>
          </w:tcPr>
          <w:p>
            <w:pPr>
              <w:ind w:left="360"/>
              <w:spacing w:after="0" w:line="243" w:lineRule="exact"/>
              <w:rPr>
                <w:sz w:val="20"/>
                <w:szCs w:val="20"/>
                <w:color w:val="auto"/>
              </w:rPr>
            </w:pPr>
            <w:r>
              <w:rPr>
                <w:rFonts w:ascii="Arial" w:cs="Arial" w:eastAsia="Arial" w:hAnsi="Arial"/>
                <w:sz w:val="22"/>
                <w:szCs w:val="22"/>
                <w:color w:val="auto"/>
              </w:rPr>
              <w:t>Section 17.2.</w:t>
            </w:r>
          </w:p>
        </w:tc>
        <w:tc>
          <w:tcPr>
            <w:tcW w:w="8760" w:type="dxa"/>
            <w:vAlign w:val="bottom"/>
          </w:tcPr>
          <w:p>
            <w:pPr>
              <w:ind w:left="160"/>
              <w:spacing w:after="0" w:line="243" w:lineRule="exact"/>
              <w:rPr>
                <w:sz w:val="20"/>
                <w:szCs w:val="20"/>
                <w:color w:val="auto"/>
              </w:rPr>
            </w:pPr>
            <w:r>
              <w:rPr>
                <w:rFonts w:ascii="Arial" w:cs="Arial" w:eastAsia="Arial" w:hAnsi="Arial"/>
                <w:sz w:val="22"/>
                <w:szCs w:val="22"/>
                <w:color w:val="auto"/>
              </w:rPr>
              <w:t>Further Action</w:t>
            </w: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92</w:t>
            </w:r>
          </w:p>
        </w:tc>
      </w:tr>
      <w:tr>
        <w:trPr>
          <w:trHeight w:val="243"/>
        </w:trPr>
        <w:tc>
          <w:tcPr>
            <w:tcW w:w="1760" w:type="dxa"/>
            <w:vAlign w:val="bottom"/>
          </w:tcPr>
          <w:p>
            <w:pPr>
              <w:ind w:left="360"/>
              <w:spacing w:after="0" w:line="243" w:lineRule="exact"/>
              <w:rPr>
                <w:sz w:val="20"/>
                <w:szCs w:val="20"/>
                <w:color w:val="auto"/>
              </w:rPr>
            </w:pPr>
            <w:r>
              <w:rPr>
                <w:rFonts w:ascii="Arial" w:cs="Arial" w:eastAsia="Arial" w:hAnsi="Arial"/>
                <w:sz w:val="22"/>
                <w:szCs w:val="22"/>
                <w:color w:val="auto"/>
              </w:rPr>
              <w:t>Section 17.3.</w:t>
            </w:r>
          </w:p>
        </w:tc>
        <w:tc>
          <w:tcPr>
            <w:tcW w:w="8760" w:type="dxa"/>
            <w:vAlign w:val="bottom"/>
          </w:tcPr>
          <w:p>
            <w:pPr>
              <w:ind w:left="160"/>
              <w:spacing w:after="0" w:line="243" w:lineRule="exact"/>
              <w:rPr>
                <w:sz w:val="20"/>
                <w:szCs w:val="20"/>
                <w:color w:val="auto"/>
              </w:rPr>
            </w:pPr>
            <w:r>
              <w:rPr>
                <w:rFonts w:ascii="Arial" w:cs="Arial" w:eastAsia="Arial" w:hAnsi="Arial"/>
                <w:sz w:val="22"/>
                <w:szCs w:val="22"/>
                <w:color w:val="auto"/>
              </w:rPr>
              <w:t>Binding Effect</w:t>
            </w: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92</w:t>
            </w:r>
          </w:p>
        </w:tc>
      </w:tr>
      <w:tr>
        <w:trPr>
          <w:trHeight w:val="243"/>
        </w:trPr>
        <w:tc>
          <w:tcPr>
            <w:tcW w:w="1760" w:type="dxa"/>
            <w:vAlign w:val="bottom"/>
          </w:tcPr>
          <w:p>
            <w:pPr>
              <w:ind w:left="360"/>
              <w:spacing w:after="0" w:line="243" w:lineRule="exact"/>
              <w:rPr>
                <w:sz w:val="20"/>
                <w:szCs w:val="20"/>
                <w:color w:val="auto"/>
              </w:rPr>
            </w:pPr>
            <w:r>
              <w:rPr>
                <w:rFonts w:ascii="Arial" w:cs="Arial" w:eastAsia="Arial" w:hAnsi="Arial"/>
                <w:sz w:val="22"/>
                <w:szCs w:val="22"/>
                <w:color w:val="auto"/>
              </w:rPr>
              <w:t>Section 17.4.</w:t>
            </w:r>
          </w:p>
        </w:tc>
        <w:tc>
          <w:tcPr>
            <w:tcW w:w="8760" w:type="dxa"/>
            <w:vAlign w:val="bottom"/>
          </w:tcPr>
          <w:p>
            <w:pPr>
              <w:ind w:left="160"/>
              <w:spacing w:after="0" w:line="243" w:lineRule="exact"/>
              <w:rPr>
                <w:sz w:val="20"/>
                <w:szCs w:val="20"/>
                <w:color w:val="auto"/>
              </w:rPr>
            </w:pPr>
            <w:r>
              <w:rPr>
                <w:rFonts w:ascii="Arial" w:cs="Arial" w:eastAsia="Arial" w:hAnsi="Arial"/>
                <w:sz w:val="22"/>
                <w:szCs w:val="22"/>
                <w:color w:val="auto"/>
              </w:rPr>
              <w:t>Integration</w:t>
            </w: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92</w:t>
            </w:r>
          </w:p>
        </w:tc>
      </w:tr>
      <w:tr>
        <w:trPr>
          <w:trHeight w:val="243"/>
        </w:trPr>
        <w:tc>
          <w:tcPr>
            <w:tcW w:w="1760" w:type="dxa"/>
            <w:vAlign w:val="bottom"/>
          </w:tcPr>
          <w:p>
            <w:pPr>
              <w:ind w:left="360"/>
              <w:spacing w:after="0" w:line="243" w:lineRule="exact"/>
              <w:rPr>
                <w:sz w:val="20"/>
                <w:szCs w:val="20"/>
                <w:color w:val="auto"/>
              </w:rPr>
            </w:pPr>
            <w:r>
              <w:rPr>
                <w:rFonts w:ascii="Arial" w:cs="Arial" w:eastAsia="Arial" w:hAnsi="Arial"/>
                <w:sz w:val="22"/>
                <w:szCs w:val="22"/>
                <w:color w:val="auto"/>
              </w:rPr>
              <w:t>Section 17.5.</w:t>
            </w:r>
          </w:p>
        </w:tc>
        <w:tc>
          <w:tcPr>
            <w:tcW w:w="8760" w:type="dxa"/>
            <w:vAlign w:val="bottom"/>
          </w:tcPr>
          <w:p>
            <w:pPr>
              <w:ind w:left="160"/>
              <w:spacing w:after="0" w:line="243" w:lineRule="exact"/>
              <w:rPr>
                <w:sz w:val="20"/>
                <w:szCs w:val="20"/>
                <w:color w:val="auto"/>
              </w:rPr>
            </w:pPr>
            <w:r>
              <w:rPr>
                <w:rFonts w:ascii="Arial" w:cs="Arial" w:eastAsia="Arial" w:hAnsi="Arial"/>
                <w:sz w:val="22"/>
                <w:szCs w:val="22"/>
                <w:color w:val="auto"/>
              </w:rPr>
              <w:t>Creditors</w:t>
            </w: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92</w:t>
            </w:r>
          </w:p>
        </w:tc>
      </w:tr>
      <w:tr>
        <w:trPr>
          <w:trHeight w:val="243"/>
        </w:trPr>
        <w:tc>
          <w:tcPr>
            <w:tcW w:w="1760" w:type="dxa"/>
            <w:vAlign w:val="bottom"/>
          </w:tcPr>
          <w:p>
            <w:pPr>
              <w:ind w:left="360"/>
              <w:spacing w:after="0" w:line="243" w:lineRule="exact"/>
              <w:rPr>
                <w:sz w:val="20"/>
                <w:szCs w:val="20"/>
                <w:color w:val="auto"/>
              </w:rPr>
            </w:pPr>
            <w:r>
              <w:rPr>
                <w:rFonts w:ascii="Arial" w:cs="Arial" w:eastAsia="Arial" w:hAnsi="Arial"/>
                <w:sz w:val="22"/>
                <w:szCs w:val="22"/>
                <w:color w:val="auto"/>
              </w:rPr>
              <w:t>Section 17.6.</w:t>
            </w:r>
          </w:p>
        </w:tc>
        <w:tc>
          <w:tcPr>
            <w:tcW w:w="8760" w:type="dxa"/>
            <w:vAlign w:val="bottom"/>
          </w:tcPr>
          <w:p>
            <w:pPr>
              <w:ind w:left="160"/>
              <w:spacing w:after="0" w:line="243" w:lineRule="exact"/>
              <w:rPr>
                <w:sz w:val="20"/>
                <w:szCs w:val="20"/>
                <w:color w:val="auto"/>
              </w:rPr>
            </w:pPr>
            <w:r>
              <w:rPr>
                <w:rFonts w:ascii="Arial" w:cs="Arial" w:eastAsia="Arial" w:hAnsi="Arial"/>
                <w:sz w:val="22"/>
                <w:szCs w:val="22"/>
                <w:color w:val="auto"/>
              </w:rPr>
              <w:t>Waiver</w:t>
            </w: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92</w:t>
            </w:r>
          </w:p>
        </w:tc>
      </w:tr>
      <w:tr>
        <w:trPr>
          <w:trHeight w:val="243"/>
        </w:trPr>
        <w:tc>
          <w:tcPr>
            <w:tcW w:w="1760" w:type="dxa"/>
            <w:vAlign w:val="bottom"/>
          </w:tcPr>
          <w:p>
            <w:pPr>
              <w:ind w:left="360"/>
              <w:spacing w:after="0" w:line="243" w:lineRule="exact"/>
              <w:rPr>
                <w:sz w:val="20"/>
                <w:szCs w:val="20"/>
                <w:color w:val="auto"/>
              </w:rPr>
            </w:pPr>
            <w:r>
              <w:rPr>
                <w:rFonts w:ascii="Arial" w:cs="Arial" w:eastAsia="Arial" w:hAnsi="Arial"/>
                <w:sz w:val="22"/>
                <w:szCs w:val="22"/>
                <w:color w:val="auto"/>
              </w:rPr>
              <w:t>Section 17.7.</w:t>
            </w:r>
          </w:p>
        </w:tc>
        <w:tc>
          <w:tcPr>
            <w:tcW w:w="8760" w:type="dxa"/>
            <w:vAlign w:val="bottom"/>
          </w:tcPr>
          <w:p>
            <w:pPr>
              <w:ind w:left="160"/>
              <w:spacing w:after="0" w:line="243" w:lineRule="exact"/>
              <w:rPr>
                <w:sz w:val="20"/>
                <w:szCs w:val="20"/>
                <w:color w:val="auto"/>
              </w:rPr>
            </w:pPr>
            <w:r>
              <w:rPr>
                <w:rFonts w:ascii="Arial" w:cs="Arial" w:eastAsia="Arial" w:hAnsi="Arial"/>
                <w:sz w:val="22"/>
                <w:szCs w:val="22"/>
                <w:color w:val="auto"/>
              </w:rPr>
              <w:t>Counterparts</w:t>
            </w: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92</w:t>
            </w:r>
          </w:p>
        </w:tc>
      </w:tr>
      <w:tr>
        <w:trPr>
          <w:trHeight w:val="243"/>
        </w:trPr>
        <w:tc>
          <w:tcPr>
            <w:tcW w:w="1760" w:type="dxa"/>
            <w:vAlign w:val="bottom"/>
          </w:tcPr>
          <w:p>
            <w:pPr>
              <w:ind w:left="360"/>
              <w:spacing w:after="0" w:line="243" w:lineRule="exact"/>
              <w:rPr>
                <w:sz w:val="20"/>
                <w:szCs w:val="20"/>
                <w:color w:val="auto"/>
              </w:rPr>
            </w:pPr>
            <w:r>
              <w:rPr>
                <w:rFonts w:ascii="Arial" w:cs="Arial" w:eastAsia="Arial" w:hAnsi="Arial"/>
                <w:sz w:val="22"/>
                <w:szCs w:val="22"/>
                <w:color w:val="auto"/>
              </w:rPr>
              <w:t>Section 17.8.</w:t>
            </w:r>
          </w:p>
        </w:tc>
        <w:tc>
          <w:tcPr>
            <w:tcW w:w="8760" w:type="dxa"/>
            <w:vAlign w:val="bottom"/>
          </w:tcPr>
          <w:p>
            <w:pPr>
              <w:ind w:left="160"/>
              <w:spacing w:after="0" w:line="243" w:lineRule="exact"/>
              <w:rPr>
                <w:sz w:val="20"/>
                <w:szCs w:val="20"/>
                <w:color w:val="auto"/>
              </w:rPr>
            </w:pPr>
            <w:r>
              <w:rPr>
                <w:rFonts w:ascii="Arial" w:cs="Arial" w:eastAsia="Arial" w:hAnsi="Arial"/>
                <w:sz w:val="22"/>
                <w:szCs w:val="22"/>
                <w:color w:val="auto"/>
              </w:rPr>
              <w:t>Applicable Law; Forum, Venue and Jurisdiction</w:t>
            </w: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92</w:t>
            </w:r>
          </w:p>
        </w:tc>
      </w:tr>
      <w:tr>
        <w:trPr>
          <w:trHeight w:val="243"/>
        </w:trPr>
        <w:tc>
          <w:tcPr>
            <w:tcW w:w="1760" w:type="dxa"/>
            <w:vAlign w:val="bottom"/>
          </w:tcPr>
          <w:p>
            <w:pPr>
              <w:ind w:left="360"/>
              <w:spacing w:after="0" w:line="243" w:lineRule="exact"/>
              <w:rPr>
                <w:sz w:val="20"/>
                <w:szCs w:val="20"/>
                <w:color w:val="auto"/>
              </w:rPr>
            </w:pPr>
            <w:r>
              <w:rPr>
                <w:rFonts w:ascii="Arial" w:cs="Arial" w:eastAsia="Arial" w:hAnsi="Arial"/>
                <w:sz w:val="22"/>
                <w:szCs w:val="22"/>
                <w:color w:val="auto"/>
              </w:rPr>
              <w:t>Section 17.9.</w:t>
            </w:r>
          </w:p>
        </w:tc>
        <w:tc>
          <w:tcPr>
            <w:tcW w:w="8760" w:type="dxa"/>
            <w:vAlign w:val="bottom"/>
          </w:tcPr>
          <w:p>
            <w:pPr>
              <w:ind w:left="160"/>
              <w:spacing w:after="0" w:line="243" w:lineRule="exact"/>
              <w:rPr>
                <w:sz w:val="20"/>
                <w:szCs w:val="20"/>
                <w:color w:val="auto"/>
              </w:rPr>
            </w:pPr>
            <w:r>
              <w:rPr>
                <w:rFonts w:ascii="Arial" w:cs="Arial" w:eastAsia="Arial" w:hAnsi="Arial"/>
                <w:sz w:val="22"/>
                <w:szCs w:val="22"/>
                <w:color w:val="auto"/>
              </w:rPr>
              <w:t>Invalidity of Provisions</w:t>
            </w: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93</w:t>
            </w:r>
          </w:p>
        </w:tc>
      </w:tr>
      <w:tr>
        <w:trPr>
          <w:trHeight w:val="243"/>
        </w:trPr>
        <w:tc>
          <w:tcPr>
            <w:tcW w:w="1760" w:type="dxa"/>
            <w:vAlign w:val="bottom"/>
          </w:tcPr>
          <w:p>
            <w:pPr>
              <w:ind w:left="360"/>
              <w:spacing w:after="0" w:line="243" w:lineRule="exact"/>
              <w:rPr>
                <w:sz w:val="20"/>
                <w:szCs w:val="20"/>
                <w:color w:val="auto"/>
              </w:rPr>
            </w:pPr>
            <w:r>
              <w:rPr>
                <w:rFonts w:ascii="Arial" w:cs="Arial" w:eastAsia="Arial" w:hAnsi="Arial"/>
                <w:sz w:val="22"/>
                <w:szCs w:val="22"/>
                <w:color w:val="auto"/>
                <w:w w:val="98"/>
              </w:rPr>
              <w:t>Section 17.10.</w:t>
            </w:r>
          </w:p>
        </w:tc>
        <w:tc>
          <w:tcPr>
            <w:tcW w:w="8760" w:type="dxa"/>
            <w:vAlign w:val="bottom"/>
          </w:tcPr>
          <w:p>
            <w:pPr>
              <w:ind w:left="160"/>
              <w:spacing w:after="0" w:line="243" w:lineRule="exact"/>
              <w:rPr>
                <w:sz w:val="20"/>
                <w:szCs w:val="20"/>
                <w:color w:val="auto"/>
              </w:rPr>
            </w:pPr>
            <w:r>
              <w:rPr>
                <w:rFonts w:ascii="Arial" w:cs="Arial" w:eastAsia="Arial" w:hAnsi="Arial"/>
                <w:sz w:val="22"/>
                <w:szCs w:val="22"/>
                <w:color w:val="auto"/>
              </w:rPr>
              <w:t>Consent of Partners</w:t>
            </w: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93</w:t>
            </w:r>
          </w:p>
        </w:tc>
      </w:tr>
      <w:tr>
        <w:trPr>
          <w:trHeight w:val="243"/>
        </w:trPr>
        <w:tc>
          <w:tcPr>
            <w:tcW w:w="1760" w:type="dxa"/>
            <w:vAlign w:val="bottom"/>
          </w:tcPr>
          <w:p>
            <w:pPr>
              <w:ind w:left="360"/>
              <w:spacing w:after="0" w:line="243" w:lineRule="exact"/>
              <w:rPr>
                <w:sz w:val="20"/>
                <w:szCs w:val="20"/>
                <w:color w:val="auto"/>
              </w:rPr>
            </w:pPr>
            <w:r>
              <w:rPr>
                <w:rFonts w:ascii="Arial" w:cs="Arial" w:eastAsia="Arial" w:hAnsi="Arial"/>
                <w:sz w:val="22"/>
                <w:szCs w:val="22"/>
                <w:color w:val="auto"/>
                <w:w w:val="98"/>
              </w:rPr>
              <w:t>Section 17.11.</w:t>
            </w:r>
          </w:p>
        </w:tc>
        <w:tc>
          <w:tcPr>
            <w:tcW w:w="8760" w:type="dxa"/>
            <w:vAlign w:val="bottom"/>
          </w:tcPr>
          <w:p>
            <w:pPr>
              <w:ind w:left="160"/>
              <w:spacing w:after="0" w:line="243" w:lineRule="exact"/>
              <w:rPr>
                <w:sz w:val="20"/>
                <w:szCs w:val="20"/>
                <w:color w:val="auto"/>
              </w:rPr>
            </w:pPr>
            <w:r>
              <w:rPr>
                <w:rFonts w:ascii="Arial" w:cs="Arial" w:eastAsia="Arial" w:hAnsi="Arial"/>
                <w:sz w:val="22"/>
                <w:szCs w:val="22"/>
                <w:color w:val="auto"/>
              </w:rPr>
              <w:t>Facsimile Signatures</w:t>
            </w: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94</w:t>
            </w:r>
          </w:p>
        </w:tc>
      </w:tr>
      <w:tr>
        <w:trPr>
          <w:trHeight w:val="275"/>
        </w:trPr>
        <w:tc>
          <w:tcPr>
            <w:tcW w:w="1760" w:type="dxa"/>
            <w:vAlign w:val="bottom"/>
          </w:tcPr>
          <w:p>
            <w:pPr>
              <w:ind w:left="360"/>
              <w:spacing w:after="0"/>
              <w:rPr>
                <w:sz w:val="20"/>
                <w:szCs w:val="20"/>
                <w:color w:val="auto"/>
              </w:rPr>
            </w:pPr>
            <w:r>
              <w:rPr>
                <w:rFonts w:ascii="Arial" w:cs="Arial" w:eastAsia="Arial" w:hAnsi="Arial"/>
                <w:sz w:val="22"/>
                <w:szCs w:val="22"/>
                <w:color w:val="auto"/>
                <w:w w:val="98"/>
              </w:rPr>
              <w:t>Section 17.12.</w:t>
            </w:r>
          </w:p>
        </w:tc>
        <w:tc>
          <w:tcPr>
            <w:tcW w:w="8760" w:type="dxa"/>
            <w:vAlign w:val="bottom"/>
          </w:tcPr>
          <w:p>
            <w:pPr>
              <w:ind w:left="160"/>
              <w:spacing w:after="0"/>
              <w:rPr>
                <w:sz w:val="20"/>
                <w:szCs w:val="20"/>
                <w:color w:val="auto"/>
              </w:rPr>
            </w:pPr>
            <w:r>
              <w:rPr>
                <w:rFonts w:ascii="Arial" w:cs="Arial" w:eastAsia="Arial" w:hAnsi="Arial"/>
                <w:sz w:val="22"/>
                <w:szCs w:val="22"/>
                <w:color w:val="auto"/>
              </w:rPr>
              <w:t>Third-Party Beneficiaries</w:t>
            </w:r>
          </w:p>
        </w:tc>
        <w:tc>
          <w:tcPr>
            <w:tcW w:w="900" w:type="dxa"/>
            <w:vAlign w:val="bottom"/>
          </w:tcPr>
          <w:p>
            <w:pPr>
              <w:jc w:val="right"/>
              <w:spacing w:after="0"/>
              <w:rPr>
                <w:sz w:val="20"/>
                <w:szCs w:val="20"/>
                <w:color w:val="auto"/>
              </w:rPr>
            </w:pPr>
            <w:r>
              <w:rPr>
                <w:rFonts w:ascii="Arial" w:cs="Arial" w:eastAsia="Arial" w:hAnsi="Arial"/>
                <w:sz w:val="22"/>
                <w:szCs w:val="22"/>
                <w:color w:val="auto"/>
              </w:rPr>
              <w:t>94</w:t>
            </w:r>
          </w:p>
        </w:tc>
      </w:tr>
    </w:tbl>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2" w:right="239" w:bottom="1440" w:gutter="0" w:footer="0" w:header="0"/>
        </w:sectPr>
      </w:pPr>
    </w:p>
    <w:bookmarkStart w:id="8" w:name="page9"/>
    <w:bookmarkEnd w:id="8"/>
    <w:p>
      <w:pPr>
        <w:jc w:val="center"/>
        <w:ind w:right="-39"/>
        <w:spacing w:after="0"/>
        <w:rPr>
          <w:sz w:val="20"/>
          <w:szCs w:val="20"/>
          <w:color w:val="auto"/>
        </w:rPr>
      </w:pPr>
      <w:r>
        <w:rPr>
          <w:rFonts w:ascii="Arial" w:cs="Arial" w:eastAsia="Arial" w:hAnsi="Arial"/>
          <w:sz w:val="22"/>
          <w:szCs w:val="22"/>
          <w:b w:val="1"/>
          <w:bCs w:val="1"/>
          <w:color w:val="auto"/>
        </w:rPr>
        <w:t>FORM OF SECOND AMENDED AND RESTATED</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AGREEMENT OF LIMITED PARTNERSHIP</w:t>
      </w:r>
    </w:p>
    <w:p>
      <w:pPr>
        <w:jc w:val="center"/>
        <w:ind w:right="-39"/>
        <w:spacing w:after="0" w:line="230" w:lineRule="auto"/>
        <w:rPr>
          <w:sz w:val="20"/>
          <w:szCs w:val="20"/>
          <w:color w:val="auto"/>
        </w:rPr>
      </w:pPr>
      <w:r>
        <w:rPr>
          <w:rFonts w:ascii="Arial" w:cs="Arial" w:eastAsia="Arial" w:hAnsi="Arial"/>
          <w:sz w:val="22"/>
          <w:szCs w:val="22"/>
          <w:b w:val="1"/>
          <w:bCs w:val="1"/>
          <w:color w:val="auto"/>
        </w:rPr>
        <w:t>OF</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GASLOG PARTNERS LP</w:t>
      </w:r>
    </w:p>
    <w:p>
      <w:pPr>
        <w:spacing w:after="0" w:line="215" w:lineRule="exact"/>
        <w:rPr>
          <w:sz w:val="20"/>
          <w:szCs w:val="20"/>
          <w:color w:val="auto"/>
        </w:rPr>
      </w:pPr>
    </w:p>
    <w:p>
      <w:pPr>
        <w:ind w:right="340" w:firstLine="1297"/>
        <w:spacing w:after="0" w:line="238" w:lineRule="auto"/>
        <w:rPr>
          <w:sz w:val="20"/>
          <w:szCs w:val="20"/>
          <w:color w:val="auto"/>
        </w:rPr>
      </w:pPr>
      <w:r>
        <w:rPr>
          <w:rFonts w:ascii="Arial" w:cs="Arial" w:eastAsia="Arial" w:hAnsi="Arial"/>
          <w:sz w:val="22"/>
          <w:szCs w:val="22"/>
          <w:color w:val="auto"/>
        </w:rPr>
        <w:t>THIS SECOND AMENDED AND RESTATED AGREEMENT OF LIMITED PARTNERSHIP OF GASLOG PARTNERS LP, dated as of May 15, 2017, is entered into by and between GasLog Partners GP LLC, a Marshall Islands limited liability company, as the General Partner and the Limited Partners, together with any other Persons who become Partners in the Partnership or parties hereto as provided herein.</w:t>
      </w:r>
    </w:p>
    <w:p>
      <w:pPr>
        <w:spacing w:after="0" w:line="212" w:lineRule="exact"/>
        <w:rPr>
          <w:sz w:val="20"/>
          <w:szCs w:val="20"/>
          <w:color w:val="auto"/>
        </w:rPr>
      </w:pPr>
    </w:p>
    <w:p>
      <w:pPr>
        <w:ind w:right="180" w:firstLine="1297"/>
        <w:spacing w:after="0" w:line="251" w:lineRule="auto"/>
        <w:rPr>
          <w:sz w:val="20"/>
          <w:szCs w:val="20"/>
          <w:color w:val="auto"/>
        </w:rPr>
      </w:pPr>
      <w:r>
        <w:rPr>
          <w:rFonts w:ascii="Arial" w:cs="Arial" w:eastAsia="Arial" w:hAnsi="Arial"/>
          <w:sz w:val="22"/>
          <w:szCs w:val="22"/>
          <w:color w:val="auto"/>
        </w:rPr>
        <w:t>WHEREAS, the General Partner and the other parties thereto entered into that certain First Amended and Restated Agreement of Limited Partnership of the Partnership (the “</w:t>
      </w:r>
      <w:r>
        <w:rPr>
          <w:rFonts w:ascii="Arial" w:cs="Arial" w:eastAsia="Arial" w:hAnsi="Arial"/>
          <w:sz w:val="22"/>
          <w:szCs w:val="22"/>
          <w:u w:val="single" w:color="auto"/>
          <w:color w:val="auto"/>
        </w:rPr>
        <w:t>May 2014 Agreement</w:t>
      </w:r>
      <w:r>
        <w:rPr>
          <w:rFonts w:ascii="Arial" w:cs="Arial" w:eastAsia="Arial" w:hAnsi="Arial"/>
          <w:sz w:val="22"/>
          <w:szCs w:val="22"/>
          <w:color w:val="auto"/>
        </w:rPr>
        <w:t>”) on May 12, 2014;</w:t>
      </w:r>
    </w:p>
    <w:p>
      <w:pPr>
        <w:spacing w:after="0" w:line="200" w:lineRule="exact"/>
        <w:rPr>
          <w:sz w:val="20"/>
          <w:szCs w:val="20"/>
          <w:color w:val="auto"/>
        </w:rPr>
      </w:pPr>
    </w:p>
    <w:p>
      <w:pPr>
        <w:jc w:val="both"/>
        <w:ind w:right="40" w:firstLine="1297"/>
        <w:spacing w:after="0"/>
        <w:rPr>
          <w:sz w:val="20"/>
          <w:szCs w:val="20"/>
          <w:color w:val="auto"/>
        </w:rPr>
      </w:pPr>
      <w:r>
        <w:rPr>
          <w:rFonts w:ascii="Arial" w:cs="Arial" w:eastAsia="Arial" w:hAnsi="Arial"/>
          <w:sz w:val="22"/>
          <w:szCs w:val="22"/>
          <w:color w:val="auto"/>
        </w:rPr>
        <w:t>WHEREAS, the Partnership’s Board of Directors and the General Partner effected Amendment No. 1 (“</w:t>
      </w:r>
      <w:r>
        <w:rPr>
          <w:rFonts w:ascii="Arial" w:cs="Arial" w:eastAsia="Arial" w:hAnsi="Arial"/>
          <w:sz w:val="22"/>
          <w:szCs w:val="22"/>
          <w:u w:val="single" w:color="auto"/>
          <w:color w:val="auto"/>
        </w:rPr>
        <w:t>Amendment</w:t>
      </w:r>
      <w:r>
        <w:rPr>
          <w:rFonts w:ascii="Arial" w:cs="Arial" w:eastAsia="Arial" w:hAnsi="Arial"/>
          <w:sz w:val="22"/>
          <w:szCs w:val="22"/>
          <w:color w:val="auto"/>
        </w:rPr>
        <w:t xml:space="preserve"> </w:t>
      </w:r>
      <w:r>
        <w:rPr>
          <w:rFonts w:ascii="Arial" w:cs="Arial" w:eastAsia="Arial" w:hAnsi="Arial"/>
          <w:sz w:val="22"/>
          <w:szCs w:val="22"/>
          <w:u w:val="single" w:color="auto"/>
          <w:color w:val="auto"/>
        </w:rPr>
        <w:t>No. 1</w:t>
      </w:r>
      <w:r>
        <w:rPr>
          <w:rFonts w:ascii="Arial" w:cs="Arial" w:eastAsia="Arial" w:hAnsi="Arial"/>
          <w:sz w:val="22"/>
          <w:szCs w:val="22"/>
          <w:color w:val="auto"/>
        </w:rPr>
        <w:t>”) to the May 2014 Agreement on October 30, 2014 (so amended, the “</w:t>
      </w:r>
      <w:r>
        <w:rPr>
          <w:rFonts w:ascii="Arial" w:cs="Arial" w:eastAsia="Arial" w:hAnsi="Arial"/>
          <w:sz w:val="22"/>
          <w:szCs w:val="22"/>
          <w:u w:val="single" w:color="auto"/>
          <w:color w:val="auto"/>
        </w:rPr>
        <w:t>Amended Agreement</w:t>
      </w:r>
      <w:r>
        <w:rPr>
          <w:rFonts w:ascii="Arial" w:cs="Arial" w:eastAsia="Arial" w:hAnsi="Arial"/>
          <w:sz w:val="22"/>
          <w:szCs w:val="22"/>
          <w:color w:val="auto"/>
        </w:rPr>
        <w:t>”), pursuant to Section 13.1(d)(i) of the May 2014 Agreement;</w:t>
      </w:r>
    </w:p>
    <w:p>
      <w:pPr>
        <w:spacing w:after="0" w:line="213" w:lineRule="exact"/>
        <w:rPr>
          <w:sz w:val="20"/>
          <w:szCs w:val="20"/>
          <w:color w:val="auto"/>
        </w:rPr>
      </w:pPr>
    </w:p>
    <w:p>
      <w:pPr>
        <w:ind w:right="140" w:firstLine="1297"/>
        <w:spacing w:after="0" w:line="252" w:lineRule="auto"/>
        <w:rPr>
          <w:sz w:val="20"/>
          <w:szCs w:val="20"/>
          <w:color w:val="auto"/>
        </w:rPr>
      </w:pPr>
      <w:r>
        <w:rPr>
          <w:rFonts w:ascii="Arial" w:cs="Arial" w:eastAsia="Arial" w:hAnsi="Arial"/>
          <w:sz w:val="21"/>
          <w:szCs w:val="21"/>
          <w:color w:val="auto"/>
        </w:rPr>
        <w:t>WHEREAS, Section 5.4(a) of the Amended Agreement provides that the Partnership is authorized to issue additional Partnership Interests and options, rights, warrants and appreciation rights relating to the Partnership Interests for any partnership purpose at any time and from time to time to such Persons for such consideration and such terms and conditions as the Board of Directors shall determine, all without the approval of any Partners;</w:t>
      </w:r>
    </w:p>
    <w:p>
      <w:pPr>
        <w:spacing w:after="0" w:line="201" w:lineRule="exact"/>
        <w:rPr>
          <w:sz w:val="20"/>
          <w:szCs w:val="20"/>
          <w:color w:val="auto"/>
        </w:rPr>
      </w:pPr>
    </w:p>
    <w:p>
      <w:pPr>
        <w:ind w:firstLine="1297"/>
        <w:spacing w:after="0" w:line="273" w:lineRule="auto"/>
        <w:rPr>
          <w:sz w:val="20"/>
          <w:szCs w:val="20"/>
          <w:color w:val="auto"/>
        </w:rPr>
      </w:pPr>
      <w:r>
        <w:rPr>
          <w:rFonts w:ascii="Arial" w:cs="Arial" w:eastAsia="Arial" w:hAnsi="Arial"/>
          <w:sz w:val="19"/>
          <w:szCs w:val="19"/>
          <w:color w:val="auto"/>
        </w:rPr>
        <w:t>WHEREAS, Section 5.4(b) of the Amended Agreement provides that each additional Partnership Interest authorized to be issued by the Partnership pursuant to Section 5.4(a) of the Amended Agreement may be issued in one or more classes, or one or more series of any such classes, with such designations, preferences, rights, powers and duties (which may be senior to existing classes and series of Partnership Interests), as shall be fixed by the Board of Directors, including (i) the right to share in Partnership distributions; (ii) the rights upon dissolution and liquidation of the Partnership; (iii) whether, and the terms and conditions upon which, the Partnership may or shall be required to redeem the Partnership Interest (including sinking fund provisions); (iv) whether such Partnership Interest is issued with the privilege of conversion or exchange and, if so, the terms and conditions of such conversion or exchange; (v) the terms and conditions upon which each Partnership Interest will be issued, evidenced by certificates and assigned or transferred; (vi) the method for determining the Percentage Interest as to such Partnership Interest; and (vii) the right, if any, of each such Partnership Interest to vote on Partnership matters, including matters relating to the relative rights, preferences and privileges of such Partnership Interest;</w:t>
      </w:r>
    </w:p>
    <w:p>
      <w:pPr>
        <w:spacing w:after="0" w:line="183" w:lineRule="exact"/>
        <w:rPr>
          <w:sz w:val="20"/>
          <w:szCs w:val="20"/>
          <w:color w:val="auto"/>
        </w:rPr>
      </w:pPr>
    </w:p>
    <w:p>
      <w:pPr>
        <w:ind w:right="580" w:firstLine="1297"/>
        <w:spacing w:after="0" w:line="297" w:lineRule="auto"/>
        <w:rPr>
          <w:sz w:val="20"/>
          <w:szCs w:val="20"/>
          <w:color w:val="auto"/>
        </w:rPr>
      </w:pPr>
      <w:r>
        <w:rPr>
          <w:rFonts w:ascii="Arial" w:cs="Arial" w:eastAsia="Arial" w:hAnsi="Arial"/>
          <w:sz w:val="19"/>
          <w:szCs w:val="19"/>
          <w:color w:val="auto"/>
        </w:rPr>
        <w:t>WHEREAS, Section 5.4(c) of the Amended Agreement provides that the Board of Directors is authorized and directed to take all actions that it determines to be necessary or appropriate in connection with each issuance of Partnership Interests and options, rights, warrants and appreciation rights relating to Partnership Interests pursuant to Section 5.4 of the</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396" w:right="259" w:bottom="1440" w:gutter="0" w:footer="0" w:header="0"/>
        </w:sectPr>
      </w:pPr>
    </w:p>
    <w:bookmarkStart w:id="9" w:name="page10"/>
    <w:bookmarkEnd w:id="9"/>
    <w:p>
      <w:pPr>
        <w:spacing w:after="0" w:line="238" w:lineRule="auto"/>
        <w:rPr>
          <w:sz w:val="20"/>
          <w:szCs w:val="20"/>
          <w:color w:val="auto"/>
        </w:rPr>
      </w:pPr>
      <w:r>
        <w:rPr>
          <w:rFonts w:ascii="Arial" w:cs="Arial" w:eastAsia="Arial" w:hAnsi="Arial"/>
          <w:sz w:val="22"/>
          <w:szCs w:val="22"/>
          <w:color w:val="auto"/>
        </w:rPr>
        <w:t>Amended Agreement and to take all actions that it determines to be necessary or appropriate in connection with any future issuance of Partnership Interests pursuant to the Amended Agreement, including compliance with any statute, rule, regulation or guideline of any federal, state or other governmental agency or any National Securities Exchange on which the Common Units or other Partnership Interests are listed or admitted to trading; and</w:t>
      </w:r>
    </w:p>
    <w:p>
      <w:pPr>
        <w:spacing w:after="0" w:line="212" w:lineRule="exact"/>
        <w:rPr>
          <w:sz w:val="20"/>
          <w:szCs w:val="20"/>
          <w:color w:val="auto"/>
        </w:rPr>
      </w:pPr>
    </w:p>
    <w:p>
      <w:pPr>
        <w:ind w:right="20" w:firstLine="1297"/>
        <w:spacing w:after="0" w:line="234" w:lineRule="auto"/>
        <w:rPr>
          <w:sz w:val="20"/>
          <w:szCs w:val="20"/>
          <w:color w:val="auto"/>
        </w:rPr>
      </w:pPr>
      <w:r>
        <w:rPr>
          <w:rFonts w:ascii="Arial" w:cs="Arial" w:eastAsia="Arial" w:hAnsi="Arial"/>
          <w:sz w:val="22"/>
          <w:szCs w:val="22"/>
          <w:color w:val="auto"/>
        </w:rPr>
        <w:t>WHEREAS, Section 13.1(g) of the Amended Agreement provides that the General Partner and each Limited Partner agree that the Board of Directors, without the approval of any Limited Partner or, subject to Section 5.5 of the Amended Agreement, the General Partner, may amend any provision of the Amended Agreement and execute, swear to, acknowledge, deliver, file and record whatever documents may be required in connection therewith, to reflect an amendment that the Board of Directors, and if required by Section 5.5 of the Amended Agreement, the General Partner, determines to be necessary or appropriate in connection with the authorization of issuance of any class or series of Partnership Interests pursuant to Section 5.4 of the Amended Agreement.</w:t>
      </w:r>
    </w:p>
    <w:p>
      <w:pPr>
        <w:spacing w:after="0" w:line="218" w:lineRule="exact"/>
        <w:rPr>
          <w:sz w:val="20"/>
          <w:szCs w:val="20"/>
          <w:color w:val="auto"/>
        </w:rPr>
      </w:pPr>
    </w:p>
    <w:p>
      <w:pPr>
        <w:ind w:right="380" w:firstLine="1297"/>
        <w:spacing w:after="0" w:line="251" w:lineRule="auto"/>
        <w:rPr>
          <w:sz w:val="20"/>
          <w:szCs w:val="20"/>
          <w:color w:val="auto"/>
        </w:rPr>
      </w:pPr>
      <w:r>
        <w:rPr>
          <w:rFonts w:ascii="Arial" w:cs="Arial" w:eastAsia="Arial" w:hAnsi="Arial"/>
          <w:sz w:val="22"/>
          <w:szCs w:val="22"/>
          <w:color w:val="auto"/>
        </w:rPr>
        <w:t>NOW, THEREFORE, the Board of Directors and the General Partner do hereby amend and restate the Amended Agreement to provide, in its entirety, as follows: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I</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DEFINITIONS AND CONSTRUCTION</w:t>
      </w:r>
    </w:p>
    <w:p>
      <w:pPr>
        <w:spacing w:after="0" w:line="215" w:lineRule="exact"/>
        <w:rPr>
          <w:sz w:val="20"/>
          <w:szCs w:val="20"/>
          <w:color w:val="auto"/>
        </w:rPr>
      </w:pPr>
    </w:p>
    <w:p>
      <w:pPr>
        <w:ind w:right="180" w:firstLine="1297"/>
        <w:spacing w:after="0" w:line="251" w:lineRule="auto"/>
        <w:rPr>
          <w:sz w:val="20"/>
          <w:szCs w:val="20"/>
          <w:color w:val="auto"/>
        </w:rPr>
      </w:pPr>
      <w:r>
        <w:rPr>
          <w:rFonts w:ascii="Arial" w:cs="Arial" w:eastAsia="Arial" w:hAnsi="Arial"/>
          <w:sz w:val="22"/>
          <w:szCs w:val="22"/>
          <w:color w:val="auto"/>
        </w:rPr>
        <w:t xml:space="preserve">Section 1.1. </w:t>
      </w:r>
      <w:r>
        <w:rPr>
          <w:rFonts w:ascii="Arial" w:cs="Arial" w:eastAsia="Arial" w:hAnsi="Arial"/>
          <w:sz w:val="22"/>
          <w:szCs w:val="22"/>
          <w:i w:val="1"/>
          <w:iCs w:val="1"/>
          <w:color w:val="auto"/>
        </w:rPr>
        <w:t>Definitions</w:t>
      </w:r>
      <w:r>
        <w:rPr>
          <w:rFonts w:ascii="Arial" w:cs="Arial" w:eastAsia="Arial" w:hAnsi="Arial"/>
          <w:sz w:val="22"/>
          <w:szCs w:val="22"/>
          <w:color w:val="auto"/>
        </w:rPr>
        <w:t>. The following definitions shall be for all purposes, unless otherwise clearly indicated to the contrary, applied to the terms used in this Agreement.</w:t>
      </w:r>
    </w:p>
    <w:p>
      <w:pPr>
        <w:spacing w:after="0" w:line="200" w:lineRule="exact"/>
        <w:rPr>
          <w:sz w:val="20"/>
          <w:szCs w:val="20"/>
          <w:color w:val="auto"/>
        </w:rPr>
      </w:pPr>
    </w:p>
    <w:p>
      <w:pPr>
        <w:ind w:right="20" w:firstLine="1297"/>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Acquisition</w:t>
      </w:r>
      <w:r>
        <w:rPr>
          <w:rFonts w:ascii="Arial" w:cs="Arial" w:eastAsia="Arial" w:hAnsi="Arial"/>
          <w:sz w:val="19"/>
          <w:szCs w:val="19"/>
          <w:color w:val="auto"/>
        </w:rPr>
        <w:t xml:space="preserve">” means any transaction in which any Group Member acquires (through an asset acquisition, merger, stock acquisition or other form of investment) control over all or a portion of the assets, properties or business of another Person for the purpose of increasing the operating capacity and/or asset base of the Partnership Group from the operating capacity and/or asset base of the Partnership Group existing immediately prior to such transaction;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any acquisition of properties or assets of another Person that is made solely for investment purposes shall not constitute an Acquisition under this Agreement.</w:t>
      </w:r>
    </w:p>
    <w:p>
      <w:pPr>
        <w:spacing w:after="0" w:line="175" w:lineRule="exact"/>
        <w:rPr>
          <w:sz w:val="20"/>
          <w:szCs w:val="20"/>
          <w:color w:val="auto"/>
        </w:rPr>
      </w:pPr>
    </w:p>
    <w:p>
      <w:pPr>
        <w:ind w:right="120" w:firstLine="1297"/>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Adjusted Operating Surplus</w:t>
      </w:r>
      <w:r>
        <w:rPr>
          <w:rFonts w:ascii="Arial" w:cs="Arial" w:eastAsia="Arial" w:hAnsi="Arial"/>
          <w:sz w:val="19"/>
          <w:szCs w:val="19"/>
          <w:color w:val="auto"/>
        </w:rPr>
        <w:t>” means, with respect to any period, Operating Surplus generated with respect to such period (a) less (i) the amount of any net increase in Working Capital Borrowings (or the Partnership’s proportionate share of any net increase in Working Capital Borrowings in the case of Subsidiaries that are not wholly-owned) with respect to such period and</w:t>
      </w:r>
    </w:p>
    <w:p>
      <w:pPr>
        <w:spacing w:after="0" w:line="2" w:lineRule="exact"/>
        <w:rPr>
          <w:sz w:val="20"/>
          <w:szCs w:val="20"/>
          <w:color w:val="auto"/>
        </w:rPr>
      </w:pPr>
    </w:p>
    <w:p>
      <w:pPr>
        <w:ind w:right="80" w:firstLine="8"/>
        <w:spacing w:after="0" w:line="244" w:lineRule="auto"/>
        <w:tabs>
          <w:tab w:leader="none" w:pos="318" w:val="left"/>
        </w:tabs>
        <w:numPr>
          <w:ilvl w:val="0"/>
          <w:numId w:val="1"/>
        </w:numPr>
        <w:rPr>
          <w:rFonts w:ascii="Arial" w:cs="Arial" w:eastAsia="Arial" w:hAnsi="Arial"/>
          <w:sz w:val="21"/>
          <w:szCs w:val="21"/>
          <w:color w:val="auto"/>
        </w:rPr>
      </w:pPr>
      <w:r>
        <w:rPr>
          <w:rFonts w:ascii="Arial" w:cs="Arial" w:eastAsia="Arial" w:hAnsi="Arial"/>
          <w:sz w:val="21"/>
          <w:szCs w:val="21"/>
          <w:color w:val="auto"/>
        </w:rPr>
        <w:t>the amount of any net decrease in cash reserves for Operating Expenditures (or the Partnership’s proportionate share of any net decrease in cash reserves for Operating Expenditures in the case of Subsidiaries that are not wholly-owned) over such period to the extent such reduction does not relate to an Operating Expenditure made with respect to such period, and (b) plus (i) the amount of any net decrease in Working Capital Borrowings (or the Partnership’s proportionate share of any net decrease in Working Capital Borrowings in the case of Subsidiaries that are not wholly-owned) with respect to such period; (ii) the amount of any net increase in cash reserves (or the Partnership’s proportionate share of any net increase in cash reserves in the case of Subsidiaries that are not wholly-owned) for Operating Expenditures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10" w:name="page11"/>
    <w:bookmarkEnd w:id="10"/>
    <w:p>
      <w:pPr>
        <w:ind w:right="220"/>
        <w:spacing w:after="0" w:line="247" w:lineRule="auto"/>
        <w:rPr>
          <w:sz w:val="20"/>
          <w:szCs w:val="20"/>
          <w:color w:val="auto"/>
        </w:rPr>
      </w:pPr>
      <w:r>
        <w:rPr>
          <w:rFonts w:ascii="Arial" w:cs="Arial" w:eastAsia="Arial" w:hAnsi="Arial"/>
          <w:sz w:val="21"/>
          <w:szCs w:val="21"/>
          <w:color w:val="auto"/>
        </w:rPr>
        <w:t xml:space="preserve">over such period to the extent such reserve is required (A) by any debt instrument for the repayment of principal, interest or premium or (B) for any Series A Payments; and (iii) the amount of any net decrease made in subsequent periods in cash reserves for Operating Expenditures initially established with respect to such period to the extent such decrease results in a reduction in Adjusted Operating Surplus in subsequent periods pursuant to </w:t>
      </w:r>
      <w:r>
        <w:rPr>
          <w:rFonts w:ascii="Arial" w:cs="Arial" w:eastAsia="Arial" w:hAnsi="Arial"/>
          <w:sz w:val="21"/>
          <w:szCs w:val="21"/>
          <w:u w:val="single" w:color="auto"/>
          <w:color w:val="auto"/>
        </w:rPr>
        <w:t>clause (a)(ii)</w:t>
      </w:r>
      <w:r>
        <w:rPr>
          <w:rFonts w:ascii="Arial" w:cs="Arial" w:eastAsia="Arial" w:hAnsi="Arial"/>
          <w:sz w:val="21"/>
          <w:szCs w:val="21"/>
          <w:color w:val="auto"/>
        </w:rPr>
        <w:t xml:space="preserve"> above. Adjusted Operating Surplus does not include that portion of Operating Surplus included in </w:t>
      </w:r>
      <w:r>
        <w:rPr>
          <w:rFonts w:ascii="Arial" w:cs="Arial" w:eastAsia="Arial" w:hAnsi="Arial"/>
          <w:sz w:val="21"/>
          <w:szCs w:val="21"/>
          <w:u w:val="single" w:color="auto"/>
          <w:color w:val="auto"/>
        </w:rPr>
        <w:t>clause (a)(i)</w:t>
      </w:r>
      <w:r>
        <w:rPr>
          <w:rFonts w:ascii="Arial" w:cs="Arial" w:eastAsia="Arial" w:hAnsi="Arial"/>
          <w:sz w:val="21"/>
          <w:szCs w:val="21"/>
          <w:color w:val="auto"/>
        </w:rPr>
        <w:t xml:space="preserve"> of the definition of Operating Surplus. Adjusted Operating Surplus includes that portion of Operating Surplus in </w:t>
      </w:r>
      <w:r>
        <w:rPr>
          <w:rFonts w:ascii="Arial" w:cs="Arial" w:eastAsia="Arial" w:hAnsi="Arial"/>
          <w:sz w:val="21"/>
          <w:szCs w:val="21"/>
          <w:u w:val="single" w:color="auto"/>
          <w:color w:val="auto"/>
        </w:rPr>
        <w:t>clause (a)(ii)</w:t>
      </w:r>
      <w:r>
        <w:rPr>
          <w:rFonts w:ascii="Arial" w:cs="Arial" w:eastAsia="Arial" w:hAnsi="Arial"/>
          <w:sz w:val="21"/>
          <w:szCs w:val="21"/>
          <w:color w:val="auto"/>
        </w:rPr>
        <w:t xml:space="preserve"> of the definition of Operating Surplus only to the extent that cash is received by the Partnership Group.</w:t>
      </w:r>
    </w:p>
    <w:p>
      <w:pPr>
        <w:spacing w:after="0" w:line="205"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Affiliate</w:t>
      </w:r>
      <w:r>
        <w:rPr>
          <w:rFonts w:ascii="Arial" w:cs="Arial" w:eastAsia="Arial" w:hAnsi="Arial"/>
          <w:sz w:val="19"/>
          <w:szCs w:val="19"/>
          <w:color w:val="auto"/>
        </w:rPr>
        <w:t>” means, with respect to any Person, any other Person that directly or indirectly through one or more</w:t>
      </w:r>
    </w:p>
    <w:p>
      <w:pPr>
        <w:spacing w:after="0" w:line="43" w:lineRule="exact"/>
        <w:rPr>
          <w:sz w:val="20"/>
          <w:szCs w:val="20"/>
          <w:color w:val="auto"/>
        </w:rPr>
      </w:pPr>
    </w:p>
    <w:p>
      <w:pPr>
        <w:spacing w:after="0"/>
        <w:rPr>
          <w:sz w:val="20"/>
          <w:szCs w:val="20"/>
          <w:color w:val="auto"/>
        </w:rPr>
      </w:pPr>
      <w:r>
        <w:rPr>
          <w:rFonts w:ascii="Arial" w:cs="Arial" w:eastAsia="Arial" w:hAnsi="Arial"/>
          <w:sz w:val="21"/>
          <w:szCs w:val="21"/>
          <w:color w:val="auto"/>
        </w:rPr>
        <w:t>intermediaries controls, is controlled by or is under common control with, the Person in question. As used herein, the term</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control</w:t>
      </w:r>
      <w:r>
        <w:rPr>
          <w:rFonts w:ascii="Arial" w:cs="Arial" w:eastAsia="Arial" w:hAnsi="Arial"/>
          <w:sz w:val="19"/>
          <w:szCs w:val="19"/>
          <w:color w:val="auto"/>
        </w:rPr>
        <w:t>” means the possession, direct or indirect, of the power to direct or cause the direction of the management and policies of a</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Person, whether through ownership of voting securities, by contract or otherwise.</w:t>
      </w:r>
    </w:p>
    <w:p>
      <w:pPr>
        <w:spacing w:after="0" w:line="21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Aggregate Quantity of IDR Reset Common Units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5.10(a)</w:t>
      </w:r>
      <w:r>
        <w:rPr>
          <w:rFonts w:ascii="Arial" w:cs="Arial" w:eastAsia="Arial" w:hAnsi="Arial"/>
          <w:sz w:val="22"/>
          <w:szCs w:val="22"/>
          <w:color w:val="auto"/>
        </w:rPr>
        <w:t>.</w:t>
      </w:r>
    </w:p>
    <w:p>
      <w:pPr>
        <w:spacing w:after="0" w:line="233" w:lineRule="exact"/>
        <w:rPr>
          <w:sz w:val="20"/>
          <w:szCs w:val="20"/>
          <w:color w:val="auto"/>
        </w:rPr>
      </w:pPr>
    </w:p>
    <w:p>
      <w:pPr>
        <w:ind w:right="78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Agreed Value</w:t>
      </w:r>
      <w:r>
        <w:rPr>
          <w:rFonts w:ascii="Arial" w:cs="Arial" w:eastAsia="Arial" w:hAnsi="Arial"/>
          <w:sz w:val="22"/>
          <w:szCs w:val="22"/>
          <w:color w:val="auto"/>
        </w:rPr>
        <w:t>” means the fair market value of the applicable property or other consideration at the time of contribution or distribution, as the case may be, as determined by the Board of Directors.</w:t>
      </w:r>
    </w:p>
    <w:p>
      <w:pPr>
        <w:spacing w:after="0" w:line="200" w:lineRule="exact"/>
        <w:rPr>
          <w:sz w:val="20"/>
          <w:szCs w:val="20"/>
          <w:color w:val="auto"/>
        </w:rPr>
      </w:pPr>
    </w:p>
    <w:p>
      <w:pPr>
        <w:ind w:right="8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means this Second Amended and Restated Agreement of Limited Partnership of GasLog Partners LP, as it may be amended, supplemented or restated from time to time.</w:t>
      </w:r>
    </w:p>
    <w:p>
      <w:pPr>
        <w:spacing w:after="0" w:line="200" w:lineRule="exact"/>
        <w:rPr>
          <w:sz w:val="20"/>
          <w:szCs w:val="20"/>
          <w:color w:val="auto"/>
        </w:rPr>
      </w:pPr>
    </w:p>
    <w:p>
      <w:pPr>
        <w:jc w:val="both"/>
        <w:ind w:right="160"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Annual Meeting</w:t>
      </w:r>
      <w:r>
        <w:rPr>
          <w:rFonts w:ascii="Arial" w:cs="Arial" w:eastAsia="Arial" w:hAnsi="Arial"/>
          <w:sz w:val="22"/>
          <w:szCs w:val="22"/>
          <w:color w:val="auto"/>
        </w:rPr>
        <w:t xml:space="preserve">” means the meeting of Limited Partners to be held every year, commencing in 2015, to elect the Elected Directors as provided in </w:t>
      </w:r>
      <w:r>
        <w:rPr>
          <w:rFonts w:ascii="Arial" w:cs="Arial" w:eastAsia="Arial" w:hAnsi="Arial"/>
          <w:sz w:val="22"/>
          <w:szCs w:val="22"/>
          <w:u w:val="single" w:color="auto"/>
          <w:color w:val="auto"/>
        </w:rPr>
        <w:t>Section 7.2</w:t>
      </w:r>
      <w:r>
        <w:rPr>
          <w:rFonts w:ascii="Arial" w:cs="Arial" w:eastAsia="Arial" w:hAnsi="Arial"/>
          <w:sz w:val="22"/>
          <w:szCs w:val="22"/>
          <w:color w:val="auto"/>
        </w:rPr>
        <w:t xml:space="preserve"> and to vote on any other matters brought before the meeting in accordance with this Agreement.</w:t>
      </w:r>
    </w:p>
    <w:p>
      <w:pPr>
        <w:spacing w:after="0" w:line="213" w:lineRule="exact"/>
        <w:rPr>
          <w:sz w:val="20"/>
          <w:szCs w:val="20"/>
          <w:color w:val="auto"/>
        </w:rPr>
      </w:pPr>
    </w:p>
    <w:p>
      <w:pPr>
        <w:ind w:right="94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Appointed Directors</w:t>
      </w:r>
      <w:r>
        <w:rPr>
          <w:rFonts w:ascii="Arial" w:cs="Arial" w:eastAsia="Arial" w:hAnsi="Arial"/>
          <w:sz w:val="22"/>
          <w:szCs w:val="22"/>
          <w:color w:val="auto"/>
        </w:rPr>
        <w:t xml:space="preserve">” means the members of the Board of Directors appointed by the General Partner in accordance with the provisions of </w:t>
      </w:r>
      <w:r>
        <w:rPr>
          <w:rFonts w:ascii="Arial" w:cs="Arial" w:eastAsia="Arial" w:hAnsi="Arial"/>
          <w:sz w:val="22"/>
          <w:szCs w:val="22"/>
          <w:u w:val="single" w:color="auto"/>
          <w:color w:val="auto"/>
        </w:rPr>
        <w:t>Article VII</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16.5(b)</w:t>
      </w:r>
      <w:r>
        <w:rPr>
          <w:rFonts w:ascii="Arial" w:cs="Arial" w:eastAsia="Arial" w:hAnsi="Arial"/>
          <w:sz w:val="22"/>
          <w:szCs w:val="22"/>
          <w:color w:val="auto"/>
        </w:rPr>
        <w:t>.</w:t>
      </w:r>
    </w:p>
    <w:p>
      <w:pPr>
        <w:spacing w:after="0" w:line="200" w:lineRule="exact"/>
        <w:rPr>
          <w:sz w:val="20"/>
          <w:szCs w:val="20"/>
          <w:color w:val="auto"/>
        </w:rPr>
      </w:pPr>
    </w:p>
    <w:p>
      <w:pPr>
        <w:ind w:right="60" w:firstLine="1297"/>
        <w:spacing w:after="0"/>
        <w:rPr>
          <w:sz w:val="20"/>
          <w:szCs w:val="20"/>
          <w:color w:val="auto"/>
        </w:rPr>
      </w:pPr>
      <w:r>
        <w:rPr>
          <w:rFonts w:ascii="Arial" w:cs="Arial" w:eastAsia="Arial" w:hAnsi="Arial"/>
          <w:sz w:val="22"/>
          <w:szCs w:val="22"/>
          <w:b w:val="1"/>
          <w:bCs w:val="1"/>
          <w:i w:val="1"/>
          <w:iCs w:val="1"/>
          <w:color w:val="auto"/>
        </w:rPr>
        <w:t xml:space="preserve">“Arrears” </w:t>
      </w:r>
      <w:r>
        <w:rPr>
          <w:rFonts w:ascii="Arial" w:cs="Arial" w:eastAsia="Arial" w:hAnsi="Arial"/>
          <w:sz w:val="22"/>
          <w:szCs w:val="22"/>
          <w:color w:val="auto"/>
        </w:rPr>
        <w:t>means, with respect to Series A Distributions for any quarter period, that the full cumulative Series A</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Distribution through the most recent Series A Distribution Payment Date has not been paid on all Outstanding Series A Preference Units.</w:t>
      </w:r>
    </w:p>
    <w:p>
      <w:pPr>
        <w:spacing w:after="0" w:line="213" w:lineRule="exact"/>
        <w:rPr>
          <w:sz w:val="20"/>
          <w:szCs w:val="20"/>
          <w:color w:val="auto"/>
        </w:rPr>
      </w:pPr>
    </w:p>
    <w:p>
      <w:pPr>
        <w:ind w:firstLine="1297"/>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Associate</w:t>
      </w:r>
      <w:r>
        <w:rPr>
          <w:rFonts w:ascii="Arial" w:cs="Arial" w:eastAsia="Arial" w:hAnsi="Arial"/>
          <w:sz w:val="19"/>
          <w:szCs w:val="19"/>
          <w:color w:val="auto"/>
        </w:rPr>
        <w:t>” means, when used to indicate a relationship with any Person: (a) any corporation or organization of which such Person is a director, officer, manager, general partner or managing member or is, directly or indirectly, the owner of 20% or more of any class of voting stock or other voting interest; (b) any trust or other estate in which such Person has at least a 20% beneficial interest or as to which such Person serves as trustee or in a similar fiduciary capacity; and (c) any relative or spouse of such Person, or any relative of such spouse, who has the same principal residence as such Person.</w:t>
      </w:r>
    </w:p>
    <w:p>
      <w:pPr>
        <w:spacing w:after="0" w:line="121"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60"/>
          </w:cols>
          <w:pgMar w:left="240" w:top="402" w:right="299" w:bottom="1440" w:gutter="0" w:footer="0" w:header="0"/>
        </w:sectPr>
      </w:pPr>
    </w:p>
    <w:bookmarkStart w:id="11" w:name="page12"/>
    <w:bookmarkEnd w:id="11"/>
    <w:p>
      <w:pPr>
        <w:ind w:firstLine="1297"/>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Audit Committee</w:t>
      </w:r>
      <w:r>
        <w:rPr>
          <w:rFonts w:ascii="Arial" w:cs="Arial" w:eastAsia="Arial" w:hAnsi="Arial"/>
          <w:sz w:val="19"/>
          <w:szCs w:val="19"/>
          <w:color w:val="auto"/>
        </w:rPr>
        <w:t>” means a committee of the Board of Directors, which, within one year of the effective date of the Registration Statement, will be composed of a minimum of three members of the Board of Directors then serving who meet the independence standards required of directors who serve on an audit committee of a board of directors established by the Exchange Act, and the rules and regulations of the Commission thereunder and meet the standards for audit committee composition established by the National Securities Exchange on which the Common Units are listed or admitted to trading.</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Available Cash</w:t>
      </w:r>
      <w:r>
        <w:rPr>
          <w:rFonts w:ascii="Arial" w:cs="Arial" w:eastAsia="Arial" w:hAnsi="Arial"/>
          <w:sz w:val="22"/>
          <w:szCs w:val="22"/>
          <w:color w:val="auto"/>
        </w:rPr>
        <w:t>” means, with respect to any Quarter ending prior to the Liquidation Date:</w:t>
      </w:r>
    </w:p>
    <w:p>
      <w:pPr>
        <w:spacing w:after="0" w:line="233" w:lineRule="exact"/>
        <w:rPr>
          <w:sz w:val="20"/>
          <w:szCs w:val="20"/>
          <w:color w:val="auto"/>
        </w:rPr>
      </w:pPr>
    </w:p>
    <w:p>
      <w:pPr>
        <w:ind w:left="660" w:right="80" w:firstLine="645"/>
        <w:spacing w:after="0" w:line="270" w:lineRule="auto"/>
        <w:tabs>
          <w:tab w:leader="none" w:pos="1602" w:val="left"/>
        </w:tabs>
        <w:numPr>
          <w:ilvl w:val="1"/>
          <w:numId w:val="2"/>
        </w:numPr>
        <w:rPr>
          <w:rFonts w:ascii="Arial" w:cs="Arial" w:eastAsia="Arial" w:hAnsi="Arial"/>
          <w:sz w:val="19"/>
          <w:szCs w:val="19"/>
          <w:color w:val="auto"/>
        </w:rPr>
      </w:pPr>
      <w:r>
        <w:rPr>
          <w:rFonts w:ascii="Arial" w:cs="Arial" w:eastAsia="Arial" w:hAnsi="Arial"/>
          <w:sz w:val="19"/>
          <w:szCs w:val="19"/>
          <w:color w:val="auto"/>
        </w:rPr>
        <w:t>the sum of (i) all cash and cash equivalents of the Partnership Group (or the Partnership’s proportionate share of cash and cash equivalents in the case of Subsidiaries that are not wholly-owned) on hand at the end of such Quarter, (ii) all additional cash and cash equivalents of the Partnership Group (or the Partnership’s proportionate share of cash and cash equivalents in the case of Subsidiaries that are not wholly-owned) on hand on the date of determination of Available Cash with respect to such Quarter resulting from Working Capital Borrowings made subsequent to the end of such Quarter, and</w:t>
      </w:r>
    </w:p>
    <w:p>
      <w:pPr>
        <w:spacing w:after="0" w:line="4" w:lineRule="exact"/>
        <w:rPr>
          <w:rFonts w:ascii="Arial" w:cs="Arial" w:eastAsia="Arial" w:hAnsi="Arial"/>
          <w:sz w:val="19"/>
          <w:szCs w:val="19"/>
          <w:color w:val="auto"/>
        </w:rPr>
      </w:pPr>
    </w:p>
    <w:p>
      <w:pPr>
        <w:ind w:left="660" w:right="140" w:hanging="4"/>
        <w:spacing w:after="0" w:line="287" w:lineRule="auto"/>
        <w:tabs>
          <w:tab w:leader="none" w:pos="1038" w:val="left"/>
        </w:tabs>
        <w:numPr>
          <w:ilvl w:val="0"/>
          <w:numId w:val="3"/>
        </w:numPr>
        <w:rPr>
          <w:rFonts w:ascii="Arial" w:cs="Arial" w:eastAsia="Arial" w:hAnsi="Arial"/>
          <w:sz w:val="19"/>
          <w:szCs w:val="19"/>
          <w:color w:val="auto"/>
        </w:rPr>
      </w:pPr>
      <w:r>
        <w:rPr>
          <w:rFonts w:ascii="Arial" w:cs="Arial" w:eastAsia="Arial" w:hAnsi="Arial"/>
          <w:sz w:val="19"/>
          <w:szCs w:val="19"/>
          <w:color w:val="auto"/>
        </w:rPr>
        <w:t>all cash and cash equivalents on hand on the date of determination of Available Cash resulting from cash distributions received after the end of such Quarter from any Group Member’s equity interest in any Person (other than a Subsidiary), which distributions are paid by such Person in respect of operations conducted by such Person during such Quarter, less</w:t>
      </w:r>
    </w:p>
    <w:p>
      <w:pPr>
        <w:spacing w:after="0" w:line="170" w:lineRule="exact"/>
        <w:rPr>
          <w:rFonts w:ascii="Arial" w:cs="Arial" w:eastAsia="Arial" w:hAnsi="Arial"/>
          <w:sz w:val="19"/>
          <w:szCs w:val="19"/>
          <w:color w:val="auto"/>
        </w:rPr>
      </w:pPr>
    </w:p>
    <w:p>
      <w:pPr>
        <w:ind w:left="660" w:right="60" w:firstLine="645"/>
        <w:spacing w:after="0" w:line="271" w:lineRule="auto"/>
        <w:tabs>
          <w:tab w:leader="none" w:pos="1614" w:val="left"/>
        </w:tabs>
        <w:numPr>
          <w:ilvl w:val="1"/>
          <w:numId w:val="3"/>
        </w:numPr>
        <w:rPr>
          <w:rFonts w:ascii="Arial" w:cs="Arial" w:eastAsia="Arial" w:hAnsi="Arial"/>
          <w:sz w:val="19"/>
          <w:szCs w:val="19"/>
          <w:color w:val="auto"/>
        </w:rPr>
      </w:pPr>
      <w:r>
        <w:rPr>
          <w:rFonts w:ascii="Arial" w:cs="Arial" w:eastAsia="Arial" w:hAnsi="Arial"/>
          <w:sz w:val="19"/>
          <w:szCs w:val="19"/>
          <w:color w:val="auto"/>
        </w:rPr>
        <w:t xml:space="preserve">the amount of any cash reserves (or the Partnership’s proportionate share of cash reserves in the case of Subsidiaries that are not wholly-owned) established by the Board of Directors to (i) provide for the proper conduct of the business of the Partnership Group (including reserves for future capital expenditures and for anticipated future credit needs of the Partnership Group) subsequent to such Quarter, (ii) comply with applicable law or any loan agreement, security agreement, mortgage, debt instrument or other agreement or obligation to which any Group Member is a party or by which it is bound or its assets are subject, (iii) provide funds for Series A Payments and/or (iv) provide funds for distributions under </w:t>
      </w:r>
      <w:r>
        <w:rPr>
          <w:rFonts w:ascii="Arial" w:cs="Arial" w:eastAsia="Arial" w:hAnsi="Arial"/>
          <w:sz w:val="19"/>
          <w:szCs w:val="19"/>
          <w:u w:val="single" w:color="auto"/>
          <w:color w:val="auto"/>
        </w:rPr>
        <w:t>Section 6.3</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6.4</w:t>
      </w:r>
      <w:r>
        <w:rPr>
          <w:rFonts w:ascii="Arial" w:cs="Arial" w:eastAsia="Arial" w:hAnsi="Arial"/>
          <w:sz w:val="19"/>
          <w:szCs w:val="19"/>
          <w:color w:val="auto"/>
        </w:rPr>
        <w:t xml:space="preserve"> in respect of any one or more of the next four Quarters;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the Board of Directors may not establish cash reserves pursuant to </w:t>
      </w:r>
      <w:r>
        <w:rPr>
          <w:rFonts w:ascii="Arial" w:cs="Arial" w:eastAsia="Arial" w:hAnsi="Arial"/>
          <w:sz w:val="19"/>
          <w:szCs w:val="19"/>
          <w:u w:val="single" w:color="auto"/>
          <w:color w:val="auto"/>
        </w:rPr>
        <w:t>(iv)</w:t>
      </w:r>
      <w:r>
        <w:rPr>
          <w:rFonts w:ascii="Arial" w:cs="Arial" w:eastAsia="Arial" w:hAnsi="Arial"/>
          <w:sz w:val="19"/>
          <w:szCs w:val="19"/>
          <w:color w:val="auto"/>
        </w:rPr>
        <w:t xml:space="preserve"> above if the effect of establishing such reserves would be that the Partnership is unable to distribute the Minimum Quarterly Distribution on all Common Units, plus any Cumulative Common Unit Arrearage on all Common Units, with respect to such Quarter; and,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that disbursements made by a Group Member or cash reserves established, increased or reduced after the end of such Quarter but on or before the date of determination of Available Cash with respect to such Quarter shall be deemed to have been made, established, increased or reduced, for purposes of determining Available Cash, within such Quarter if the Board of Directors so determines.</w:t>
      </w:r>
    </w:p>
    <w:p>
      <w:pPr>
        <w:spacing w:after="0" w:line="200" w:lineRule="exact"/>
        <w:rPr>
          <w:sz w:val="20"/>
          <w:szCs w:val="20"/>
          <w:color w:val="auto"/>
        </w:rPr>
      </w:pPr>
    </w:p>
    <w:p>
      <w:pPr>
        <w:spacing w:after="0" w:line="239" w:lineRule="exact"/>
        <w:rPr>
          <w:sz w:val="20"/>
          <w:szCs w:val="20"/>
          <w:color w:val="auto"/>
        </w:rPr>
      </w:pPr>
    </w:p>
    <w:p>
      <w:pPr>
        <w:ind w:right="160" w:firstLine="1297"/>
        <w:spacing w:after="0" w:line="251" w:lineRule="auto"/>
        <w:rPr>
          <w:sz w:val="20"/>
          <w:szCs w:val="20"/>
          <w:color w:val="auto"/>
        </w:rPr>
      </w:pPr>
      <w:r>
        <w:rPr>
          <w:rFonts w:ascii="Arial" w:cs="Arial" w:eastAsia="Arial" w:hAnsi="Arial"/>
          <w:sz w:val="22"/>
          <w:szCs w:val="22"/>
          <w:color w:val="auto"/>
        </w:rPr>
        <w:t>Notwithstanding the foregoing, “</w:t>
      </w:r>
      <w:r>
        <w:rPr>
          <w:rFonts w:ascii="Arial" w:cs="Arial" w:eastAsia="Arial" w:hAnsi="Arial"/>
          <w:sz w:val="22"/>
          <w:szCs w:val="22"/>
          <w:i w:val="1"/>
          <w:iCs w:val="1"/>
          <w:color w:val="auto"/>
        </w:rPr>
        <w:t>Available Cash</w:t>
      </w:r>
      <w:r>
        <w:rPr>
          <w:rFonts w:ascii="Arial" w:cs="Arial" w:eastAsia="Arial" w:hAnsi="Arial"/>
          <w:sz w:val="22"/>
          <w:szCs w:val="22"/>
          <w:color w:val="auto"/>
        </w:rPr>
        <w:t>” with respect to the Quarter in which the Liquidation Date occurs and any subsequent Quarter shall equal zero.</w:t>
      </w:r>
    </w:p>
    <w:p>
      <w:pPr>
        <w:spacing w:after="0" w:line="14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60"/>
          </w:cols>
          <w:pgMar w:left="240" w:top="402" w:right="299" w:bottom="1440" w:gutter="0" w:footer="0" w:header="0"/>
        </w:sectPr>
      </w:pPr>
    </w:p>
    <w:bookmarkStart w:id="12" w:name="page13"/>
    <w:bookmarkEnd w:id="12"/>
    <w:p>
      <w:pPr>
        <w:ind w:right="20" w:firstLine="1297"/>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Board of Directors</w:t>
      </w:r>
      <w:r>
        <w:rPr>
          <w:rFonts w:ascii="Arial" w:cs="Arial" w:eastAsia="Arial" w:hAnsi="Arial"/>
          <w:sz w:val="21"/>
          <w:szCs w:val="21"/>
          <w:color w:val="auto"/>
        </w:rPr>
        <w:t xml:space="preserve">” means the board of directors of the Partnership, composed of Appointed Directors and Elected Directors appointed or elected, as the case may be, in accordance with the provisions of </w:t>
      </w:r>
      <w:r>
        <w:rPr>
          <w:rFonts w:ascii="Arial" w:cs="Arial" w:eastAsia="Arial" w:hAnsi="Arial"/>
          <w:sz w:val="21"/>
          <w:szCs w:val="21"/>
          <w:u w:val="single" w:color="auto"/>
          <w:color w:val="auto"/>
        </w:rPr>
        <w:t>Article VII</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16.5(b)</w:t>
      </w:r>
      <w:r>
        <w:rPr>
          <w:rFonts w:ascii="Arial" w:cs="Arial" w:eastAsia="Arial" w:hAnsi="Arial"/>
          <w:sz w:val="21"/>
          <w:szCs w:val="21"/>
          <w:color w:val="auto"/>
        </w:rPr>
        <w:t xml:space="preserve"> and a majority of whom are not United States citizens or residents, which, pursuant to </w:t>
      </w:r>
      <w:r>
        <w:rPr>
          <w:rFonts w:ascii="Arial" w:cs="Arial" w:eastAsia="Arial" w:hAnsi="Arial"/>
          <w:sz w:val="21"/>
          <w:szCs w:val="21"/>
          <w:u w:val="single" w:color="auto"/>
          <w:color w:val="auto"/>
        </w:rPr>
        <w:t>Section 7.1</w:t>
      </w:r>
      <w:r>
        <w:rPr>
          <w:rFonts w:ascii="Arial" w:cs="Arial" w:eastAsia="Arial" w:hAnsi="Arial"/>
          <w:sz w:val="21"/>
          <w:szCs w:val="21"/>
          <w:color w:val="auto"/>
        </w:rPr>
        <w:t xml:space="preserve">, and subject to </w:t>
      </w:r>
      <w:r>
        <w:rPr>
          <w:rFonts w:ascii="Arial" w:cs="Arial" w:eastAsia="Arial" w:hAnsi="Arial"/>
          <w:sz w:val="21"/>
          <w:szCs w:val="21"/>
          <w:u w:val="single" w:color="auto"/>
          <w:color w:val="auto"/>
        </w:rPr>
        <w:t>Section 7.11</w:t>
      </w:r>
      <w:r>
        <w:rPr>
          <w:rFonts w:ascii="Arial" w:cs="Arial" w:eastAsia="Arial" w:hAnsi="Arial"/>
          <w:sz w:val="21"/>
          <w:szCs w:val="21"/>
          <w:color w:val="auto"/>
        </w:rPr>
        <w:t>, oversees and directs the operations, management and policies of the Partnership. The Board of Directors shall constitute a committee within the meaning of Section 30(2)(g) of the Marshall Islands Act.</w:t>
      </w:r>
    </w:p>
    <w:p>
      <w:pPr>
        <w:spacing w:after="0" w:line="206" w:lineRule="exact"/>
        <w:rPr>
          <w:sz w:val="20"/>
          <w:szCs w:val="20"/>
          <w:color w:val="auto"/>
        </w:rPr>
      </w:pPr>
    </w:p>
    <w:p>
      <w:pPr>
        <w:ind w:right="120" w:firstLine="1297"/>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Business Day</w:t>
      </w:r>
      <w:r>
        <w:rPr>
          <w:rFonts w:ascii="Arial" w:cs="Arial" w:eastAsia="Arial" w:hAnsi="Arial"/>
          <w:sz w:val="19"/>
          <w:szCs w:val="19"/>
          <w:color w:val="auto"/>
        </w:rPr>
        <w:t>” means Monday through Friday of each week, except that a legal holiday recognized as such by the government of the United States of America or the State of New York shall not be regarded as a Business Day.</w:t>
      </w:r>
    </w:p>
    <w:p>
      <w:pPr>
        <w:spacing w:after="0" w:line="132" w:lineRule="exact"/>
        <w:rPr>
          <w:sz w:val="20"/>
          <w:szCs w:val="20"/>
          <w:color w:val="auto"/>
        </w:rPr>
      </w:pPr>
    </w:p>
    <w:p>
      <w:pPr>
        <w:ind w:right="20" w:firstLine="1297"/>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Capital Contribution</w:t>
      </w:r>
      <w:r>
        <w:rPr>
          <w:rFonts w:ascii="Arial" w:cs="Arial" w:eastAsia="Arial" w:hAnsi="Arial"/>
          <w:sz w:val="22"/>
          <w:szCs w:val="22"/>
          <w:color w:val="auto"/>
        </w:rPr>
        <w:t>” means (a) with respect to any Partner, any cash, cash equivalents or the Net Agreed Value of Contributed Property that a Partner contributes to the Partnership or that is contributed or deemed contributed to the Partnership on behalf of a Partner (including, in the case of an underwritten offering of Units, the amount of any underwriting discounts or commissions) or (b) with respect to the General Partner only, (i) distributions of cash that the General Partner is entitled to receive but otherwise waives such that the Partnership retains such cash or (ii) Common Units that the General Partner contributes to the Partnership.</w:t>
      </w:r>
    </w:p>
    <w:p>
      <w:pPr>
        <w:spacing w:after="0" w:line="215"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Capital Improvement</w:t>
      </w:r>
      <w:r>
        <w:rPr>
          <w:rFonts w:ascii="Arial" w:cs="Arial" w:eastAsia="Arial" w:hAnsi="Arial"/>
          <w:sz w:val="19"/>
          <w:szCs w:val="19"/>
          <w:color w:val="auto"/>
        </w:rPr>
        <w:t>” means any (a) addition or improvement to the capital assets owned by any Group Member,</w:t>
      </w:r>
    </w:p>
    <w:p>
      <w:pPr>
        <w:spacing w:after="0" w:line="43" w:lineRule="exact"/>
        <w:rPr>
          <w:sz w:val="20"/>
          <w:szCs w:val="20"/>
          <w:color w:val="auto"/>
        </w:rPr>
      </w:pPr>
    </w:p>
    <w:p>
      <w:pPr>
        <w:ind w:left="320" w:hanging="312"/>
        <w:spacing w:after="0"/>
        <w:tabs>
          <w:tab w:leader="none" w:pos="320" w:val="left"/>
        </w:tabs>
        <w:numPr>
          <w:ilvl w:val="0"/>
          <w:numId w:val="4"/>
        </w:numPr>
        <w:rPr>
          <w:rFonts w:ascii="Arial" w:cs="Arial" w:eastAsia="Arial" w:hAnsi="Arial"/>
          <w:sz w:val="19"/>
          <w:szCs w:val="19"/>
          <w:color w:val="auto"/>
        </w:rPr>
      </w:pPr>
      <w:r>
        <w:rPr>
          <w:rFonts w:ascii="Arial" w:cs="Arial" w:eastAsia="Arial" w:hAnsi="Arial"/>
          <w:sz w:val="19"/>
          <w:szCs w:val="19"/>
          <w:color w:val="auto"/>
        </w:rPr>
        <w:t>acquisition of existing, construction of new or improvement or replacement of existing, capital assets by any Group Member or</w:t>
      </w:r>
    </w:p>
    <w:p>
      <w:pPr>
        <w:spacing w:after="0" w:line="24" w:lineRule="exact"/>
        <w:rPr>
          <w:rFonts w:ascii="Arial" w:cs="Arial" w:eastAsia="Arial" w:hAnsi="Arial"/>
          <w:sz w:val="19"/>
          <w:szCs w:val="19"/>
          <w:color w:val="auto"/>
        </w:rPr>
      </w:pPr>
    </w:p>
    <w:p>
      <w:pPr>
        <w:ind w:firstLine="8"/>
        <w:spacing w:after="0" w:line="243" w:lineRule="auto"/>
        <w:tabs>
          <w:tab w:leader="none" w:pos="294" w:val="left"/>
        </w:tabs>
        <w:numPr>
          <w:ilvl w:val="0"/>
          <w:numId w:val="4"/>
        </w:numPr>
        <w:rPr>
          <w:rFonts w:ascii="Arial" w:cs="Arial" w:eastAsia="Arial" w:hAnsi="Arial"/>
          <w:sz w:val="21"/>
          <w:szCs w:val="21"/>
          <w:color w:val="auto"/>
        </w:rPr>
      </w:pPr>
      <w:r>
        <w:rPr>
          <w:rFonts w:ascii="Arial" w:cs="Arial" w:eastAsia="Arial" w:hAnsi="Arial"/>
          <w:sz w:val="21"/>
          <w:szCs w:val="21"/>
          <w:color w:val="auto"/>
        </w:rPr>
        <w:t xml:space="preserve">capital contribution by a Group Member to a Person that is not a Subsidiary, in which a Group Member has, or after such capital contribution will have, an equity interest, to fund the Group Member’s pro rata share of the cost of the addition or improvement to or the acquisition of existing, or the construction of new, or the improvement or replacement of existing, capital assets by such Person, in each case if such addition, improvement, replacement, acquisition or construction is made to increase the operating capacity and/or asset base of the Partnership Group from the operating capacity and/or asset base of the Partnership Group or such Person, as the case may be, existing immediately prior to such addition, improvement, replacement, acquisition or construction; </w:t>
      </w:r>
      <w:r>
        <w:rPr>
          <w:rFonts w:ascii="Arial" w:cs="Arial" w:eastAsia="Arial" w:hAnsi="Arial"/>
          <w:sz w:val="21"/>
          <w:szCs w:val="21"/>
          <w:i w:val="1"/>
          <w:iCs w:val="1"/>
          <w:color w:val="auto"/>
        </w:rPr>
        <w:t>provided</w:t>
      </w:r>
      <w:r>
        <w:rPr>
          <w:rFonts w:ascii="Arial" w:cs="Arial" w:eastAsia="Arial" w:hAnsi="Arial"/>
          <w:sz w:val="21"/>
          <w:szCs w:val="21"/>
          <w:color w:val="auto"/>
        </w:rPr>
        <w:t>,</w:t>
      </w:r>
      <w:r>
        <w:rPr>
          <w:rFonts w:ascii="Arial" w:cs="Arial" w:eastAsia="Arial" w:hAnsi="Arial"/>
          <w:sz w:val="21"/>
          <w:szCs w:val="21"/>
          <w:i w:val="1"/>
          <w:iCs w:val="1"/>
          <w:color w:val="auto"/>
        </w:rPr>
        <w:t xml:space="preserve"> however</w:t>
      </w:r>
      <w:r>
        <w:rPr>
          <w:rFonts w:ascii="Arial" w:cs="Arial" w:eastAsia="Arial" w:hAnsi="Arial"/>
          <w:sz w:val="21"/>
          <w:szCs w:val="21"/>
          <w:color w:val="auto"/>
        </w:rPr>
        <w:t>, that any such addition, improvement, acquisition or construction that is made solely for investment purposes</w:t>
      </w:r>
      <w:r>
        <w:rPr>
          <w:rFonts w:ascii="Arial" w:cs="Arial" w:eastAsia="Arial" w:hAnsi="Arial"/>
          <w:sz w:val="21"/>
          <w:szCs w:val="21"/>
          <w:i w:val="1"/>
          <w:iCs w:val="1"/>
          <w:color w:val="auto"/>
        </w:rPr>
        <w:t xml:space="preserve"> </w:t>
      </w:r>
      <w:r>
        <w:rPr>
          <w:rFonts w:ascii="Arial" w:cs="Arial" w:eastAsia="Arial" w:hAnsi="Arial"/>
          <w:sz w:val="21"/>
          <w:szCs w:val="21"/>
          <w:color w:val="auto"/>
        </w:rPr>
        <w:t>shall not constitute a Capital Improvement.</w:t>
      </w:r>
    </w:p>
    <w:p>
      <w:pPr>
        <w:spacing w:after="0" w:line="21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Capital Surplus</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6.2(a)</w:t>
      </w:r>
      <w:r>
        <w:rPr>
          <w:rFonts w:ascii="Arial" w:cs="Arial" w:eastAsia="Arial" w:hAnsi="Arial"/>
          <w:sz w:val="22"/>
          <w:szCs w:val="22"/>
          <w:color w:val="auto"/>
        </w:rPr>
        <w:t>.</w:t>
      </w:r>
    </w:p>
    <w:p>
      <w:pPr>
        <w:spacing w:after="0" w:line="233" w:lineRule="exact"/>
        <w:rPr>
          <w:sz w:val="20"/>
          <w:szCs w:val="20"/>
          <w:color w:val="auto"/>
        </w:rPr>
      </w:pPr>
    </w:p>
    <w:p>
      <w:pPr>
        <w:jc w:val="both"/>
        <w:ind w:right="460"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Cause</w:t>
      </w:r>
      <w:r>
        <w:rPr>
          <w:rFonts w:ascii="Arial" w:cs="Arial" w:eastAsia="Arial" w:hAnsi="Arial"/>
          <w:sz w:val="22"/>
          <w:szCs w:val="22"/>
          <w:color w:val="auto"/>
        </w:rPr>
        <w:t>” means a court of competent jurisdiction has entered a final, non-appealable judgment finding a Person liable to the Partnership or any Limited Partner for actual fraud or willful misconduct in its capacity as a general partner of the Partnership or as a member of the Board of Directors, as the case may be.</w:t>
      </w:r>
    </w:p>
    <w:p>
      <w:pPr>
        <w:spacing w:after="0" w:line="213" w:lineRule="exact"/>
        <w:rPr>
          <w:sz w:val="20"/>
          <w:szCs w:val="20"/>
          <w:color w:val="auto"/>
        </w:rPr>
      </w:pPr>
    </w:p>
    <w:p>
      <w:pPr>
        <w:ind w:right="40" w:firstLine="1297"/>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Certificate</w:t>
      </w:r>
      <w:r>
        <w:rPr>
          <w:rFonts w:ascii="Arial" w:cs="Arial" w:eastAsia="Arial" w:hAnsi="Arial"/>
          <w:sz w:val="19"/>
          <w:szCs w:val="19"/>
          <w:color w:val="auto"/>
        </w:rPr>
        <w:t xml:space="preserve">” means a certificate (a) substantially in the form of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to this Agreement with respect to Common Units and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with respect to Series A Preference Units, (b) issued in global or book entry form in accordance with the rules and regulations of the Depositary or (c) in such other form as may be adopted by the Board of Directors, issued by the</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402" w:right="259" w:bottom="1440" w:gutter="0" w:footer="0" w:header="0"/>
        </w:sectPr>
      </w:pPr>
    </w:p>
    <w:bookmarkStart w:id="13" w:name="page14"/>
    <w:bookmarkEnd w:id="13"/>
    <w:p>
      <w:pPr>
        <w:jc w:val="both"/>
        <w:ind w:right="520"/>
        <w:spacing w:after="0" w:line="328" w:lineRule="auto"/>
        <w:rPr>
          <w:sz w:val="20"/>
          <w:szCs w:val="20"/>
          <w:color w:val="auto"/>
        </w:rPr>
      </w:pPr>
      <w:r>
        <w:rPr>
          <w:rFonts w:ascii="Arial" w:cs="Arial" w:eastAsia="Arial" w:hAnsi="Arial"/>
          <w:sz w:val="19"/>
          <w:szCs w:val="19"/>
          <w:color w:val="auto"/>
        </w:rPr>
        <w:t>Partnership evidencing ownership of one or more Common Units or Preference Units, or a certificate, in such form as may be adopted by the Board of Directors, issued by the Partnership evidencing ownership of one or more other Partnership Interests.</w:t>
      </w:r>
    </w:p>
    <w:p>
      <w:pPr>
        <w:spacing w:after="0" w:line="132" w:lineRule="exact"/>
        <w:rPr>
          <w:sz w:val="20"/>
          <w:szCs w:val="20"/>
          <w:color w:val="auto"/>
        </w:rPr>
      </w:pPr>
    </w:p>
    <w:p>
      <w:pPr>
        <w:jc w:val="both"/>
        <w:ind w:right="180"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Certificate of Limited Partnership</w:t>
      </w:r>
      <w:r>
        <w:rPr>
          <w:rFonts w:ascii="Arial" w:cs="Arial" w:eastAsia="Arial" w:hAnsi="Arial"/>
          <w:sz w:val="22"/>
          <w:szCs w:val="22"/>
          <w:color w:val="auto"/>
        </w:rPr>
        <w:t>” means the Certificate of Limited Partnership of the Partnership filed with the Registrar of Corporations of The Marshall Islands as referenced in Section 7.10 as such Certificate of Limited Partnership may be amended, supplemented or restated from time to time.</w:t>
      </w:r>
    </w:p>
    <w:p>
      <w:pPr>
        <w:spacing w:after="0" w:line="21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claim</w:t>
      </w:r>
      <w:r>
        <w:rPr>
          <w:rFonts w:ascii="Arial" w:cs="Arial" w:eastAsia="Arial" w:hAnsi="Arial"/>
          <w:sz w:val="22"/>
          <w:szCs w:val="22"/>
          <w:color w:val="auto"/>
        </w:rPr>
        <w:t xml:space="preserve">” (as used in </w:t>
      </w:r>
      <w:r>
        <w:rPr>
          <w:rFonts w:ascii="Arial" w:cs="Arial" w:eastAsia="Arial" w:hAnsi="Arial"/>
          <w:sz w:val="22"/>
          <w:szCs w:val="22"/>
          <w:u w:val="single" w:color="auto"/>
          <w:color w:val="auto"/>
        </w:rPr>
        <w:t>Section 7.20(c)</w:t>
      </w:r>
      <w:r>
        <w:rPr>
          <w:rFonts w:ascii="Arial" w:cs="Arial" w:eastAsia="Arial" w:hAnsi="Arial"/>
          <w:sz w:val="22"/>
          <w:szCs w:val="22"/>
          <w:color w:val="auto"/>
        </w:rPr>
        <w:t xml:space="preserve"> ) has the meaning assigned to such term in </w:t>
      </w:r>
      <w:r>
        <w:rPr>
          <w:rFonts w:ascii="Arial" w:cs="Arial" w:eastAsia="Arial" w:hAnsi="Arial"/>
          <w:sz w:val="22"/>
          <w:szCs w:val="22"/>
          <w:u w:val="single" w:color="auto"/>
          <w:color w:val="auto"/>
        </w:rPr>
        <w:t>Section 7.20(c)</w:t>
      </w:r>
      <w:r>
        <w:rPr>
          <w:rFonts w:ascii="Arial" w:cs="Arial" w:eastAsia="Arial" w:hAnsi="Arial"/>
          <w:sz w:val="22"/>
          <w:szCs w:val="22"/>
          <w:color w:val="auto"/>
        </w:rPr>
        <w:t>.</w:t>
      </w:r>
    </w:p>
    <w:p>
      <w:pPr>
        <w:spacing w:after="0" w:line="233" w:lineRule="exact"/>
        <w:rPr>
          <w:sz w:val="20"/>
          <w:szCs w:val="20"/>
          <w:color w:val="auto"/>
        </w:rPr>
      </w:pPr>
    </w:p>
    <w:p>
      <w:pPr>
        <w:ind w:right="70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Closing Date</w:t>
      </w:r>
      <w:r>
        <w:rPr>
          <w:rFonts w:ascii="Arial" w:cs="Arial" w:eastAsia="Arial" w:hAnsi="Arial"/>
          <w:sz w:val="22"/>
          <w:szCs w:val="22"/>
          <w:color w:val="auto"/>
        </w:rPr>
        <w:t>” means the first date on which Common Units are sold by the Partnership to the Underwriters pursuant to the provisions of the Underwriting Agreement.</w:t>
      </w:r>
    </w:p>
    <w:p>
      <w:pPr>
        <w:spacing w:after="0" w:line="200" w:lineRule="exact"/>
        <w:rPr>
          <w:sz w:val="20"/>
          <w:szCs w:val="20"/>
          <w:color w:val="auto"/>
        </w:rPr>
      </w:pPr>
    </w:p>
    <w:p>
      <w:pPr>
        <w:ind w:firstLine="1297"/>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Closing Price</w:t>
      </w:r>
      <w:r>
        <w:rPr>
          <w:rFonts w:ascii="Arial" w:cs="Arial" w:eastAsia="Arial" w:hAnsi="Arial"/>
          <w:sz w:val="19"/>
          <w:szCs w:val="19"/>
          <w:color w:val="auto"/>
        </w:rPr>
        <w:t>” means, in respect of any class or series of Limited Partner Interests, as of the date of determination, the last sale price on such day, regular way, or in case no such sale takes place on such day, the average of the closing bid and asked prices on such day, regular way, as reported in the principal consolidated transaction reporting system with respect to securities listed or admitted to trading on the principal National Securities Exchange on which the respective Limited Partner Interests are listed or admitted to trading or, if such Limited Partner Interests are not listed or admitted to trading on any National Securities Exchange, the last quoted price on such day or, if not so quoted, the average of the high bid and low asked prices on such day in the over-the-counter market, as reported by any quotation system then in use with respect to such Limited Partner Interests, or, if on any such day such Limited Partner Interests of such class or series are not quoted by any such system, the average of the closing bid and asked prices on such day as furnished by a professional market maker making a market in such Limited Partner Interests of such class or series selected by the Board of Directors, or if on any such day no market maker is making a market in such Limited Partner Interests of such class or series, the fair value of such Limited Partner Interests on such day as determined by the Board of Directors.</w:t>
      </w:r>
    </w:p>
    <w:p>
      <w:pPr>
        <w:spacing w:after="0" w:line="200" w:lineRule="exact"/>
        <w:rPr>
          <w:sz w:val="20"/>
          <w:szCs w:val="20"/>
          <w:color w:val="auto"/>
        </w:rPr>
      </w:pPr>
    </w:p>
    <w:p>
      <w:pPr>
        <w:spacing w:after="0" w:line="236" w:lineRule="exact"/>
        <w:rPr>
          <w:sz w:val="20"/>
          <w:szCs w:val="20"/>
          <w:color w:val="auto"/>
        </w:rPr>
      </w:pPr>
    </w:p>
    <w:p>
      <w:pPr>
        <w:ind w:right="80"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Code</w:t>
      </w:r>
      <w:r>
        <w:rPr>
          <w:rFonts w:ascii="Arial" w:cs="Arial" w:eastAsia="Arial" w:hAnsi="Arial"/>
          <w:sz w:val="22"/>
          <w:szCs w:val="22"/>
          <w:color w:val="auto"/>
        </w:rPr>
        <w:t>” means the United States Internal Revenue Code of 1986, as amended and in effect from time to time. Any reference herein to a specific section or sections of the Code shall be deemed to include a reference to any corresponding provision of any successor law.</w:t>
      </w:r>
    </w:p>
    <w:p>
      <w:pPr>
        <w:spacing w:after="0" w:line="21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Combined Interest</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11.3(a)</w:t>
      </w:r>
      <w:r>
        <w:rPr>
          <w:rFonts w:ascii="Arial" w:cs="Arial" w:eastAsia="Arial" w:hAnsi="Arial"/>
          <w:sz w:val="22"/>
          <w:szCs w:val="22"/>
          <w:color w:val="auto"/>
        </w:rPr>
        <w:t>.</w:t>
      </w:r>
    </w:p>
    <w:p>
      <w:pPr>
        <w:spacing w:after="0" w:line="233" w:lineRule="exact"/>
        <w:rPr>
          <w:sz w:val="20"/>
          <w:szCs w:val="20"/>
          <w:color w:val="auto"/>
        </w:rPr>
      </w:pPr>
    </w:p>
    <w:p>
      <w:pPr>
        <w:jc w:val="both"/>
        <w:ind w:right="800"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Commences Commercial Service</w:t>
      </w:r>
      <w:r>
        <w:rPr>
          <w:rFonts w:ascii="Arial" w:cs="Arial" w:eastAsia="Arial" w:hAnsi="Arial"/>
          <w:sz w:val="22"/>
          <w:szCs w:val="22"/>
          <w:color w:val="auto"/>
        </w:rPr>
        <w:t>” and “</w:t>
      </w:r>
      <w:r>
        <w:rPr>
          <w:rFonts w:ascii="Arial" w:cs="Arial" w:eastAsia="Arial" w:hAnsi="Arial"/>
          <w:sz w:val="22"/>
          <w:szCs w:val="22"/>
          <w:b w:val="1"/>
          <w:bCs w:val="1"/>
          <w:i w:val="1"/>
          <w:iCs w:val="1"/>
          <w:color w:val="auto"/>
        </w:rPr>
        <w:t>Commenced Commercial Service</w:t>
      </w:r>
      <w:r>
        <w:rPr>
          <w:rFonts w:ascii="Arial" w:cs="Arial" w:eastAsia="Arial" w:hAnsi="Arial"/>
          <w:sz w:val="22"/>
          <w:szCs w:val="22"/>
          <w:color w:val="auto"/>
        </w:rPr>
        <w:t>” shall mean the date a Capital Improvement is first put into commercial service by a Group Member following, if applicable, completion of construction, acquisition, development and testing.</w:t>
      </w:r>
    </w:p>
    <w:p>
      <w:pPr>
        <w:spacing w:after="0" w:line="21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Commission</w:t>
      </w:r>
      <w:r>
        <w:rPr>
          <w:rFonts w:ascii="Arial" w:cs="Arial" w:eastAsia="Arial" w:hAnsi="Arial"/>
          <w:sz w:val="22"/>
          <w:szCs w:val="22"/>
          <w:color w:val="auto"/>
        </w:rPr>
        <w:t>” means the United States Securities and Exchange Commission.</w:t>
      </w:r>
    </w:p>
    <w:p>
      <w:pPr>
        <w:spacing w:after="0" w:line="233" w:lineRule="exact"/>
        <w:rPr>
          <w:sz w:val="20"/>
          <w:szCs w:val="20"/>
          <w:color w:val="auto"/>
        </w:rPr>
      </w:pPr>
    </w:p>
    <w:p>
      <w:pPr>
        <w:ind w:right="74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Common Unit</w:t>
      </w:r>
      <w:r>
        <w:rPr>
          <w:rFonts w:ascii="Arial" w:cs="Arial" w:eastAsia="Arial" w:hAnsi="Arial"/>
          <w:sz w:val="22"/>
          <w:szCs w:val="22"/>
          <w:color w:val="auto"/>
        </w:rPr>
        <w:t>” means a Partnership Interest representing a fractional part of the Partnership Interests of all Limited Partners, and having the rights and obligations specified with</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14" w:name="page15"/>
    <w:bookmarkEnd w:id="14"/>
    <w:p>
      <w:pPr>
        <w:spacing w:after="0" w:line="251" w:lineRule="auto"/>
        <w:rPr>
          <w:sz w:val="20"/>
          <w:szCs w:val="20"/>
          <w:color w:val="auto"/>
        </w:rPr>
      </w:pPr>
      <w:r>
        <w:rPr>
          <w:rFonts w:ascii="Arial" w:cs="Arial" w:eastAsia="Arial" w:hAnsi="Arial"/>
          <w:sz w:val="22"/>
          <w:szCs w:val="22"/>
          <w:color w:val="auto"/>
        </w:rPr>
        <w:t>respect to Common Units in this Agreement. The term “</w:t>
      </w:r>
      <w:r>
        <w:rPr>
          <w:rFonts w:ascii="Arial" w:cs="Arial" w:eastAsia="Arial" w:hAnsi="Arial"/>
          <w:sz w:val="22"/>
          <w:szCs w:val="22"/>
          <w:i w:val="1"/>
          <w:iCs w:val="1"/>
          <w:color w:val="auto"/>
        </w:rPr>
        <w:t>Common Unit</w:t>
      </w:r>
      <w:r>
        <w:rPr>
          <w:rFonts w:ascii="Arial" w:cs="Arial" w:eastAsia="Arial" w:hAnsi="Arial"/>
          <w:sz w:val="22"/>
          <w:szCs w:val="22"/>
          <w:color w:val="auto"/>
        </w:rPr>
        <w:t>” does not refer to a Subordinated Unit prior to its conversion into a Common Unit pursuant to the terms hereof.</w:t>
      </w:r>
    </w:p>
    <w:p>
      <w:pPr>
        <w:spacing w:after="0" w:line="200" w:lineRule="exact"/>
        <w:rPr>
          <w:sz w:val="20"/>
          <w:szCs w:val="20"/>
          <w:color w:val="auto"/>
        </w:rPr>
      </w:pPr>
    </w:p>
    <w:p>
      <w:pPr>
        <w:ind w:right="180" w:firstLine="129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Common Unit Arrearage</w:t>
      </w:r>
      <w:r>
        <w:rPr>
          <w:rFonts w:ascii="Arial" w:cs="Arial" w:eastAsia="Arial" w:hAnsi="Arial"/>
          <w:sz w:val="22"/>
          <w:szCs w:val="22"/>
          <w:color w:val="auto"/>
        </w:rPr>
        <w:t xml:space="preserve">” means, with respect to any Common Unit, whenever issued, as to any Quarter within the Subordination Period, the excess, if any, of (a) the Minimum Quarterly Distribution with respect to a Common Unit in respect of such Quarter over (b) the sum of all Available Cash distributed with respect to a Common Unit in respect of such Quarter pursuant to </w:t>
      </w:r>
      <w:r>
        <w:rPr>
          <w:rFonts w:ascii="Arial" w:cs="Arial" w:eastAsia="Arial" w:hAnsi="Arial"/>
          <w:sz w:val="22"/>
          <w:szCs w:val="22"/>
          <w:u w:val="single" w:color="auto"/>
          <w:color w:val="auto"/>
        </w:rPr>
        <w:t>Section 6.3(a)(i)</w:t>
      </w:r>
      <w:r>
        <w:rPr>
          <w:rFonts w:ascii="Arial" w:cs="Arial" w:eastAsia="Arial" w:hAnsi="Arial"/>
          <w:sz w:val="22"/>
          <w:szCs w:val="22"/>
          <w:color w:val="auto"/>
        </w:rPr>
        <w:t>.</w:t>
      </w:r>
    </w:p>
    <w:p>
      <w:pPr>
        <w:spacing w:after="0" w:line="212" w:lineRule="exact"/>
        <w:rPr>
          <w:sz w:val="20"/>
          <w:szCs w:val="20"/>
          <w:color w:val="auto"/>
        </w:rPr>
      </w:pPr>
    </w:p>
    <w:p>
      <w:pPr>
        <w:ind w:right="140" w:firstLine="1297"/>
        <w:spacing w:after="0" w:line="27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Conflicts Committee</w:t>
      </w:r>
      <w:r>
        <w:rPr>
          <w:rFonts w:ascii="Arial" w:cs="Arial" w:eastAsia="Arial" w:hAnsi="Arial"/>
          <w:sz w:val="19"/>
          <w:szCs w:val="19"/>
          <w:color w:val="auto"/>
        </w:rPr>
        <w:t>” means a committee of the Board of Directors composed entirely of two or more directors who are not any of the following: (a) officers or employees of the General Partner, (b) officers, directors or employees of any Affiliate of the General Partner (other than any Group Member) or (c) holders of any ownership interest in the General Partner, its Affiliates or the Partnership Group (other than (x) Common Units or (y) awards granted pursuant to any long-term incentive plan, equity compensation plan or similar plan of any Group Member) and who also have been determined by the Board of Directors to meet the independence standards required of directors who serve on an audit committee of a board of directors established by the Exchange Act, and the rules and regulations of the Commission thereunder and by the National Securities Exchange on which the Common Units are listed or admitted to trading.</w:t>
      </w:r>
    </w:p>
    <w:p>
      <w:pPr>
        <w:spacing w:after="0" w:line="185" w:lineRule="exact"/>
        <w:rPr>
          <w:sz w:val="20"/>
          <w:szCs w:val="20"/>
          <w:color w:val="auto"/>
        </w:rPr>
      </w:pPr>
    </w:p>
    <w:p>
      <w:pPr>
        <w:ind w:right="56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Contributed Property</w:t>
      </w:r>
      <w:r>
        <w:rPr>
          <w:rFonts w:ascii="Arial" w:cs="Arial" w:eastAsia="Arial" w:hAnsi="Arial"/>
          <w:sz w:val="22"/>
          <w:szCs w:val="22"/>
          <w:color w:val="auto"/>
        </w:rPr>
        <w:t>” means each property or other asset, in such form as may be permitted by the Marshall Islands Act, but excluding cash, contributed to the Partnership.</w:t>
      </w:r>
    </w:p>
    <w:p>
      <w:pPr>
        <w:spacing w:after="0" w:line="200" w:lineRule="exact"/>
        <w:rPr>
          <w:sz w:val="20"/>
          <w:szCs w:val="20"/>
          <w:color w:val="auto"/>
        </w:rPr>
      </w:pPr>
    </w:p>
    <w:p>
      <w:pPr>
        <w:ind w:right="80" w:firstLine="1297"/>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Contribution Agreement</w:t>
      </w:r>
      <w:r>
        <w:rPr>
          <w:rFonts w:ascii="Arial" w:cs="Arial" w:eastAsia="Arial" w:hAnsi="Arial"/>
          <w:sz w:val="19"/>
          <w:szCs w:val="19"/>
          <w:color w:val="auto"/>
        </w:rPr>
        <w:t>” means that certain Contribution Agreement, dated as of May 12, 2014, among the General Partner, the Partnership, the Operating Company, GasLog and the other parties named therein, together with the additional conveyance documents and instruments contemplated or referenced thereunder or entered into in connection therewith.</w:t>
      </w:r>
    </w:p>
    <w:p>
      <w:pPr>
        <w:spacing w:after="0" w:line="161" w:lineRule="exact"/>
        <w:rPr>
          <w:sz w:val="20"/>
          <w:szCs w:val="20"/>
          <w:color w:val="auto"/>
        </w:rPr>
      </w:pPr>
    </w:p>
    <w:p>
      <w:pPr>
        <w:ind w:right="180" w:firstLine="1297"/>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Cumulative Common Unit Arrearage</w:t>
      </w:r>
      <w:r>
        <w:rPr>
          <w:rFonts w:ascii="Arial" w:cs="Arial" w:eastAsia="Arial" w:hAnsi="Arial"/>
          <w:sz w:val="21"/>
          <w:szCs w:val="21"/>
          <w:color w:val="auto"/>
        </w:rPr>
        <w:t xml:space="preserve">” means, with respect to any Common Unit, whenever issued, and as of the end of any Quarter, the excess, if any, of (a) the sum of the Common Unit Arrearage with respect to an Initial Common Unit for each of the Quarters within the Subordination Period ending on or before the last day of such Quarter over (b) the sum of any distributions theretofore made pursuant to </w:t>
      </w:r>
      <w:r>
        <w:rPr>
          <w:rFonts w:ascii="Arial" w:cs="Arial" w:eastAsia="Arial" w:hAnsi="Arial"/>
          <w:sz w:val="21"/>
          <w:szCs w:val="21"/>
          <w:u w:val="single" w:color="auto"/>
          <w:color w:val="auto"/>
        </w:rPr>
        <w:t>Section 6.3(a)(ii)</w:t>
      </w:r>
      <w:r>
        <w:rPr>
          <w:rFonts w:ascii="Arial" w:cs="Arial" w:eastAsia="Arial" w:hAnsi="Arial"/>
          <w:sz w:val="21"/>
          <w:szCs w:val="21"/>
          <w:color w:val="auto"/>
        </w:rPr>
        <w:t xml:space="preserve"> and the second sentence of </w:t>
      </w:r>
      <w:r>
        <w:rPr>
          <w:rFonts w:ascii="Arial" w:cs="Arial" w:eastAsia="Arial" w:hAnsi="Arial"/>
          <w:sz w:val="21"/>
          <w:szCs w:val="21"/>
          <w:u w:val="single" w:color="auto"/>
          <w:color w:val="auto"/>
        </w:rPr>
        <w:t>Section 6.4</w:t>
      </w:r>
      <w:r>
        <w:rPr>
          <w:rFonts w:ascii="Arial" w:cs="Arial" w:eastAsia="Arial" w:hAnsi="Arial"/>
          <w:sz w:val="21"/>
          <w:szCs w:val="21"/>
          <w:color w:val="auto"/>
        </w:rPr>
        <w:t xml:space="preserve"> with respect to an Initial Common Unit (including any distributions to be made in respect of the last of such Quarters).</w:t>
      </w:r>
    </w:p>
    <w:p>
      <w:pPr>
        <w:spacing w:after="0" w:line="206" w:lineRule="exact"/>
        <w:rPr>
          <w:sz w:val="20"/>
          <w:szCs w:val="20"/>
          <w:color w:val="auto"/>
        </w:rPr>
      </w:pPr>
    </w:p>
    <w:p>
      <w:pPr>
        <w:ind w:right="400"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Current Market Price</w:t>
      </w:r>
      <w:r>
        <w:rPr>
          <w:rFonts w:ascii="Arial" w:cs="Arial" w:eastAsia="Arial" w:hAnsi="Arial"/>
          <w:sz w:val="22"/>
          <w:szCs w:val="22"/>
          <w:color w:val="auto"/>
        </w:rPr>
        <w:t>” means, in respect of any class or series of Limited Partner Interests, as of the date of determination, the average of the daily Closing Prices per Limited Partner Interest of such class or series for the 20 consecutive Trading Days immediately prior to such date.</w:t>
      </w:r>
    </w:p>
    <w:p>
      <w:pPr>
        <w:spacing w:after="0" w:line="213" w:lineRule="exact"/>
        <w:rPr>
          <w:sz w:val="20"/>
          <w:szCs w:val="20"/>
          <w:color w:val="auto"/>
        </w:rPr>
      </w:pPr>
    </w:p>
    <w:p>
      <w:pPr>
        <w:jc w:val="both"/>
        <w:ind w:right="80" w:firstLine="1297"/>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Deferred Issuance and Distribution</w:t>
      </w:r>
      <w:r>
        <w:rPr>
          <w:rFonts w:ascii="Arial" w:cs="Arial" w:eastAsia="Arial" w:hAnsi="Arial"/>
          <w:sz w:val="19"/>
          <w:szCs w:val="19"/>
          <w:color w:val="auto"/>
        </w:rPr>
        <w:t>” means both (a) the issuance by the Partnership of additional Common Units that is equal to the excess, if any, of (x) 1,260,000 minus (y) the aggregate number, if any, of Common Units actually purchased by and issued to the Underwriters pursuant to the Over- Allotment Option on the Option Closing Date(s), and (b)</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402" w:right="259" w:bottom="1440" w:gutter="0" w:footer="0" w:header="0"/>
        </w:sectPr>
      </w:pPr>
    </w:p>
    <w:bookmarkStart w:id="15" w:name="page16"/>
    <w:bookmarkEnd w:id="15"/>
    <w:p>
      <w:pPr>
        <w:jc w:val="both"/>
        <w:ind w:right="420"/>
        <w:spacing w:after="0" w:line="297" w:lineRule="auto"/>
        <w:rPr>
          <w:sz w:val="20"/>
          <w:szCs w:val="20"/>
          <w:color w:val="auto"/>
        </w:rPr>
      </w:pPr>
      <w:r>
        <w:rPr>
          <w:rFonts w:ascii="Arial" w:cs="Arial" w:eastAsia="Arial" w:hAnsi="Arial"/>
          <w:sz w:val="19"/>
          <w:szCs w:val="19"/>
          <w:color w:val="auto"/>
        </w:rPr>
        <w:t xml:space="preserve">distributions of cash pursuant to the Contribution Agreement in an amount equal to the total amount of cash contributed by the Underwriters to the Partnership on or in connection with any Option Closing Date with respect to Common Units issued by the Partnership upon the applicable exercise of the Over-Allotment Option in accordance with </w:t>
      </w:r>
      <w:r>
        <w:rPr>
          <w:rFonts w:ascii="Arial" w:cs="Arial" w:eastAsia="Arial" w:hAnsi="Arial"/>
          <w:sz w:val="19"/>
          <w:szCs w:val="19"/>
          <w:u w:val="single" w:color="auto"/>
          <w:color w:val="auto"/>
        </w:rPr>
        <w:t>Section 5.2</w:t>
      </w:r>
      <w:r>
        <w:rPr>
          <w:rFonts w:ascii="Arial" w:cs="Arial" w:eastAsia="Arial" w:hAnsi="Arial"/>
          <w:sz w:val="19"/>
          <w:szCs w:val="19"/>
          <w:color w:val="auto"/>
        </w:rPr>
        <w:t>, if any.</w:t>
      </w:r>
    </w:p>
    <w:p>
      <w:pPr>
        <w:spacing w:after="0" w:line="161" w:lineRule="exact"/>
        <w:rPr>
          <w:sz w:val="20"/>
          <w:szCs w:val="20"/>
          <w:color w:val="auto"/>
        </w:rPr>
      </w:pPr>
    </w:p>
    <w:p>
      <w:pPr>
        <w:ind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Departing General Partner</w:t>
      </w:r>
      <w:r>
        <w:rPr>
          <w:rFonts w:ascii="Arial" w:cs="Arial" w:eastAsia="Arial" w:hAnsi="Arial"/>
          <w:sz w:val="22"/>
          <w:szCs w:val="22"/>
          <w:color w:val="auto"/>
        </w:rPr>
        <w:t xml:space="preserve">” means a former General Partner from and after the effective date of any withdrawal or removal of such former General Partner pursuant to </w:t>
      </w:r>
      <w:r>
        <w:rPr>
          <w:rFonts w:ascii="Arial" w:cs="Arial" w:eastAsia="Arial" w:hAnsi="Arial"/>
          <w:sz w:val="22"/>
          <w:szCs w:val="22"/>
          <w:u w:val="single" w:color="auto"/>
          <w:color w:val="auto"/>
        </w:rPr>
        <w:t>Section 11.1</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11.2</w:t>
      </w:r>
      <w:r>
        <w:rPr>
          <w:rFonts w:ascii="Arial" w:cs="Arial" w:eastAsia="Arial" w:hAnsi="Arial"/>
          <w:sz w:val="22"/>
          <w:szCs w:val="22"/>
          <w:color w:val="auto"/>
        </w:rPr>
        <w:t>.</w:t>
      </w:r>
    </w:p>
    <w:p>
      <w:pPr>
        <w:spacing w:after="0" w:line="200" w:lineRule="exact"/>
        <w:rPr>
          <w:sz w:val="20"/>
          <w:szCs w:val="20"/>
          <w:color w:val="auto"/>
        </w:rPr>
      </w:pPr>
    </w:p>
    <w:p>
      <w:pPr>
        <w:ind w:right="72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Depositary</w:t>
      </w:r>
      <w:r>
        <w:rPr>
          <w:rFonts w:ascii="Arial" w:cs="Arial" w:eastAsia="Arial" w:hAnsi="Arial"/>
          <w:sz w:val="22"/>
          <w:szCs w:val="22"/>
          <w:color w:val="auto"/>
        </w:rPr>
        <w:t>” means, with respect to any Units issued in global form, The Depository Trust Company and its successors and permitted assigns.</w:t>
      </w:r>
    </w:p>
    <w:p>
      <w:pPr>
        <w:spacing w:after="0" w:line="200" w:lineRule="exact"/>
        <w:rPr>
          <w:sz w:val="20"/>
          <w:szCs w:val="20"/>
          <w:color w:val="auto"/>
        </w:rPr>
      </w:pPr>
    </w:p>
    <w:p>
      <w:pPr>
        <w:ind w:right="60" w:firstLine="1297"/>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Elected Directors</w:t>
      </w:r>
      <w:r>
        <w:rPr>
          <w:rFonts w:ascii="Arial" w:cs="Arial" w:eastAsia="Arial" w:hAnsi="Arial"/>
          <w:sz w:val="19"/>
          <w:szCs w:val="19"/>
          <w:color w:val="auto"/>
        </w:rPr>
        <w:t xml:space="preserve">” means the members of the Board of Directors who are elected as such in accordance with the provisions of </w:t>
      </w:r>
      <w:r>
        <w:rPr>
          <w:rFonts w:ascii="Arial" w:cs="Arial" w:eastAsia="Arial" w:hAnsi="Arial"/>
          <w:sz w:val="19"/>
          <w:szCs w:val="19"/>
          <w:u w:val="single" w:color="auto"/>
          <w:color w:val="auto"/>
        </w:rPr>
        <w:t>Article VII</w:t>
      </w:r>
      <w:r>
        <w:rPr>
          <w:rFonts w:ascii="Arial" w:cs="Arial" w:eastAsia="Arial" w:hAnsi="Arial"/>
          <w:sz w:val="19"/>
          <w:szCs w:val="19"/>
          <w:color w:val="auto"/>
        </w:rPr>
        <w:t xml:space="preserve"> and at least two (and subject to </w:t>
      </w:r>
      <w:r>
        <w:rPr>
          <w:rFonts w:ascii="Arial" w:cs="Arial" w:eastAsia="Arial" w:hAnsi="Arial"/>
          <w:sz w:val="19"/>
          <w:szCs w:val="19"/>
          <w:u w:val="single" w:color="auto"/>
          <w:color w:val="auto"/>
        </w:rPr>
        <w:t>Section 7.2(d)</w:t>
      </w:r>
      <w:r>
        <w:rPr>
          <w:rFonts w:ascii="Arial" w:cs="Arial" w:eastAsia="Arial" w:hAnsi="Arial"/>
          <w:sz w:val="19"/>
          <w:szCs w:val="19"/>
          <w:color w:val="auto"/>
        </w:rPr>
        <w:t>) of whom are not any of the following: (a) officers or employees of the General Partner, (b) officers or employees of any Affiliate of the General Partner (other than any Group Member) or (c) holders of any ownership interest in the General Partner, its Affiliates or the Partnership Group (other than (x) Common Units, (y) Series A Preference Units or (z) awards granted pursuant to any long-term incentive plan, equity compensation plan or similar plan of any Group Member) and who also have been determined by the Board of Directors to meet the independence standards required of directors who serve on an audit committee of a board of directors established by the Exchange Act, and the rules and regulations of the Commission thereunder and by the National Securities Exchange on which the Common Units are listed or admitted to trading or (d) United States citizens or residents.</w:t>
      </w:r>
    </w:p>
    <w:p>
      <w:pPr>
        <w:spacing w:after="0" w:line="186" w:lineRule="exact"/>
        <w:rPr>
          <w:sz w:val="20"/>
          <w:szCs w:val="20"/>
          <w:color w:val="auto"/>
        </w:rPr>
      </w:pPr>
    </w:p>
    <w:p>
      <w:pPr>
        <w:ind w:right="100" w:firstLine="1297"/>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Estimated Maintenance and Replacement Capital Expenditures</w:t>
      </w:r>
      <w:r>
        <w:rPr>
          <w:rFonts w:ascii="Arial" w:cs="Arial" w:eastAsia="Arial" w:hAnsi="Arial"/>
          <w:sz w:val="19"/>
          <w:szCs w:val="19"/>
          <w:color w:val="auto"/>
        </w:rPr>
        <w:t xml:space="preserve">” means an estimate made in good faith by the Board of Directors (with the concurrence of the Conflicts Committee) of the average quarterly Maintenance and Replacement Capital Expenditures that the Partnership will need to incur to maintain over the long-term the operating capacity and asset base of the Partnership Group (including the Partnership’s proportionate share of the average quarterly Maintenance and Replacement Capital Expenditures of its Subsidiaries that are not wholly-owned) existing at the time the estimate is made. The Board of Directors (with the concurrence of the Conflicts Committee) will be permitted to make such estimate in any manner it determines reasonable. Beginning after the Closing Date, the estimate will be made at least annually and whenever an event occurs that is likely to result in a material adjustment to the amount of Maintenance and Replacement Capital Expenditures on a long-term basis. The Partnership shall disclose to its Partners any change in the amount of Estimated Maintenance and Replacement Capital Expenditures in its reports made in accordance with </w:t>
      </w:r>
      <w:r>
        <w:rPr>
          <w:rFonts w:ascii="Arial" w:cs="Arial" w:eastAsia="Arial" w:hAnsi="Arial"/>
          <w:sz w:val="19"/>
          <w:szCs w:val="19"/>
          <w:u w:val="single" w:color="auto"/>
          <w:color w:val="auto"/>
        </w:rPr>
        <w:t>Section 8.3</w:t>
      </w:r>
      <w:r>
        <w:rPr>
          <w:rFonts w:ascii="Arial" w:cs="Arial" w:eastAsia="Arial" w:hAnsi="Arial"/>
          <w:sz w:val="19"/>
          <w:szCs w:val="19"/>
          <w:color w:val="auto"/>
        </w:rPr>
        <w:t xml:space="preserve"> to the extent not previously disclosed. Any adjustments to Estimated Maintenance and Replacement Capital Expenditures shall be prospective only.</w:t>
      </w:r>
    </w:p>
    <w:p>
      <w:pPr>
        <w:spacing w:after="0" w:line="18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Event of Withdrawal</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11.1(a)</w:t>
      </w:r>
      <w:r>
        <w:rPr>
          <w:rFonts w:ascii="Arial" w:cs="Arial" w:eastAsia="Arial" w:hAnsi="Arial"/>
          <w:sz w:val="22"/>
          <w:szCs w:val="22"/>
          <w:color w:val="auto"/>
        </w:rPr>
        <w:t>.</w:t>
      </w:r>
    </w:p>
    <w:p>
      <w:pPr>
        <w:spacing w:after="0" w:line="233" w:lineRule="exact"/>
        <w:rPr>
          <w:sz w:val="20"/>
          <w:szCs w:val="20"/>
          <w:color w:val="auto"/>
        </w:rPr>
      </w:pPr>
    </w:p>
    <w:p>
      <w:pPr>
        <w:ind w:right="32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Exchange Act</w:t>
      </w:r>
      <w:r>
        <w:rPr>
          <w:rFonts w:ascii="Arial" w:cs="Arial" w:eastAsia="Arial" w:hAnsi="Arial"/>
          <w:sz w:val="22"/>
          <w:szCs w:val="22"/>
          <w:color w:val="auto"/>
        </w:rPr>
        <w:t>” means the Securities Exchange Act of 1934, as amended, supplemented or restated from time to time and any successor to such statute.</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16" w:name="page17"/>
    <w:bookmarkEnd w:id="16"/>
    <w:p>
      <w:pPr>
        <w:ind w:right="80" w:firstLine="1297"/>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Expansion Capital Expenditures</w:t>
      </w:r>
      <w:r>
        <w:rPr>
          <w:rFonts w:ascii="Arial" w:cs="Arial" w:eastAsia="Arial" w:hAnsi="Arial"/>
          <w:sz w:val="21"/>
          <w:szCs w:val="21"/>
          <w:color w:val="auto"/>
        </w:rPr>
        <w:t>” means cash expenditures for Acquisitions or Capital Improvements. Expansion Capital Expenditures shall not include Maintenance and Replacement Capital Expenditures or Investment Capital Expenditures. Expansion Capital Expenditures shall include interest payments (and related fees) on debt incurred and distributions on equity issued, in each case, to fund the construction of a Capital Improvement and paid in respect of the period beginning on the date that a Group Member enters into a binding obligation to commence construction of the Capital Improvement and ending on the earlier to occur of the date that such Capital Improvement Commences Commercial Service or the date that such Capital Improvement is abandoned or disposed of. Debt incurred or equity issued to fund any such construction period interest payments, or such construction period distributions on equity paid in respect of such period shall also be deemed to be debt incurred or equity issued, as the case may be, to fund the construction of a Capital Improvement, and the Incremental Incentive Distributions paid in respect of such newly issued equity shall be deemed to be distributions paid on equity issued to finance the construction of a Capital Improvement.</w:t>
      </w:r>
    </w:p>
    <w:p>
      <w:pPr>
        <w:spacing w:after="0" w:line="217" w:lineRule="exact"/>
        <w:rPr>
          <w:sz w:val="20"/>
          <w:szCs w:val="20"/>
          <w:color w:val="auto"/>
        </w:rPr>
      </w:pPr>
    </w:p>
    <w:p>
      <w:pPr>
        <w:jc w:val="both"/>
        <w:ind w:right="60" w:firstLine="1297"/>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First Target Distribution</w:t>
      </w:r>
      <w:r>
        <w:rPr>
          <w:rFonts w:ascii="Arial" w:cs="Arial" w:eastAsia="Arial" w:hAnsi="Arial"/>
          <w:sz w:val="21"/>
          <w:szCs w:val="21"/>
          <w:color w:val="auto"/>
        </w:rPr>
        <w:t xml:space="preserve">” means $0.43125 per Unit per Quarter (or, with respect to the period commencing on the Closing Date and ending on June 30, 2014, it means the product of $0.43125 multiplied by a fraction of which the numerator is the number of days in such period, and of which the denominator is the total number of days in the Quarter in which the Closing Date occurs), subject to adjustment in accordance with </w:t>
      </w:r>
      <w:r>
        <w:rPr>
          <w:rFonts w:ascii="Arial" w:cs="Arial" w:eastAsia="Arial" w:hAnsi="Arial"/>
          <w:sz w:val="21"/>
          <w:szCs w:val="21"/>
          <w:u w:val="single" w:color="auto"/>
          <w:color w:val="auto"/>
        </w:rPr>
        <w:t>Section 5.10</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6.5</w:t>
      </w:r>
      <w:r>
        <w:rPr>
          <w:rFonts w:ascii="Arial" w:cs="Arial" w:eastAsia="Arial" w:hAnsi="Arial"/>
          <w:sz w:val="21"/>
          <w:szCs w:val="21"/>
          <w:color w:val="auto"/>
        </w:rPr>
        <w:t>.</w:t>
      </w:r>
    </w:p>
    <w:p>
      <w:pPr>
        <w:spacing w:after="0" w:line="201" w:lineRule="exact"/>
        <w:rPr>
          <w:sz w:val="20"/>
          <w:szCs w:val="20"/>
          <w:color w:val="auto"/>
        </w:rPr>
      </w:pPr>
    </w:p>
    <w:p>
      <w:pPr>
        <w:ind w:right="100" w:firstLine="1297"/>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Fully Diluted Weighted Average Basis</w:t>
      </w:r>
      <w:r>
        <w:rPr>
          <w:rFonts w:ascii="Arial" w:cs="Arial" w:eastAsia="Arial" w:hAnsi="Arial"/>
          <w:sz w:val="19"/>
          <w:szCs w:val="19"/>
          <w:color w:val="auto"/>
        </w:rPr>
        <w:t xml:space="preserve">” means, when calculating the number of Outstanding Units for any period, a basis that includes (a) the weighted average number of Outstanding Units plus (b) all Partnership Interests and options, rights, warrants and appreciation rights relating to an equity interest in the Partnership (i) that are convertible into or exercisable or exchangeable for Units or for which Units are issuable, in each case, that are senior to or </w:t>
      </w:r>
      <w:r>
        <w:rPr>
          <w:rFonts w:ascii="Arial" w:cs="Arial" w:eastAsia="Arial" w:hAnsi="Arial"/>
          <w:sz w:val="19"/>
          <w:szCs w:val="19"/>
          <w:i w:val="1"/>
          <w:iCs w:val="1"/>
          <w:color w:val="auto"/>
        </w:rPr>
        <w:t>pari passu</w:t>
      </w:r>
      <w:r>
        <w:rPr>
          <w:rFonts w:ascii="Arial" w:cs="Arial" w:eastAsia="Arial" w:hAnsi="Arial"/>
          <w:sz w:val="19"/>
          <w:szCs w:val="19"/>
          <w:color w:val="auto"/>
        </w:rPr>
        <w:t xml:space="preserve"> with the Subordinated Units,</w:t>
      </w:r>
    </w:p>
    <w:p>
      <w:pPr>
        <w:spacing w:after="0" w:line="4" w:lineRule="exact"/>
        <w:rPr>
          <w:sz w:val="20"/>
          <w:szCs w:val="20"/>
          <w:color w:val="auto"/>
        </w:rPr>
      </w:pPr>
    </w:p>
    <w:p>
      <w:pPr>
        <w:ind w:firstLine="8"/>
        <w:spacing w:after="0" w:line="270" w:lineRule="auto"/>
        <w:tabs>
          <w:tab w:leader="none" w:pos="318" w:val="left"/>
        </w:tabs>
        <w:numPr>
          <w:ilvl w:val="0"/>
          <w:numId w:val="5"/>
        </w:numPr>
        <w:rPr>
          <w:rFonts w:ascii="Arial" w:cs="Arial" w:eastAsia="Arial" w:hAnsi="Arial"/>
          <w:sz w:val="19"/>
          <w:szCs w:val="19"/>
          <w:color w:val="auto"/>
        </w:rPr>
      </w:pPr>
      <w:r>
        <w:rPr>
          <w:rFonts w:ascii="Arial" w:cs="Arial" w:eastAsia="Arial" w:hAnsi="Arial"/>
          <w:sz w:val="19"/>
          <w:szCs w:val="19"/>
          <w:color w:val="auto"/>
        </w:rPr>
        <w:t xml:space="preserve">whose conversion, exercise or exchange price is less than the Current Market Price on the date of such calculation, (iii) that may be converted into or exercised or exchanged for such Units prior to or during the Quarter immediately following the end of the period for which the calculation is being made without the satisfaction of any contingency beyond the control of the holder other than the payment of consideration and the compliance with administrative mechanics applicable to such conversion, exercise or exchange and (iv) that were not converted into or exercised or exchanged for such Units during the period for which the calculation is being made;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for purposes of determining the number of Outstanding Units on a Fully Diluted Weighted Average Basis when calculating whether the Subordination Period has ended, such Partnership Interests, options, rights, warrants and appreciation rights shall be deemed to have been Outstanding Units only for the four Quarters that comprise the last four Quarters of the measurement period; and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that if consideration will be paid to any Group Member in connection with such conversion, exercise or exchange, the number of Units to be included in such calculation shall be that number equal to the difference between (y) the number of Units issuable upon such conversion, exercise or exchange and (z) the number of Units that such consideration would purchase at the Current Market Price.</w:t>
      </w:r>
    </w:p>
    <w:p>
      <w:pPr>
        <w:spacing w:after="0" w:line="19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GasLog</w:t>
      </w:r>
      <w:r>
        <w:rPr>
          <w:rFonts w:ascii="Arial" w:cs="Arial" w:eastAsia="Arial" w:hAnsi="Arial"/>
          <w:sz w:val="22"/>
          <w:szCs w:val="22"/>
          <w:color w:val="auto"/>
        </w:rPr>
        <w:t>” means GasLog Ltd.</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80"/>
          </w:cols>
          <w:pgMar w:left="240" w:top="402" w:right="279" w:bottom="1440" w:gutter="0" w:footer="0" w:header="0"/>
        </w:sectPr>
      </w:pPr>
    </w:p>
    <w:bookmarkStart w:id="17" w:name="page18"/>
    <w:bookmarkEnd w:id="17"/>
    <w:p>
      <w:pPr>
        <w:ind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General Partner</w:t>
      </w:r>
      <w:r>
        <w:rPr>
          <w:rFonts w:ascii="Arial" w:cs="Arial" w:eastAsia="Arial" w:hAnsi="Arial"/>
          <w:sz w:val="22"/>
          <w:szCs w:val="22"/>
          <w:color w:val="auto"/>
        </w:rPr>
        <w:t>” means GasLog Partners GP LLC, a Marshall Islands limited liability company, and its successors and permitted assigns that are admitted to the Partnership as general partner of the Partnership, in its capacity as general partner of the Partnership (except as the context otherwise requires).</w:t>
      </w:r>
    </w:p>
    <w:p>
      <w:pPr>
        <w:spacing w:after="0" w:line="213" w:lineRule="exact"/>
        <w:rPr>
          <w:sz w:val="20"/>
          <w:szCs w:val="20"/>
          <w:color w:val="auto"/>
        </w:rPr>
      </w:pPr>
    </w:p>
    <w:p>
      <w:pPr>
        <w:jc w:val="both"/>
        <w:ind w:right="40" w:firstLine="1297"/>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General Partner Interest</w:t>
      </w:r>
      <w:r>
        <w:rPr>
          <w:rFonts w:ascii="Arial" w:cs="Arial" w:eastAsia="Arial" w:hAnsi="Arial"/>
          <w:sz w:val="21"/>
          <w:szCs w:val="21"/>
          <w:color w:val="auto"/>
        </w:rPr>
        <w:t>” means the ownership interest of the General Partner in the Partnership (in its capacity as a general partner and without reference to any Limited Partner Interest held by it), which is evidenced by General Partner Units and includes any and all benefits to which the General Partner is entitled as provided in this Agreement, together with all obligations of the General Partner to comply with the terms and provisions of this Agreement.</w:t>
      </w:r>
    </w:p>
    <w:p>
      <w:pPr>
        <w:spacing w:after="0" w:line="201" w:lineRule="exact"/>
        <w:rPr>
          <w:sz w:val="20"/>
          <w:szCs w:val="20"/>
          <w:color w:val="auto"/>
        </w:rPr>
      </w:pPr>
    </w:p>
    <w:p>
      <w:pPr>
        <w:ind w:right="42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General Partner Unit</w:t>
      </w:r>
      <w:r>
        <w:rPr>
          <w:rFonts w:ascii="Arial" w:cs="Arial" w:eastAsia="Arial" w:hAnsi="Arial"/>
          <w:sz w:val="22"/>
          <w:szCs w:val="22"/>
          <w:color w:val="auto"/>
        </w:rPr>
        <w:t>” means a fractional part of the General Partner Interest having the rights and obligations specified with respect to the General Partner Interest. A General Partner Unit is not a Unit.</w:t>
      </w:r>
    </w:p>
    <w:p>
      <w:pPr>
        <w:spacing w:after="0" w:line="200" w:lineRule="exact"/>
        <w:rPr>
          <w:sz w:val="20"/>
          <w:szCs w:val="20"/>
          <w:color w:val="auto"/>
        </w:rPr>
      </w:pPr>
    </w:p>
    <w:p>
      <w:pPr>
        <w:ind w:right="120" w:firstLine="1297"/>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Group</w:t>
      </w:r>
      <w:r>
        <w:rPr>
          <w:rFonts w:ascii="Arial" w:cs="Arial" w:eastAsia="Arial" w:hAnsi="Arial"/>
          <w:sz w:val="22"/>
          <w:szCs w:val="22"/>
          <w:color w:val="auto"/>
        </w:rPr>
        <w:t>” means a Person that with or through any of its Affiliates or Associates has any agreement, arrangement, understanding or relationship for the purpose of acquiring, holding, voting (except voting pursuant to a revocable proxy or consent given to such Person in response to a proxy or consent solicitation made to 10 or more Persons), exercising investment power over or disposing of any Partnership Interests with any other Person that beneficially owns, or whose Affiliates or Associates beneficially own, directly or indirectly, Partnership Interests.</w:t>
      </w:r>
    </w:p>
    <w:p>
      <w:pPr>
        <w:spacing w:after="0" w:line="21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Group Member</w:t>
      </w:r>
      <w:r>
        <w:rPr>
          <w:rFonts w:ascii="Arial" w:cs="Arial" w:eastAsia="Arial" w:hAnsi="Arial"/>
          <w:sz w:val="22"/>
          <w:szCs w:val="22"/>
          <w:color w:val="auto"/>
        </w:rPr>
        <w:t>” means a member of the Partnership Group.</w:t>
      </w:r>
    </w:p>
    <w:p>
      <w:pPr>
        <w:spacing w:after="0" w:line="233" w:lineRule="exact"/>
        <w:rPr>
          <w:sz w:val="20"/>
          <w:szCs w:val="20"/>
          <w:color w:val="auto"/>
        </w:rPr>
      </w:pPr>
    </w:p>
    <w:p>
      <w:pPr>
        <w:ind w:right="40" w:firstLine="1297"/>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Group Member Agreement</w:t>
      </w:r>
      <w:r>
        <w:rPr>
          <w:rFonts w:ascii="Arial" w:cs="Arial" w:eastAsia="Arial" w:hAnsi="Arial"/>
          <w:sz w:val="22"/>
          <w:szCs w:val="22"/>
          <w:color w:val="auto"/>
        </w:rPr>
        <w:t>” means the partnership agreement of any Group Member, other than the Partnership, that is a limited or general partnership, the limited liability company agreement of any Group Member that is a limited liability company, the certificate of incorporation and bylaws (or similar organizational documents) of any Group Member that is a corporation, the joint venture agreement or similar governing document of any Group Member that is a joint venture and the governing or organizational or similar documents of any other Group Member that is a Person other than a limited or general partnership, limited liability company, corporation or joint venture, in each case as such may be amended, supplemented or restated from time to time.</w:t>
      </w:r>
    </w:p>
    <w:p>
      <w:pPr>
        <w:spacing w:after="0" w:line="218" w:lineRule="exact"/>
        <w:rPr>
          <w:sz w:val="20"/>
          <w:szCs w:val="20"/>
          <w:color w:val="auto"/>
        </w:rPr>
      </w:pPr>
    </w:p>
    <w:p>
      <w:pPr>
        <w:ind w:right="200" w:firstLine="1297"/>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Hedge Contract</w:t>
      </w:r>
      <w:r>
        <w:rPr>
          <w:rFonts w:ascii="Arial" w:cs="Arial" w:eastAsia="Arial" w:hAnsi="Arial"/>
          <w:sz w:val="21"/>
          <w:szCs w:val="21"/>
          <w:color w:val="auto"/>
        </w:rPr>
        <w:t>” means any exchange, swap, forward, future, cap, floor, collar or other similar agreement or arrangement entered into for the purpose of hedging the Partnership Group’s exposure to fluctuations in the price of interest rates, currencies or commodities in their operations and not for speculative purposes.</w:t>
      </w:r>
    </w:p>
    <w:p>
      <w:pPr>
        <w:spacing w:after="0" w:line="19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Holder</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7.20(a)</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ICE</w:t>
      </w:r>
      <w:r>
        <w:rPr>
          <w:rFonts w:ascii="Arial" w:cs="Arial" w:eastAsia="Arial" w:hAnsi="Arial"/>
          <w:sz w:val="22"/>
          <w:szCs w:val="22"/>
          <w:color w:val="auto"/>
        </w:rPr>
        <w:t>” means the ICE Benchmark Administration Limited.</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IDR Reset Common Units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5.10(a)</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IDR Reset Election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5.10(a)</w:t>
      </w:r>
      <w:r>
        <w:rPr>
          <w:rFonts w:ascii="Arial" w:cs="Arial" w:eastAsia="Arial" w:hAnsi="Arial"/>
          <w:sz w:val="22"/>
          <w:szCs w:val="22"/>
          <w:color w:val="auto"/>
        </w:rPr>
        <w:t>.</w:t>
      </w:r>
    </w:p>
    <w:p>
      <w:pPr>
        <w:spacing w:after="0" w:line="179"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18" w:name="page19"/>
    <w:bookmarkEnd w:id="18"/>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IFRS</w:t>
      </w:r>
      <w:r>
        <w:rPr>
          <w:rFonts w:ascii="Arial" w:cs="Arial" w:eastAsia="Arial" w:hAnsi="Arial"/>
          <w:sz w:val="22"/>
          <w:szCs w:val="22"/>
          <w:color w:val="auto"/>
        </w:rPr>
        <w:t>” means the international financial reporting standards.</w:t>
      </w:r>
    </w:p>
    <w:p>
      <w:pPr>
        <w:spacing w:after="0" w:line="233" w:lineRule="exact"/>
        <w:rPr>
          <w:sz w:val="20"/>
          <w:szCs w:val="20"/>
          <w:color w:val="auto"/>
        </w:rPr>
      </w:pPr>
    </w:p>
    <w:p>
      <w:pPr>
        <w:ind w:right="160" w:firstLine="1297"/>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Incentive Distribution Right</w:t>
      </w:r>
      <w:r>
        <w:rPr>
          <w:rFonts w:ascii="Arial" w:cs="Arial" w:eastAsia="Arial" w:hAnsi="Arial"/>
          <w:sz w:val="19"/>
          <w:szCs w:val="19"/>
          <w:color w:val="auto"/>
        </w:rPr>
        <w:t>” means a non-voting Limited Partner Interest, which Partnership Interest will confer upon the holder thereof only the rights and obligations specifically provided in this Agreement with respect to Incentive Distribution Rights (and no other rights otherwise available to or other obligations of a holder of a Partnership Interest). Notwithstanding anything in this Agreement to the contrary, the holder of an Incentive Distribution Right shall not be entitled to vote such Incentive Distribution Right on any Partnership matter except as may otherwise be required by law.</w:t>
      </w:r>
    </w:p>
    <w:p>
      <w:pPr>
        <w:spacing w:after="0" w:line="175" w:lineRule="exact"/>
        <w:rPr>
          <w:sz w:val="20"/>
          <w:szCs w:val="20"/>
          <w:color w:val="auto"/>
        </w:rPr>
      </w:pPr>
    </w:p>
    <w:p>
      <w:pPr>
        <w:ind w:right="20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Incentive Distributions</w:t>
      </w:r>
      <w:r>
        <w:rPr>
          <w:rFonts w:ascii="Arial" w:cs="Arial" w:eastAsia="Arial" w:hAnsi="Arial"/>
          <w:sz w:val="22"/>
          <w:szCs w:val="22"/>
          <w:color w:val="auto"/>
        </w:rPr>
        <w:t xml:space="preserve">” means any amount of cash distributed to the holders of the Incentive Distribution Rights pursuant to </w:t>
      </w:r>
      <w:r>
        <w:rPr>
          <w:rFonts w:ascii="Arial" w:cs="Arial" w:eastAsia="Arial" w:hAnsi="Arial"/>
          <w:sz w:val="22"/>
          <w:szCs w:val="22"/>
          <w:u w:val="single" w:color="auto"/>
          <w:color w:val="auto"/>
        </w:rPr>
        <w:t>Section 6.3.</w:t>
      </w:r>
    </w:p>
    <w:p>
      <w:pPr>
        <w:spacing w:after="0" w:line="200" w:lineRule="exact"/>
        <w:rPr>
          <w:sz w:val="20"/>
          <w:szCs w:val="20"/>
          <w:color w:val="auto"/>
        </w:rPr>
      </w:pPr>
    </w:p>
    <w:p>
      <w:pPr>
        <w:jc w:val="both"/>
        <w:ind w:right="20"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Incremental Incentive Distributions</w:t>
      </w:r>
      <w:r>
        <w:rPr>
          <w:rFonts w:ascii="Arial" w:cs="Arial" w:eastAsia="Arial" w:hAnsi="Arial"/>
          <w:sz w:val="22"/>
          <w:szCs w:val="22"/>
          <w:color w:val="auto"/>
        </w:rPr>
        <w:t xml:space="preserve">” means, with respect to any newly issued equity securities of the Partnership, the incremental amount of any Incentive Distributions payable under </w:t>
      </w:r>
      <w:r>
        <w:rPr>
          <w:rFonts w:ascii="Arial" w:cs="Arial" w:eastAsia="Arial" w:hAnsi="Arial"/>
          <w:sz w:val="22"/>
          <w:szCs w:val="22"/>
          <w:u w:val="single" w:color="auto"/>
          <w:color w:val="auto"/>
        </w:rPr>
        <w:t>Section 6.3</w:t>
      </w:r>
      <w:r>
        <w:rPr>
          <w:rFonts w:ascii="Arial" w:cs="Arial" w:eastAsia="Arial" w:hAnsi="Arial"/>
          <w:sz w:val="22"/>
          <w:szCs w:val="22"/>
          <w:color w:val="auto"/>
        </w:rPr>
        <w:t xml:space="preserve"> based solely upon the amount of distributions paid in respect of such newly issued equity securities.</w:t>
      </w:r>
    </w:p>
    <w:p>
      <w:pPr>
        <w:spacing w:after="0" w:line="21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Indemnified Persons</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7.20(c)</w:t>
      </w:r>
      <w:r>
        <w:rPr>
          <w:rFonts w:ascii="Arial" w:cs="Arial" w:eastAsia="Arial" w:hAnsi="Arial"/>
          <w:sz w:val="22"/>
          <w:szCs w:val="22"/>
          <w:color w:val="auto"/>
        </w:rPr>
        <w:t>.</w:t>
      </w:r>
    </w:p>
    <w:p>
      <w:pPr>
        <w:spacing w:after="0" w:line="233" w:lineRule="exact"/>
        <w:rPr>
          <w:sz w:val="20"/>
          <w:szCs w:val="20"/>
          <w:color w:val="auto"/>
        </w:rPr>
      </w:pPr>
    </w:p>
    <w:p>
      <w:pPr>
        <w:ind w:firstLine="1297"/>
        <w:spacing w:after="0" w:line="24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Indemnitee</w:t>
      </w:r>
      <w:r>
        <w:rPr>
          <w:rFonts w:ascii="Arial" w:cs="Arial" w:eastAsia="Arial" w:hAnsi="Arial"/>
          <w:sz w:val="21"/>
          <w:szCs w:val="21"/>
          <w:color w:val="auto"/>
        </w:rPr>
        <w:t>” means (a) the General Partner, (b) any Departing General Partner, (c) any Person who is or was an Affiliate of the General Partner or any Departing General Partner, (d) any Person who is or was a member, partner, director, officer, fiduciary or trustee of any Person which any of the preceding clauses of this definition describes, (e) any Person who is or was serving at the request of the General Partner or any Departing General Partner or any Affiliate of the General Partner or any Departing General Partner as an officer, director, member, partner, fiduciary or trustee of another Person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a Person shall not be an Indemnitee by reason of providing, on a fee-for-services basis, trustee, fiduciary or custodial services), (f) the members of the Board of Directors, (g) the Officers, and (h) any other Person the Board of Directors designates as an “</w:t>
      </w:r>
      <w:r>
        <w:rPr>
          <w:rFonts w:ascii="Arial" w:cs="Arial" w:eastAsia="Arial" w:hAnsi="Arial"/>
          <w:sz w:val="21"/>
          <w:szCs w:val="21"/>
          <w:i w:val="1"/>
          <w:iCs w:val="1"/>
          <w:color w:val="auto"/>
        </w:rPr>
        <w:t>Indemnitee</w:t>
      </w:r>
      <w:r>
        <w:rPr>
          <w:rFonts w:ascii="Arial" w:cs="Arial" w:eastAsia="Arial" w:hAnsi="Arial"/>
          <w:sz w:val="21"/>
          <w:szCs w:val="21"/>
          <w:color w:val="auto"/>
        </w:rPr>
        <w:t>” for purposes of this Agreement.</w:t>
      </w:r>
    </w:p>
    <w:p>
      <w:pPr>
        <w:spacing w:after="0" w:line="20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Initial Common Units</w:t>
      </w:r>
      <w:r>
        <w:rPr>
          <w:rFonts w:ascii="Arial" w:cs="Arial" w:eastAsia="Arial" w:hAnsi="Arial"/>
          <w:sz w:val="22"/>
          <w:szCs w:val="22"/>
          <w:color w:val="auto"/>
        </w:rPr>
        <w:t>” means the Common Units sold in the Initial Offering.</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Initial General Partner Interest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5.1(a)</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Initial Limited Partner Interest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5.1(a)</w:t>
      </w:r>
      <w:r>
        <w:rPr>
          <w:rFonts w:ascii="Arial" w:cs="Arial" w:eastAsia="Arial" w:hAnsi="Arial"/>
          <w:sz w:val="22"/>
          <w:szCs w:val="22"/>
          <w:color w:val="auto"/>
        </w:rPr>
        <w:t>.</w:t>
      </w:r>
    </w:p>
    <w:p>
      <w:pPr>
        <w:spacing w:after="0" w:line="233" w:lineRule="exact"/>
        <w:rPr>
          <w:sz w:val="20"/>
          <w:szCs w:val="20"/>
          <w:color w:val="auto"/>
        </w:rPr>
      </w:pPr>
    </w:p>
    <w:p>
      <w:pPr>
        <w:ind w:right="6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Initial Limited Partners</w:t>
      </w:r>
      <w:r>
        <w:rPr>
          <w:rFonts w:ascii="Arial" w:cs="Arial" w:eastAsia="Arial" w:hAnsi="Arial"/>
          <w:sz w:val="22"/>
          <w:szCs w:val="22"/>
          <w:color w:val="auto"/>
        </w:rPr>
        <w:t xml:space="preserve">” means GasLog and the Underwriters, in each case upon being admitted as Partners to the Partnership in accordance with </w:t>
      </w:r>
      <w:r>
        <w:rPr>
          <w:rFonts w:ascii="Arial" w:cs="Arial" w:eastAsia="Arial" w:hAnsi="Arial"/>
          <w:sz w:val="22"/>
          <w:szCs w:val="22"/>
          <w:u w:val="single" w:color="auto"/>
          <w:color w:val="auto"/>
        </w:rPr>
        <w:t>Section 10.1</w:t>
      </w:r>
      <w:r>
        <w:rPr>
          <w:rFonts w:ascii="Arial" w:cs="Arial" w:eastAsia="Arial" w:hAnsi="Arial"/>
          <w:sz w:val="22"/>
          <w:szCs w:val="22"/>
          <w:color w:val="auto"/>
        </w:rPr>
        <w:t>.</w:t>
      </w:r>
    </w:p>
    <w:p>
      <w:pPr>
        <w:spacing w:after="0" w:line="200" w:lineRule="exact"/>
        <w:rPr>
          <w:sz w:val="20"/>
          <w:szCs w:val="20"/>
          <w:color w:val="auto"/>
        </w:rPr>
      </w:pPr>
    </w:p>
    <w:p>
      <w:pPr>
        <w:ind w:right="520" w:firstLine="1297"/>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Initial Offering</w:t>
      </w:r>
      <w:r>
        <w:rPr>
          <w:rFonts w:ascii="Arial" w:cs="Arial" w:eastAsia="Arial" w:hAnsi="Arial"/>
          <w:sz w:val="19"/>
          <w:szCs w:val="19"/>
          <w:color w:val="auto"/>
        </w:rPr>
        <w:t>” means the initial public offering and sale of Common Units to the public, as described in the Registration Statement, including any Common Units sold pursuant to the exercise of the Over-Allotment Option.</w:t>
      </w:r>
    </w:p>
    <w:p>
      <w:pPr>
        <w:spacing w:after="0" w:line="132" w:lineRule="exact"/>
        <w:rPr>
          <w:sz w:val="20"/>
          <w:szCs w:val="20"/>
          <w:color w:val="auto"/>
        </w:rPr>
      </w:pPr>
    </w:p>
    <w:p>
      <w:pPr>
        <w:ind w:right="100"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Initial Unit Price</w:t>
      </w:r>
      <w:r>
        <w:rPr>
          <w:rFonts w:ascii="Arial" w:cs="Arial" w:eastAsia="Arial" w:hAnsi="Arial"/>
          <w:sz w:val="22"/>
          <w:szCs w:val="22"/>
          <w:color w:val="auto"/>
        </w:rPr>
        <w:t>” means (a) with respect to the Common Units and the Subordinated Units, the initial public offering price per Common Unit at which the Underwriters first offered the Common Units to the public for sale as set forth on the cover page of the</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19" w:name="page20"/>
    <w:bookmarkEnd w:id="19"/>
    <w:p>
      <w:pPr>
        <w:spacing w:after="0" w:line="252" w:lineRule="auto"/>
        <w:rPr>
          <w:sz w:val="20"/>
          <w:szCs w:val="20"/>
          <w:color w:val="auto"/>
        </w:rPr>
      </w:pPr>
      <w:r>
        <w:rPr>
          <w:rFonts w:ascii="Arial" w:cs="Arial" w:eastAsia="Arial" w:hAnsi="Arial"/>
          <w:sz w:val="21"/>
          <w:szCs w:val="21"/>
          <w:color w:val="auto"/>
        </w:rPr>
        <w:t>prospectus included as part of the Registration Statement and first issued at or after the time the Registration Statement first became effective or (b) with respect to any other class or series of Units, the price per Unit at which such class or series of Units is initially sold by the Partnership, as determined by the Board of Directors, in each case adjusted as the Board of Directors determines to be appropriate to give effect to any distribution, subdivision or combination of Units.</w:t>
      </w:r>
    </w:p>
    <w:p>
      <w:pPr>
        <w:spacing w:after="0" w:line="201" w:lineRule="exact"/>
        <w:rPr>
          <w:sz w:val="20"/>
          <w:szCs w:val="20"/>
          <w:color w:val="auto"/>
        </w:rPr>
      </w:pPr>
    </w:p>
    <w:p>
      <w:pPr>
        <w:ind w:right="20" w:firstLine="1297"/>
        <w:spacing w:after="0" w:line="27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Interim Capital Transactions</w:t>
      </w:r>
      <w:r>
        <w:rPr>
          <w:rFonts w:ascii="Arial" w:cs="Arial" w:eastAsia="Arial" w:hAnsi="Arial"/>
          <w:sz w:val="19"/>
          <w:szCs w:val="19"/>
          <w:color w:val="auto"/>
        </w:rPr>
        <w:t>” means the following transactions if they occur prior to the Liquidation Date: (a) borrowings, refinancings or refundings of indebtedness (other than Working Capital Borrowings and other than for items purchased on open account in the ordinary course of business) by any Group Member and sales of debt securities of any Group Member; (b) sales of equity interests of any Group Member (including the Common Units sold to the Underwriters in the Initial Offering or pursuant to the exercise of the Over-Allotment Option); (c) sales or other voluntary or involuntary dispositions of any assets of any Group Member (including assets acquired using Investment Capital Expenditures) other than (i) sales or other dispositions of inventory, accounts receivable and other assets in the ordinary course of business and (ii) sales or other dispositions of assets as part of normal retirements or replacements; (d) capital contributions received; and (e) corporate reorganizations or restructurings.</w:t>
      </w:r>
    </w:p>
    <w:p>
      <w:pPr>
        <w:spacing w:after="0" w:line="185" w:lineRule="exact"/>
        <w:rPr>
          <w:sz w:val="20"/>
          <w:szCs w:val="20"/>
          <w:color w:val="auto"/>
        </w:rPr>
      </w:pPr>
    </w:p>
    <w:p>
      <w:pPr>
        <w:ind w:right="28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Investment Capital Expenditures</w:t>
      </w:r>
      <w:r>
        <w:rPr>
          <w:rFonts w:ascii="Arial" w:cs="Arial" w:eastAsia="Arial" w:hAnsi="Arial"/>
          <w:sz w:val="22"/>
          <w:szCs w:val="22"/>
          <w:color w:val="auto"/>
        </w:rPr>
        <w:t>” means capital expenditures other than Maintenance and Replacement Capital Expenditures and Expansion Capital Expenditures.</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Junior Securities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16.7(a)</w:t>
      </w:r>
      <w:r>
        <w:rPr>
          <w:rFonts w:ascii="Arial" w:cs="Arial" w:eastAsia="Arial" w:hAnsi="Arial"/>
          <w:sz w:val="22"/>
          <w:szCs w:val="22"/>
          <w:color w:val="auto"/>
        </w:rPr>
        <w:t>.</w:t>
      </w:r>
    </w:p>
    <w:p>
      <w:pPr>
        <w:spacing w:after="0" w:line="233" w:lineRule="exact"/>
        <w:rPr>
          <w:sz w:val="20"/>
          <w:szCs w:val="20"/>
          <w:color w:val="auto"/>
        </w:rPr>
      </w:pPr>
    </w:p>
    <w:p>
      <w:pPr>
        <w:ind w:right="100" w:firstLine="1297"/>
        <w:spacing w:after="0" w:line="27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Limited Partner</w:t>
      </w:r>
      <w:r>
        <w:rPr>
          <w:rFonts w:ascii="Arial" w:cs="Arial" w:eastAsia="Arial" w:hAnsi="Arial"/>
          <w:sz w:val="19"/>
          <w:szCs w:val="19"/>
          <w:color w:val="auto"/>
        </w:rPr>
        <w:t xml:space="preserve">” means, unless the context otherwise requires, the Organizational Limited Partner, each Initial Limited Partner, each additional Person that becomes a Limited Partner pursuant to the terms of this Agreement and any Departing General Partner upon the change of its status from General Partner to Limited Partner pursuant to </w:t>
      </w:r>
      <w:r>
        <w:rPr>
          <w:rFonts w:ascii="Arial" w:cs="Arial" w:eastAsia="Arial" w:hAnsi="Arial"/>
          <w:sz w:val="19"/>
          <w:szCs w:val="19"/>
          <w:u w:val="single" w:color="auto"/>
          <w:color w:val="auto"/>
        </w:rPr>
        <w:t>Section 11.3</w:t>
      </w:r>
      <w:r>
        <w:rPr>
          <w:rFonts w:ascii="Arial" w:cs="Arial" w:eastAsia="Arial" w:hAnsi="Arial"/>
          <w:sz w:val="19"/>
          <w:szCs w:val="19"/>
          <w:color w:val="auto"/>
        </w:rPr>
        <w:t xml:space="preserve">, in each case, in such Person’s capacity as a limited partner of the Partnership;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when the term “</w:t>
      </w:r>
      <w:r>
        <w:rPr>
          <w:rFonts w:ascii="Arial" w:cs="Arial" w:eastAsia="Arial" w:hAnsi="Arial"/>
          <w:sz w:val="19"/>
          <w:szCs w:val="19"/>
          <w:i w:val="1"/>
          <w:iCs w:val="1"/>
          <w:color w:val="auto"/>
        </w:rPr>
        <w:t>Limited Partner</w:t>
      </w:r>
      <w:r>
        <w:rPr>
          <w:rFonts w:ascii="Arial" w:cs="Arial" w:eastAsia="Arial" w:hAnsi="Arial"/>
          <w:sz w:val="19"/>
          <w:szCs w:val="19"/>
          <w:color w:val="auto"/>
        </w:rPr>
        <w:t xml:space="preserve">” is used herein in the context of any vote or other approval, including </w:t>
      </w:r>
      <w:r>
        <w:rPr>
          <w:rFonts w:ascii="Arial" w:cs="Arial" w:eastAsia="Arial" w:hAnsi="Arial"/>
          <w:sz w:val="19"/>
          <w:szCs w:val="19"/>
          <w:u w:val="single" w:color="auto"/>
          <w:color w:val="auto"/>
        </w:rPr>
        <w:t>Articles XIII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XIV</w:t>
      </w:r>
      <w:r>
        <w:rPr>
          <w:rFonts w:ascii="Arial" w:cs="Arial" w:eastAsia="Arial" w:hAnsi="Arial"/>
          <w:sz w:val="19"/>
          <w:szCs w:val="19"/>
          <w:color w:val="auto"/>
        </w:rPr>
        <w:t>, such term shall not, solely for such purpose, include any holder of an Incentive Distribution Right (solely with respect to its Incentive Distribution Rights and not with respect to any other Limited Partner Interest held by such Person) except as may otherwise be required by law. Limited Partners may include custodians, nominees or any other individual or entity in its own or any representative capacity.</w:t>
      </w:r>
    </w:p>
    <w:p>
      <w:pPr>
        <w:spacing w:after="0" w:line="185" w:lineRule="exact"/>
        <w:rPr>
          <w:sz w:val="20"/>
          <w:szCs w:val="20"/>
          <w:color w:val="auto"/>
        </w:rPr>
      </w:pPr>
    </w:p>
    <w:p>
      <w:pPr>
        <w:ind w:right="120" w:firstLine="1297"/>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Limited Partner Interest</w:t>
      </w:r>
      <w:r>
        <w:rPr>
          <w:rFonts w:ascii="Arial" w:cs="Arial" w:eastAsia="Arial" w:hAnsi="Arial"/>
          <w:sz w:val="22"/>
          <w:szCs w:val="22"/>
          <w:color w:val="auto"/>
        </w:rPr>
        <w:t xml:space="preserve">” means the ownership interest of a Limited Partner in the Partnership, which may be evidenced by Common Units, Preference Units, Subordinated Units, Incentive Distribution Rights or other Partnership Interests or a combination thereof or interest therein, and includes any and all benefits to which such Limited Partner is entitled as provided in this Agreement, together with all obligations of such Limited Partner to comply with the terms and provisions of this Agreement; </w:t>
      </w:r>
      <w:r>
        <w:rPr>
          <w:rFonts w:ascii="Arial" w:cs="Arial" w:eastAsia="Arial" w:hAnsi="Arial"/>
          <w:sz w:val="22"/>
          <w:szCs w:val="22"/>
          <w:i w:val="1"/>
          <w:iCs w:val="1"/>
          <w:color w:val="auto"/>
        </w:rPr>
        <w:t>provided</w:t>
      </w:r>
      <w:r>
        <w:rPr>
          <w:rFonts w:ascii="Arial" w:cs="Arial" w:eastAsia="Arial" w:hAnsi="Arial"/>
          <w:sz w:val="22"/>
          <w:szCs w:val="22"/>
          <w:color w:val="auto"/>
        </w:rPr>
        <w:t>,</w:t>
      </w:r>
      <w:r>
        <w:rPr>
          <w:rFonts w:ascii="Arial" w:cs="Arial" w:eastAsia="Arial" w:hAnsi="Arial"/>
          <w:sz w:val="22"/>
          <w:szCs w:val="22"/>
          <w:i w:val="1"/>
          <w:iCs w:val="1"/>
          <w:color w:val="auto"/>
        </w:rPr>
        <w:t xml:space="preserve"> however</w:t>
      </w:r>
      <w:r>
        <w:rPr>
          <w:rFonts w:ascii="Arial" w:cs="Arial" w:eastAsia="Arial" w:hAnsi="Arial"/>
          <w:sz w:val="22"/>
          <w:szCs w:val="22"/>
          <w:color w:val="auto"/>
        </w:rPr>
        <w:t>, that when the term “</w:t>
      </w:r>
      <w:r>
        <w:rPr>
          <w:rFonts w:ascii="Arial" w:cs="Arial" w:eastAsia="Arial" w:hAnsi="Arial"/>
          <w:sz w:val="22"/>
          <w:szCs w:val="22"/>
          <w:i w:val="1"/>
          <w:iCs w:val="1"/>
          <w:color w:val="auto"/>
        </w:rPr>
        <w:t>Limited Partner Interest</w:t>
      </w:r>
      <w:r>
        <w:rPr>
          <w:rFonts w:ascii="Arial" w:cs="Arial" w:eastAsia="Arial" w:hAnsi="Arial"/>
          <w:sz w:val="22"/>
          <w:szCs w:val="22"/>
          <w:color w:val="auto"/>
        </w:rPr>
        <w:t>” is used herein in the context of any vote or other approval,</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including </w:t>
      </w:r>
      <w:r>
        <w:rPr>
          <w:rFonts w:ascii="Arial" w:cs="Arial" w:eastAsia="Arial" w:hAnsi="Arial"/>
          <w:sz w:val="22"/>
          <w:szCs w:val="22"/>
          <w:u w:val="single" w:color="auto"/>
          <w:color w:val="auto"/>
        </w:rPr>
        <w:t>Articles XIII</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XIV</w:t>
      </w:r>
      <w:r>
        <w:rPr>
          <w:rFonts w:ascii="Arial" w:cs="Arial" w:eastAsia="Arial" w:hAnsi="Arial"/>
          <w:sz w:val="22"/>
          <w:szCs w:val="22"/>
          <w:color w:val="auto"/>
        </w:rPr>
        <w:t>, such term shall not, solely for such purpose, include any Incentive Distribution Right except as may otherwise be required by law.</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20" w:name="page21"/>
    <w:bookmarkEnd w:id="20"/>
    <w:p>
      <w:pPr>
        <w:ind w:right="20" w:firstLine="1297"/>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Liquidation Date</w:t>
      </w:r>
      <w:r>
        <w:rPr>
          <w:rFonts w:ascii="Arial" w:cs="Arial" w:eastAsia="Arial" w:hAnsi="Arial"/>
          <w:sz w:val="22"/>
          <w:szCs w:val="22"/>
          <w:color w:val="auto"/>
        </w:rPr>
        <w:t xml:space="preserve">” means (a) in the case of an event giving rise to the dissolution of the Partnership of the type described in </w:t>
      </w:r>
      <w:r>
        <w:rPr>
          <w:rFonts w:ascii="Arial" w:cs="Arial" w:eastAsia="Arial" w:hAnsi="Arial"/>
          <w:sz w:val="22"/>
          <w:szCs w:val="22"/>
          <w:u w:val="single" w:color="auto"/>
          <w:color w:val="auto"/>
        </w:rPr>
        <w:t>clauses (a)</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(b)</w:t>
      </w:r>
      <w:r>
        <w:rPr>
          <w:rFonts w:ascii="Arial" w:cs="Arial" w:eastAsia="Arial" w:hAnsi="Arial"/>
          <w:sz w:val="22"/>
          <w:szCs w:val="22"/>
          <w:color w:val="auto"/>
        </w:rPr>
        <w:t xml:space="preserve"> of the first sentence of </w:t>
      </w:r>
      <w:r>
        <w:rPr>
          <w:rFonts w:ascii="Arial" w:cs="Arial" w:eastAsia="Arial" w:hAnsi="Arial"/>
          <w:sz w:val="22"/>
          <w:szCs w:val="22"/>
          <w:u w:val="single" w:color="auto"/>
          <w:color w:val="auto"/>
        </w:rPr>
        <w:t>Section 12.2</w:t>
      </w:r>
      <w:r>
        <w:rPr>
          <w:rFonts w:ascii="Arial" w:cs="Arial" w:eastAsia="Arial" w:hAnsi="Arial"/>
          <w:sz w:val="22"/>
          <w:szCs w:val="22"/>
          <w:color w:val="auto"/>
        </w:rPr>
        <w:t>, the date on which the applicable time period during which the holders of Outstanding Units have the right to elect to continue the business of the Partnership has expired without such an election being made, and (b) in the case of any other event giving rise to the dissolution of the Partnership, the date on which such event occurs.</w:t>
      </w:r>
    </w:p>
    <w:p>
      <w:pPr>
        <w:spacing w:after="0" w:line="215" w:lineRule="exact"/>
        <w:rPr>
          <w:sz w:val="20"/>
          <w:szCs w:val="20"/>
          <w:color w:val="auto"/>
        </w:rPr>
      </w:pPr>
    </w:p>
    <w:p>
      <w:pPr>
        <w:ind w:right="220" w:firstLine="1297"/>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Liquidation Event</w:t>
      </w:r>
      <w:r>
        <w:rPr>
          <w:rFonts w:ascii="Arial" w:cs="Arial" w:eastAsia="Arial" w:hAnsi="Arial"/>
          <w:sz w:val="19"/>
          <w:szCs w:val="19"/>
          <w:color w:val="auto"/>
        </w:rPr>
        <w:t xml:space="preserve">” means the occurrence of a dissolution or liquidation of the Partnership, whether voluntary or involuntary;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a Liquidation Event shall not precede the Liquidation Date. Neither the sale of all or substantially all of the property or business of the Partnership nor the consolidation or merger of the Partnership with or into any other Person, individually or in a series of transactions, shall be deemed a Liquidation Event.</w:t>
      </w:r>
    </w:p>
    <w:p>
      <w:pPr>
        <w:spacing w:after="0" w:line="170" w:lineRule="exact"/>
        <w:rPr>
          <w:sz w:val="20"/>
          <w:szCs w:val="20"/>
          <w:color w:val="auto"/>
        </w:rPr>
      </w:pPr>
    </w:p>
    <w:p>
      <w:pPr>
        <w:ind w:firstLine="1297"/>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Liquidation Preference</w:t>
      </w:r>
      <w:r>
        <w:rPr>
          <w:rFonts w:ascii="Arial" w:cs="Arial" w:eastAsia="Arial" w:hAnsi="Arial"/>
          <w:sz w:val="21"/>
          <w:szCs w:val="21"/>
          <w:color w:val="auto"/>
        </w:rPr>
        <w:t xml:space="preserve">” means, in connection with any distribution in connection with a Liquidation Event pursuant to </w:t>
      </w:r>
      <w:r>
        <w:rPr>
          <w:rFonts w:ascii="Arial" w:cs="Arial" w:eastAsia="Arial" w:hAnsi="Arial"/>
          <w:sz w:val="21"/>
          <w:szCs w:val="21"/>
          <w:u w:val="single" w:color="auto"/>
          <w:color w:val="auto"/>
        </w:rPr>
        <w:t>Section 12.4</w:t>
      </w:r>
      <w:r>
        <w:rPr>
          <w:rFonts w:ascii="Arial" w:cs="Arial" w:eastAsia="Arial" w:hAnsi="Arial"/>
          <w:sz w:val="21"/>
          <w:szCs w:val="21"/>
          <w:color w:val="auto"/>
        </w:rPr>
        <w:t xml:space="preserve"> and with respect to any holder of any class or series of Partnership Interests, the amount otherwise payable to such holder in such distribution with respect to such class or series of Partnership Interests (assuming no limitation on the assets of the Partnership available for such distribution), including an amount equal to any accrued but unpaid distributions thereon to the date fixed for such payment, whether or not declared (if the terms of the applicable class or series of Partnership Interests so provide). For avoidance of doubt, for the foregoing purposes, the Series A Liquidation Preference is the Liquidation Preference with respect to the Series A Preference Units.</w:t>
      </w:r>
    </w:p>
    <w:p>
      <w:pPr>
        <w:spacing w:after="0" w:line="205" w:lineRule="exact"/>
        <w:rPr>
          <w:sz w:val="20"/>
          <w:szCs w:val="20"/>
          <w:color w:val="auto"/>
        </w:rPr>
      </w:pPr>
    </w:p>
    <w:p>
      <w:pPr>
        <w:ind w:right="52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Liquidating Trustee</w:t>
      </w:r>
      <w:r>
        <w:rPr>
          <w:rFonts w:ascii="Arial" w:cs="Arial" w:eastAsia="Arial" w:hAnsi="Arial"/>
          <w:sz w:val="22"/>
          <w:szCs w:val="22"/>
          <w:color w:val="auto"/>
        </w:rPr>
        <w:t xml:space="preserve">” means one or more Persons selected by the Board of Directors to perform the functions described in </w:t>
      </w:r>
      <w:r>
        <w:rPr>
          <w:rFonts w:ascii="Arial" w:cs="Arial" w:eastAsia="Arial" w:hAnsi="Arial"/>
          <w:sz w:val="22"/>
          <w:szCs w:val="22"/>
          <w:u w:val="single" w:color="auto"/>
          <w:color w:val="auto"/>
        </w:rPr>
        <w:t>Section 12.4</w:t>
      </w:r>
      <w:r>
        <w:rPr>
          <w:rFonts w:ascii="Arial" w:cs="Arial" w:eastAsia="Arial" w:hAnsi="Arial"/>
          <w:sz w:val="22"/>
          <w:szCs w:val="22"/>
          <w:color w:val="auto"/>
        </w:rPr>
        <w:t>.</w:t>
      </w:r>
    </w:p>
    <w:p>
      <w:pPr>
        <w:spacing w:after="0" w:line="200" w:lineRule="exact"/>
        <w:rPr>
          <w:sz w:val="20"/>
          <w:szCs w:val="20"/>
          <w:color w:val="auto"/>
        </w:rPr>
      </w:pPr>
    </w:p>
    <w:p>
      <w:pPr>
        <w:ind w:right="16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London Business Day</w:t>
      </w:r>
      <w:r>
        <w:rPr>
          <w:rFonts w:ascii="Arial" w:cs="Arial" w:eastAsia="Arial" w:hAnsi="Arial"/>
          <w:sz w:val="22"/>
          <w:szCs w:val="22"/>
          <w:color w:val="auto"/>
        </w:rPr>
        <w:t>” means any day on which dealings in deposits in U.S. dollars are transacted in the London interbank market.</w:t>
      </w:r>
    </w:p>
    <w:p>
      <w:pPr>
        <w:spacing w:after="0" w:line="200" w:lineRule="exact"/>
        <w:rPr>
          <w:sz w:val="20"/>
          <w:szCs w:val="20"/>
          <w:color w:val="auto"/>
        </w:rPr>
      </w:pPr>
    </w:p>
    <w:p>
      <w:pPr>
        <w:ind w:right="140" w:firstLine="1297"/>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Maintenance and Replacement Capital Expenditures</w:t>
      </w:r>
      <w:r>
        <w:rPr>
          <w:rFonts w:ascii="Arial" w:cs="Arial" w:eastAsia="Arial" w:hAnsi="Arial"/>
          <w:sz w:val="19"/>
          <w:szCs w:val="19"/>
          <w:color w:val="auto"/>
        </w:rPr>
        <w:t>” means cash expenditures (including expenditures for the addition or improvement to, or the replacement of, the capital assets owned by any Group Member or for the acquisition of existing, or the construction of new, capital assets) if such expenditure is made to maintain, including over the long term, the operating capacity and/or asset base of the Partnership Group or the revenue generated by the vessels owned by the Partnership Group. Maintenance and Replacement Capital Expenditures shall not include Expansion Capital Expenditures or Investment Capital Expenditures. Maintenance and Replacement Capital Expenditures shall include interest payments (and related fees) on debt incurred and distributions on equity issued, in each case, to finance the acquisition or the construction of a replacement asset and paid in respect of the period beginning on the date that the Group Member enters into a binding obligation to acquire or construct a replacement asset and ending on the earlier to occur of the date that such replacement asset Commences Commercial Service or the date that such replacement asset is abandoned or disposed of. Debt incurred to pay or equity issued to fund the construction period interest payments, or such construction period distributions on equity shall also be deemed to be debt incurred or equity issued, as the case may be, to finance the construction of a replacement asset, and the</w:t>
      </w:r>
    </w:p>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80"/>
          </w:cols>
          <w:pgMar w:left="240" w:top="402" w:right="279" w:bottom="1440" w:gutter="0" w:footer="0" w:header="0"/>
        </w:sectPr>
      </w:pPr>
    </w:p>
    <w:bookmarkStart w:id="21" w:name="page22"/>
    <w:bookmarkEnd w:id="21"/>
    <w:p>
      <w:pPr>
        <w:ind w:right="220"/>
        <w:spacing w:after="0" w:line="251" w:lineRule="auto"/>
        <w:rPr>
          <w:sz w:val="20"/>
          <w:szCs w:val="20"/>
          <w:color w:val="auto"/>
        </w:rPr>
      </w:pPr>
      <w:r>
        <w:rPr>
          <w:rFonts w:ascii="Arial" w:cs="Arial" w:eastAsia="Arial" w:hAnsi="Arial"/>
          <w:sz w:val="22"/>
          <w:szCs w:val="22"/>
          <w:color w:val="auto"/>
        </w:rPr>
        <w:t>Incremental Incentive Distributions paid in respect of such newly issued equity shall be deemed to be distributions paid on equity issued to finance the construction of a replacement asset.</w:t>
      </w:r>
    </w:p>
    <w:p>
      <w:pPr>
        <w:spacing w:after="0" w:line="200" w:lineRule="exact"/>
        <w:rPr>
          <w:sz w:val="20"/>
          <w:szCs w:val="20"/>
          <w:color w:val="auto"/>
        </w:rPr>
      </w:pPr>
    </w:p>
    <w:p>
      <w:pPr>
        <w:ind w:right="30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Marshall Islands Act</w:t>
      </w:r>
      <w:r>
        <w:rPr>
          <w:rFonts w:ascii="Arial" w:cs="Arial" w:eastAsia="Arial" w:hAnsi="Arial"/>
          <w:sz w:val="22"/>
          <w:szCs w:val="22"/>
          <w:color w:val="auto"/>
        </w:rPr>
        <w:t>” means the Limited Partnership Act of The Republic of the Marshall Islands, as amended, supplemented or restated from time to time, and any successor to such statute.</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Merger Agreement</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14.1</w:t>
      </w:r>
      <w:r>
        <w:rPr>
          <w:rFonts w:ascii="Arial" w:cs="Arial" w:eastAsia="Arial" w:hAnsi="Arial"/>
          <w:sz w:val="22"/>
          <w:szCs w:val="22"/>
          <w:color w:val="auto"/>
        </w:rPr>
        <w:t>.</w:t>
      </w:r>
    </w:p>
    <w:p>
      <w:pPr>
        <w:spacing w:after="0" w:line="233" w:lineRule="exact"/>
        <w:rPr>
          <w:sz w:val="20"/>
          <w:szCs w:val="20"/>
          <w:color w:val="auto"/>
        </w:rPr>
      </w:pPr>
    </w:p>
    <w:p>
      <w:pPr>
        <w:ind w:firstLine="1297"/>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Minimum Quarterly Distribution</w:t>
      </w:r>
      <w:r>
        <w:rPr>
          <w:rFonts w:ascii="Arial" w:cs="Arial" w:eastAsia="Arial" w:hAnsi="Arial"/>
          <w:sz w:val="19"/>
          <w:szCs w:val="19"/>
          <w:color w:val="auto"/>
        </w:rPr>
        <w:t xml:space="preserve">” means $0.375 per Common Unit per Quarter (or with respect to the period commencing on the Closing Date and ending on June 30, 2014, it means the product of $0.375 multiplied by a fraction of which the numerator is the number of days in such period and of which the denominator is the total number of days in the Quarter in which the Closing Date occurs), subject to adjustment in accordance with </w:t>
      </w:r>
      <w:r>
        <w:rPr>
          <w:rFonts w:ascii="Arial" w:cs="Arial" w:eastAsia="Arial" w:hAnsi="Arial"/>
          <w:sz w:val="19"/>
          <w:szCs w:val="19"/>
          <w:u w:val="single" w:color="auto"/>
          <w:color w:val="auto"/>
        </w:rPr>
        <w:t>Section 5.10</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6.5</w:t>
      </w:r>
      <w:r>
        <w:rPr>
          <w:rFonts w:ascii="Arial" w:cs="Arial" w:eastAsia="Arial" w:hAnsi="Arial"/>
          <w:sz w:val="19"/>
          <w:szCs w:val="19"/>
          <w:color w:val="auto"/>
        </w:rPr>
        <w:t>.</w:t>
      </w:r>
    </w:p>
    <w:p>
      <w:pPr>
        <w:spacing w:after="0" w:line="170" w:lineRule="exact"/>
        <w:rPr>
          <w:sz w:val="20"/>
          <w:szCs w:val="20"/>
          <w:color w:val="auto"/>
        </w:rPr>
      </w:pPr>
    </w:p>
    <w:p>
      <w:pPr>
        <w:ind w:right="520" w:firstLine="1297"/>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National Securities Exchange</w:t>
      </w:r>
      <w:r>
        <w:rPr>
          <w:rFonts w:ascii="Arial" w:cs="Arial" w:eastAsia="Arial" w:hAnsi="Arial"/>
          <w:sz w:val="21"/>
          <w:szCs w:val="21"/>
          <w:color w:val="auto"/>
        </w:rPr>
        <w:t>” means an exchange registered with the Commission under Section 6(a) of the Exchange Act, supplemented or restated from time to time, and any successor to such statute.</w:t>
      </w:r>
    </w:p>
    <w:p>
      <w:pPr>
        <w:spacing w:after="0" w:line="178" w:lineRule="exact"/>
        <w:rPr>
          <w:sz w:val="20"/>
          <w:szCs w:val="20"/>
          <w:color w:val="auto"/>
        </w:rPr>
      </w:pPr>
    </w:p>
    <w:p>
      <w:pPr>
        <w:ind w:right="120" w:firstLine="1297"/>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Net Agreed Value</w:t>
      </w:r>
      <w:r>
        <w:rPr>
          <w:rFonts w:ascii="Arial" w:cs="Arial" w:eastAsia="Arial" w:hAnsi="Arial"/>
          <w:sz w:val="19"/>
          <w:szCs w:val="19"/>
          <w:color w:val="auto"/>
        </w:rPr>
        <w:t>” means, (a) in the case of any Contributed Property, the Agreed Value of such property reduced by any liabilities either assumed by the Partnership upon such contribution or to which such property is subject when contributed, and (b) in the case of any property distributed to a Partner by the Partnership, the Agreed Value of such property, reduced by any indebtedness either assumed by such Partner upon such distribution or to which such property is subject at the time of distribution.</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Notice of Election to Purchase</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15.1(b)</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Officers</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7.8(a)</w:t>
      </w:r>
      <w:r>
        <w:rPr>
          <w:rFonts w:ascii="Arial" w:cs="Arial" w:eastAsia="Arial" w:hAnsi="Arial"/>
          <w:sz w:val="22"/>
          <w:szCs w:val="22"/>
          <w:color w:val="auto"/>
        </w:rPr>
        <w:t>.</w:t>
      </w:r>
    </w:p>
    <w:p>
      <w:pPr>
        <w:spacing w:after="0" w:line="233" w:lineRule="exact"/>
        <w:rPr>
          <w:sz w:val="20"/>
          <w:szCs w:val="20"/>
          <w:color w:val="auto"/>
        </w:rPr>
      </w:pPr>
    </w:p>
    <w:p>
      <w:pPr>
        <w:ind w:right="88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Omnibus Agreement</w:t>
      </w:r>
      <w:r>
        <w:rPr>
          <w:rFonts w:ascii="Arial" w:cs="Arial" w:eastAsia="Arial" w:hAnsi="Arial"/>
          <w:sz w:val="22"/>
          <w:szCs w:val="22"/>
          <w:color w:val="auto"/>
        </w:rPr>
        <w:t>” means that Omnibus Agreement, dated as of the Closing Date, among GasLog, the Partnership, the General Partner and the Operating Company.</w:t>
      </w:r>
    </w:p>
    <w:p>
      <w:pPr>
        <w:spacing w:after="0" w:line="200" w:lineRule="exact"/>
        <w:rPr>
          <w:sz w:val="20"/>
          <w:szCs w:val="20"/>
          <w:color w:val="auto"/>
        </w:rPr>
      </w:pPr>
    </w:p>
    <w:p>
      <w:pPr>
        <w:ind w:right="36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Operating Company</w:t>
      </w:r>
      <w:r>
        <w:rPr>
          <w:rFonts w:ascii="Arial" w:cs="Arial" w:eastAsia="Arial" w:hAnsi="Arial"/>
          <w:sz w:val="22"/>
          <w:szCs w:val="22"/>
          <w:color w:val="auto"/>
        </w:rPr>
        <w:t>” means GasLog Partners Holdings LLC, a Marshall Islands limited liability company, and any successors thereto.</w:t>
      </w:r>
    </w:p>
    <w:p>
      <w:pPr>
        <w:spacing w:after="0" w:line="200" w:lineRule="exact"/>
        <w:rPr>
          <w:sz w:val="20"/>
          <w:szCs w:val="20"/>
          <w:color w:val="auto"/>
        </w:rPr>
      </w:pPr>
    </w:p>
    <w:p>
      <w:pPr>
        <w:ind w:right="120" w:firstLine="1297"/>
        <w:spacing w:after="0" w:line="27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Operating Expenditures</w:t>
      </w:r>
      <w:r>
        <w:rPr>
          <w:rFonts w:ascii="Arial" w:cs="Arial" w:eastAsia="Arial" w:hAnsi="Arial"/>
          <w:sz w:val="19"/>
          <w:szCs w:val="19"/>
          <w:color w:val="auto"/>
        </w:rPr>
        <w:t>” means all Partnership Group cash expenditures (or the Partnership’s proportionate share of expenditures in the case of Subsidiaries that are not wholly-owned), including taxes, employee and director compensation, reimbursements of expenses of the General Partner, repayment of Working Capital Borrowings, debt service payments, capital expenditures, payments made in the ordinary course of business under any Hedge Contracts (</w:t>
      </w:r>
      <w:r>
        <w:rPr>
          <w:rFonts w:ascii="Arial" w:cs="Arial" w:eastAsia="Arial" w:hAnsi="Arial"/>
          <w:sz w:val="19"/>
          <w:szCs w:val="19"/>
          <w:i w:val="1"/>
          <w:iCs w:val="1"/>
          <w:color w:val="auto"/>
        </w:rPr>
        <w:t>provided</w:t>
      </w:r>
      <w:r>
        <w:rPr>
          <w:rFonts w:ascii="Arial" w:cs="Arial" w:eastAsia="Arial" w:hAnsi="Arial"/>
          <w:sz w:val="19"/>
          <w:szCs w:val="19"/>
          <w:color w:val="auto"/>
        </w:rPr>
        <w:t>, (i) with respect to amounts paid in connection with the initial purchase of any Hedge Contract, such amounts shall be amortized over the life of the Hedge Contract and (ii) that payments made in connection with the termination of any Hedge Contract prior to the expiration of its stipulated settlement or termination date shall be included in Operating Expenditures in</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22" w:name="page23"/>
    <w:bookmarkEnd w:id="22"/>
    <w:p>
      <w:pPr>
        <w:ind w:right="300"/>
        <w:spacing w:after="0" w:line="251" w:lineRule="auto"/>
        <w:rPr>
          <w:sz w:val="20"/>
          <w:szCs w:val="20"/>
          <w:color w:val="auto"/>
        </w:rPr>
      </w:pPr>
      <w:r>
        <w:rPr>
          <w:rFonts w:ascii="Arial" w:cs="Arial" w:eastAsia="Arial" w:hAnsi="Arial"/>
          <w:sz w:val="22"/>
          <w:szCs w:val="22"/>
          <w:color w:val="auto"/>
        </w:rPr>
        <w:t>equal quarterly installments over the remaining scheduled life of such Hedge Contract) and Series A Distributions, subject to the following:</w:t>
      </w:r>
    </w:p>
    <w:p>
      <w:pPr>
        <w:spacing w:after="0" w:line="200" w:lineRule="exact"/>
        <w:rPr>
          <w:sz w:val="20"/>
          <w:szCs w:val="20"/>
          <w:color w:val="auto"/>
        </w:rPr>
      </w:pPr>
    </w:p>
    <w:p>
      <w:pPr>
        <w:ind w:left="660" w:right="120" w:firstLine="645"/>
        <w:spacing w:after="0" w:line="328" w:lineRule="auto"/>
        <w:tabs>
          <w:tab w:leader="none" w:pos="1602" w:val="left"/>
        </w:tabs>
        <w:numPr>
          <w:ilvl w:val="0"/>
          <w:numId w:val="6"/>
        </w:numPr>
        <w:rPr>
          <w:rFonts w:ascii="Arial" w:cs="Arial" w:eastAsia="Arial" w:hAnsi="Arial"/>
          <w:sz w:val="19"/>
          <w:szCs w:val="19"/>
          <w:color w:val="auto"/>
        </w:rPr>
      </w:pPr>
      <w:r>
        <w:rPr>
          <w:rFonts w:ascii="Arial" w:cs="Arial" w:eastAsia="Arial" w:hAnsi="Arial"/>
          <w:sz w:val="19"/>
          <w:szCs w:val="19"/>
          <w:color w:val="auto"/>
        </w:rPr>
        <w:t xml:space="preserve">deemed repayments of Working Capital Borrowings deducted from Operating Surplus pursuant to </w:t>
      </w:r>
      <w:r>
        <w:rPr>
          <w:rFonts w:ascii="Arial" w:cs="Arial" w:eastAsia="Arial" w:hAnsi="Arial"/>
          <w:sz w:val="19"/>
          <w:szCs w:val="19"/>
          <w:u w:val="single" w:color="auto"/>
          <w:color w:val="auto"/>
        </w:rPr>
        <w:t>clause (b)(iii)</w:t>
      </w:r>
      <w:r>
        <w:rPr>
          <w:rFonts w:ascii="Arial" w:cs="Arial" w:eastAsia="Arial" w:hAnsi="Arial"/>
          <w:sz w:val="19"/>
          <w:szCs w:val="19"/>
          <w:color w:val="auto"/>
        </w:rPr>
        <w:t xml:space="preserve"> of the definition of Operating Surplus shall not constitute Operating Expenditures when actually repaid;</w:t>
      </w:r>
    </w:p>
    <w:p>
      <w:pPr>
        <w:spacing w:after="0" w:line="132" w:lineRule="exact"/>
        <w:rPr>
          <w:rFonts w:ascii="Arial" w:cs="Arial" w:eastAsia="Arial" w:hAnsi="Arial"/>
          <w:sz w:val="19"/>
          <w:szCs w:val="19"/>
          <w:color w:val="auto"/>
        </w:rPr>
      </w:pPr>
    </w:p>
    <w:p>
      <w:pPr>
        <w:ind w:left="660" w:right="120" w:firstLine="645"/>
        <w:spacing w:after="0" w:line="251" w:lineRule="auto"/>
        <w:tabs>
          <w:tab w:leader="none" w:pos="1614" w:val="left"/>
        </w:tabs>
        <w:numPr>
          <w:ilvl w:val="0"/>
          <w:numId w:val="6"/>
        </w:numPr>
        <w:rPr>
          <w:rFonts w:ascii="Arial" w:cs="Arial" w:eastAsia="Arial" w:hAnsi="Arial"/>
          <w:sz w:val="22"/>
          <w:szCs w:val="22"/>
          <w:color w:val="auto"/>
        </w:rPr>
      </w:pPr>
      <w:r>
        <w:rPr>
          <w:rFonts w:ascii="Arial" w:cs="Arial" w:eastAsia="Arial" w:hAnsi="Arial"/>
          <w:sz w:val="22"/>
          <w:szCs w:val="22"/>
          <w:color w:val="auto"/>
        </w:rPr>
        <w:t>payments (including prepayments and prepayment penalties) of principal of and premium on indebtedness other than Working Capital Borrowings shall not constitute Operating Expenditures; and</w:t>
      </w:r>
    </w:p>
    <w:p>
      <w:pPr>
        <w:spacing w:after="0" w:line="200" w:lineRule="exact"/>
        <w:rPr>
          <w:rFonts w:ascii="Arial" w:cs="Arial" w:eastAsia="Arial" w:hAnsi="Arial"/>
          <w:sz w:val="22"/>
          <w:szCs w:val="22"/>
          <w:color w:val="auto"/>
        </w:rPr>
      </w:pPr>
    </w:p>
    <w:p>
      <w:pPr>
        <w:ind w:left="660" w:firstLine="645"/>
        <w:spacing w:after="0" w:line="236" w:lineRule="auto"/>
        <w:tabs>
          <w:tab w:leader="none" w:pos="1602" w:val="left"/>
        </w:tabs>
        <w:numPr>
          <w:ilvl w:val="0"/>
          <w:numId w:val="6"/>
        </w:numPr>
        <w:rPr>
          <w:rFonts w:ascii="Arial" w:cs="Arial" w:eastAsia="Arial" w:hAnsi="Arial"/>
          <w:sz w:val="22"/>
          <w:szCs w:val="22"/>
          <w:color w:val="auto"/>
        </w:rPr>
      </w:pPr>
      <w:r>
        <w:rPr>
          <w:rFonts w:ascii="Arial" w:cs="Arial" w:eastAsia="Arial" w:hAnsi="Arial"/>
          <w:sz w:val="22"/>
          <w:szCs w:val="22"/>
          <w:color w:val="auto"/>
        </w:rPr>
        <w:t>Operating Expenditures shall not include (i) Expansion Capital Expenditures, Investment Capital Expenditures or actual Maintenance and Replacement Capital Expenditures, but shall include Estimated Maintenance and Replacement Capital Expenditures, (ii) payment of transaction expenses (including taxes) relating to Interim Capital Transactions, (iii) Series A Redemption Payments, (iv) payments made to Series A Holders to purchase or otherwise acquire Preference Units, or (v) distributions to Partners,</w:t>
      </w:r>
    </w:p>
    <w:p>
      <w:pPr>
        <w:spacing w:after="0" w:line="215" w:lineRule="exact"/>
        <w:rPr>
          <w:sz w:val="20"/>
          <w:szCs w:val="20"/>
          <w:color w:val="auto"/>
        </w:rPr>
      </w:pPr>
    </w:p>
    <w:p>
      <w:pPr>
        <w:ind w:right="300"/>
        <w:spacing w:after="0"/>
        <w:rPr>
          <w:sz w:val="20"/>
          <w:szCs w:val="20"/>
          <w:color w:val="auto"/>
        </w:rPr>
      </w:pPr>
      <w:r>
        <w:rPr>
          <w:rFonts w:ascii="Arial" w:cs="Arial" w:eastAsia="Arial" w:hAnsi="Arial"/>
          <w:sz w:val="22"/>
          <w:szCs w:val="22"/>
          <w:color w:val="auto"/>
        </w:rPr>
        <w:t>where capital expenditures consist of both (y) Maintenance and Replacement Capital Expenditures and (z) Expansion Capital Expenditures and/or Investment Capital Expenditures, the Board of Directors (with the concurrence of the Conflicts Committee) shall determine the allocation between the amounts paid for each.</w:t>
      </w:r>
    </w:p>
    <w:p>
      <w:pPr>
        <w:spacing w:after="0" w:line="213" w:lineRule="exact"/>
        <w:rPr>
          <w:sz w:val="20"/>
          <w:szCs w:val="20"/>
          <w:color w:val="auto"/>
        </w:rPr>
      </w:pPr>
    </w:p>
    <w:p>
      <w:pPr>
        <w:ind w:right="16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Operating Surplus</w:t>
      </w:r>
      <w:r>
        <w:rPr>
          <w:rFonts w:ascii="Arial" w:cs="Arial" w:eastAsia="Arial" w:hAnsi="Arial"/>
          <w:sz w:val="22"/>
          <w:szCs w:val="22"/>
          <w:color w:val="auto"/>
        </w:rPr>
        <w:t>” means, with respect to any period ending prior to the Liquidation Date, on a cumulative basis and without duplication:</w:t>
      </w:r>
    </w:p>
    <w:p>
      <w:pPr>
        <w:spacing w:after="0" w:line="200" w:lineRule="exact"/>
        <w:rPr>
          <w:sz w:val="20"/>
          <w:szCs w:val="20"/>
          <w:color w:val="auto"/>
        </w:rPr>
      </w:pPr>
    </w:p>
    <w:p>
      <w:pPr>
        <w:ind w:left="660" w:firstLine="645"/>
        <w:spacing w:after="0" w:line="271" w:lineRule="auto"/>
        <w:tabs>
          <w:tab w:leader="none" w:pos="1602" w:val="left"/>
        </w:tabs>
        <w:numPr>
          <w:ilvl w:val="0"/>
          <w:numId w:val="7"/>
        </w:numPr>
        <w:rPr>
          <w:rFonts w:ascii="Arial" w:cs="Arial" w:eastAsia="Arial" w:hAnsi="Arial"/>
          <w:sz w:val="19"/>
          <w:szCs w:val="19"/>
          <w:color w:val="auto"/>
        </w:rPr>
      </w:pPr>
      <w:r>
        <w:rPr>
          <w:rFonts w:ascii="Arial" w:cs="Arial" w:eastAsia="Arial" w:hAnsi="Arial"/>
          <w:sz w:val="19"/>
          <w:szCs w:val="19"/>
          <w:color w:val="auto"/>
        </w:rPr>
        <w:t xml:space="preserve">the sum of (i) $19.0 million, (ii) all cash receipts of the Partnership Group (or the Partnership’s proportionate share of cash receipts in the case of Subsidiaries that are not wholly-owned) for the period beginning on the Closing Date and ending on the last day of such period, other than cash receipts from Interim Capital Transactions (excluding return on capital from Investment Capital Expenditures); </w:t>
      </w:r>
      <w:r>
        <w:rPr>
          <w:rFonts w:ascii="Arial" w:cs="Arial" w:eastAsia="Arial" w:hAnsi="Arial"/>
          <w:sz w:val="19"/>
          <w:szCs w:val="19"/>
          <w:i w:val="1"/>
          <w:iCs w:val="1"/>
          <w:color w:val="auto"/>
        </w:rPr>
        <w:t>provided</w:t>
      </w:r>
      <w:r>
        <w:rPr>
          <w:rFonts w:ascii="Arial" w:cs="Arial" w:eastAsia="Arial" w:hAnsi="Arial"/>
          <w:sz w:val="19"/>
          <w:szCs w:val="19"/>
          <w:color w:val="auto"/>
        </w:rPr>
        <w:t>, that cash receipts from the termination of a Hedge Contract prior to its specified termination date shall be included in Operating Surplus in equal quarterly installments over the remaining scheduled life of such Hedge Contract, (iii) all cash receipts of the Partnership Group (or the Partnership’s proportionate share of cash receipts in the case of Subsidiaries that are not wholly-owned) after the end of such period but on or before the date of determination of Operating Surplus with respect to such period resulting from Working Capital Borrowings and (iv) the amount of cash distributions paid on equity issued (including Incremental Incentive Distributions) in connection with the construction of a Capital Improvement or replacement of a capital asset and paid in respect of the period beginning on the date that the Group Member enters into a binding obligation to commence the construction of such Capital Improvement or replacement of such capital asset and ending on the earlier to occur of the date that such Capital Improvement or replacement capital asset Commences Commercial Service or the date that it is abandoned or disposed of (equity issued to fund the construction period interest payments on debt incurred</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23" w:name="page24"/>
    <w:bookmarkEnd w:id="23"/>
    <w:p>
      <w:pPr>
        <w:ind w:left="660" w:right="220"/>
        <w:spacing w:after="0" w:line="252" w:lineRule="auto"/>
        <w:rPr>
          <w:sz w:val="20"/>
          <w:szCs w:val="20"/>
          <w:color w:val="auto"/>
        </w:rPr>
      </w:pPr>
      <w:r>
        <w:rPr>
          <w:rFonts w:ascii="Arial" w:cs="Arial" w:eastAsia="Arial" w:hAnsi="Arial"/>
          <w:sz w:val="21"/>
          <w:szCs w:val="21"/>
          <w:color w:val="auto"/>
        </w:rPr>
        <w:t xml:space="preserve">(including periodic net payments under related Hedge Contracts), or construction period distributions on equity issued (including Incremental Incentive Distributions), to finance the construction of a Capital Improvement or replacement of a capital asset shall also be deemed to be equity issued to finance the construction of a Capital Improvement or replacement of such capital asset for purposes of this </w:t>
      </w:r>
      <w:r>
        <w:rPr>
          <w:rFonts w:ascii="Arial" w:cs="Arial" w:eastAsia="Arial" w:hAnsi="Arial"/>
          <w:sz w:val="21"/>
          <w:szCs w:val="21"/>
          <w:u w:val="single" w:color="auto"/>
          <w:color w:val="auto"/>
        </w:rPr>
        <w:t>clause (iv)</w:t>
      </w:r>
      <w:r>
        <w:rPr>
          <w:rFonts w:ascii="Arial" w:cs="Arial" w:eastAsia="Arial" w:hAnsi="Arial"/>
          <w:sz w:val="21"/>
          <w:szCs w:val="21"/>
          <w:color w:val="auto"/>
        </w:rPr>
        <w:t>), less</w:t>
      </w:r>
    </w:p>
    <w:p>
      <w:pPr>
        <w:spacing w:after="0" w:line="201" w:lineRule="exact"/>
        <w:rPr>
          <w:sz w:val="20"/>
          <w:szCs w:val="20"/>
          <w:color w:val="auto"/>
        </w:rPr>
      </w:pPr>
    </w:p>
    <w:p>
      <w:pPr>
        <w:ind w:left="660" w:firstLine="645"/>
        <w:spacing w:after="0" w:line="274" w:lineRule="auto"/>
        <w:tabs>
          <w:tab w:leader="none" w:pos="1614" w:val="left"/>
        </w:tabs>
        <w:numPr>
          <w:ilvl w:val="0"/>
          <w:numId w:val="8"/>
        </w:numPr>
        <w:rPr>
          <w:rFonts w:ascii="Arial" w:cs="Arial" w:eastAsia="Arial" w:hAnsi="Arial"/>
          <w:sz w:val="19"/>
          <w:szCs w:val="19"/>
          <w:color w:val="auto"/>
        </w:rPr>
      </w:pPr>
      <w:r>
        <w:rPr>
          <w:rFonts w:ascii="Arial" w:cs="Arial" w:eastAsia="Arial" w:hAnsi="Arial"/>
          <w:sz w:val="19"/>
          <w:szCs w:val="19"/>
          <w:color w:val="auto"/>
        </w:rPr>
        <w:t xml:space="preserve">the sum of (i) Operating Expenditures for the period beginning immediately after the Closing Date and ending on the last day of such period, (ii) the amount of cash reserves (or the Partnership’s proportionate share of cash reserves in the case of Subsidiaries that are not wholly-owned) established by the Board of Directors to provide funds for future Operating Expenditures, (iii) all Working Capital Borrowings not repaid within 12 months after having been incurred and (iv) any cash loss realized on disposition of an Investment Capital Expenditure;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disbursements made (including contributions to a Group Member or disbursements on behalf of a Group Member) or cash reserves established, increased or reduced after the end of such period but on or before the date of determination of Available Cash with respect to such period shall be deemed to have been made, established, increased or reduced, for purposes of determining Operating Surplus, within such period if the Board of Directors so determines.</w:t>
      </w:r>
    </w:p>
    <w:p>
      <w:pPr>
        <w:spacing w:after="0" w:line="186" w:lineRule="exact"/>
        <w:rPr>
          <w:sz w:val="20"/>
          <w:szCs w:val="20"/>
          <w:color w:val="auto"/>
        </w:rPr>
      </w:pPr>
    </w:p>
    <w:p>
      <w:pPr>
        <w:ind w:right="320" w:firstLine="1297"/>
        <w:spacing w:after="0" w:line="297" w:lineRule="auto"/>
        <w:rPr>
          <w:sz w:val="20"/>
          <w:szCs w:val="20"/>
          <w:color w:val="auto"/>
        </w:rPr>
      </w:pPr>
      <w:r>
        <w:rPr>
          <w:rFonts w:ascii="Arial" w:cs="Arial" w:eastAsia="Arial" w:hAnsi="Arial"/>
          <w:sz w:val="19"/>
          <w:szCs w:val="19"/>
          <w:color w:val="auto"/>
        </w:rPr>
        <w:t>Notwithstanding the foregoing, “</w:t>
      </w:r>
      <w:r>
        <w:rPr>
          <w:rFonts w:ascii="Arial" w:cs="Arial" w:eastAsia="Arial" w:hAnsi="Arial"/>
          <w:sz w:val="19"/>
          <w:szCs w:val="19"/>
          <w:i w:val="1"/>
          <w:iCs w:val="1"/>
          <w:color w:val="auto"/>
        </w:rPr>
        <w:t>Operating Surplus</w:t>
      </w:r>
      <w:r>
        <w:rPr>
          <w:rFonts w:ascii="Arial" w:cs="Arial" w:eastAsia="Arial" w:hAnsi="Arial"/>
          <w:sz w:val="19"/>
          <w:szCs w:val="19"/>
          <w:color w:val="auto"/>
        </w:rPr>
        <w:t>” with respect to the Quarter in which the Liquidation Date occurs and any subsequent Quarter shall equal zero. Cash receipts from Investment Capital Expenditures shall be treated as cash receipts only to the extent they are a return on capital, but in no event shall a return of capital be treated as cash receipts.</w:t>
      </w:r>
    </w:p>
    <w:p>
      <w:pPr>
        <w:spacing w:after="0" w:line="161" w:lineRule="exact"/>
        <w:rPr>
          <w:sz w:val="20"/>
          <w:szCs w:val="20"/>
          <w:color w:val="auto"/>
        </w:rPr>
      </w:pPr>
    </w:p>
    <w:p>
      <w:pPr>
        <w:ind w:right="40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Opinion of Counsel</w:t>
      </w:r>
      <w:r>
        <w:rPr>
          <w:rFonts w:ascii="Arial" w:cs="Arial" w:eastAsia="Arial" w:hAnsi="Arial"/>
          <w:sz w:val="22"/>
          <w:szCs w:val="22"/>
          <w:color w:val="auto"/>
        </w:rPr>
        <w:t>” means a written opinion of counsel (who may be regular counsel to the Partnership or the General Partner or any of its Affiliates) acceptable to the Board of Directors.</w:t>
      </w:r>
    </w:p>
    <w:p>
      <w:pPr>
        <w:spacing w:after="0" w:line="200" w:lineRule="exact"/>
        <w:rPr>
          <w:sz w:val="20"/>
          <w:szCs w:val="20"/>
          <w:color w:val="auto"/>
        </w:rPr>
      </w:pPr>
    </w:p>
    <w:p>
      <w:pPr>
        <w:ind w:right="54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Option Closing Date</w:t>
      </w:r>
      <w:r>
        <w:rPr>
          <w:rFonts w:ascii="Arial" w:cs="Arial" w:eastAsia="Arial" w:hAnsi="Arial"/>
          <w:sz w:val="22"/>
          <w:szCs w:val="22"/>
          <w:color w:val="auto"/>
        </w:rPr>
        <w:t>” means the date or dates on which any Common Units are sold by the Partnership to the Underwriters upon the exercise of the Over-Allotment Option.</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Organizational Limited Partner</w:t>
      </w:r>
      <w:r>
        <w:rPr>
          <w:rFonts w:ascii="Arial" w:cs="Arial" w:eastAsia="Arial" w:hAnsi="Arial"/>
          <w:sz w:val="19"/>
          <w:szCs w:val="19"/>
          <w:color w:val="auto"/>
        </w:rPr>
        <w:t>” means GasLog Ltd., in its capacity as the organizational limited partner of the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Partnership.</w:t>
      </w:r>
    </w:p>
    <w:p>
      <w:pPr>
        <w:spacing w:after="0" w:line="215" w:lineRule="exact"/>
        <w:rPr>
          <w:sz w:val="20"/>
          <w:szCs w:val="20"/>
          <w:color w:val="auto"/>
        </w:rPr>
      </w:pPr>
    </w:p>
    <w:p>
      <w:pPr>
        <w:ind w:right="100" w:firstLine="1297"/>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Outstanding</w:t>
      </w:r>
      <w:r>
        <w:rPr>
          <w:rFonts w:ascii="Arial" w:cs="Arial" w:eastAsia="Arial" w:hAnsi="Arial"/>
          <w:sz w:val="21"/>
          <w:szCs w:val="21"/>
          <w:color w:val="auto"/>
        </w:rPr>
        <w:t xml:space="preserve">” means, with respect to Partnership Interests, all Partnership Interests that are issued by the Partnership and reflected as outstanding on the Partnership’s books and records as of the date of determination;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xml:space="preserve">, that if at any time any Person or Group beneficially owns more than 4.9% of the Outstanding Partnership Interests of any class or series then Outstanding (or would own such percentage in the event this limitation were applied to other Persons or Groups), all Partnership Interests owned by such Person or Group in excess of such limitation shall not be voted on any matter and shall not be considered to be Outstanding when sending notices of a meeting of Limited Partners to vote on any matter (unless otherwise required by law), calculating required votes (except for purposes of nominating a Person for election to the Board of Directors pursuant to </w:t>
      </w:r>
      <w:r>
        <w:rPr>
          <w:rFonts w:ascii="Arial" w:cs="Arial" w:eastAsia="Arial" w:hAnsi="Arial"/>
          <w:sz w:val="21"/>
          <w:szCs w:val="21"/>
          <w:u w:val="single" w:color="auto"/>
          <w:color w:val="auto"/>
        </w:rPr>
        <w:t>Section 7.3</w:t>
      </w:r>
      <w:r>
        <w:rPr>
          <w:rFonts w:ascii="Arial" w:cs="Arial" w:eastAsia="Arial" w:hAnsi="Arial"/>
          <w:sz w:val="21"/>
          <w:szCs w:val="21"/>
          <w:color w:val="auto"/>
        </w:rPr>
        <w:t>), determining the presence of a quorum or for other similar purposes under this Agreement, except that Partnership Interests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24" w:name="page25"/>
    <w:bookmarkEnd w:id="24"/>
    <w:p>
      <w:pPr>
        <w:spacing w:after="0" w:line="279" w:lineRule="auto"/>
        <w:rPr>
          <w:sz w:val="20"/>
          <w:szCs w:val="20"/>
          <w:color w:val="auto"/>
        </w:rPr>
      </w:pPr>
      <w:r>
        <w:rPr>
          <w:rFonts w:ascii="Arial" w:cs="Arial" w:eastAsia="Arial" w:hAnsi="Arial"/>
          <w:sz w:val="19"/>
          <w:szCs w:val="19"/>
          <w:color w:val="auto"/>
        </w:rPr>
        <w:t xml:space="preserve">so owned shall be considered to be Outstanding for purposes of </w:t>
      </w:r>
      <w:r>
        <w:rPr>
          <w:rFonts w:ascii="Arial" w:cs="Arial" w:eastAsia="Arial" w:hAnsi="Arial"/>
          <w:sz w:val="19"/>
          <w:szCs w:val="19"/>
          <w:u w:val="single" w:color="auto"/>
          <w:color w:val="auto"/>
        </w:rPr>
        <w:t>Section 11.1(b)(iv)</w:t>
      </w:r>
      <w:r>
        <w:rPr>
          <w:rFonts w:ascii="Arial" w:cs="Arial" w:eastAsia="Arial" w:hAnsi="Arial"/>
          <w:sz w:val="19"/>
          <w:szCs w:val="19"/>
          <w:color w:val="auto"/>
        </w:rPr>
        <w:t xml:space="preserve"> (such Partnership Interests shall not, however, be treated as a separate class or series of Partnership Interests for purposes of this Agreement);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xml:space="preserve">, that the foregoing limitation shall not apply to (a) the General Partner or its Affiliates, (b) any Person or Group who acquired more than 4.9% of any Partnership Interests with the prior approval of the Board of Directors after considering the potential effects of such approval on the Partnership, except, in each case, such limitation shall remain applicable with respect to the voting of Common Units in the election of the Elected Directors as provided in </w:t>
      </w:r>
      <w:r>
        <w:rPr>
          <w:rFonts w:ascii="Arial" w:cs="Arial" w:eastAsia="Arial" w:hAnsi="Arial"/>
          <w:sz w:val="19"/>
          <w:szCs w:val="19"/>
          <w:u w:val="single" w:color="auto"/>
          <w:color w:val="auto"/>
        </w:rPr>
        <w:t>Section 7.2(a)(ii)</w:t>
      </w:r>
      <w:r>
        <w:rPr>
          <w:rFonts w:ascii="Arial" w:cs="Arial" w:eastAsia="Arial" w:hAnsi="Arial"/>
          <w:sz w:val="19"/>
          <w:szCs w:val="19"/>
          <w:color w:val="auto"/>
        </w:rPr>
        <w:t>, or (c) with respect to any voting rights thereof, Preference Units.</w:t>
      </w:r>
    </w:p>
    <w:p>
      <w:pPr>
        <w:spacing w:after="0" w:line="178"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Over-Allotment Option</w:t>
      </w:r>
      <w:r>
        <w:rPr>
          <w:rFonts w:ascii="Arial" w:cs="Arial" w:eastAsia="Arial" w:hAnsi="Arial"/>
          <w:sz w:val="19"/>
          <w:szCs w:val="19"/>
          <w:color w:val="auto"/>
        </w:rPr>
        <w:t>” means the over-allotment option granted to the Underwriters pursuant to the Underwriting</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Agreement.</w:t>
      </w:r>
    </w:p>
    <w:p>
      <w:pPr>
        <w:spacing w:after="0" w:line="21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Parity Securities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16.7(b)</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Partners</w:t>
      </w:r>
      <w:r>
        <w:rPr>
          <w:rFonts w:ascii="Arial" w:cs="Arial" w:eastAsia="Arial" w:hAnsi="Arial"/>
          <w:sz w:val="22"/>
          <w:szCs w:val="22"/>
          <w:color w:val="auto"/>
        </w:rPr>
        <w:t>” means the General Partner and the Limited Partners.</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Partnership</w:t>
      </w:r>
      <w:r>
        <w:rPr>
          <w:rFonts w:ascii="Arial" w:cs="Arial" w:eastAsia="Arial" w:hAnsi="Arial"/>
          <w:sz w:val="19"/>
          <w:szCs w:val="19"/>
          <w:color w:val="auto"/>
        </w:rPr>
        <w:t>” means GasLog Partners LP, a Marshall Islands limited partnership, and any successors thereto.</w:t>
      </w:r>
    </w:p>
    <w:p>
      <w:pPr>
        <w:spacing w:after="0" w:line="268" w:lineRule="exact"/>
        <w:rPr>
          <w:sz w:val="20"/>
          <w:szCs w:val="20"/>
          <w:color w:val="auto"/>
        </w:rPr>
      </w:pPr>
    </w:p>
    <w:p>
      <w:pPr>
        <w:ind w:right="42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Partnership Group</w:t>
      </w:r>
      <w:r>
        <w:rPr>
          <w:rFonts w:ascii="Arial" w:cs="Arial" w:eastAsia="Arial" w:hAnsi="Arial"/>
          <w:sz w:val="22"/>
          <w:szCs w:val="22"/>
          <w:color w:val="auto"/>
        </w:rPr>
        <w:t>” means the Partnership and its Subsidiaries, including the Operating Company, treated as a single consolidated entity.</w:t>
      </w:r>
    </w:p>
    <w:p>
      <w:pPr>
        <w:spacing w:after="0" w:line="200" w:lineRule="exact"/>
        <w:rPr>
          <w:sz w:val="20"/>
          <w:szCs w:val="20"/>
          <w:color w:val="auto"/>
        </w:rPr>
      </w:pPr>
    </w:p>
    <w:p>
      <w:pPr>
        <w:ind w:right="160" w:firstLine="1297"/>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Partnership Interest</w:t>
      </w:r>
      <w:r>
        <w:rPr>
          <w:rFonts w:ascii="Arial" w:cs="Arial" w:eastAsia="Arial" w:hAnsi="Arial"/>
          <w:sz w:val="21"/>
          <w:szCs w:val="21"/>
          <w:color w:val="auto"/>
        </w:rPr>
        <w:t>” means any class or series of equity interest in the Partnership (but excluding any options, rights, warrants, restricted units and appreciation rights relating to an equity interest in the Partnership), including Common Units, Preference Units, Subordinated Units, General Partner Units and Incentive Distribution Rights.</w:t>
      </w:r>
    </w:p>
    <w:p>
      <w:pPr>
        <w:spacing w:after="0" w:line="194" w:lineRule="exact"/>
        <w:rPr>
          <w:sz w:val="20"/>
          <w:szCs w:val="20"/>
          <w:color w:val="auto"/>
        </w:rPr>
      </w:pPr>
    </w:p>
    <w:p>
      <w:pPr>
        <w:ind w:right="180" w:firstLine="129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Paying Agent</w:t>
      </w:r>
      <w:r>
        <w:rPr>
          <w:rFonts w:ascii="Arial" w:cs="Arial" w:eastAsia="Arial" w:hAnsi="Arial"/>
          <w:sz w:val="22"/>
          <w:szCs w:val="22"/>
          <w:color w:val="auto"/>
        </w:rPr>
        <w:t xml:space="preserve">” means American Stock Transfer &amp; Trust Company, LLC, acting in its capacity as paying agent for the Series A Preference Units, and its respective successors and assigns or any other payment agent appointed by the Board of Directors;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if no Paying Agent is specifically designated for the Series A Preference Units, the Partnership shall act in such capacity.</w:t>
      </w:r>
    </w:p>
    <w:p>
      <w:pPr>
        <w:spacing w:after="0" w:line="212" w:lineRule="exact"/>
        <w:rPr>
          <w:sz w:val="20"/>
          <w:szCs w:val="20"/>
          <w:color w:val="auto"/>
        </w:rPr>
      </w:pPr>
    </w:p>
    <w:p>
      <w:pPr>
        <w:ind w:right="20" w:firstLine="1297"/>
        <w:spacing w:after="0" w:line="24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Percentage Interest</w:t>
      </w:r>
      <w:r>
        <w:rPr>
          <w:rFonts w:ascii="Arial" w:cs="Arial" w:eastAsia="Arial" w:hAnsi="Arial"/>
          <w:sz w:val="21"/>
          <w:szCs w:val="21"/>
          <w:color w:val="auto"/>
        </w:rPr>
        <w:t xml:space="preserve">” means as of any date of determination (a) as to the General Partner with respect to General Partner Units and as to any Unitholder with respect to Units (other than Preference Units), the product obtained by multiplying (i) 100% less the percentage applicable to </w:t>
      </w:r>
      <w:r>
        <w:rPr>
          <w:rFonts w:ascii="Arial" w:cs="Arial" w:eastAsia="Arial" w:hAnsi="Arial"/>
          <w:sz w:val="21"/>
          <w:szCs w:val="21"/>
          <w:u w:val="single" w:color="auto"/>
          <w:color w:val="auto"/>
        </w:rPr>
        <w:t>clause (b)</w:t>
      </w:r>
      <w:r>
        <w:rPr>
          <w:rFonts w:ascii="Arial" w:cs="Arial" w:eastAsia="Arial" w:hAnsi="Arial"/>
          <w:sz w:val="21"/>
          <w:szCs w:val="21"/>
          <w:color w:val="auto"/>
        </w:rPr>
        <w:t xml:space="preserve"> below by (ii) the quotient obtained by dividing (A) the number of Units (other than Preference Units) held by such Unitholder or the number of General Partner Units held by the General Partner, as the case may be, by (B) the total number of all Outstanding Units (other than Preference Units) and General Partner Units, and (b) as to the holders of other Partnership Interests issued by the Partnership in accordance with </w:t>
      </w:r>
      <w:r>
        <w:rPr>
          <w:rFonts w:ascii="Arial" w:cs="Arial" w:eastAsia="Arial" w:hAnsi="Arial"/>
          <w:sz w:val="21"/>
          <w:szCs w:val="21"/>
          <w:u w:val="single" w:color="auto"/>
          <w:color w:val="auto"/>
        </w:rPr>
        <w:t>Section 5.4</w:t>
      </w:r>
      <w:r>
        <w:rPr>
          <w:rFonts w:ascii="Arial" w:cs="Arial" w:eastAsia="Arial" w:hAnsi="Arial"/>
          <w:sz w:val="21"/>
          <w:szCs w:val="21"/>
          <w:color w:val="auto"/>
        </w:rPr>
        <w:t>, the percentage established as a part of such issuance. The Percentage Interest with respect to an Incentive Distribution Right and to a Preference Unit shall at all times be zero.</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25" w:name="page26"/>
    <w:bookmarkEnd w:id="25"/>
    <w:p>
      <w:pPr>
        <w:ind w:right="480" w:firstLine="1297"/>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Person</w:t>
      </w:r>
      <w:r>
        <w:rPr>
          <w:rFonts w:ascii="Arial" w:cs="Arial" w:eastAsia="Arial" w:hAnsi="Arial"/>
          <w:sz w:val="21"/>
          <w:szCs w:val="21"/>
          <w:color w:val="auto"/>
        </w:rPr>
        <w:t>” means an individual or a corporation, firm, limited liability company, partnership, joint venture, trust, unincorporated organization, association, governmental agency or political subdivision thereof or other entity.</w:t>
      </w:r>
    </w:p>
    <w:p>
      <w:pPr>
        <w:spacing w:after="0" w:line="17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Plan of Conversion</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14.1</w:t>
      </w:r>
      <w:r>
        <w:rPr>
          <w:rFonts w:ascii="Arial" w:cs="Arial" w:eastAsia="Arial" w:hAnsi="Arial"/>
          <w:sz w:val="22"/>
          <w:szCs w:val="22"/>
          <w:color w:val="auto"/>
        </w:rPr>
        <w:t>.</w:t>
      </w:r>
    </w:p>
    <w:p>
      <w:pPr>
        <w:spacing w:after="0" w:line="233" w:lineRule="exact"/>
        <w:rPr>
          <w:sz w:val="20"/>
          <w:szCs w:val="20"/>
          <w:color w:val="auto"/>
        </w:rPr>
      </w:pPr>
    </w:p>
    <w:p>
      <w:pPr>
        <w:ind w:right="360"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Preference Units</w:t>
      </w:r>
      <w:r>
        <w:rPr>
          <w:rFonts w:ascii="Arial" w:cs="Arial" w:eastAsia="Arial" w:hAnsi="Arial"/>
          <w:sz w:val="22"/>
          <w:szCs w:val="22"/>
          <w:color w:val="auto"/>
        </w:rPr>
        <w:t>” means a Partnership Interest, designated as a “</w:t>
      </w:r>
      <w:r>
        <w:rPr>
          <w:rFonts w:ascii="Arial" w:cs="Arial" w:eastAsia="Arial" w:hAnsi="Arial"/>
          <w:sz w:val="22"/>
          <w:szCs w:val="22"/>
          <w:b w:val="1"/>
          <w:bCs w:val="1"/>
          <w:i w:val="1"/>
          <w:iCs w:val="1"/>
          <w:color w:val="auto"/>
        </w:rPr>
        <w:t>Preference Unit</w:t>
      </w:r>
      <w:r>
        <w:rPr>
          <w:rFonts w:ascii="Arial" w:cs="Arial" w:eastAsia="Arial" w:hAnsi="Arial"/>
          <w:sz w:val="22"/>
          <w:szCs w:val="22"/>
          <w:color w:val="auto"/>
        </w:rPr>
        <w:t>,” including the Series A Preference Units, which entitles the holder thereof to a preference with respect to distributions, or as to the distribution of assets upon any Liquidation Event, over Common Units.</w:t>
      </w:r>
    </w:p>
    <w:p>
      <w:pPr>
        <w:spacing w:after="0" w:line="213" w:lineRule="exact"/>
        <w:rPr>
          <w:sz w:val="20"/>
          <w:szCs w:val="20"/>
          <w:color w:val="auto"/>
        </w:rPr>
      </w:pPr>
    </w:p>
    <w:p>
      <w:pPr>
        <w:ind w:right="20" w:firstLine="1297"/>
        <w:spacing w:after="0" w:line="27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Pro Rata</w:t>
      </w:r>
      <w:r>
        <w:rPr>
          <w:rFonts w:ascii="Arial" w:cs="Arial" w:eastAsia="Arial" w:hAnsi="Arial"/>
          <w:sz w:val="19"/>
          <w:szCs w:val="19"/>
          <w:color w:val="auto"/>
        </w:rPr>
        <w:t>” means (a) when used with respect to Units (other than Preference Units) or any class or series thereof, apportioned equally among all designated Units (other than Preference Units) in accordance with their relative Percentage Interests,</w:t>
      </w:r>
    </w:p>
    <w:p>
      <w:pPr>
        <w:spacing w:after="0" w:line="2" w:lineRule="exact"/>
        <w:rPr>
          <w:sz w:val="20"/>
          <w:szCs w:val="20"/>
          <w:color w:val="auto"/>
        </w:rPr>
      </w:pPr>
    </w:p>
    <w:p>
      <w:pPr>
        <w:ind w:right="20" w:firstLine="8"/>
        <w:spacing w:after="0" w:line="245" w:lineRule="auto"/>
        <w:tabs>
          <w:tab w:leader="none" w:pos="306" w:val="left"/>
        </w:tabs>
        <w:numPr>
          <w:ilvl w:val="0"/>
          <w:numId w:val="9"/>
        </w:numPr>
        <w:rPr>
          <w:rFonts w:ascii="Arial" w:cs="Arial" w:eastAsia="Arial" w:hAnsi="Arial"/>
          <w:sz w:val="21"/>
          <w:szCs w:val="21"/>
          <w:color w:val="auto"/>
        </w:rPr>
      </w:pPr>
      <w:r>
        <w:rPr>
          <w:rFonts w:ascii="Arial" w:cs="Arial" w:eastAsia="Arial" w:hAnsi="Arial"/>
          <w:sz w:val="21"/>
          <w:szCs w:val="21"/>
          <w:color w:val="auto"/>
        </w:rPr>
        <w:t>when used with respect to Partners or Record Holders, apportioned among all Partners or Record Holders in accordance with their relative Percentage Interests and (c) when used with respect to holders of Incentive Distribution Rights or Preference Units (or a particular series thereof), apportioned equally among all holders of Incentive Distribution Rights or Preference Units (or such series thereof) in accordance with the relative number or percentage of Incentive Distribution Rights or Preference Units (or such series thereof), as applicable, held by each such holder.</w:t>
      </w:r>
    </w:p>
    <w:p>
      <w:pPr>
        <w:spacing w:after="0" w:line="208" w:lineRule="exact"/>
        <w:rPr>
          <w:sz w:val="20"/>
          <w:szCs w:val="20"/>
          <w:color w:val="auto"/>
        </w:rPr>
      </w:pPr>
    </w:p>
    <w:p>
      <w:pPr>
        <w:jc w:val="both"/>
        <w:ind w:right="520"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Purchase Date</w:t>
      </w:r>
      <w:r>
        <w:rPr>
          <w:rFonts w:ascii="Arial" w:cs="Arial" w:eastAsia="Arial" w:hAnsi="Arial"/>
          <w:sz w:val="22"/>
          <w:szCs w:val="22"/>
          <w:color w:val="auto"/>
        </w:rPr>
        <w:t xml:space="preserve">” means the date determined by the General Partner as the date for purchase of all Outstanding Limited Partner Interests of a certain class or series (other than Limited Partner Interests owned by the General Partner and its Affiliates) pursuant to </w:t>
      </w:r>
      <w:r>
        <w:rPr>
          <w:rFonts w:ascii="Arial" w:cs="Arial" w:eastAsia="Arial" w:hAnsi="Arial"/>
          <w:sz w:val="22"/>
          <w:szCs w:val="22"/>
          <w:u w:val="single" w:color="auto"/>
          <w:color w:val="auto"/>
        </w:rPr>
        <w:t>Article XV</w:t>
      </w:r>
      <w:r>
        <w:rPr>
          <w:rFonts w:ascii="Arial" w:cs="Arial" w:eastAsia="Arial" w:hAnsi="Arial"/>
          <w:sz w:val="22"/>
          <w:szCs w:val="22"/>
          <w:color w:val="auto"/>
        </w:rPr>
        <w:t>.</w:t>
      </w:r>
    </w:p>
    <w:p>
      <w:pPr>
        <w:spacing w:after="0" w:line="213" w:lineRule="exact"/>
        <w:rPr>
          <w:sz w:val="20"/>
          <w:szCs w:val="20"/>
          <w:color w:val="auto"/>
        </w:rPr>
      </w:pPr>
    </w:p>
    <w:p>
      <w:pPr>
        <w:ind w:right="360" w:firstLine="1297"/>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Quarter</w:t>
      </w:r>
      <w:r>
        <w:rPr>
          <w:rFonts w:ascii="Arial" w:cs="Arial" w:eastAsia="Arial" w:hAnsi="Arial"/>
          <w:sz w:val="21"/>
          <w:szCs w:val="21"/>
          <w:color w:val="auto"/>
        </w:rPr>
        <w:t>” means, unless the context requires otherwise, a fiscal quarter, or, with respect to the first fiscal quarter including the Closing Date, the portion of such fiscal quarter after the Closing Date, of the Partnership.</w:t>
      </w:r>
    </w:p>
    <w:p>
      <w:pPr>
        <w:spacing w:after="0" w:line="178" w:lineRule="exact"/>
        <w:rPr>
          <w:sz w:val="20"/>
          <w:szCs w:val="20"/>
          <w:color w:val="auto"/>
        </w:rPr>
      </w:pPr>
    </w:p>
    <w:p>
      <w:pPr>
        <w:ind w:firstLine="1297"/>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Record Date</w:t>
      </w:r>
      <w:r>
        <w:rPr>
          <w:rFonts w:ascii="Arial" w:cs="Arial" w:eastAsia="Arial" w:hAnsi="Arial"/>
          <w:sz w:val="22"/>
          <w:szCs w:val="22"/>
          <w:color w:val="auto"/>
        </w:rPr>
        <w:t>” means the date established by the Board of Directors or otherwise in accordance with this Agreement for determining (a) the identity of the Record Holders entitled to notice of, or to vote at, any meeting of Limited Partners or entitled to vote by ballot or give approval of Partnership action in writing without a meeting or entitled to exercise rights in respect of any lawful action of Limited Partners or (b) the identity of Record Holders entitled to receive any report or distribution or to participate in any offer.</w:t>
      </w:r>
    </w:p>
    <w:p>
      <w:pPr>
        <w:spacing w:after="0" w:line="215" w:lineRule="exact"/>
        <w:rPr>
          <w:sz w:val="20"/>
          <w:szCs w:val="20"/>
          <w:color w:val="auto"/>
        </w:rPr>
      </w:pPr>
    </w:p>
    <w:p>
      <w:pPr>
        <w:ind w:right="80" w:firstLine="1297"/>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Record Holder</w:t>
      </w:r>
      <w:r>
        <w:rPr>
          <w:rFonts w:ascii="Arial" w:cs="Arial" w:eastAsia="Arial" w:hAnsi="Arial"/>
          <w:sz w:val="19"/>
          <w:szCs w:val="19"/>
          <w:color w:val="auto"/>
        </w:rPr>
        <w:t xml:space="preserve">” means (a) the Person in whose name a Common Unit is registered on the books of the Transfer Agent as of the opening of business on a particular Business Day, (b) the Person in whose name a Preference Unit is registered on the books of the Transfer Agent as of, unless otherwise set forth in </w:t>
      </w:r>
      <w:r>
        <w:rPr>
          <w:rFonts w:ascii="Arial" w:cs="Arial" w:eastAsia="Arial" w:hAnsi="Arial"/>
          <w:sz w:val="19"/>
          <w:szCs w:val="19"/>
          <w:u w:val="single" w:color="auto"/>
          <w:color w:val="auto"/>
        </w:rPr>
        <w:t>Article XVI</w:t>
      </w:r>
      <w:r>
        <w:rPr>
          <w:rFonts w:ascii="Arial" w:cs="Arial" w:eastAsia="Arial" w:hAnsi="Arial"/>
          <w:sz w:val="19"/>
          <w:szCs w:val="19"/>
          <w:color w:val="auto"/>
        </w:rPr>
        <w:t>, the opening of business on a particular Business Day or (c) with respect to other Partnership Interests, the Person in whose name any such other Partnership Interest is registered on the books that the Board of Directors has caused to be kept as of the opening of business on such Business Day (which books may be kept, at the Board of Directors’ option, by the Transfer Agent).</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26" w:name="page27"/>
    <w:bookmarkEnd w:id="26"/>
    <w:p>
      <w:pPr>
        <w:ind w:right="200" w:firstLine="1297"/>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Registration Statement</w:t>
      </w:r>
      <w:r>
        <w:rPr>
          <w:rFonts w:ascii="Arial" w:cs="Arial" w:eastAsia="Arial" w:hAnsi="Arial"/>
          <w:sz w:val="21"/>
          <w:szCs w:val="21"/>
          <w:color w:val="auto"/>
        </w:rPr>
        <w:t>” means the Partnership’s Registration Statement on Form F-1 (Registration No. 333-195109) as it has been or as it may be amended or supplemented from time to time, filed by the Partnership with the Commission under the Securities Act to register the offering and sale of the Common Units in the Initial Offering.</w:t>
      </w:r>
    </w:p>
    <w:p>
      <w:pPr>
        <w:spacing w:after="0" w:line="19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Reset MQD</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5.10(e)</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Reset Notice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5.10(b)</w:t>
      </w:r>
      <w:r>
        <w:rPr>
          <w:rFonts w:ascii="Arial" w:cs="Arial" w:eastAsia="Arial" w:hAnsi="Arial"/>
          <w:sz w:val="22"/>
          <w:szCs w:val="22"/>
          <w:color w:val="auto"/>
        </w:rPr>
        <w:t>.</w:t>
      </w:r>
    </w:p>
    <w:p>
      <w:pPr>
        <w:spacing w:after="0" w:line="233" w:lineRule="exact"/>
        <w:rPr>
          <w:sz w:val="20"/>
          <w:szCs w:val="20"/>
          <w:color w:val="auto"/>
        </w:rPr>
      </w:pPr>
    </w:p>
    <w:p>
      <w:pPr>
        <w:ind w:right="100" w:firstLine="1297"/>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Reuters Page LIBOR01</w:t>
      </w:r>
      <w:r>
        <w:rPr>
          <w:rFonts w:ascii="Arial" w:cs="Arial" w:eastAsia="Arial" w:hAnsi="Arial"/>
          <w:sz w:val="21"/>
          <w:szCs w:val="21"/>
          <w:color w:val="auto"/>
        </w:rPr>
        <w:t>” means the display so designated on the Reuters 3000 Xtra (or such other page as may replace the LIBOR01 page on that service, or such other service as may be nominated by ICE, or its successor, or such other entity assuming the responsibility of ICE or its successor in the event ICE or its successor no longer does so, as the successor service, for the purpose of displaying London interbank offered rates for U.S. dollar deposits).</w:t>
      </w:r>
    </w:p>
    <w:p>
      <w:pPr>
        <w:spacing w:after="0" w:line="201" w:lineRule="exact"/>
        <w:rPr>
          <w:sz w:val="20"/>
          <w:szCs w:val="20"/>
          <w:color w:val="auto"/>
        </w:rPr>
      </w:pPr>
    </w:p>
    <w:p>
      <w:pPr>
        <w:ind w:right="80" w:firstLine="1297"/>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Second Target Distribution</w:t>
      </w:r>
      <w:r>
        <w:rPr>
          <w:rFonts w:ascii="Arial" w:cs="Arial" w:eastAsia="Arial" w:hAnsi="Arial"/>
          <w:sz w:val="19"/>
          <w:szCs w:val="19"/>
          <w:color w:val="auto"/>
        </w:rPr>
        <w:t xml:space="preserve">” means $0.46875 per Unit per Quarter (or, with respect to the period commencing on the Closing Date and ending on June 30, 2014, it means the product of $0.46875 multiplied by a fraction of which the numerator is equal to the number of days in such period and of which the denominator is the total number of days in the Quarter in which the Closing Date occurs), subject to adjustment in accordance with </w:t>
      </w:r>
      <w:r>
        <w:rPr>
          <w:rFonts w:ascii="Arial" w:cs="Arial" w:eastAsia="Arial" w:hAnsi="Arial"/>
          <w:sz w:val="19"/>
          <w:szCs w:val="19"/>
          <w:u w:val="single" w:color="auto"/>
          <w:color w:val="auto"/>
        </w:rPr>
        <w:t>Section 5.10</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6.5</w:t>
      </w:r>
      <w:r>
        <w:rPr>
          <w:rFonts w:ascii="Arial" w:cs="Arial" w:eastAsia="Arial" w:hAnsi="Arial"/>
          <w:sz w:val="19"/>
          <w:szCs w:val="19"/>
          <w:color w:val="auto"/>
        </w:rPr>
        <w:t>.</w:t>
      </w:r>
    </w:p>
    <w:p>
      <w:pPr>
        <w:spacing w:after="0" w:line="170" w:lineRule="exact"/>
        <w:rPr>
          <w:sz w:val="20"/>
          <w:szCs w:val="20"/>
          <w:color w:val="auto"/>
        </w:rPr>
      </w:pPr>
    </w:p>
    <w:p>
      <w:pPr>
        <w:ind w:right="6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Securities Act</w:t>
      </w:r>
      <w:r>
        <w:rPr>
          <w:rFonts w:ascii="Arial" w:cs="Arial" w:eastAsia="Arial" w:hAnsi="Arial"/>
          <w:sz w:val="22"/>
          <w:szCs w:val="22"/>
          <w:color w:val="auto"/>
        </w:rPr>
        <w:t>” means the Securities Act of 1933, as amended, supplemented or restated from time to time and any successor to such statute.</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Senior Securities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16.7(c)</w:t>
      </w:r>
      <w:r>
        <w:rPr>
          <w:rFonts w:ascii="Arial" w:cs="Arial" w:eastAsia="Arial" w:hAnsi="Arial"/>
          <w:sz w:val="22"/>
          <w:szCs w:val="22"/>
          <w:color w:val="auto"/>
        </w:rPr>
        <w:t>.</w:t>
      </w:r>
    </w:p>
    <w:p>
      <w:pPr>
        <w:spacing w:after="0" w:line="233" w:lineRule="exact"/>
        <w:rPr>
          <w:sz w:val="20"/>
          <w:szCs w:val="20"/>
          <w:color w:val="auto"/>
        </w:rPr>
      </w:pPr>
    </w:p>
    <w:p>
      <w:pPr>
        <w:ind w:right="14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A Distribution Determination Date</w:t>
      </w:r>
      <w:r>
        <w:rPr>
          <w:rFonts w:ascii="Arial" w:cs="Arial" w:eastAsia="Arial" w:hAnsi="Arial"/>
          <w:sz w:val="22"/>
          <w:szCs w:val="22"/>
          <w:color w:val="auto"/>
        </w:rPr>
        <w:t>” means the London Business Day immediately preceding the first date of the applicable Series A Distribution Period.</w:t>
      </w:r>
    </w:p>
    <w:p>
      <w:pPr>
        <w:spacing w:after="0" w:line="200" w:lineRule="exact"/>
        <w:rPr>
          <w:sz w:val="20"/>
          <w:szCs w:val="20"/>
          <w:color w:val="auto"/>
        </w:rPr>
      </w:pPr>
    </w:p>
    <w:p>
      <w:pPr>
        <w:ind w:right="180" w:firstLine="129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A Distribution Payment Date</w:t>
      </w:r>
      <w:r>
        <w:rPr>
          <w:rFonts w:ascii="Arial" w:cs="Arial" w:eastAsia="Arial" w:hAnsi="Arial"/>
          <w:sz w:val="22"/>
          <w:szCs w:val="22"/>
          <w:color w:val="auto"/>
        </w:rPr>
        <w:t>” means each March 15, June 15, September 15 and December 15, commencing September 15, 2017; provided, however, that if any Series A Distribution Payment Date would otherwise occur on a day that is not a Business Day, such Series A Distribution Payment Date shall instead be on the immediately succeeding Business Day.</w:t>
      </w:r>
    </w:p>
    <w:p>
      <w:pPr>
        <w:spacing w:after="0" w:line="212" w:lineRule="exact"/>
        <w:rPr>
          <w:sz w:val="20"/>
          <w:szCs w:val="20"/>
          <w:color w:val="auto"/>
        </w:rPr>
      </w:pPr>
    </w:p>
    <w:p>
      <w:pPr>
        <w:ind w:firstLine="1297"/>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Series A Distribution Period</w:t>
      </w:r>
      <w:r>
        <w:rPr>
          <w:rFonts w:ascii="Arial" w:cs="Arial" w:eastAsia="Arial" w:hAnsi="Arial"/>
          <w:sz w:val="19"/>
          <w:szCs w:val="19"/>
          <w:color w:val="auto"/>
        </w:rPr>
        <w:t>” means a period of time from and including the preceding Series A Distribution Payment Date (other than the initial Series A Distribution Period, which shall commence on and include the Series A Original Issue Date) to, but excluding, the next Series A Distribution Payment Date for such Series A Distribution Period.</w:t>
      </w:r>
    </w:p>
    <w:p>
      <w:pPr>
        <w:spacing w:after="0" w:line="161" w:lineRule="exact"/>
        <w:rPr>
          <w:sz w:val="20"/>
          <w:szCs w:val="20"/>
          <w:color w:val="auto"/>
        </w:rPr>
      </w:pPr>
    </w:p>
    <w:p>
      <w:pPr>
        <w:ind w:right="80" w:firstLine="129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A Distribution Rate</w:t>
      </w:r>
      <w:r>
        <w:rPr>
          <w:rFonts w:ascii="Arial" w:cs="Arial" w:eastAsia="Arial" w:hAnsi="Arial"/>
          <w:sz w:val="22"/>
          <w:szCs w:val="22"/>
          <w:color w:val="auto"/>
        </w:rPr>
        <w:t>” means, with respect to the Series A Fixed Rate Period, a rate equal to 8.625% per annum of the Stated Series A Liquidation Preference per Series A Preference Unit and, with respect to the Series A Floating Rate Period, a floating rate equal to the Three-Month LIBOR Rate plus a spread of 6.31% per annum of the stated Series A Liquidation Preference per Series A Preference Unit.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402" w:right="259" w:bottom="1440" w:gutter="0" w:footer="0" w:header="0"/>
        </w:sectPr>
      </w:pPr>
    </w:p>
    <w:bookmarkStart w:id="27" w:name="page28"/>
    <w:bookmarkEnd w:id="27"/>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A Distribution Record Date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16.3(c)</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Series A Distributions</w:t>
      </w:r>
      <w:r>
        <w:rPr>
          <w:rFonts w:ascii="Arial" w:cs="Arial" w:eastAsia="Arial" w:hAnsi="Arial"/>
          <w:sz w:val="19"/>
          <w:szCs w:val="19"/>
          <w:color w:val="auto"/>
        </w:rPr>
        <w:t xml:space="preserve">” means distributions with respect to Series A Preference Units pursuant to </w:t>
      </w:r>
      <w:r>
        <w:rPr>
          <w:rFonts w:ascii="Arial" w:cs="Arial" w:eastAsia="Arial" w:hAnsi="Arial"/>
          <w:sz w:val="19"/>
          <w:szCs w:val="19"/>
          <w:u w:val="single" w:color="auto"/>
          <w:color w:val="auto"/>
        </w:rPr>
        <w:t>Section 16.3</w:t>
      </w:r>
      <w:r>
        <w:rPr>
          <w:rFonts w:ascii="Arial" w:cs="Arial" w:eastAsia="Arial" w:hAnsi="Arial"/>
          <w:sz w:val="19"/>
          <w:szCs w:val="19"/>
          <w:color w:val="auto"/>
        </w:rPr>
        <w:t>.</w:t>
      </w:r>
    </w:p>
    <w:p>
      <w:pPr>
        <w:spacing w:after="0" w:line="268" w:lineRule="exact"/>
        <w:rPr>
          <w:sz w:val="20"/>
          <w:szCs w:val="20"/>
          <w:color w:val="auto"/>
        </w:rPr>
      </w:pPr>
    </w:p>
    <w:p>
      <w:pPr>
        <w:ind w:right="76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A Fixed Rate Period</w:t>
      </w:r>
      <w:r>
        <w:rPr>
          <w:rFonts w:ascii="Arial" w:cs="Arial" w:eastAsia="Arial" w:hAnsi="Arial"/>
          <w:sz w:val="22"/>
          <w:szCs w:val="22"/>
          <w:color w:val="auto"/>
        </w:rPr>
        <w:t>” means the period from and including the Series A Original Issue Date to, but excluding June 15, 2027.</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A Floating Rate Period</w:t>
      </w:r>
      <w:r>
        <w:rPr>
          <w:rFonts w:ascii="Arial" w:cs="Arial" w:eastAsia="Arial" w:hAnsi="Arial"/>
          <w:sz w:val="22"/>
          <w:szCs w:val="22"/>
          <w:color w:val="auto"/>
        </w:rPr>
        <w:t>” means the period from and including June 15, 2027.</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A Holder</w:t>
      </w:r>
      <w:r>
        <w:rPr>
          <w:rFonts w:ascii="Arial" w:cs="Arial" w:eastAsia="Arial" w:hAnsi="Arial"/>
          <w:sz w:val="22"/>
          <w:szCs w:val="22"/>
          <w:color w:val="auto"/>
        </w:rPr>
        <w:t>” means a Record Holder of the Series A Preference Units.</w:t>
      </w:r>
    </w:p>
    <w:p>
      <w:pPr>
        <w:spacing w:after="0" w:line="233" w:lineRule="exact"/>
        <w:rPr>
          <w:sz w:val="20"/>
          <w:szCs w:val="20"/>
          <w:color w:val="auto"/>
        </w:rPr>
      </w:pPr>
    </w:p>
    <w:p>
      <w:pPr>
        <w:ind w:right="80" w:firstLine="1297"/>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A Liquidation Preference</w:t>
      </w:r>
      <w:r>
        <w:rPr>
          <w:rFonts w:ascii="Arial" w:cs="Arial" w:eastAsia="Arial" w:hAnsi="Arial"/>
          <w:sz w:val="22"/>
          <w:szCs w:val="22"/>
          <w:color w:val="auto"/>
        </w:rPr>
        <w:t xml:space="preserve">” means a liquidation preference for each Series A Preference Unit initially equal to $25.00 per unit, which liquidation preference shall be subject to (a) increase by the per Series A Preference Unit amount of any accumulated and unpaid distributions (whether or not such distributions shall have been declared) and (b) decrease upon a distribution in connection with a Liquidation Event described in </w:t>
      </w:r>
      <w:r>
        <w:rPr>
          <w:rFonts w:ascii="Arial" w:cs="Arial" w:eastAsia="Arial" w:hAnsi="Arial"/>
          <w:sz w:val="22"/>
          <w:szCs w:val="22"/>
          <w:u w:val="single" w:color="auto"/>
          <w:color w:val="auto"/>
        </w:rPr>
        <w:t>Section 16.4</w:t>
      </w:r>
      <w:r>
        <w:rPr>
          <w:rFonts w:ascii="Arial" w:cs="Arial" w:eastAsia="Arial" w:hAnsi="Arial"/>
          <w:sz w:val="22"/>
          <w:szCs w:val="22"/>
          <w:color w:val="auto"/>
        </w:rPr>
        <w:t xml:space="preserve"> which does not result in payment in full of the liquidation preference of such Series A Preference Unit.</w:t>
      </w:r>
    </w:p>
    <w:p>
      <w:pPr>
        <w:spacing w:after="0" w:line="21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A Original Issue Date</w:t>
      </w:r>
      <w:r>
        <w:rPr>
          <w:rFonts w:ascii="Arial" w:cs="Arial" w:eastAsia="Arial" w:hAnsi="Arial"/>
          <w:sz w:val="22"/>
          <w:szCs w:val="22"/>
          <w:color w:val="auto"/>
        </w:rPr>
        <w:t>” means May 15, 2017.</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A Payments</w:t>
      </w:r>
      <w:r>
        <w:rPr>
          <w:rFonts w:ascii="Arial" w:cs="Arial" w:eastAsia="Arial" w:hAnsi="Arial"/>
          <w:sz w:val="22"/>
          <w:szCs w:val="22"/>
          <w:color w:val="auto"/>
        </w:rPr>
        <w:t>” means, collectively, Series A Distributions and Series A Redemption Payments.</w:t>
      </w:r>
    </w:p>
    <w:p>
      <w:pPr>
        <w:spacing w:after="0" w:line="233" w:lineRule="exact"/>
        <w:rPr>
          <w:sz w:val="20"/>
          <w:szCs w:val="20"/>
          <w:color w:val="auto"/>
        </w:rPr>
      </w:pPr>
    </w:p>
    <w:p>
      <w:pPr>
        <w:ind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A Preference Unit</w:t>
      </w:r>
      <w:r>
        <w:rPr>
          <w:rFonts w:ascii="Arial" w:cs="Arial" w:eastAsia="Arial" w:hAnsi="Arial"/>
          <w:sz w:val="22"/>
          <w:szCs w:val="22"/>
          <w:color w:val="auto"/>
        </w:rPr>
        <w:t xml:space="preserve">” means a Preference Unit having the designations, preferences, rights, powers and duties set forth in </w:t>
      </w:r>
      <w:r>
        <w:rPr>
          <w:rFonts w:ascii="Arial" w:cs="Arial" w:eastAsia="Arial" w:hAnsi="Arial"/>
          <w:sz w:val="22"/>
          <w:szCs w:val="22"/>
          <w:u w:val="single" w:color="auto"/>
          <w:color w:val="auto"/>
        </w:rPr>
        <w:t>Article XVI</w:t>
      </w:r>
      <w:r>
        <w:rPr>
          <w:rFonts w:ascii="Arial" w:cs="Arial" w:eastAsia="Arial" w:hAnsi="Arial"/>
          <w:sz w:val="22"/>
          <w:szCs w:val="22"/>
          <w:color w:val="auto"/>
        </w:rPr>
        <w:t>.</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A Redemption Date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16.6</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A Redemption Notice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16.6(b)</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A Redemption Price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16.6(a)</w:t>
      </w:r>
      <w:r>
        <w:rPr>
          <w:rFonts w:ascii="Arial" w:cs="Arial" w:eastAsia="Arial" w:hAnsi="Arial"/>
          <w:sz w:val="22"/>
          <w:szCs w:val="22"/>
          <w:color w:val="auto"/>
        </w:rPr>
        <w:t>.</w:t>
      </w:r>
    </w:p>
    <w:p>
      <w:pPr>
        <w:spacing w:after="0" w:line="233" w:lineRule="exact"/>
        <w:rPr>
          <w:sz w:val="20"/>
          <w:szCs w:val="20"/>
          <w:color w:val="auto"/>
        </w:rPr>
      </w:pPr>
    </w:p>
    <w:p>
      <w:pPr>
        <w:ind w:right="62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A Redemption Payments</w:t>
      </w:r>
      <w:r>
        <w:rPr>
          <w:rFonts w:ascii="Arial" w:cs="Arial" w:eastAsia="Arial" w:hAnsi="Arial"/>
          <w:sz w:val="22"/>
          <w:szCs w:val="22"/>
          <w:color w:val="auto"/>
        </w:rPr>
        <w:t xml:space="preserve">” means payments to be made to the holders of Series A Preference Units to redeem Series A Preference Units in accordance with </w:t>
      </w:r>
      <w:r>
        <w:rPr>
          <w:rFonts w:ascii="Arial" w:cs="Arial" w:eastAsia="Arial" w:hAnsi="Arial"/>
          <w:sz w:val="22"/>
          <w:szCs w:val="22"/>
          <w:u w:val="single" w:color="auto"/>
          <w:color w:val="auto"/>
        </w:rPr>
        <w:t>Section 16.6</w:t>
      </w:r>
      <w:r>
        <w:rPr>
          <w:rFonts w:ascii="Arial" w:cs="Arial" w:eastAsia="Arial" w:hAnsi="Arial"/>
          <w:sz w:val="22"/>
          <w:szCs w:val="22"/>
          <w:color w:val="auto"/>
        </w:rPr>
        <w:t>.</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Special Approval</w:t>
      </w:r>
      <w:r>
        <w:rPr>
          <w:rFonts w:ascii="Arial" w:cs="Arial" w:eastAsia="Arial" w:hAnsi="Arial"/>
          <w:sz w:val="22"/>
          <w:szCs w:val="22"/>
          <w:color w:val="auto"/>
        </w:rPr>
        <w:t>” means approval by a majority of the members of the Conflicts Committee.</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Stated Series A Liquidation Preference</w:t>
      </w:r>
      <w:r>
        <w:rPr>
          <w:rFonts w:ascii="Arial" w:cs="Arial" w:eastAsia="Arial" w:hAnsi="Arial"/>
          <w:sz w:val="21"/>
          <w:szCs w:val="21"/>
          <w:color w:val="auto"/>
        </w:rPr>
        <w:t>” means an amount equal to $25.00 per Series A Preference Unit.</w:t>
      </w:r>
    </w:p>
    <w:p>
      <w:pPr>
        <w:spacing w:after="0" w:line="245" w:lineRule="exact"/>
        <w:rPr>
          <w:sz w:val="20"/>
          <w:szCs w:val="20"/>
          <w:color w:val="auto"/>
        </w:rPr>
      </w:pPr>
    </w:p>
    <w:p>
      <w:pPr>
        <w:ind w:right="100"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Subordinated Unit</w:t>
      </w:r>
      <w:r>
        <w:rPr>
          <w:rFonts w:ascii="Arial" w:cs="Arial" w:eastAsia="Arial" w:hAnsi="Arial"/>
          <w:sz w:val="22"/>
          <w:szCs w:val="22"/>
          <w:color w:val="auto"/>
        </w:rPr>
        <w:t>” means a Unit representing a fractional part of the Partnership Interests of all Limited Partners and having the rights and obligations specified with respect to Subordinated Units in this Agreement. The term “</w:t>
      </w:r>
      <w:r>
        <w:rPr>
          <w:rFonts w:ascii="Arial" w:cs="Arial" w:eastAsia="Arial" w:hAnsi="Arial"/>
          <w:sz w:val="22"/>
          <w:szCs w:val="22"/>
          <w:i w:val="1"/>
          <w:iCs w:val="1"/>
          <w:color w:val="auto"/>
        </w:rPr>
        <w:t>Subordinated</w:t>
      </w:r>
      <w:r>
        <w:rPr>
          <w:rFonts w:ascii="Arial" w:cs="Arial" w:eastAsia="Arial" w:hAnsi="Arial"/>
          <w:sz w:val="22"/>
          <w:szCs w:val="22"/>
          <w:color w:val="auto"/>
        </w:rPr>
        <w:t xml:space="preserve"> </w:t>
      </w:r>
      <w:r>
        <w:rPr>
          <w:rFonts w:ascii="Arial" w:cs="Arial" w:eastAsia="Arial" w:hAnsi="Arial"/>
          <w:sz w:val="22"/>
          <w:szCs w:val="22"/>
          <w:i w:val="1"/>
          <w:iCs w:val="1"/>
          <w:color w:val="auto"/>
        </w:rPr>
        <w:t>Unit</w:t>
      </w:r>
      <w:r>
        <w:rPr>
          <w:rFonts w:ascii="Arial" w:cs="Arial" w:eastAsia="Arial" w:hAnsi="Arial"/>
          <w:sz w:val="22"/>
          <w:szCs w:val="22"/>
          <w:color w:val="auto"/>
        </w:rPr>
        <w:t>” does not</w:t>
      </w:r>
    </w:p>
    <w:p>
      <w:pPr>
        <w:spacing w:after="0" w:line="159"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60"/>
          </w:cols>
          <w:pgMar w:left="240" w:top="402" w:right="299" w:bottom="1440" w:gutter="0" w:footer="0" w:header="0"/>
        </w:sectPr>
      </w:pPr>
    </w:p>
    <w:bookmarkStart w:id="28" w:name="page29"/>
    <w:bookmarkEnd w:id="28"/>
    <w:p>
      <w:pPr>
        <w:ind w:right="400"/>
        <w:spacing w:after="0" w:line="251" w:lineRule="auto"/>
        <w:rPr>
          <w:sz w:val="20"/>
          <w:szCs w:val="20"/>
          <w:color w:val="auto"/>
        </w:rPr>
      </w:pPr>
      <w:r>
        <w:rPr>
          <w:rFonts w:ascii="Arial" w:cs="Arial" w:eastAsia="Arial" w:hAnsi="Arial"/>
          <w:sz w:val="22"/>
          <w:szCs w:val="22"/>
          <w:color w:val="auto"/>
        </w:rPr>
        <w:t>include a Common Unit. A Subordinated Unit that is convertible into a Common Unit shall not constitute a Common Unit until such conversion occurs.</w:t>
      </w:r>
    </w:p>
    <w:p>
      <w:pPr>
        <w:spacing w:after="0" w:line="200" w:lineRule="exact"/>
        <w:rPr>
          <w:sz w:val="20"/>
          <w:szCs w:val="20"/>
          <w:color w:val="auto"/>
        </w:rPr>
      </w:pPr>
    </w:p>
    <w:p>
      <w:pPr>
        <w:ind w:right="22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Subordination Period</w:t>
      </w:r>
      <w:r>
        <w:rPr>
          <w:rFonts w:ascii="Arial" w:cs="Arial" w:eastAsia="Arial" w:hAnsi="Arial"/>
          <w:sz w:val="22"/>
          <w:szCs w:val="22"/>
          <w:color w:val="auto"/>
        </w:rPr>
        <w:t>” means the period commencing on the Closing Date and ending on the first to occur of the following dates:</w:t>
      </w:r>
    </w:p>
    <w:p>
      <w:pPr>
        <w:spacing w:after="0" w:line="200" w:lineRule="exact"/>
        <w:rPr>
          <w:sz w:val="20"/>
          <w:szCs w:val="20"/>
          <w:color w:val="auto"/>
        </w:rPr>
      </w:pPr>
    </w:p>
    <w:p>
      <w:pPr>
        <w:ind w:left="660" w:right="20" w:firstLine="645"/>
        <w:spacing w:after="0" w:line="273" w:lineRule="auto"/>
        <w:tabs>
          <w:tab w:leader="none" w:pos="1602" w:val="left"/>
        </w:tabs>
        <w:numPr>
          <w:ilvl w:val="0"/>
          <w:numId w:val="10"/>
        </w:numPr>
        <w:rPr>
          <w:rFonts w:ascii="Arial" w:cs="Arial" w:eastAsia="Arial" w:hAnsi="Arial"/>
          <w:sz w:val="19"/>
          <w:szCs w:val="19"/>
          <w:color w:val="auto"/>
        </w:rPr>
      </w:pPr>
      <w:r>
        <w:rPr>
          <w:rFonts w:ascii="Arial" w:cs="Arial" w:eastAsia="Arial" w:hAnsi="Arial"/>
          <w:sz w:val="19"/>
          <w:szCs w:val="19"/>
          <w:color w:val="auto"/>
        </w:rPr>
        <w:t xml:space="preserve">the second Business Day following the distribution of Available Cash to Partners pursuant to </w:t>
      </w:r>
      <w:r>
        <w:rPr>
          <w:rFonts w:ascii="Arial" w:cs="Arial" w:eastAsia="Arial" w:hAnsi="Arial"/>
          <w:sz w:val="19"/>
          <w:szCs w:val="19"/>
          <w:u w:val="single" w:color="auto"/>
          <w:color w:val="auto"/>
        </w:rPr>
        <w:t>Section 6.2(a)</w:t>
      </w:r>
      <w:r>
        <w:rPr>
          <w:rFonts w:ascii="Arial" w:cs="Arial" w:eastAsia="Arial" w:hAnsi="Arial"/>
          <w:sz w:val="19"/>
          <w:szCs w:val="19"/>
          <w:color w:val="auto"/>
        </w:rPr>
        <w:t xml:space="preserve"> in respect of any Quarter ending on or after March 31, 2017, in respect of which (i) (A) distributions of Available Cash from Operating Surplus on each of the Outstanding Common Units, Subordinated Units, General Partner Units and any other Outstanding Units that are senior or equal in right of distribution to the Subordinated Units equaled or exceeded the sum of the Minimum Quarterly Distribution during each of the three consecutive, non-overlapping four- Quarter periods immediately preceding such date and (B) the Adjusted Operating Surplus for each of the three consecutive, non-overlapping four-Quarter periods immediately preceding such date equaled or exceeded the sum of the Minimum Quarterly Distribution on all of the Common Units, Subordinated Units, General Partner Units and any other Units that are senior or equal in right of distribution to the Subordinated Units that were Outstanding during such periods on a Fully Diluted Weighted Average Basis with respect to each such period and (ii) there are no Cumulative Common Unit Arrearages; and</w:t>
      </w:r>
    </w:p>
    <w:p>
      <w:pPr>
        <w:spacing w:after="0" w:line="188" w:lineRule="exact"/>
        <w:rPr>
          <w:rFonts w:ascii="Arial" w:cs="Arial" w:eastAsia="Arial" w:hAnsi="Arial"/>
          <w:sz w:val="19"/>
          <w:szCs w:val="19"/>
          <w:color w:val="auto"/>
        </w:rPr>
      </w:pPr>
    </w:p>
    <w:p>
      <w:pPr>
        <w:jc w:val="both"/>
        <w:ind w:left="660" w:right="60" w:firstLine="645"/>
        <w:spacing w:after="0"/>
        <w:tabs>
          <w:tab w:leader="none" w:pos="1614" w:val="left"/>
        </w:tabs>
        <w:numPr>
          <w:ilvl w:val="0"/>
          <w:numId w:val="10"/>
        </w:numPr>
        <w:rPr>
          <w:rFonts w:ascii="Arial" w:cs="Arial" w:eastAsia="Arial" w:hAnsi="Arial"/>
          <w:sz w:val="22"/>
          <w:szCs w:val="22"/>
          <w:color w:val="auto"/>
        </w:rPr>
      </w:pPr>
      <w:r>
        <w:rPr>
          <w:rFonts w:ascii="Arial" w:cs="Arial" w:eastAsia="Arial" w:hAnsi="Arial"/>
          <w:sz w:val="22"/>
          <w:szCs w:val="22"/>
          <w:color w:val="auto"/>
        </w:rPr>
        <w:t>the date on which the General Partner is removed as general partner of the Partnership upon the requisite vote by holders of Outstanding Units under circumstances where Cause does not exist and no Units held by the General Partner and its Affiliates are voted in favor of such removal.</w:t>
      </w:r>
    </w:p>
    <w:p>
      <w:pPr>
        <w:spacing w:after="0" w:line="213" w:lineRule="exact"/>
        <w:rPr>
          <w:sz w:val="20"/>
          <w:szCs w:val="20"/>
          <w:color w:val="auto"/>
        </w:rPr>
      </w:pPr>
    </w:p>
    <w:p>
      <w:pPr>
        <w:ind w:firstLine="1297"/>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Subsidiary</w:t>
      </w:r>
      <w:r>
        <w:rPr>
          <w:rFonts w:ascii="Arial" w:cs="Arial" w:eastAsia="Arial" w:hAnsi="Arial"/>
          <w:sz w:val="19"/>
          <w:szCs w:val="19"/>
          <w:color w:val="auto"/>
        </w:rPr>
        <w:t xml:space="preserve">” means, with respect to any Person, (a) a corporation of which more than 50% of the voting power of shares entitled (without regard to the occurrence of any contingency) to vote in the election of directors or other governing body of such corporation is owned, directly or indirectly, at the date of determination, by such Person, by one or more Subsidiaries (as defined, but excluding </w:t>
      </w:r>
      <w:r>
        <w:rPr>
          <w:rFonts w:ascii="Arial" w:cs="Arial" w:eastAsia="Arial" w:hAnsi="Arial"/>
          <w:sz w:val="19"/>
          <w:szCs w:val="19"/>
          <w:u w:val="single" w:color="auto"/>
          <w:color w:val="auto"/>
        </w:rPr>
        <w:t>subsection (d)</w:t>
      </w:r>
      <w:r>
        <w:rPr>
          <w:rFonts w:ascii="Arial" w:cs="Arial" w:eastAsia="Arial" w:hAnsi="Arial"/>
          <w:sz w:val="19"/>
          <w:szCs w:val="19"/>
          <w:color w:val="auto"/>
        </w:rPr>
        <w:t xml:space="preserve"> of this definition) of such Person or a combination thereof, (b) a partnership (whether general or limited) in which such Person or a Subsidiary (as defined, but excluding </w:t>
      </w:r>
      <w:r>
        <w:rPr>
          <w:rFonts w:ascii="Arial" w:cs="Arial" w:eastAsia="Arial" w:hAnsi="Arial"/>
          <w:sz w:val="19"/>
          <w:szCs w:val="19"/>
          <w:u w:val="single" w:color="auto"/>
          <w:color w:val="auto"/>
        </w:rPr>
        <w:t>subsection (d)</w:t>
      </w:r>
      <w:r>
        <w:rPr>
          <w:rFonts w:ascii="Arial" w:cs="Arial" w:eastAsia="Arial" w:hAnsi="Arial"/>
          <w:sz w:val="19"/>
          <w:szCs w:val="19"/>
          <w:color w:val="auto"/>
        </w:rPr>
        <w:t xml:space="preserve"> of this definition) of such Person is, at the date of determination, a general or limited partner of such partnership, but only if more than 50% of the partnership interests of such partnership (considering all of the partnership interests of the partnership as a single class) is owned, directly or indirectly, at the date of determination, by such Person, by one or more Subsidiaries (as defined, but excluding </w:t>
      </w:r>
      <w:r>
        <w:rPr>
          <w:rFonts w:ascii="Arial" w:cs="Arial" w:eastAsia="Arial" w:hAnsi="Arial"/>
          <w:sz w:val="19"/>
          <w:szCs w:val="19"/>
          <w:u w:val="single" w:color="auto"/>
          <w:color w:val="auto"/>
        </w:rPr>
        <w:t>subsection (d)</w:t>
      </w:r>
      <w:r>
        <w:rPr>
          <w:rFonts w:ascii="Arial" w:cs="Arial" w:eastAsia="Arial" w:hAnsi="Arial"/>
          <w:sz w:val="19"/>
          <w:szCs w:val="19"/>
          <w:color w:val="auto"/>
        </w:rPr>
        <w:t xml:space="preserve"> of this definition) of such Person, or a combination thereof, (c) any other Person (other than a corporation or a partnership) in which such Person, one or more Subsidiaries (as defined, but excluding </w:t>
      </w:r>
      <w:r>
        <w:rPr>
          <w:rFonts w:ascii="Arial" w:cs="Arial" w:eastAsia="Arial" w:hAnsi="Arial"/>
          <w:sz w:val="19"/>
          <w:szCs w:val="19"/>
          <w:u w:val="single" w:color="auto"/>
          <w:color w:val="auto"/>
        </w:rPr>
        <w:t>subsection (d)</w:t>
      </w:r>
      <w:r>
        <w:rPr>
          <w:rFonts w:ascii="Arial" w:cs="Arial" w:eastAsia="Arial" w:hAnsi="Arial"/>
          <w:sz w:val="19"/>
          <w:szCs w:val="19"/>
          <w:color w:val="auto"/>
        </w:rPr>
        <w:t xml:space="preserve"> of this definition) of such Person, or a combination thereof, directly or indirectly, at the date of determination, has (i) at least a majority ownership interest or (ii) the power to elect or direct the election of a majority of the directors or other governing body of such Person, or (d) any other Person in which such Person, one or more Subsidiaries (as defined, but excluding this </w:t>
      </w:r>
      <w:r>
        <w:rPr>
          <w:rFonts w:ascii="Arial" w:cs="Arial" w:eastAsia="Arial" w:hAnsi="Arial"/>
          <w:sz w:val="19"/>
          <w:szCs w:val="19"/>
          <w:u w:val="single" w:color="auto"/>
          <w:color w:val="auto"/>
        </w:rPr>
        <w:t>subsection (d)</w:t>
      </w:r>
      <w:r>
        <w:rPr>
          <w:rFonts w:ascii="Arial" w:cs="Arial" w:eastAsia="Arial" w:hAnsi="Arial"/>
          <w:sz w:val="19"/>
          <w:szCs w:val="19"/>
          <w:color w:val="auto"/>
        </w:rPr>
        <w:t xml:space="preserve"> of this definition) of such Person, or a combination thereof, directly or indirectly, at the date of determination, has (i) less than a majority ownership interest or (ii) less than the power to elect or direct the election of a majority of the directors or other governing</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29" w:name="page30"/>
    <w:bookmarkEnd w:id="29"/>
    <w:p>
      <w:pPr>
        <w:spacing w:after="0" w:line="273" w:lineRule="auto"/>
        <w:rPr>
          <w:sz w:val="20"/>
          <w:szCs w:val="20"/>
          <w:color w:val="auto"/>
        </w:rPr>
      </w:pPr>
      <w:r>
        <w:rPr>
          <w:rFonts w:ascii="Arial" w:cs="Arial" w:eastAsia="Arial" w:hAnsi="Arial"/>
          <w:sz w:val="19"/>
          <w:szCs w:val="19"/>
          <w:color w:val="auto"/>
        </w:rPr>
        <w:t xml:space="preserve">body of such Person,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 such Person, one or more Subsidiaries (as defined, but excluding this </w:t>
      </w:r>
      <w:r>
        <w:rPr>
          <w:rFonts w:ascii="Arial" w:cs="Arial" w:eastAsia="Arial" w:hAnsi="Arial"/>
          <w:sz w:val="19"/>
          <w:szCs w:val="19"/>
          <w:u w:val="single" w:color="auto"/>
          <w:color w:val="auto"/>
        </w:rPr>
        <w:t>subsection (d)</w:t>
      </w:r>
      <w:r>
        <w:rPr>
          <w:rFonts w:ascii="Arial" w:cs="Arial" w:eastAsia="Arial" w:hAnsi="Arial"/>
          <w:sz w:val="19"/>
          <w:szCs w:val="19"/>
          <w:color w:val="auto"/>
        </w:rPr>
        <w:t xml:space="preserve"> of this definition) of such Person, or a combination thereof, directly or indirectly, at the date of the determination, has at least a 20% ownership interest in such other Person, (B) such Person accounts for such other Person (under IFRS, as in effect on the later of the date of investment in such other Person or material expansion of the operations of such other Person) on a consolidated or equity accounting basis, (C) such Person has directly or indirectly material negative control rights regarding such other Person including over such other Person’s ability to materially expand its operations beyond that contemplated at the date of investment in such other Person, and (D) such other Person is (i) other than with respect to the Operating Company, formed and maintained for the sole purpose of owning or leasing, operating and chartering vessels and (ii) obligated under its constituent documents, or as a result of a unanimous agreement of its owners, to distribute to its owners all of its income on at least an annual basis (less any cash reserves that are approved by such Person).</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Surviving Business Entity</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14.2(b)(ii)</w:t>
      </w:r>
      <w:r>
        <w:rPr>
          <w:rFonts w:ascii="Arial" w:cs="Arial" w:eastAsia="Arial" w:hAnsi="Arial"/>
          <w:sz w:val="22"/>
          <w:szCs w:val="22"/>
          <w:color w:val="auto"/>
        </w:rPr>
        <w:t>.</w:t>
      </w:r>
    </w:p>
    <w:p>
      <w:pPr>
        <w:spacing w:after="0" w:line="233" w:lineRule="exact"/>
        <w:rPr>
          <w:sz w:val="20"/>
          <w:szCs w:val="20"/>
          <w:color w:val="auto"/>
        </w:rPr>
      </w:pPr>
    </w:p>
    <w:p>
      <w:pPr>
        <w:ind w:right="20" w:firstLine="1297"/>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Third Target Distribution</w:t>
      </w:r>
      <w:r>
        <w:rPr>
          <w:rFonts w:ascii="Arial" w:cs="Arial" w:eastAsia="Arial" w:hAnsi="Arial"/>
          <w:sz w:val="19"/>
          <w:szCs w:val="19"/>
          <w:color w:val="auto"/>
        </w:rPr>
        <w:t xml:space="preserve">” means $0.56250 per Unit per Quarter (or, with respect to the period commencing on the Closing Date and ending on June 30, 2014, it means the product of $0.56250 multiplied by a fraction of which the numerator is equal to the number of days in such period and of which the denominator is the total number of days in the Quarter in which the Closing Date occurs), subject to adjustment in accordance with </w:t>
      </w:r>
      <w:r>
        <w:rPr>
          <w:rFonts w:ascii="Arial" w:cs="Arial" w:eastAsia="Arial" w:hAnsi="Arial"/>
          <w:sz w:val="19"/>
          <w:szCs w:val="19"/>
          <w:u w:val="single" w:color="auto"/>
          <w:color w:val="auto"/>
        </w:rPr>
        <w:t>Section 5.10</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6.5</w:t>
      </w:r>
      <w:r>
        <w:rPr>
          <w:rFonts w:ascii="Arial" w:cs="Arial" w:eastAsia="Arial" w:hAnsi="Arial"/>
          <w:sz w:val="19"/>
          <w:szCs w:val="19"/>
          <w:color w:val="auto"/>
        </w:rPr>
        <w: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Three-Month LIBOR Rate</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16.3(b)</w:t>
      </w:r>
      <w:r>
        <w:rPr>
          <w:rFonts w:ascii="Arial" w:cs="Arial" w:eastAsia="Arial" w:hAnsi="Arial"/>
          <w:sz w:val="22"/>
          <w:szCs w:val="22"/>
          <w:color w:val="auto"/>
        </w:rPr>
        <w:t>.</w:t>
      </w:r>
    </w:p>
    <w:p>
      <w:pPr>
        <w:spacing w:after="0" w:line="233" w:lineRule="exact"/>
        <w:rPr>
          <w:sz w:val="20"/>
          <w:szCs w:val="20"/>
          <w:color w:val="auto"/>
        </w:rPr>
      </w:pPr>
    </w:p>
    <w:p>
      <w:pPr>
        <w:ind w:firstLine="1297"/>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Trading Day</w:t>
      </w:r>
      <w:r>
        <w:rPr>
          <w:rFonts w:ascii="Arial" w:cs="Arial" w:eastAsia="Arial" w:hAnsi="Arial"/>
          <w:sz w:val="19"/>
          <w:szCs w:val="19"/>
          <w:color w:val="auto"/>
        </w:rPr>
        <w:t>” means, for the purpose of determining the Current Market Price of any class or series of Limited Partner Interests, a day on which the principal National Securities Exchange on which such class or series of Limited Partner Interests is listed or admitted for trading is open for the transaction of business or, if Limited Partner Interests of a class or series are not listed on any National Securities Exchange, a day on which banking institutions in New York City generally are open.</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transfer</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4.4(a)</w:t>
      </w:r>
      <w:r>
        <w:rPr>
          <w:rFonts w:ascii="Arial" w:cs="Arial" w:eastAsia="Arial" w:hAnsi="Arial"/>
          <w:sz w:val="22"/>
          <w:szCs w:val="22"/>
          <w:color w:val="auto"/>
        </w:rPr>
        <w:t>.</w:t>
      </w:r>
    </w:p>
    <w:p>
      <w:pPr>
        <w:spacing w:after="0" w:line="233" w:lineRule="exact"/>
        <w:rPr>
          <w:sz w:val="20"/>
          <w:szCs w:val="20"/>
          <w:color w:val="auto"/>
        </w:rPr>
      </w:pPr>
    </w:p>
    <w:p>
      <w:pPr>
        <w:ind w:right="40" w:firstLine="129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Transfer Agent</w:t>
      </w:r>
      <w:r>
        <w:rPr>
          <w:rFonts w:ascii="Arial" w:cs="Arial" w:eastAsia="Arial" w:hAnsi="Arial"/>
          <w:sz w:val="22"/>
          <w:szCs w:val="22"/>
          <w:color w:val="auto"/>
        </w:rPr>
        <w:t xml:space="preserve">” means such bank, trust company or other Person (including the General Partner or one of its Affiliates) as shall be appointed from time to time by the Partnership to act as registrar and transfer agent for the Common Units and the Preference Units;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if no Transfer Agent is specifically designated for any other Partnership Interests, the Partnership shall act in such capacity.</w:t>
      </w:r>
    </w:p>
    <w:p>
      <w:pPr>
        <w:spacing w:after="0" w:line="212" w:lineRule="exact"/>
        <w:rPr>
          <w:sz w:val="20"/>
          <w:szCs w:val="20"/>
          <w:color w:val="auto"/>
        </w:rPr>
      </w:pPr>
    </w:p>
    <w:p>
      <w:pPr>
        <w:ind w:right="56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Underwriter</w:t>
      </w:r>
      <w:r>
        <w:rPr>
          <w:rFonts w:ascii="Arial" w:cs="Arial" w:eastAsia="Arial" w:hAnsi="Arial"/>
          <w:sz w:val="22"/>
          <w:szCs w:val="22"/>
          <w:color w:val="auto"/>
        </w:rPr>
        <w:t>” means each Person named as an underwriter in Schedule I to the Underwriting Agreement who purchases Common Units pursuant thereto.</w:t>
      </w:r>
    </w:p>
    <w:p>
      <w:pPr>
        <w:spacing w:after="0" w:line="200" w:lineRule="exact"/>
        <w:rPr>
          <w:sz w:val="20"/>
          <w:szCs w:val="20"/>
          <w:color w:val="auto"/>
        </w:rPr>
      </w:pPr>
    </w:p>
    <w:p>
      <w:pPr>
        <w:ind w:right="34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Underwriting Agreement</w:t>
      </w:r>
      <w:r>
        <w:rPr>
          <w:rFonts w:ascii="Arial" w:cs="Arial" w:eastAsia="Arial" w:hAnsi="Arial"/>
          <w:sz w:val="22"/>
          <w:szCs w:val="22"/>
          <w:color w:val="auto"/>
        </w:rPr>
        <w:t>” means the Underwriting Agreement dated May 6, 2014 among the Underwriters, the Partnership, the General Partner, the Operating Company, and</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30" w:name="page31"/>
    <w:bookmarkEnd w:id="30"/>
    <w:p>
      <w:pPr>
        <w:ind w:right="420"/>
        <w:spacing w:after="0" w:line="251" w:lineRule="auto"/>
        <w:rPr>
          <w:sz w:val="20"/>
          <w:szCs w:val="20"/>
          <w:color w:val="auto"/>
        </w:rPr>
      </w:pPr>
      <w:r>
        <w:rPr>
          <w:rFonts w:ascii="Arial" w:cs="Arial" w:eastAsia="Arial" w:hAnsi="Arial"/>
          <w:sz w:val="22"/>
          <w:szCs w:val="22"/>
          <w:color w:val="auto"/>
        </w:rPr>
        <w:t>GasLog, providing for the purchase of Common Units from the Partnership by such Underwriters in connection with the Initial Offering.</w:t>
      </w:r>
    </w:p>
    <w:p>
      <w:pPr>
        <w:spacing w:after="0" w:line="200" w:lineRule="exact"/>
        <w:rPr>
          <w:sz w:val="20"/>
          <w:szCs w:val="20"/>
          <w:color w:val="auto"/>
        </w:rPr>
      </w:pPr>
    </w:p>
    <w:p>
      <w:pPr>
        <w:ind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Unit</w:t>
      </w:r>
      <w:r>
        <w:rPr>
          <w:rFonts w:ascii="Arial" w:cs="Arial" w:eastAsia="Arial" w:hAnsi="Arial"/>
          <w:sz w:val="22"/>
          <w:szCs w:val="22"/>
          <w:color w:val="auto"/>
        </w:rPr>
        <w:t>” means a Partnership Interest that is designated as a “</w:t>
      </w:r>
      <w:r>
        <w:rPr>
          <w:rFonts w:ascii="Arial" w:cs="Arial" w:eastAsia="Arial" w:hAnsi="Arial"/>
          <w:sz w:val="22"/>
          <w:szCs w:val="22"/>
          <w:i w:val="1"/>
          <w:iCs w:val="1"/>
          <w:color w:val="auto"/>
        </w:rPr>
        <w:t>Unit</w:t>
      </w:r>
      <w:r>
        <w:rPr>
          <w:rFonts w:ascii="Arial" w:cs="Arial" w:eastAsia="Arial" w:hAnsi="Arial"/>
          <w:sz w:val="22"/>
          <w:szCs w:val="22"/>
          <w:color w:val="auto"/>
        </w:rPr>
        <w:t>” and shall include Common Units, Preference Units and Subordinated Units, but shall not include (a) General Partner Units (or the General Partner Interest represented thereby) or (b) the Incentive Distribution Rights.</w:t>
      </w:r>
    </w:p>
    <w:p>
      <w:pPr>
        <w:spacing w:after="0" w:line="21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Unitholders</w:t>
      </w:r>
      <w:r>
        <w:rPr>
          <w:rFonts w:ascii="Arial" w:cs="Arial" w:eastAsia="Arial" w:hAnsi="Arial"/>
          <w:sz w:val="22"/>
          <w:szCs w:val="22"/>
          <w:color w:val="auto"/>
        </w:rPr>
        <w:t>” means the holders of Units.</w:t>
      </w:r>
    </w:p>
    <w:p>
      <w:pPr>
        <w:spacing w:after="0" w:line="233" w:lineRule="exact"/>
        <w:rPr>
          <w:sz w:val="20"/>
          <w:szCs w:val="20"/>
          <w:color w:val="auto"/>
        </w:rPr>
      </w:pPr>
    </w:p>
    <w:p>
      <w:pPr>
        <w:ind w:right="20" w:firstLine="129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Unit Majority</w:t>
      </w:r>
      <w:r>
        <w:rPr>
          <w:rFonts w:ascii="Arial" w:cs="Arial" w:eastAsia="Arial" w:hAnsi="Arial"/>
          <w:sz w:val="22"/>
          <w:szCs w:val="22"/>
          <w:color w:val="auto"/>
        </w:rPr>
        <w:t>” means (a) during the Subordination Period, at least (i) a majority of the Outstanding Common Units (excluding Common Units owned by the General Partner and its Affiliates) voting as a single class and (ii) a majority of the Outstanding Subordinated Units, voting as a single class, and (b) after the end of the Subordination Period, at least a majority of the Outstanding Common Units, voting as a single class.</w:t>
      </w:r>
    </w:p>
    <w:p>
      <w:pPr>
        <w:spacing w:after="0" w:line="212" w:lineRule="exact"/>
        <w:rPr>
          <w:sz w:val="20"/>
          <w:szCs w:val="20"/>
          <w:color w:val="auto"/>
        </w:rPr>
      </w:pPr>
    </w:p>
    <w:p>
      <w:pPr>
        <w:ind w:right="78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Unit Register</w:t>
      </w:r>
      <w:r>
        <w:rPr>
          <w:rFonts w:ascii="Arial" w:cs="Arial" w:eastAsia="Arial" w:hAnsi="Arial"/>
          <w:sz w:val="22"/>
          <w:szCs w:val="22"/>
          <w:color w:val="auto"/>
        </w:rPr>
        <w:t xml:space="preserve">” means the register of the Partnership for the registration and transfer of Limited Partnership Interests as provided in </w:t>
      </w:r>
      <w:r>
        <w:rPr>
          <w:rFonts w:ascii="Arial" w:cs="Arial" w:eastAsia="Arial" w:hAnsi="Arial"/>
          <w:sz w:val="22"/>
          <w:szCs w:val="22"/>
          <w:u w:val="single" w:color="auto"/>
          <w:color w:val="auto"/>
        </w:rPr>
        <w:t>Section 4.5</w:t>
      </w:r>
      <w:r>
        <w:rPr>
          <w:rFonts w:ascii="Arial" w:cs="Arial" w:eastAsia="Arial" w:hAnsi="Arial"/>
          <w:sz w:val="22"/>
          <w:szCs w:val="22"/>
          <w:color w:val="auto"/>
        </w:rPr>
        <w:t>.</w:t>
      </w:r>
    </w:p>
    <w:p>
      <w:pPr>
        <w:spacing w:after="0" w:line="200" w:lineRule="exact"/>
        <w:rPr>
          <w:sz w:val="20"/>
          <w:szCs w:val="20"/>
          <w:color w:val="auto"/>
        </w:rPr>
      </w:pPr>
    </w:p>
    <w:p>
      <w:pPr>
        <w:ind w:right="140" w:firstLine="1297"/>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Unrecovered Capital</w:t>
      </w:r>
      <w:r>
        <w:rPr>
          <w:rFonts w:ascii="Arial" w:cs="Arial" w:eastAsia="Arial" w:hAnsi="Arial"/>
          <w:sz w:val="21"/>
          <w:szCs w:val="21"/>
          <w:color w:val="auto"/>
        </w:rPr>
        <w:t>” means at any time, with respect to a Common Unit, the Initial Unit Price less the sum of all distributions constituting Capital Surplus theretofore made in respect of an Initial Common Unit and any distributions of cash (or the Net Agreed Value of any distributions in kind) in connection with the dissolution and liquidation of the Partnership theretofore made in respect of an Initial Common Unit, adjusted as the Board of Directors determines to be appropriate to give effect to any distribution, subdivision or combination of such Common Units.</w:t>
      </w:r>
    </w:p>
    <w:p>
      <w:pPr>
        <w:spacing w:after="0" w:line="206" w:lineRule="exact"/>
        <w:rPr>
          <w:sz w:val="20"/>
          <w:szCs w:val="20"/>
          <w:color w:val="auto"/>
        </w:rPr>
      </w:pPr>
    </w:p>
    <w:p>
      <w:pPr>
        <w:ind w:right="1000" w:firstLine="1297"/>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Vessel Interests</w:t>
      </w:r>
      <w:r>
        <w:rPr>
          <w:rFonts w:ascii="Arial" w:cs="Arial" w:eastAsia="Arial" w:hAnsi="Arial"/>
          <w:sz w:val="19"/>
          <w:szCs w:val="19"/>
          <w:color w:val="auto"/>
        </w:rPr>
        <w:t xml:space="preserve">” means the capital stock and other equity interests in certain of GasLog’s wholly owned Subsidiaries that have interests in three vessels–the </w:t>
      </w:r>
      <w:r>
        <w:rPr>
          <w:rFonts w:ascii="Arial" w:cs="Arial" w:eastAsia="Arial" w:hAnsi="Arial"/>
          <w:sz w:val="19"/>
          <w:szCs w:val="19"/>
          <w:i w:val="1"/>
          <w:iCs w:val="1"/>
          <w:color w:val="auto"/>
        </w:rPr>
        <w:t>GasLog Shanghai</w:t>
      </w:r>
      <w:r>
        <w:rPr>
          <w:rFonts w:ascii="Arial" w:cs="Arial" w:eastAsia="Arial" w:hAnsi="Arial"/>
          <w:sz w:val="19"/>
          <w:szCs w:val="19"/>
          <w:color w:val="auto"/>
        </w:rPr>
        <w:t xml:space="preserve">, the </w:t>
      </w:r>
      <w:r>
        <w:rPr>
          <w:rFonts w:ascii="Arial" w:cs="Arial" w:eastAsia="Arial" w:hAnsi="Arial"/>
          <w:sz w:val="19"/>
          <w:szCs w:val="19"/>
          <w:i w:val="1"/>
          <w:iCs w:val="1"/>
          <w:color w:val="auto"/>
        </w:rPr>
        <w:t>GasLog Santiago</w:t>
      </w:r>
      <w:r>
        <w:rPr>
          <w:rFonts w:ascii="Arial" w:cs="Arial" w:eastAsia="Arial" w:hAnsi="Arial"/>
          <w:sz w:val="19"/>
          <w:szCs w:val="19"/>
          <w:color w:val="auto"/>
        </w:rPr>
        <w:t xml:space="preserve"> and the </w:t>
      </w:r>
      <w:r>
        <w:rPr>
          <w:rFonts w:ascii="Arial" w:cs="Arial" w:eastAsia="Arial" w:hAnsi="Arial"/>
          <w:sz w:val="19"/>
          <w:szCs w:val="19"/>
          <w:i w:val="1"/>
          <w:iCs w:val="1"/>
          <w:color w:val="auto"/>
        </w:rPr>
        <w:t>GasLog Sydney</w:t>
      </w:r>
      <w:r>
        <w:rPr>
          <w:rFonts w:ascii="Arial" w:cs="Arial" w:eastAsia="Arial" w:hAnsi="Arial"/>
          <w:sz w:val="19"/>
          <w:szCs w:val="19"/>
          <w:color w:val="auto"/>
        </w:rPr>
        <w:t>.</w:t>
      </w:r>
    </w:p>
    <w:p>
      <w:pPr>
        <w:spacing w:after="0" w:line="132" w:lineRule="exact"/>
        <w:rPr>
          <w:sz w:val="20"/>
          <w:szCs w:val="20"/>
          <w:color w:val="auto"/>
        </w:rPr>
      </w:pPr>
    </w:p>
    <w:p>
      <w:pPr>
        <w:ind w:right="140" w:firstLine="129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Volume-Weighted Average Market Price</w:t>
      </w:r>
      <w:r>
        <w:rPr>
          <w:rFonts w:ascii="Arial" w:cs="Arial" w:eastAsia="Arial" w:hAnsi="Arial"/>
          <w:sz w:val="22"/>
          <w:szCs w:val="22"/>
          <w:color w:val="auto"/>
        </w:rPr>
        <w:t>” means, for a specified period of consecutive Trading Days for the Common Units, an amount equal to (a) the cumulative sum of the products of (x) the sale price for each trade of Common Units occurring during such period multiplied by (y) the number of Common Units sold at such price, divided by (b) the total number of Common Units so traded during such period.</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Withdrawal Opinion of Counsel</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11.1(b)(i)</w:t>
      </w:r>
      <w:r>
        <w:rPr>
          <w:rFonts w:ascii="Arial" w:cs="Arial" w:eastAsia="Arial" w:hAnsi="Arial"/>
          <w:sz w:val="22"/>
          <w:szCs w:val="22"/>
          <w:color w:val="auto"/>
        </w:rPr>
        <w:t>.</w:t>
      </w:r>
    </w:p>
    <w:p>
      <w:pPr>
        <w:spacing w:after="0" w:line="233" w:lineRule="exact"/>
        <w:rPr>
          <w:sz w:val="20"/>
          <w:szCs w:val="20"/>
          <w:color w:val="auto"/>
        </w:rPr>
      </w:pPr>
    </w:p>
    <w:p>
      <w:pPr>
        <w:ind w:right="40" w:firstLine="1297"/>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Working Capital Borrowings</w:t>
      </w:r>
      <w:r>
        <w:rPr>
          <w:rFonts w:ascii="Arial" w:cs="Arial" w:eastAsia="Arial" w:hAnsi="Arial"/>
          <w:sz w:val="21"/>
          <w:szCs w:val="21"/>
          <w:color w:val="auto"/>
        </w:rPr>
        <w:t xml:space="preserve">” means borrowings used solely for working capital purposes or to pay distributions to Partners made pursuant to a credit facility, commercial paper facility or similar financing arrangement available to a Group Member, </w:t>
      </w:r>
      <w:r>
        <w:rPr>
          <w:rFonts w:ascii="Arial" w:cs="Arial" w:eastAsia="Arial" w:hAnsi="Arial"/>
          <w:sz w:val="21"/>
          <w:szCs w:val="21"/>
          <w:i w:val="1"/>
          <w:iCs w:val="1"/>
          <w:color w:val="auto"/>
        </w:rPr>
        <w:t>provided</w:t>
      </w:r>
      <w:r>
        <w:rPr>
          <w:rFonts w:ascii="Arial" w:cs="Arial" w:eastAsia="Arial" w:hAnsi="Arial"/>
          <w:sz w:val="21"/>
          <w:szCs w:val="21"/>
          <w:color w:val="auto"/>
        </w:rPr>
        <w:t>, that when such borrowing is incurred it is the intent of the borrower to repay such borrowings within 12 months from the date of such borrowings other than from additional Working Capital Borrowings.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31" w:name="page32"/>
    <w:bookmarkEnd w:id="31"/>
    <w:p>
      <w:pPr>
        <w:ind w:right="140" w:firstLine="1297"/>
        <w:spacing w:after="0" w:line="247" w:lineRule="auto"/>
        <w:rPr>
          <w:sz w:val="20"/>
          <w:szCs w:val="20"/>
          <w:color w:val="auto"/>
        </w:rPr>
      </w:pPr>
      <w:r>
        <w:rPr>
          <w:rFonts w:ascii="Arial" w:cs="Arial" w:eastAsia="Arial" w:hAnsi="Arial"/>
          <w:sz w:val="21"/>
          <w:szCs w:val="21"/>
          <w:color w:val="auto"/>
        </w:rPr>
        <w:t xml:space="preserve">Section 1.2. </w:t>
      </w:r>
      <w:r>
        <w:rPr>
          <w:rFonts w:ascii="Arial" w:cs="Arial" w:eastAsia="Arial" w:hAnsi="Arial"/>
          <w:sz w:val="21"/>
          <w:szCs w:val="21"/>
          <w:i w:val="1"/>
          <w:iCs w:val="1"/>
          <w:color w:val="auto"/>
        </w:rPr>
        <w:t>Construction</w:t>
      </w:r>
      <w:r>
        <w:rPr>
          <w:rFonts w:ascii="Arial" w:cs="Arial" w:eastAsia="Arial" w:hAnsi="Arial"/>
          <w:sz w:val="21"/>
          <w:szCs w:val="21"/>
          <w:color w:val="auto"/>
        </w:rPr>
        <w:t>. Unless the context requires otherwise: (a) any pronoun used in this Agreement shall include the corresponding masculine, feminine or neuter forms, and the singular form of nouns, pronouns and verbs shall include the plural and vice versa; (b) references to Articles and Sections refer to Articles and Sections of this Agreement; (c) the term “include” or “includes” means includes, without limitation, and “including” means including, without limitation; and (d) the terms “hereof”, “herein” and “hereunder” refer to this Agreement as a whole and not to any particular provision of this Agreement. The table of contents and headings contained in this Agreement are for reference purposes only, and shall not affect in any way the meaning or interpretation of this Agreement.</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ORGANIZATION</w:t>
      </w:r>
    </w:p>
    <w:p>
      <w:pPr>
        <w:spacing w:after="0" w:line="215" w:lineRule="exact"/>
        <w:rPr>
          <w:sz w:val="20"/>
          <w:szCs w:val="20"/>
          <w:color w:val="auto"/>
        </w:rPr>
      </w:pPr>
    </w:p>
    <w:p>
      <w:pPr>
        <w:ind w:right="80" w:firstLine="1297"/>
        <w:spacing w:after="0" w:line="234" w:lineRule="auto"/>
        <w:rPr>
          <w:sz w:val="20"/>
          <w:szCs w:val="20"/>
          <w:color w:val="auto"/>
        </w:rPr>
      </w:pPr>
      <w:r>
        <w:rPr>
          <w:rFonts w:ascii="Arial" w:cs="Arial" w:eastAsia="Arial" w:hAnsi="Arial"/>
          <w:sz w:val="22"/>
          <w:szCs w:val="22"/>
          <w:color w:val="auto"/>
        </w:rPr>
        <w:t xml:space="preserve">Section 2.1. </w:t>
      </w:r>
      <w:r>
        <w:rPr>
          <w:rFonts w:ascii="Arial" w:cs="Arial" w:eastAsia="Arial" w:hAnsi="Arial"/>
          <w:sz w:val="22"/>
          <w:szCs w:val="22"/>
          <w:i w:val="1"/>
          <w:iCs w:val="1"/>
          <w:color w:val="auto"/>
        </w:rPr>
        <w:t>Formation</w:t>
      </w:r>
      <w:r>
        <w:rPr>
          <w:rFonts w:ascii="Arial" w:cs="Arial" w:eastAsia="Arial" w:hAnsi="Arial"/>
          <w:sz w:val="22"/>
          <w:szCs w:val="22"/>
          <w:color w:val="auto"/>
        </w:rPr>
        <w:t>. The General Partner and the Organizational Limited Partner previously formed the Partnership as a limited partnership pursuant to the provisions of the Marshall Islands Act and hereby amend and restate the Amended Agreement in its entirety. This amendment and restatement shall become effective on the date of this Agreement. Except as expressly provided to the contrary in this Agreement, the rights, duties (including fiduciary duties), liabilities and obligations of the Partners and the administration, dissolution and termination of the Partnership shall be governed by the Marshall Islands Act. All Partnership Interests shall constitute personal property of the owner thereof for all purposes and a Partner has no interest in specific Partnership property.</w:t>
      </w:r>
    </w:p>
    <w:p>
      <w:pPr>
        <w:spacing w:after="0" w:line="218" w:lineRule="exact"/>
        <w:rPr>
          <w:sz w:val="20"/>
          <w:szCs w:val="20"/>
          <w:color w:val="auto"/>
        </w:rPr>
      </w:pPr>
    </w:p>
    <w:p>
      <w:pPr>
        <w:ind w:right="200" w:firstLine="1297"/>
        <w:spacing w:after="0" w:line="279" w:lineRule="auto"/>
        <w:rPr>
          <w:sz w:val="20"/>
          <w:szCs w:val="20"/>
          <w:color w:val="auto"/>
        </w:rPr>
      </w:pPr>
      <w:r>
        <w:rPr>
          <w:rFonts w:ascii="Arial" w:cs="Arial" w:eastAsia="Arial" w:hAnsi="Arial"/>
          <w:sz w:val="19"/>
          <w:szCs w:val="19"/>
          <w:color w:val="auto"/>
        </w:rPr>
        <w:t xml:space="preserve">Section 2.2. </w:t>
      </w:r>
      <w:r>
        <w:rPr>
          <w:rFonts w:ascii="Arial" w:cs="Arial" w:eastAsia="Arial" w:hAnsi="Arial"/>
          <w:sz w:val="19"/>
          <w:szCs w:val="19"/>
          <w:i w:val="1"/>
          <w:iCs w:val="1"/>
          <w:color w:val="auto"/>
        </w:rPr>
        <w:t>Name</w:t>
      </w:r>
      <w:r>
        <w:rPr>
          <w:rFonts w:ascii="Arial" w:cs="Arial" w:eastAsia="Arial" w:hAnsi="Arial"/>
          <w:sz w:val="19"/>
          <w:szCs w:val="19"/>
          <w:color w:val="auto"/>
        </w:rPr>
        <w:t>. The name of the Partnership shall be “GasLog Partners LP”. The Partnership’s business may be conducted under any other name or names as determined by the Board of Directors. The words “Limited Partnership” or the letters “LP” or similar words or letters shall be included in the Partnership’s name where necessary for the purpose of complying with the laws of any jurisdiction that so requires. The Board of Directors may change the name of the Partnership at any time and from time to time in compliance with the requirements of the Marshall Islands Act and shall notify the General Partner and the Limited Partners of such change in the next regular communication to the Limited Partners.</w:t>
      </w:r>
    </w:p>
    <w:p>
      <w:pPr>
        <w:spacing w:after="0" w:line="178" w:lineRule="exact"/>
        <w:rPr>
          <w:sz w:val="20"/>
          <w:szCs w:val="20"/>
          <w:color w:val="auto"/>
        </w:rPr>
      </w:pPr>
    </w:p>
    <w:p>
      <w:pPr>
        <w:ind w:firstLine="1297"/>
        <w:spacing w:after="0" w:line="274" w:lineRule="auto"/>
        <w:rPr>
          <w:sz w:val="20"/>
          <w:szCs w:val="20"/>
          <w:color w:val="auto"/>
        </w:rPr>
      </w:pPr>
      <w:r>
        <w:rPr>
          <w:rFonts w:ascii="Arial" w:cs="Arial" w:eastAsia="Arial" w:hAnsi="Arial"/>
          <w:sz w:val="19"/>
          <w:szCs w:val="19"/>
          <w:color w:val="auto"/>
        </w:rPr>
        <w:t xml:space="preserve">Section 2.3. </w:t>
      </w:r>
      <w:r>
        <w:rPr>
          <w:rFonts w:ascii="Arial" w:cs="Arial" w:eastAsia="Arial" w:hAnsi="Arial"/>
          <w:sz w:val="19"/>
          <w:szCs w:val="19"/>
          <w:i w:val="1"/>
          <w:iCs w:val="1"/>
          <w:color w:val="auto"/>
        </w:rPr>
        <w:t>Registered Office; Registered Agent; Principal Office; Other Offices</w:t>
      </w:r>
      <w:r>
        <w:rPr>
          <w:rFonts w:ascii="Arial" w:cs="Arial" w:eastAsia="Arial" w:hAnsi="Arial"/>
          <w:sz w:val="19"/>
          <w:szCs w:val="19"/>
          <w:color w:val="auto"/>
        </w:rPr>
        <w:t>. Unless and until changed by the Board of Directors, the registered office of the Partnership in The Marshall Islands shall be located at Trust Company Complex, Ajeltake Island, Ajeltake Road, Majuro, Marshall Islands MH 96960, and the registered agent for service of process on the Partnership in The Marshall Islands at such registered office shall be The Trust Company of The Marshall Islands, Inc. The principal office of the Partnership shall be located at Gildo Pastor Center, 7 Rue du Gabian, MC 98000, Monaco, or such other place as the Board of Directors may from time to time designate by notice to the General Partner and the Limited Partners. The Partnership may maintain offices at such other place or places within or outside The Marshall Islands as the Board of Directors determines to be necessary or appropriate. The address of the General Partner shall be at Gildo Pastor Center, 7 Rue du Gabian, MC 98000, Monaco, or such other place as the General Partner may from time to time designate by notice to the Limited Partners.</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32" w:name="page33"/>
    <w:bookmarkEnd w:id="32"/>
    <w:p>
      <w:pPr>
        <w:ind w:firstLine="1297"/>
        <w:spacing w:after="0" w:line="279" w:lineRule="auto"/>
        <w:rPr>
          <w:sz w:val="20"/>
          <w:szCs w:val="20"/>
          <w:color w:val="auto"/>
        </w:rPr>
      </w:pPr>
      <w:r>
        <w:rPr>
          <w:rFonts w:ascii="Arial" w:cs="Arial" w:eastAsia="Arial" w:hAnsi="Arial"/>
          <w:sz w:val="19"/>
          <w:szCs w:val="19"/>
          <w:color w:val="auto"/>
        </w:rPr>
        <w:t xml:space="preserve">Section 2.4. </w:t>
      </w:r>
      <w:r>
        <w:rPr>
          <w:rFonts w:ascii="Arial" w:cs="Arial" w:eastAsia="Arial" w:hAnsi="Arial"/>
          <w:sz w:val="19"/>
          <w:szCs w:val="19"/>
          <w:i w:val="1"/>
          <w:iCs w:val="1"/>
          <w:color w:val="auto"/>
        </w:rPr>
        <w:t>Purpose and Business</w:t>
      </w:r>
      <w:r>
        <w:rPr>
          <w:rFonts w:ascii="Arial" w:cs="Arial" w:eastAsia="Arial" w:hAnsi="Arial"/>
          <w:sz w:val="19"/>
          <w:szCs w:val="19"/>
          <w:color w:val="auto"/>
        </w:rPr>
        <w:t>. The purpose and nature of the business to be conducted by the Partnership shall be to (a) engage directly in, or enter into or form any corporation, partnership, joint venture, limited liability company or other arrangement to engage indirectly in, any business activity that lawfully may be conducted by a limited partnership organized pursuant to the Marshall Islands Act and, in connection therewith, to exercise all of the rights and powers conferred upon the Partnership pursuant to the agreements relating to such business activity, and (b) do anything necessary or appropriate to the foregoing, including the making of capital contributions or loans to a Group Member.</w:t>
      </w:r>
    </w:p>
    <w:p>
      <w:pPr>
        <w:spacing w:after="0" w:line="178" w:lineRule="exact"/>
        <w:rPr>
          <w:sz w:val="20"/>
          <w:szCs w:val="20"/>
          <w:color w:val="auto"/>
        </w:rPr>
      </w:pPr>
    </w:p>
    <w:p>
      <w:pPr>
        <w:ind w:right="340" w:firstLine="1297"/>
        <w:spacing w:after="0"/>
        <w:rPr>
          <w:sz w:val="20"/>
          <w:szCs w:val="20"/>
          <w:color w:val="auto"/>
        </w:rPr>
      </w:pPr>
      <w:r>
        <w:rPr>
          <w:rFonts w:ascii="Arial" w:cs="Arial" w:eastAsia="Arial" w:hAnsi="Arial"/>
          <w:sz w:val="22"/>
          <w:szCs w:val="22"/>
          <w:color w:val="auto"/>
        </w:rPr>
        <w:t xml:space="preserve">Section 2.5. </w:t>
      </w:r>
      <w:r>
        <w:rPr>
          <w:rFonts w:ascii="Arial" w:cs="Arial" w:eastAsia="Arial" w:hAnsi="Arial"/>
          <w:sz w:val="22"/>
          <w:szCs w:val="22"/>
          <w:i w:val="1"/>
          <w:iCs w:val="1"/>
          <w:color w:val="auto"/>
        </w:rPr>
        <w:t>Powers</w:t>
      </w:r>
      <w:r>
        <w:rPr>
          <w:rFonts w:ascii="Arial" w:cs="Arial" w:eastAsia="Arial" w:hAnsi="Arial"/>
          <w:sz w:val="22"/>
          <w:szCs w:val="22"/>
          <w:color w:val="auto"/>
        </w:rPr>
        <w:t xml:space="preserve">. The Partnership shall be empowered to do any and all acts and things necessary and appropriate for the furtherance and accomplishment of the purposes and business described in </w:t>
      </w:r>
      <w:r>
        <w:rPr>
          <w:rFonts w:ascii="Arial" w:cs="Arial" w:eastAsia="Arial" w:hAnsi="Arial"/>
          <w:sz w:val="22"/>
          <w:szCs w:val="22"/>
          <w:u w:val="single" w:color="auto"/>
          <w:color w:val="auto"/>
        </w:rPr>
        <w:t>Section 2.4</w:t>
      </w:r>
      <w:r>
        <w:rPr>
          <w:rFonts w:ascii="Arial" w:cs="Arial" w:eastAsia="Arial" w:hAnsi="Arial"/>
          <w:sz w:val="22"/>
          <w:szCs w:val="22"/>
          <w:color w:val="auto"/>
        </w:rPr>
        <w:t xml:space="preserve"> and for the protection and benefit of the Partnership.</w:t>
      </w:r>
    </w:p>
    <w:p>
      <w:pPr>
        <w:spacing w:after="0" w:line="213" w:lineRule="exact"/>
        <w:rPr>
          <w:sz w:val="20"/>
          <w:szCs w:val="20"/>
          <w:color w:val="auto"/>
        </w:rPr>
      </w:pPr>
    </w:p>
    <w:p>
      <w:pPr>
        <w:ind w:right="260" w:firstLine="1297"/>
        <w:spacing w:after="0" w:line="252" w:lineRule="auto"/>
        <w:rPr>
          <w:sz w:val="20"/>
          <w:szCs w:val="20"/>
          <w:color w:val="auto"/>
        </w:rPr>
      </w:pPr>
      <w:r>
        <w:rPr>
          <w:rFonts w:ascii="Arial" w:cs="Arial" w:eastAsia="Arial" w:hAnsi="Arial"/>
          <w:sz w:val="21"/>
          <w:szCs w:val="21"/>
          <w:color w:val="auto"/>
        </w:rPr>
        <w:t xml:space="preserve">Section 2.6. </w:t>
      </w:r>
      <w:r>
        <w:rPr>
          <w:rFonts w:ascii="Arial" w:cs="Arial" w:eastAsia="Arial" w:hAnsi="Arial"/>
          <w:sz w:val="21"/>
          <w:szCs w:val="21"/>
          <w:i w:val="1"/>
          <w:iCs w:val="1"/>
          <w:color w:val="auto"/>
        </w:rPr>
        <w:t>Term</w:t>
      </w:r>
      <w:r>
        <w:rPr>
          <w:rFonts w:ascii="Arial" w:cs="Arial" w:eastAsia="Arial" w:hAnsi="Arial"/>
          <w:sz w:val="21"/>
          <w:szCs w:val="21"/>
          <w:color w:val="auto"/>
        </w:rPr>
        <w:t xml:space="preserve">. The term of the Partnership commenced upon the filing of the Certificate of Limited Partnership in accordance with the Marshall Islands Act and shall continue in existence until the dissolution of the Partnership in accordance with the provisions of </w:t>
      </w:r>
      <w:r>
        <w:rPr>
          <w:rFonts w:ascii="Arial" w:cs="Arial" w:eastAsia="Arial" w:hAnsi="Arial"/>
          <w:sz w:val="21"/>
          <w:szCs w:val="21"/>
          <w:u w:val="single" w:color="auto"/>
          <w:color w:val="auto"/>
        </w:rPr>
        <w:t>Article XII</w:t>
      </w:r>
      <w:r>
        <w:rPr>
          <w:rFonts w:ascii="Arial" w:cs="Arial" w:eastAsia="Arial" w:hAnsi="Arial"/>
          <w:sz w:val="21"/>
          <w:szCs w:val="21"/>
          <w:color w:val="auto"/>
        </w:rPr>
        <w:t>. The existence of the Partnership as a separate legal entity shall continue until the cancellation of the Certificate of Limited Partnership as provided in the Marshall Islands Act.</w:t>
      </w:r>
    </w:p>
    <w:p>
      <w:pPr>
        <w:spacing w:after="0" w:line="201" w:lineRule="exact"/>
        <w:rPr>
          <w:sz w:val="20"/>
          <w:szCs w:val="20"/>
          <w:color w:val="auto"/>
        </w:rPr>
      </w:pPr>
    </w:p>
    <w:p>
      <w:pPr>
        <w:ind w:firstLine="1297"/>
        <w:spacing w:after="0" w:line="271" w:lineRule="auto"/>
        <w:rPr>
          <w:sz w:val="20"/>
          <w:szCs w:val="20"/>
          <w:color w:val="auto"/>
        </w:rPr>
      </w:pPr>
      <w:r>
        <w:rPr>
          <w:rFonts w:ascii="Arial" w:cs="Arial" w:eastAsia="Arial" w:hAnsi="Arial"/>
          <w:sz w:val="19"/>
          <w:szCs w:val="19"/>
          <w:color w:val="auto"/>
        </w:rPr>
        <w:t xml:space="preserve">Section 2.7. </w:t>
      </w:r>
      <w:r>
        <w:rPr>
          <w:rFonts w:ascii="Arial" w:cs="Arial" w:eastAsia="Arial" w:hAnsi="Arial"/>
          <w:sz w:val="19"/>
          <w:szCs w:val="19"/>
          <w:i w:val="1"/>
          <w:iCs w:val="1"/>
          <w:color w:val="auto"/>
        </w:rPr>
        <w:t>Title to Partnership Assets</w:t>
      </w:r>
      <w:r>
        <w:rPr>
          <w:rFonts w:ascii="Arial" w:cs="Arial" w:eastAsia="Arial" w:hAnsi="Arial"/>
          <w:sz w:val="19"/>
          <w:szCs w:val="19"/>
          <w:color w:val="auto"/>
        </w:rPr>
        <w:t xml:space="preserve">. Title to Partnership assets, whether real, personal or mixed and whether tangible or intangible, shall be deemed to be owned by the Partnership as an entity, and no Partner, individually or collectively, shall have any ownership interest in such Partnership assets or any portion thereof. Title to any or all of the Partnership assets may be held in the name of the Partnership, the General Partner, one or more of its Affiliates or one or more nominees, as the Board of Directors may determine. The General Partner hereby declares and warrants that any Partnership assets for which record title is held in the name of the General Partner or one or more of its Affiliates or one or more nominees shall be held by the General Partner or such Affiliate or nominee for the use and benefit of the Partnership in accordance with the provisions of this Agreement; </w:t>
      </w:r>
      <w:r>
        <w:rPr>
          <w:rFonts w:ascii="Arial" w:cs="Arial" w:eastAsia="Arial" w:hAnsi="Arial"/>
          <w:sz w:val="19"/>
          <w:szCs w:val="19"/>
          <w:i w:val="1"/>
          <w:iCs w:val="1"/>
          <w:color w:val="auto"/>
        </w:rPr>
        <w:t>provided</w:t>
      </w:r>
      <w:r>
        <w:rPr>
          <w:rFonts w:ascii="Arial" w:cs="Arial" w:eastAsia="Arial" w:hAnsi="Arial"/>
          <w:sz w:val="19"/>
          <w:szCs w:val="19"/>
          <w:color w:val="auto"/>
        </w:rPr>
        <w:t>,</w:t>
      </w:r>
      <w:r>
        <w:rPr>
          <w:rFonts w:ascii="Arial" w:cs="Arial" w:eastAsia="Arial" w:hAnsi="Arial"/>
          <w:sz w:val="19"/>
          <w:szCs w:val="19"/>
          <w:i w:val="1"/>
          <w:iCs w:val="1"/>
          <w:color w:val="auto"/>
        </w:rPr>
        <w:t xml:space="preserve"> however</w:t>
      </w:r>
      <w:r>
        <w:rPr>
          <w:rFonts w:ascii="Arial" w:cs="Arial" w:eastAsia="Arial" w:hAnsi="Arial"/>
          <w:sz w:val="19"/>
          <w:szCs w:val="19"/>
          <w:color w:val="auto"/>
        </w:rPr>
        <w:t>, that the General Partner shall use commercially reasonable efforts to cause record title to such assets (other than</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those assets in respect of which the Board of Directors determines that the expense and difficulty of conveyancing makes transfer of record title to the Partnership impracticable) to be vested in the Partnership as soon as reasonably practicable; and,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that, prior to the withdrawal or removal of the General Partner or as soon thereafter as practicable, the General Partner shall</w:t>
      </w:r>
      <w:r>
        <w:rPr>
          <w:rFonts w:ascii="Arial" w:cs="Arial" w:eastAsia="Arial" w:hAnsi="Arial"/>
          <w:sz w:val="19"/>
          <w:szCs w:val="19"/>
          <w:i w:val="1"/>
          <w:iCs w:val="1"/>
          <w:color w:val="auto"/>
        </w:rPr>
        <w:t xml:space="preserve"> </w:t>
      </w:r>
      <w:r>
        <w:rPr>
          <w:rFonts w:ascii="Arial" w:cs="Arial" w:eastAsia="Arial" w:hAnsi="Arial"/>
          <w:sz w:val="19"/>
          <w:szCs w:val="19"/>
          <w:color w:val="auto"/>
        </w:rPr>
        <w:t>use reasonable efforts to effect the transfer of record title to the Partnership and, prior to any such transfer, will provide for the use of such assets in a manner satisfactory to the Board of Directors. All Partnership assets shall be recorded as the property of the Partnership in its books and records, irrespective of the name in which record title to such Partnership assets is held.</w:t>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402" w:right="259" w:bottom="1440" w:gutter="0" w:footer="0" w:header="0"/>
        </w:sectPr>
      </w:pPr>
    </w:p>
    <w:bookmarkStart w:id="33" w:name="page34"/>
    <w:bookmarkEnd w:id="33"/>
    <w:p>
      <w:pPr>
        <w:jc w:val="center"/>
        <w:ind w:right="-79"/>
        <w:spacing w:after="0"/>
        <w:rPr>
          <w:sz w:val="20"/>
          <w:szCs w:val="20"/>
          <w:color w:val="auto"/>
        </w:rPr>
      </w:pPr>
      <w:r>
        <w:rPr>
          <w:rFonts w:ascii="Arial" w:cs="Arial" w:eastAsia="Arial" w:hAnsi="Arial"/>
          <w:sz w:val="22"/>
          <w:szCs w:val="22"/>
          <w:b w:val="1"/>
          <w:bCs w:val="1"/>
          <w:color w:val="auto"/>
        </w:rPr>
        <w:t>ARTICLE III</w:t>
      </w:r>
    </w:p>
    <w:p>
      <w:pPr>
        <w:spacing w:after="0" w:line="1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RIGHTS OF LIMITED PARTNERS</w:t>
      </w:r>
    </w:p>
    <w:p>
      <w:pPr>
        <w:spacing w:after="0" w:line="215" w:lineRule="exact"/>
        <w:rPr>
          <w:sz w:val="20"/>
          <w:szCs w:val="20"/>
          <w:color w:val="auto"/>
        </w:rPr>
      </w:pPr>
    </w:p>
    <w:p>
      <w:pPr>
        <w:ind w:right="200" w:firstLine="1297"/>
        <w:spacing w:after="0" w:line="251" w:lineRule="auto"/>
        <w:rPr>
          <w:sz w:val="20"/>
          <w:szCs w:val="20"/>
          <w:color w:val="auto"/>
        </w:rPr>
      </w:pPr>
      <w:r>
        <w:rPr>
          <w:rFonts w:ascii="Arial" w:cs="Arial" w:eastAsia="Arial" w:hAnsi="Arial"/>
          <w:sz w:val="22"/>
          <w:szCs w:val="22"/>
          <w:color w:val="auto"/>
        </w:rPr>
        <w:t xml:space="preserve">Section 3.1. </w:t>
      </w:r>
      <w:r>
        <w:rPr>
          <w:rFonts w:ascii="Arial" w:cs="Arial" w:eastAsia="Arial" w:hAnsi="Arial"/>
          <w:sz w:val="22"/>
          <w:szCs w:val="22"/>
          <w:i w:val="1"/>
          <w:iCs w:val="1"/>
          <w:color w:val="auto"/>
        </w:rPr>
        <w:t>Limitation of Liability</w:t>
      </w:r>
      <w:r>
        <w:rPr>
          <w:rFonts w:ascii="Arial" w:cs="Arial" w:eastAsia="Arial" w:hAnsi="Arial"/>
          <w:sz w:val="22"/>
          <w:szCs w:val="22"/>
          <w:color w:val="auto"/>
        </w:rPr>
        <w:t>. The Limited Partners shall have no liability under this Agreement except as expressly provided in this Agreement or the Marshall Islands Act.</w:t>
      </w:r>
    </w:p>
    <w:p>
      <w:pPr>
        <w:spacing w:after="0" w:line="200" w:lineRule="exact"/>
        <w:rPr>
          <w:sz w:val="20"/>
          <w:szCs w:val="20"/>
          <w:color w:val="auto"/>
        </w:rPr>
      </w:pPr>
    </w:p>
    <w:p>
      <w:pPr>
        <w:ind w:firstLine="1297"/>
        <w:spacing w:after="0" w:line="275" w:lineRule="auto"/>
        <w:rPr>
          <w:sz w:val="20"/>
          <w:szCs w:val="20"/>
          <w:color w:val="auto"/>
        </w:rPr>
      </w:pPr>
      <w:r>
        <w:rPr>
          <w:rFonts w:ascii="Arial" w:cs="Arial" w:eastAsia="Arial" w:hAnsi="Arial"/>
          <w:sz w:val="19"/>
          <w:szCs w:val="19"/>
          <w:color w:val="auto"/>
        </w:rPr>
        <w:t xml:space="preserve">Section 3.2. </w:t>
      </w:r>
      <w:r>
        <w:rPr>
          <w:rFonts w:ascii="Arial" w:cs="Arial" w:eastAsia="Arial" w:hAnsi="Arial"/>
          <w:sz w:val="19"/>
          <w:szCs w:val="19"/>
          <w:i w:val="1"/>
          <w:iCs w:val="1"/>
          <w:color w:val="auto"/>
        </w:rPr>
        <w:t>Management of Business</w:t>
      </w:r>
      <w:r>
        <w:rPr>
          <w:rFonts w:ascii="Arial" w:cs="Arial" w:eastAsia="Arial" w:hAnsi="Arial"/>
          <w:sz w:val="19"/>
          <w:szCs w:val="19"/>
          <w:color w:val="auto"/>
        </w:rPr>
        <w:t>. No Limited Partner, in its capacity as such, shall participate in the operation, management or control (within the meaning of the Marshall Islands Act) of the Partnership’s business, transact any business in the Partnership’s name or have the power to sign documents for or otherwise bind the Partnership. Any action taken by any Affiliate of the General Partner or any officer, director, employee, manager, member, general partner, agent or trustee of the General Partner or any of its Affiliates, or any officer, director, employee, manager, member, general partner, agent or trustee of a Group Member, in its capacity as such, shall not be deemed to be participation in the control of the business of the Partnership by a limited partner of the Partnership (within the meaning of Section 30 of the Marshall Islands Act) and shall not affect, impair or eliminate the limitations on the liability of the Limited Partners under this Agreement.</w:t>
      </w:r>
    </w:p>
    <w:p>
      <w:pPr>
        <w:spacing w:after="0" w:line="185" w:lineRule="exact"/>
        <w:rPr>
          <w:sz w:val="20"/>
          <w:szCs w:val="20"/>
          <w:color w:val="auto"/>
        </w:rPr>
      </w:pPr>
    </w:p>
    <w:p>
      <w:pPr>
        <w:ind w:firstLine="1297"/>
        <w:spacing w:after="0" w:line="235" w:lineRule="auto"/>
        <w:rPr>
          <w:sz w:val="20"/>
          <w:szCs w:val="20"/>
          <w:color w:val="auto"/>
        </w:rPr>
      </w:pPr>
      <w:r>
        <w:rPr>
          <w:rFonts w:ascii="Arial" w:cs="Arial" w:eastAsia="Arial" w:hAnsi="Arial"/>
          <w:sz w:val="22"/>
          <w:szCs w:val="22"/>
          <w:color w:val="auto"/>
        </w:rPr>
        <w:t xml:space="preserve">Section 3.3. </w:t>
      </w:r>
      <w:r>
        <w:rPr>
          <w:rFonts w:ascii="Arial" w:cs="Arial" w:eastAsia="Arial" w:hAnsi="Arial"/>
          <w:sz w:val="22"/>
          <w:szCs w:val="22"/>
          <w:i w:val="1"/>
          <w:iCs w:val="1"/>
          <w:color w:val="auto"/>
        </w:rPr>
        <w:t>Outside Activities of the Limited Partners</w:t>
      </w:r>
      <w:r>
        <w:rPr>
          <w:rFonts w:ascii="Arial" w:cs="Arial" w:eastAsia="Arial" w:hAnsi="Arial"/>
          <w:sz w:val="22"/>
          <w:szCs w:val="22"/>
          <w:color w:val="auto"/>
        </w:rPr>
        <w:t xml:space="preserve">. Subject to the provisions of </w:t>
      </w:r>
      <w:r>
        <w:rPr>
          <w:rFonts w:ascii="Arial" w:cs="Arial" w:eastAsia="Arial" w:hAnsi="Arial"/>
          <w:sz w:val="22"/>
          <w:szCs w:val="22"/>
          <w:u w:val="single" w:color="auto"/>
          <w:color w:val="auto"/>
        </w:rPr>
        <w:t>Section 7.13</w:t>
      </w:r>
      <w:r>
        <w:rPr>
          <w:rFonts w:ascii="Arial" w:cs="Arial" w:eastAsia="Arial" w:hAnsi="Arial"/>
          <w:sz w:val="22"/>
          <w:szCs w:val="22"/>
          <w:color w:val="auto"/>
        </w:rPr>
        <w:t xml:space="preserve"> and the Omnibus Agreement, which shall continue to be applicable to the Persons referred to therein, regardless of whether such Persons shall also be Limited Partners, each Limited Partner shall be entitled to and may have business interests and engage in business activities in addition to those relating to the Partnership, including business interests and activities in direct competition with the Partnership Group. Neither the Partnership nor any of the other Partners shall have any rights by virtue of this Agreement in any business ventures of any Limited Partner.</w:t>
      </w:r>
    </w:p>
    <w:p>
      <w:pPr>
        <w:spacing w:after="0" w:line="215" w:lineRule="exact"/>
        <w:rPr>
          <w:sz w:val="20"/>
          <w:szCs w:val="20"/>
          <w:color w:val="auto"/>
        </w:rPr>
      </w:pPr>
    </w:p>
    <w:p>
      <w:pPr>
        <w:ind w:right="180" w:firstLine="1297"/>
        <w:spacing w:after="0" w:line="238" w:lineRule="auto"/>
        <w:rPr>
          <w:sz w:val="20"/>
          <w:szCs w:val="20"/>
          <w:color w:val="auto"/>
        </w:rPr>
      </w:pPr>
      <w:r>
        <w:rPr>
          <w:rFonts w:ascii="Arial" w:cs="Arial" w:eastAsia="Arial" w:hAnsi="Arial"/>
          <w:sz w:val="22"/>
          <w:szCs w:val="22"/>
          <w:color w:val="auto"/>
        </w:rPr>
        <w:t xml:space="preserve">Section 3.4. </w:t>
      </w:r>
      <w:r>
        <w:rPr>
          <w:rFonts w:ascii="Arial" w:cs="Arial" w:eastAsia="Arial" w:hAnsi="Arial"/>
          <w:sz w:val="22"/>
          <w:szCs w:val="22"/>
          <w:i w:val="1"/>
          <w:iCs w:val="1"/>
          <w:color w:val="auto"/>
        </w:rPr>
        <w:t>Rights of Limited Partners</w:t>
      </w:r>
      <w:r>
        <w:rPr>
          <w:rFonts w:ascii="Arial" w:cs="Arial" w:eastAsia="Arial" w:hAnsi="Arial"/>
          <w:sz w:val="22"/>
          <w:szCs w:val="22"/>
          <w:color w:val="auto"/>
        </w:rPr>
        <w:t xml:space="preserve">. (a) In addition to other rights provided by this Agreement or by the Marshall Islands Act, and except as limited by </w:t>
      </w:r>
      <w:r>
        <w:rPr>
          <w:rFonts w:ascii="Arial" w:cs="Arial" w:eastAsia="Arial" w:hAnsi="Arial"/>
          <w:sz w:val="22"/>
          <w:szCs w:val="22"/>
          <w:u w:val="single" w:color="auto"/>
          <w:color w:val="auto"/>
        </w:rPr>
        <w:t>Section 3.4(b)</w:t>
      </w:r>
      <w:r>
        <w:rPr>
          <w:rFonts w:ascii="Arial" w:cs="Arial" w:eastAsia="Arial" w:hAnsi="Arial"/>
          <w:sz w:val="22"/>
          <w:szCs w:val="22"/>
          <w:color w:val="auto"/>
        </w:rPr>
        <w:t>, each Limited Partner shall have the right, for a purpose reasonably related to such Limited Partner’s interest as a Limited Partner in the Partnership, upon reasonable written demand stating the purpose of such demand and at such Limited Partner’s own expense, to:</w:t>
      </w:r>
    </w:p>
    <w:p>
      <w:pPr>
        <w:spacing w:after="0" w:line="212" w:lineRule="exact"/>
        <w:rPr>
          <w:sz w:val="20"/>
          <w:szCs w:val="20"/>
          <w:color w:val="auto"/>
        </w:rPr>
      </w:pPr>
    </w:p>
    <w:p>
      <w:pPr>
        <w:ind w:left="1840" w:hanging="535"/>
        <w:spacing w:after="0"/>
        <w:tabs>
          <w:tab w:leader="none" w:pos="1840" w:val="left"/>
        </w:tabs>
        <w:numPr>
          <w:ilvl w:val="0"/>
          <w:numId w:val="11"/>
        </w:numPr>
        <w:rPr>
          <w:rFonts w:ascii="Arial" w:cs="Arial" w:eastAsia="Arial" w:hAnsi="Arial"/>
          <w:sz w:val="19"/>
          <w:szCs w:val="19"/>
          <w:color w:val="auto"/>
        </w:rPr>
      </w:pPr>
      <w:r>
        <w:rPr>
          <w:rFonts w:ascii="Arial" w:cs="Arial" w:eastAsia="Arial" w:hAnsi="Arial"/>
          <w:sz w:val="19"/>
          <w:szCs w:val="19"/>
          <w:color w:val="auto"/>
        </w:rPr>
        <w:t>have furnished to him a current list of the name and last known business, residence or mailing address of each</w:t>
      </w:r>
    </w:p>
    <w:p>
      <w:pPr>
        <w:spacing w:after="0" w:line="42"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Partner;</w:t>
      </w:r>
    </w:p>
    <w:p>
      <w:pPr>
        <w:spacing w:after="0" w:line="215" w:lineRule="exact"/>
        <w:rPr>
          <w:rFonts w:ascii="Arial" w:cs="Arial" w:eastAsia="Arial" w:hAnsi="Arial"/>
          <w:sz w:val="19"/>
          <w:szCs w:val="19"/>
          <w:color w:val="auto"/>
        </w:rPr>
      </w:pPr>
    </w:p>
    <w:p>
      <w:pPr>
        <w:ind w:left="660" w:right="420" w:firstLine="645"/>
        <w:spacing w:after="0"/>
        <w:tabs>
          <w:tab w:leader="none" w:pos="1843" w:val="left"/>
        </w:tabs>
        <w:numPr>
          <w:ilvl w:val="0"/>
          <w:numId w:val="11"/>
        </w:numPr>
        <w:rPr>
          <w:rFonts w:ascii="Arial" w:cs="Arial" w:eastAsia="Arial" w:hAnsi="Arial"/>
          <w:sz w:val="22"/>
          <w:szCs w:val="22"/>
          <w:color w:val="auto"/>
        </w:rPr>
      </w:pPr>
      <w:r>
        <w:rPr>
          <w:rFonts w:ascii="Arial" w:cs="Arial" w:eastAsia="Arial" w:hAnsi="Arial"/>
          <w:sz w:val="22"/>
          <w:szCs w:val="22"/>
          <w:color w:val="auto"/>
        </w:rPr>
        <w:t>obtain true and full information regarding the amount of cash and a description and statement of the Net Agreed Value of any other Capital Contribution by each Partner and which each Partner has agreed to contribute in the future, and the date on which each became a Partner;</w:t>
      </w:r>
    </w:p>
    <w:p>
      <w:pPr>
        <w:spacing w:after="0" w:line="213" w:lineRule="exact"/>
        <w:rPr>
          <w:rFonts w:ascii="Arial" w:cs="Arial" w:eastAsia="Arial" w:hAnsi="Arial"/>
          <w:sz w:val="22"/>
          <w:szCs w:val="22"/>
          <w:color w:val="auto"/>
        </w:rPr>
      </w:pPr>
    </w:p>
    <w:p>
      <w:pPr>
        <w:ind w:left="660" w:right="1020" w:firstLine="645"/>
        <w:spacing w:after="0" w:line="251" w:lineRule="auto"/>
        <w:tabs>
          <w:tab w:leader="none" w:pos="1903" w:val="left"/>
        </w:tabs>
        <w:numPr>
          <w:ilvl w:val="0"/>
          <w:numId w:val="11"/>
        </w:numPr>
        <w:rPr>
          <w:rFonts w:ascii="Arial" w:cs="Arial" w:eastAsia="Arial" w:hAnsi="Arial"/>
          <w:sz w:val="22"/>
          <w:szCs w:val="22"/>
          <w:color w:val="auto"/>
        </w:rPr>
      </w:pPr>
      <w:r>
        <w:rPr>
          <w:rFonts w:ascii="Arial" w:cs="Arial" w:eastAsia="Arial" w:hAnsi="Arial"/>
          <w:sz w:val="22"/>
          <w:szCs w:val="22"/>
          <w:color w:val="auto"/>
        </w:rPr>
        <w:t>have furnished to him a copy of this Agreement and the Certificate of Limited Partnership and all amendments thereto;</w:t>
      </w:r>
    </w:p>
    <w:p>
      <w:pPr>
        <w:spacing w:after="0" w:line="200" w:lineRule="exact"/>
        <w:rPr>
          <w:rFonts w:ascii="Arial" w:cs="Arial" w:eastAsia="Arial" w:hAnsi="Arial"/>
          <w:sz w:val="22"/>
          <w:szCs w:val="22"/>
          <w:color w:val="auto"/>
        </w:rPr>
      </w:pPr>
    </w:p>
    <w:p>
      <w:pPr>
        <w:ind w:left="1880" w:hanging="575"/>
        <w:spacing w:after="0"/>
        <w:tabs>
          <w:tab w:leader="none" w:pos="1880" w:val="left"/>
        </w:tabs>
        <w:numPr>
          <w:ilvl w:val="0"/>
          <w:numId w:val="11"/>
        </w:numPr>
        <w:rPr>
          <w:rFonts w:ascii="Arial" w:cs="Arial" w:eastAsia="Arial" w:hAnsi="Arial"/>
          <w:sz w:val="19"/>
          <w:szCs w:val="19"/>
          <w:color w:val="auto"/>
        </w:rPr>
      </w:pPr>
      <w:r>
        <w:rPr>
          <w:rFonts w:ascii="Arial" w:cs="Arial" w:eastAsia="Arial" w:hAnsi="Arial"/>
          <w:sz w:val="19"/>
          <w:szCs w:val="19"/>
          <w:color w:val="auto"/>
        </w:rPr>
        <w:t>obtain true and full information regarding the status of the business and financial condition of the Partnership</w:t>
      </w:r>
    </w:p>
    <w:p>
      <w:pPr>
        <w:spacing w:after="0" w:line="42"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Group; and</w:t>
      </w:r>
    </w:p>
    <w:p>
      <w:pPr>
        <w:spacing w:after="0" w:line="161"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40"/>
          </w:cols>
          <w:pgMar w:left="240" w:top="396" w:right="319" w:bottom="1440" w:gutter="0" w:footer="0" w:header="0"/>
        </w:sectPr>
      </w:pPr>
    </w:p>
    <w:bookmarkStart w:id="34" w:name="page35"/>
    <w:bookmarkEnd w:id="34"/>
    <w:p>
      <w:pPr>
        <w:ind w:left="1820" w:hanging="515"/>
        <w:spacing w:after="0"/>
        <w:tabs>
          <w:tab w:leader="none" w:pos="1820" w:val="left"/>
        </w:tabs>
        <w:numPr>
          <w:ilvl w:val="0"/>
          <w:numId w:val="12"/>
        </w:numPr>
        <w:rPr>
          <w:rFonts w:ascii="Arial" w:cs="Arial" w:eastAsia="Arial" w:hAnsi="Arial"/>
          <w:sz w:val="22"/>
          <w:szCs w:val="22"/>
          <w:color w:val="auto"/>
        </w:rPr>
      </w:pPr>
      <w:r>
        <w:rPr>
          <w:rFonts w:ascii="Arial" w:cs="Arial" w:eastAsia="Arial" w:hAnsi="Arial"/>
          <w:sz w:val="22"/>
          <w:szCs w:val="22"/>
          <w:color w:val="auto"/>
        </w:rPr>
        <w:t>obtain such other information regarding the affairs of the Partnership as is just and reasonable.</w:t>
      </w:r>
    </w:p>
    <w:p>
      <w:pPr>
        <w:spacing w:after="0" w:line="233" w:lineRule="exact"/>
        <w:rPr>
          <w:sz w:val="20"/>
          <w:szCs w:val="20"/>
          <w:color w:val="auto"/>
        </w:rPr>
      </w:pPr>
    </w:p>
    <w:p>
      <w:pPr>
        <w:ind w:right="60" w:firstLine="1305"/>
        <w:spacing w:after="0" w:line="248" w:lineRule="auto"/>
        <w:tabs>
          <w:tab w:leader="none" w:pos="1815" w:val="left"/>
        </w:tabs>
        <w:numPr>
          <w:ilvl w:val="0"/>
          <w:numId w:val="13"/>
        </w:numPr>
        <w:rPr>
          <w:rFonts w:ascii="Arial" w:cs="Arial" w:eastAsia="Arial" w:hAnsi="Arial"/>
          <w:sz w:val="21"/>
          <w:szCs w:val="21"/>
          <w:color w:val="auto"/>
        </w:rPr>
      </w:pPr>
      <w:r>
        <w:rPr>
          <w:rFonts w:ascii="Arial" w:cs="Arial" w:eastAsia="Arial" w:hAnsi="Arial"/>
          <w:sz w:val="21"/>
          <w:szCs w:val="21"/>
          <w:color w:val="auto"/>
        </w:rPr>
        <w:t xml:space="preserve">The Board of Directors may keep confidential from the Limited Partners, for such period of time as the Board of Directors deems reasonable, (i) any information that the Board of Directors reasonably believes to be in the nature of trade secrets or (ii) other information the disclosure of which the Board of Directors in good faith believes (A) is not in the best interests of the Partnership Group, (B) could damage the Partnership Group or its business or (C) that any Group Member is required by law or by agreement with any third party to keep confidential (other than agreements with Affiliates of the Partnership the primary purpose of which is to circumvent the obligations set forth in this </w:t>
      </w:r>
      <w:r>
        <w:rPr>
          <w:rFonts w:ascii="Arial" w:cs="Arial" w:eastAsia="Arial" w:hAnsi="Arial"/>
          <w:sz w:val="21"/>
          <w:szCs w:val="21"/>
          <w:u w:val="single" w:color="auto"/>
          <w:color w:val="auto"/>
        </w:rPr>
        <w:t>Section 3.4</w:t>
      </w:r>
      <w:r>
        <w:rPr>
          <w:rFonts w:ascii="Arial" w:cs="Arial" w:eastAsia="Arial" w:hAnsi="Arial"/>
          <w:sz w:val="21"/>
          <w:szCs w:val="21"/>
          <w:color w:val="auto"/>
        </w:rPr>
        <w:t>).</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IV</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CERTIFICATES; RECORD HOLDERS; TRANSFER OF PARTNERSHIP INTERESTS</w:t>
      </w:r>
    </w:p>
    <w:p>
      <w:pPr>
        <w:spacing w:after="0" w:line="215" w:lineRule="exact"/>
        <w:rPr>
          <w:sz w:val="20"/>
          <w:szCs w:val="20"/>
          <w:color w:val="auto"/>
        </w:rPr>
      </w:pPr>
    </w:p>
    <w:p>
      <w:pPr>
        <w:ind w:right="40" w:firstLine="1297"/>
        <w:spacing w:after="0" w:line="272" w:lineRule="auto"/>
        <w:rPr>
          <w:sz w:val="20"/>
          <w:szCs w:val="20"/>
          <w:color w:val="auto"/>
        </w:rPr>
      </w:pPr>
      <w:r>
        <w:rPr>
          <w:rFonts w:ascii="Arial" w:cs="Arial" w:eastAsia="Arial" w:hAnsi="Arial"/>
          <w:sz w:val="19"/>
          <w:szCs w:val="19"/>
          <w:color w:val="auto"/>
        </w:rPr>
        <w:t xml:space="preserve">Section 4.1. </w:t>
      </w:r>
      <w:r>
        <w:rPr>
          <w:rFonts w:ascii="Arial" w:cs="Arial" w:eastAsia="Arial" w:hAnsi="Arial"/>
          <w:sz w:val="19"/>
          <w:szCs w:val="19"/>
          <w:i w:val="1"/>
          <w:iCs w:val="1"/>
          <w:color w:val="auto"/>
        </w:rPr>
        <w:t>Certificates</w:t>
      </w:r>
      <w:r>
        <w:rPr>
          <w:rFonts w:ascii="Arial" w:cs="Arial" w:eastAsia="Arial" w:hAnsi="Arial"/>
          <w:sz w:val="19"/>
          <w:szCs w:val="19"/>
          <w:color w:val="auto"/>
        </w:rPr>
        <w:t xml:space="preserve">. Partnership Interests shall be evidenced in certificated and uncertificated form as determined by the Board of Directors. Certificates that may be issued shall be executed on behalf of the Partnership by the Chairman of the Board of Directors, President, Chief Executive Officer or any Executive Vice President or Vice President and the Chief Financial Officer or the Secretary or any Assistant Secretary of the General Partner. If a Transfer Agent has been appointed for a class or series of Partnership Interests, no Certificate for such class or series of Partnership Interests shall be valid for any purpose until it has been countersigned by the Transfer Agent;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if the Board of Directors elects to cause the Partnership to issue Partnership Interests of such class or series in global form, the Certificate shall be valid upon receipt of a certificate from the Transfer Agent certifying that the Partnership Interests have been duly registered in accordance with the directions of the Partnership. If Common Units are evidenced by Certificates, on or after the date on which Subordinated Units are converted into Common Units pursuant to the terms of </w:t>
      </w:r>
      <w:r>
        <w:rPr>
          <w:rFonts w:ascii="Arial" w:cs="Arial" w:eastAsia="Arial" w:hAnsi="Arial"/>
          <w:sz w:val="19"/>
          <w:szCs w:val="19"/>
          <w:u w:val="single" w:color="auto"/>
          <w:color w:val="auto"/>
        </w:rPr>
        <w:t>Section 5.6</w:t>
      </w:r>
      <w:r>
        <w:rPr>
          <w:rFonts w:ascii="Arial" w:cs="Arial" w:eastAsia="Arial" w:hAnsi="Arial"/>
          <w:sz w:val="19"/>
          <w:szCs w:val="19"/>
          <w:color w:val="auto"/>
        </w:rPr>
        <w:t>, the Record Holders of such Subordinated Units (a) if the Subordinated Units are evidenced by Certificates, may exchange such Certificates for Certificates evidencing Common Units or (b) if the Subordinated Units are not evidenced by Certificates, shall be issued Certificates evidencing Common Units.</w:t>
      </w:r>
    </w:p>
    <w:p>
      <w:pPr>
        <w:spacing w:after="0" w:line="189" w:lineRule="exact"/>
        <w:rPr>
          <w:sz w:val="20"/>
          <w:szCs w:val="20"/>
          <w:color w:val="auto"/>
        </w:rPr>
      </w:pPr>
    </w:p>
    <w:p>
      <w:pPr>
        <w:ind w:firstLine="1297"/>
        <w:spacing w:after="0" w:line="249" w:lineRule="auto"/>
        <w:rPr>
          <w:sz w:val="20"/>
          <w:szCs w:val="20"/>
          <w:color w:val="auto"/>
        </w:rPr>
      </w:pPr>
      <w:r>
        <w:rPr>
          <w:rFonts w:ascii="Arial" w:cs="Arial" w:eastAsia="Arial" w:hAnsi="Arial"/>
          <w:sz w:val="21"/>
          <w:szCs w:val="21"/>
          <w:color w:val="auto"/>
        </w:rPr>
        <w:t xml:space="preserve">Section 4.2. </w:t>
      </w:r>
      <w:r>
        <w:rPr>
          <w:rFonts w:ascii="Arial" w:cs="Arial" w:eastAsia="Arial" w:hAnsi="Arial"/>
          <w:sz w:val="21"/>
          <w:szCs w:val="21"/>
          <w:i w:val="1"/>
          <w:iCs w:val="1"/>
          <w:color w:val="auto"/>
        </w:rPr>
        <w:t>Mutilated, Destroyed, Lost or Stolen Certificates.</w:t>
      </w:r>
      <w:r>
        <w:rPr>
          <w:rFonts w:ascii="Arial" w:cs="Arial" w:eastAsia="Arial" w:hAnsi="Arial"/>
          <w:sz w:val="21"/>
          <w:szCs w:val="21"/>
          <w:color w:val="auto"/>
        </w:rPr>
        <w:t xml:space="preserve"> (a) If any mutilated Certificate is surrendered to the Transfer Agent (for Common Units or Preference Units) or the Partnership (for Partnership Interests other than Common Units or Preference Units), the appropriate Officers on behalf of the Partnership shall execute, and the Transfer Agent (for Common Units or Preference Units) shall countersign and deliver in exchange therefor, a new Certificate evidencing the same number and type of Partnership Interests as the Certificate so surrendered.</w:t>
      </w:r>
    </w:p>
    <w:p>
      <w:pPr>
        <w:spacing w:after="0" w:line="206" w:lineRule="exact"/>
        <w:rPr>
          <w:sz w:val="20"/>
          <w:szCs w:val="20"/>
          <w:color w:val="auto"/>
        </w:rPr>
      </w:pPr>
    </w:p>
    <w:p>
      <w:pPr>
        <w:ind w:right="340" w:firstLine="1305"/>
        <w:spacing w:after="0"/>
        <w:tabs>
          <w:tab w:leader="none" w:pos="1815" w:val="left"/>
        </w:tabs>
        <w:numPr>
          <w:ilvl w:val="0"/>
          <w:numId w:val="14"/>
        </w:numPr>
        <w:rPr>
          <w:rFonts w:ascii="Arial" w:cs="Arial" w:eastAsia="Arial" w:hAnsi="Arial"/>
          <w:sz w:val="22"/>
          <w:szCs w:val="22"/>
          <w:color w:val="auto"/>
        </w:rPr>
      </w:pPr>
      <w:r>
        <w:rPr>
          <w:rFonts w:ascii="Arial" w:cs="Arial" w:eastAsia="Arial" w:hAnsi="Arial"/>
          <w:sz w:val="22"/>
          <w:szCs w:val="22"/>
          <w:color w:val="auto"/>
        </w:rPr>
        <w:t>The appropriate Officers on behalf of the Partnership shall execute and deliver, and the Transfer Agent (for Common Units or Preference Units), as applicable, shall countersign, a new Certificate in place of any Certificate previously issued, or issue uncertificated Units, if the Record Holder of the Certificate:</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35" w:name="page36"/>
    <w:bookmarkEnd w:id="35"/>
    <w:p>
      <w:pPr>
        <w:ind w:left="660" w:right="720" w:firstLine="645"/>
        <w:spacing w:after="0" w:line="251" w:lineRule="auto"/>
        <w:tabs>
          <w:tab w:leader="none" w:pos="1782" w:val="left"/>
        </w:tabs>
        <w:numPr>
          <w:ilvl w:val="0"/>
          <w:numId w:val="15"/>
        </w:numPr>
        <w:rPr>
          <w:rFonts w:ascii="Arial" w:cs="Arial" w:eastAsia="Arial" w:hAnsi="Arial"/>
          <w:sz w:val="22"/>
          <w:szCs w:val="22"/>
          <w:color w:val="auto"/>
        </w:rPr>
      </w:pPr>
      <w:r>
        <w:rPr>
          <w:rFonts w:ascii="Arial" w:cs="Arial" w:eastAsia="Arial" w:hAnsi="Arial"/>
          <w:sz w:val="22"/>
          <w:szCs w:val="22"/>
          <w:color w:val="auto"/>
        </w:rPr>
        <w:t>makes proof by affidavit, in form and substance satisfactory to the Partnership, that a previously issued Certificate has been lost, destroyed or stolen;</w:t>
      </w:r>
    </w:p>
    <w:p>
      <w:pPr>
        <w:spacing w:after="0" w:line="200" w:lineRule="exact"/>
        <w:rPr>
          <w:rFonts w:ascii="Arial" w:cs="Arial" w:eastAsia="Arial" w:hAnsi="Arial"/>
          <w:sz w:val="22"/>
          <w:szCs w:val="22"/>
          <w:color w:val="auto"/>
        </w:rPr>
      </w:pPr>
    </w:p>
    <w:p>
      <w:pPr>
        <w:ind w:left="660" w:right="180" w:firstLine="645"/>
        <w:spacing w:after="0" w:line="328" w:lineRule="auto"/>
        <w:tabs>
          <w:tab w:leader="none" w:pos="1843" w:val="left"/>
        </w:tabs>
        <w:numPr>
          <w:ilvl w:val="0"/>
          <w:numId w:val="15"/>
        </w:numPr>
        <w:rPr>
          <w:rFonts w:ascii="Arial" w:cs="Arial" w:eastAsia="Arial" w:hAnsi="Arial"/>
          <w:sz w:val="19"/>
          <w:szCs w:val="19"/>
          <w:color w:val="auto"/>
        </w:rPr>
      </w:pPr>
      <w:r>
        <w:rPr>
          <w:rFonts w:ascii="Arial" w:cs="Arial" w:eastAsia="Arial" w:hAnsi="Arial"/>
          <w:sz w:val="19"/>
          <w:szCs w:val="19"/>
          <w:color w:val="auto"/>
        </w:rPr>
        <w:t>requests the issuance of a new Certificate or the issuance of uncertificated Units before the Partnership has notice that the Certificate has been acquired by a purchaser for value in good faith and without notice of an adverse claim;</w:t>
      </w:r>
    </w:p>
    <w:p>
      <w:pPr>
        <w:spacing w:after="0" w:line="132" w:lineRule="exact"/>
        <w:rPr>
          <w:rFonts w:ascii="Arial" w:cs="Arial" w:eastAsia="Arial" w:hAnsi="Arial"/>
          <w:sz w:val="19"/>
          <w:szCs w:val="19"/>
          <w:color w:val="auto"/>
        </w:rPr>
      </w:pPr>
    </w:p>
    <w:p>
      <w:pPr>
        <w:ind w:left="660" w:right="100" w:firstLine="645"/>
        <w:spacing w:after="0" w:line="238" w:lineRule="auto"/>
        <w:tabs>
          <w:tab w:leader="none" w:pos="1903" w:val="left"/>
        </w:tabs>
        <w:numPr>
          <w:ilvl w:val="0"/>
          <w:numId w:val="15"/>
        </w:numPr>
        <w:rPr>
          <w:rFonts w:ascii="Arial" w:cs="Arial" w:eastAsia="Arial" w:hAnsi="Arial"/>
          <w:sz w:val="22"/>
          <w:szCs w:val="22"/>
          <w:color w:val="auto"/>
        </w:rPr>
      </w:pPr>
      <w:r>
        <w:rPr>
          <w:rFonts w:ascii="Arial" w:cs="Arial" w:eastAsia="Arial" w:hAnsi="Arial"/>
          <w:sz w:val="22"/>
          <w:szCs w:val="22"/>
          <w:color w:val="auto"/>
        </w:rPr>
        <w:t>if requested by the Partnership, delivers to the Partnership a bond, in form and substance satisfactory to the Partnership, with surety or sureties and with fixed or open penalty as the Board of Directors may direct to indemnify the Partnership, the Partners, the General Partner and the Transfer Agent against any claim that may be made on account of the alleged loss, destruction or theft of the Certificate; and</w:t>
      </w:r>
    </w:p>
    <w:p>
      <w:pPr>
        <w:spacing w:after="0" w:line="212" w:lineRule="exact"/>
        <w:rPr>
          <w:rFonts w:ascii="Arial" w:cs="Arial" w:eastAsia="Arial" w:hAnsi="Arial"/>
          <w:sz w:val="22"/>
          <w:szCs w:val="22"/>
          <w:color w:val="auto"/>
        </w:rPr>
      </w:pPr>
    </w:p>
    <w:p>
      <w:pPr>
        <w:ind w:left="1880" w:hanging="575"/>
        <w:spacing w:after="0"/>
        <w:tabs>
          <w:tab w:leader="none" w:pos="1880" w:val="left"/>
        </w:tabs>
        <w:numPr>
          <w:ilvl w:val="0"/>
          <w:numId w:val="15"/>
        </w:numPr>
        <w:rPr>
          <w:rFonts w:ascii="Arial" w:cs="Arial" w:eastAsia="Arial" w:hAnsi="Arial"/>
          <w:sz w:val="22"/>
          <w:szCs w:val="22"/>
          <w:color w:val="auto"/>
        </w:rPr>
      </w:pPr>
      <w:r>
        <w:rPr>
          <w:rFonts w:ascii="Arial" w:cs="Arial" w:eastAsia="Arial" w:hAnsi="Arial"/>
          <w:sz w:val="22"/>
          <w:szCs w:val="22"/>
          <w:color w:val="auto"/>
        </w:rPr>
        <w:t>satisfies any other reasonable requirements imposed by the Board of Directors.</w:t>
      </w:r>
    </w:p>
    <w:p>
      <w:pPr>
        <w:spacing w:after="0" w:line="233" w:lineRule="exact"/>
        <w:rPr>
          <w:sz w:val="20"/>
          <w:szCs w:val="20"/>
          <w:color w:val="auto"/>
        </w:rPr>
      </w:pPr>
    </w:p>
    <w:p>
      <w:pPr>
        <w:ind w:right="40" w:firstLine="1297"/>
        <w:spacing w:after="0" w:line="236" w:lineRule="auto"/>
        <w:rPr>
          <w:sz w:val="20"/>
          <w:szCs w:val="20"/>
          <w:color w:val="auto"/>
        </w:rPr>
      </w:pPr>
      <w:r>
        <w:rPr>
          <w:rFonts w:ascii="Arial" w:cs="Arial" w:eastAsia="Arial" w:hAnsi="Arial"/>
          <w:sz w:val="22"/>
          <w:szCs w:val="22"/>
          <w:color w:val="auto"/>
        </w:rPr>
        <w:t>If a Limited Partner fails to notify the Partnership within a reasonable period of time after he has notice of the loss, destruction or theft of a Certificate, and a transfer of the Limited Partner Interests represented by the Certificate is registered before the Partnership, the General Partner or the Transfer Agent receives such notification, the Limited Partner shall be precluded from making any claim against the Partnership, the General Partner or the Transfer Agent for such transfer or for a new Certificate or uncertificated Units.</w:t>
      </w:r>
    </w:p>
    <w:p>
      <w:pPr>
        <w:spacing w:after="0" w:line="215" w:lineRule="exact"/>
        <w:rPr>
          <w:sz w:val="20"/>
          <w:szCs w:val="20"/>
          <w:color w:val="auto"/>
        </w:rPr>
      </w:pPr>
    </w:p>
    <w:p>
      <w:pPr>
        <w:ind w:right="320" w:firstLine="1305"/>
        <w:spacing w:after="0" w:line="297" w:lineRule="auto"/>
        <w:tabs>
          <w:tab w:leader="none" w:pos="1795" w:val="left"/>
        </w:tabs>
        <w:numPr>
          <w:ilvl w:val="0"/>
          <w:numId w:val="16"/>
        </w:numPr>
        <w:rPr>
          <w:rFonts w:ascii="Arial" w:cs="Arial" w:eastAsia="Arial" w:hAnsi="Arial"/>
          <w:sz w:val="19"/>
          <w:szCs w:val="19"/>
          <w:color w:val="auto"/>
        </w:rPr>
      </w:pPr>
      <w:r>
        <w:rPr>
          <w:rFonts w:ascii="Arial" w:cs="Arial" w:eastAsia="Arial" w:hAnsi="Arial"/>
          <w:sz w:val="19"/>
          <w:szCs w:val="19"/>
          <w:color w:val="auto"/>
        </w:rPr>
        <w:t xml:space="preserve">As a condition to the issuance of any new Certificate or uncertificated Units under this </w:t>
      </w:r>
      <w:r>
        <w:rPr>
          <w:rFonts w:ascii="Arial" w:cs="Arial" w:eastAsia="Arial" w:hAnsi="Arial"/>
          <w:sz w:val="19"/>
          <w:szCs w:val="19"/>
          <w:u w:val="single" w:color="auto"/>
          <w:color w:val="auto"/>
        </w:rPr>
        <w:t>Section 4.2</w:t>
      </w:r>
      <w:r>
        <w:rPr>
          <w:rFonts w:ascii="Arial" w:cs="Arial" w:eastAsia="Arial" w:hAnsi="Arial"/>
          <w:sz w:val="19"/>
          <w:szCs w:val="19"/>
          <w:color w:val="auto"/>
        </w:rPr>
        <w:t>, the Partnership may require the payment of a sum sufficient to cover any tax or other governmental charge that may be imposed in relation thereto and any other expenses (including the fees and expenses of the Transfer Agent) reasonably connected therewith.</w:t>
      </w:r>
    </w:p>
    <w:p>
      <w:pPr>
        <w:spacing w:after="0" w:line="161" w:lineRule="exact"/>
        <w:rPr>
          <w:sz w:val="20"/>
          <w:szCs w:val="20"/>
          <w:color w:val="auto"/>
        </w:rPr>
      </w:pPr>
    </w:p>
    <w:p>
      <w:pPr>
        <w:ind w:firstLine="1297"/>
        <w:spacing w:after="0" w:line="273" w:lineRule="auto"/>
        <w:rPr>
          <w:sz w:val="20"/>
          <w:szCs w:val="20"/>
          <w:color w:val="auto"/>
        </w:rPr>
      </w:pPr>
      <w:r>
        <w:rPr>
          <w:rFonts w:ascii="Arial" w:cs="Arial" w:eastAsia="Arial" w:hAnsi="Arial"/>
          <w:sz w:val="19"/>
          <w:szCs w:val="19"/>
          <w:color w:val="auto"/>
        </w:rPr>
        <w:t xml:space="preserve">Section 4.3. </w:t>
      </w:r>
      <w:r>
        <w:rPr>
          <w:rFonts w:ascii="Arial" w:cs="Arial" w:eastAsia="Arial" w:hAnsi="Arial"/>
          <w:sz w:val="19"/>
          <w:szCs w:val="19"/>
          <w:i w:val="1"/>
          <w:iCs w:val="1"/>
          <w:color w:val="auto"/>
        </w:rPr>
        <w:t>Record Holders</w:t>
      </w:r>
      <w:r>
        <w:rPr>
          <w:rFonts w:ascii="Arial" w:cs="Arial" w:eastAsia="Arial" w:hAnsi="Arial"/>
          <w:sz w:val="19"/>
          <w:szCs w:val="19"/>
          <w:color w:val="auto"/>
        </w:rPr>
        <w:t>. The Partnership shall be entitled to recognize the Record Holder as the Partner with respect to any Partnership Interest and, accordingly, shall not be bound to recognize any equitable or other claim to, or interest in, such Partnership Interest on the part of any other Person, regardless of whether the Partnership shall have actual or other notice thereof, except as otherwise provided by law or any applicable rule, regulation, guideline or requirement of any National Securities Exchange on which such Partnership Interests are listed or admitted to trading. Without limiting the foregoing, when a Person (such as a broker, dealer, bank, trust company or clearing corporation or an agent of any of the foregoing) is acting as nominee, agent or in some other representative capacity for another Person in acquiring and/or holding Partnership Interests, as between the Partnership on the one hand, and such other Persons on the other, such representative Person (a) shall be the Record Holder of such Partnership Interest and (b) shall be bound by this Agreement and shall have the rights and obligations of a Partner hereunder and as, and to the extent, provided for herein.</w:t>
      </w:r>
    </w:p>
    <w:p>
      <w:pPr>
        <w:spacing w:after="0" w:line="189" w:lineRule="exact"/>
        <w:rPr>
          <w:sz w:val="20"/>
          <w:szCs w:val="20"/>
          <w:color w:val="auto"/>
        </w:rPr>
      </w:pPr>
    </w:p>
    <w:p>
      <w:pPr>
        <w:ind w:firstLine="1297"/>
        <w:spacing w:after="0"/>
        <w:rPr>
          <w:sz w:val="20"/>
          <w:szCs w:val="20"/>
          <w:color w:val="auto"/>
        </w:rPr>
      </w:pPr>
      <w:r>
        <w:rPr>
          <w:rFonts w:ascii="Arial" w:cs="Arial" w:eastAsia="Arial" w:hAnsi="Arial"/>
          <w:sz w:val="22"/>
          <w:szCs w:val="22"/>
          <w:color w:val="auto"/>
        </w:rPr>
        <w:t xml:space="preserve">Section 4.4. </w:t>
      </w:r>
      <w:r>
        <w:rPr>
          <w:rFonts w:ascii="Arial" w:cs="Arial" w:eastAsia="Arial" w:hAnsi="Arial"/>
          <w:sz w:val="22"/>
          <w:szCs w:val="22"/>
          <w:i w:val="1"/>
          <w:iCs w:val="1"/>
          <w:color w:val="auto"/>
        </w:rPr>
        <w:t>Transfer Generally.</w:t>
      </w:r>
      <w:r>
        <w:rPr>
          <w:rFonts w:ascii="Arial" w:cs="Arial" w:eastAsia="Arial" w:hAnsi="Arial"/>
          <w:sz w:val="22"/>
          <w:szCs w:val="22"/>
          <w:color w:val="auto"/>
        </w:rPr>
        <w:t xml:space="preserve"> (a) The term “transfer,” when used in this Agreement with respect to a Partnership Interest, shall mean a transaction (i) by which the General Partner assigns its General Partner Units to another Person or by which a holder of</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402" w:right="259" w:bottom="1440" w:gutter="0" w:footer="0" w:header="0"/>
        </w:sectPr>
      </w:pPr>
    </w:p>
    <w:bookmarkStart w:id="36" w:name="page37"/>
    <w:bookmarkEnd w:id="36"/>
    <w:p>
      <w:pPr>
        <w:ind w:right="160"/>
        <w:spacing w:after="0" w:line="248" w:lineRule="auto"/>
        <w:rPr>
          <w:sz w:val="20"/>
          <w:szCs w:val="20"/>
          <w:color w:val="auto"/>
        </w:rPr>
      </w:pPr>
      <w:r>
        <w:rPr>
          <w:rFonts w:ascii="Arial" w:cs="Arial" w:eastAsia="Arial" w:hAnsi="Arial"/>
          <w:sz w:val="21"/>
          <w:szCs w:val="21"/>
          <w:color w:val="auto"/>
        </w:rPr>
        <w:t>Incentive Distribution Rights assigns its Incentive Distribution Rights to another Person, and includes a sale, assignment, gift, pledge, encumbrance, hypothecation, mortgage, exchange or any other disposition by law or otherwise or (ii) by which the holder of a Limited Partner Interest (other than an Incentive Distribution Right) assigns such Limited Partner Interest to another Person who is or becomes a Limited Partner, and includes a sale, assignment, gift, exchange or any other disposition by law or otherwise, excluding a pledge, encumbrance, hypothecation or mortgage, but including any transfer upon foreclosure of any pledge, encumbrance, hypothecation or mortgage.</w:t>
      </w:r>
    </w:p>
    <w:p>
      <w:pPr>
        <w:spacing w:after="0" w:line="204" w:lineRule="exact"/>
        <w:rPr>
          <w:sz w:val="20"/>
          <w:szCs w:val="20"/>
          <w:color w:val="auto"/>
        </w:rPr>
      </w:pPr>
    </w:p>
    <w:p>
      <w:pPr>
        <w:ind w:right="140" w:firstLine="1305"/>
        <w:spacing w:after="0"/>
        <w:tabs>
          <w:tab w:leader="none" w:pos="1819" w:val="left"/>
        </w:tabs>
        <w:numPr>
          <w:ilvl w:val="0"/>
          <w:numId w:val="17"/>
        </w:numPr>
        <w:rPr>
          <w:rFonts w:ascii="Arial" w:cs="Arial" w:eastAsia="Arial" w:hAnsi="Arial"/>
          <w:sz w:val="22"/>
          <w:szCs w:val="22"/>
          <w:color w:val="auto"/>
        </w:rPr>
      </w:pPr>
      <w:r>
        <w:rPr>
          <w:rFonts w:ascii="Arial" w:cs="Arial" w:eastAsia="Arial" w:hAnsi="Arial"/>
          <w:sz w:val="22"/>
          <w:szCs w:val="22"/>
          <w:color w:val="auto"/>
        </w:rPr>
        <w:t xml:space="preserve">No Partnership Interest shall be transferred, in whole or in part, except in accordance with the terms and conditions set forth in this </w:t>
      </w:r>
      <w:r>
        <w:rPr>
          <w:rFonts w:ascii="Arial" w:cs="Arial" w:eastAsia="Arial" w:hAnsi="Arial"/>
          <w:sz w:val="22"/>
          <w:szCs w:val="22"/>
          <w:u w:val="single" w:color="auto"/>
          <w:color w:val="auto"/>
        </w:rPr>
        <w:t>Article IV</w:t>
      </w:r>
      <w:r>
        <w:rPr>
          <w:rFonts w:ascii="Arial" w:cs="Arial" w:eastAsia="Arial" w:hAnsi="Arial"/>
          <w:sz w:val="22"/>
          <w:szCs w:val="22"/>
          <w:color w:val="auto"/>
        </w:rPr>
        <w:t xml:space="preserve">. Any transfer or purported transfer of a Partnership Interest not made in accordance with this </w:t>
      </w:r>
      <w:r>
        <w:rPr>
          <w:rFonts w:ascii="Arial" w:cs="Arial" w:eastAsia="Arial" w:hAnsi="Arial"/>
          <w:sz w:val="22"/>
          <w:szCs w:val="22"/>
          <w:u w:val="single" w:color="auto"/>
          <w:color w:val="auto"/>
        </w:rPr>
        <w:t>Article IV</w:t>
      </w:r>
      <w:r>
        <w:rPr>
          <w:rFonts w:ascii="Arial" w:cs="Arial" w:eastAsia="Arial" w:hAnsi="Arial"/>
          <w:sz w:val="22"/>
          <w:szCs w:val="22"/>
          <w:color w:val="auto"/>
        </w:rPr>
        <w:t xml:space="preserve"> shall be null and void.</w:t>
      </w:r>
    </w:p>
    <w:p>
      <w:pPr>
        <w:spacing w:after="0" w:line="213" w:lineRule="exact"/>
        <w:rPr>
          <w:rFonts w:ascii="Arial" w:cs="Arial" w:eastAsia="Arial" w:hAnsi="Arial"/>
          <w:sz w:val="22"/>
          <w:szCs w:val="22"/>
          <w:color w:val="auto"/>
        </w:rPr>
      </w:pPr>
    </w:p>
    <w:p>
      <w:pPr>
        <w:ind w:right="140" w:firstLine="1305"/>
        <w:spacing w:after="0" w:line="297" w:lineRule="auto"/>
        <w:tabs>
          <w:tab w:leader="none" w:pos="1807" w:val="left"/>
        </w:tabs>
        <w:numPr>
          <w:ilvl w:val="0"/>
          <w:numId w:val="17"/>
        </w:numPr>
        <w:rPr>
          <w:rFonts w:ascii="Arial" w:cs="Arial" w:eastAsia="Arial" w:hAnsi="Arial"/>
          <w:sz w:val="19"/>
          <w:szCs w:val="19"/>
          <w:color w:val="auto"/>
        </w:rPr>
      </w:pPr>
      <w:r>
        <w:rPr>
          <w:rFonts w:ascii="Arial" w:cs="Arial" w:eastAsia="Arial" w:hAnsi="Arial"/>
          <w:sz w:val="19"/>
          <w:szCs w:val="19"/>
          <w:color w:val="auto"/>
        </w:rPr>
        <w:t>Nothing contained in this Agreement shall be construed to prevent a disposition by any stockholder, member, partner or other owner of the General Partner of any or all of the shares of stock, membership interests, partnership interests or other ownership interests in the General Partner, and the term “transfer” shall not mean any such disposition.</w:t>
      </w:r>
    </w:p>
    <w:p>
      <w:pPr>
        <w:spacing w:after="0" w:line="161" w:lineRule="exact"/>
        <w:rPr>
          <w:sz w:val="20"/>
          <w:szCs w:val="20"/>
          <w:color w:val="auto"/>
        </w:rPr>
      </w:pPr>
    </w:p>
    <w:p>
      <w:pPr>
        <w:ind w:firstLine="1297"/>
        <w:spacing w:after="0" w:line="273" w:lineRule="auto"/>
        <w:rPr>
          <w:sz w:val="20"/>
          <w:szCs w:val="20"/>
          <w:color w:val="auto"/>
        </w:rPr>
      </w:pPr>
      <w:r>
        <w:rPr>
          <w:rFonts w:ascii="Arial" w:cs="Arial" w:eastAsia="Arial" w:hAnsi="Arial"/>
          <w:sz w:val="19"/>
          <w:szCs w:val="19"/>
          <w:color w:val="auto"/>
        </w:rPr>
        <w:t xml:space="preserve">Section 4.5. </w:t>
      </w:r>
      <w:r>
        <w:rPr>
          <w:rFonts w:ascii="Arial" w:cs="Arial" w:eastAsia="Arial" w:hAnsi="Arial"/>
          <w:sz w:val="19"/>
          <w:szCs w:val="19"/>
          <w:i w:val="1"/>
          <w:iCs w:val="1"/>
          <w:color w:val="auto"/>
        </w:rPr>
        <w:t>Registration and Transfer of Limited Partner Interests.</w:t>
      </w:r>
      <w:r>
        <w:rPr>
          <w:rFonts w:ascii="Arial" w:cs="Arial" w:eastAsia="Arial" w:hAnsi="Arial"/>
          <w:sz w:val="19"/>
          <w:szCs w:val="19"/>
          <w:color w:val="auto"/>
        </w:rPr>
        <w:t xml:space="preserve"> (a) The General Partner shall keep or cause to be kept on behalf of the Partnership a register in which, subject to such reasonable regulations as it may prescribe and subject to the provisions of </w:t>
      </w:r>
      <w:r>
        <w:rPr>
          <w:rFonts w:ascii="Arial" w:cs="Arial" w:eastAsia="Arial" w:hAnsi="Arial"/>
          <w:sz w:val="19"/>
          <w:szCs w:val="19"/>
          <w:u w:val="single" w:color="auto"/>
          <w:color w:val="auto"/>
        </w:rPr>
        <w:t>Section 4.5(b)</w:t>
      </w:r>
      <w:r>
        <w:rPr>
          <w:rFonts w:ascii="Arial" w:cs="Arial" w:eastAsia="Arial" w:hAnsi="Arial"/>
          <w:sz w:val="19"/>
          <w:szCs w:val="19"/>
          <w:color w:val="auto"/>
        </w:rPr>
        <w:t xml:space="preserve">, the Partnership will provide for the registration and transfer of Limited Partner Interests. The Transfer Agent is hereby appointed registrar and transfer agent for the purpose of registering Common Units and Preference Units and transfers of such Common Units and Preference Units as herein provided. The Partnership shall not recognize transfers of Certificates evidencing Limited Partner Interests unless such transfers are effected in the manner described in this </w:t>
      </w:r>
      <w:r>
        <w:rPr>
          <w:rFonts w:ascii="Arial" w:cs="Arial" w:eastAsia="Arial" w:hAnsi="Arial"/>
          <w:sz w:val="19"/>
          <w:szCs w:val="19"/>
          <w:u w:val="single" w:color="auto"/>
          <w:color w:val="auto"/>
        </w:rPr>
        <w:t>Section 4.5</w:t>
      </w:r>
      <w:r>
        <w:rPr>
          <w:rFonts w:ascii="Arial" w:cs="Arial" w:eastAsia="Arial" w:hAnsi="Arial"/>
          <w:sz w:val="19"/>
          <w:szCs w:val="19"/>
          <w:color w:val="auto"/>
        </w:rPr>
        <w:t xml:space="preserve">. Upon surrender of a Certificate for registration of transfer of any Limited Partner Interests evidenced by a Certificate, and subject to the provisions of </w:t>
      </w:r>
      <w:r>
        <w:rPr>
          <w:rFonts w:ascii="Arial" w:cs="Arial" w:eastAsia="Arial" w:hAnsi="Arial"/>
          <w:sz w:val="19"/>
          <w:szCs w:val="19"/>
          <w:u w:val="single" w:color="auto"/>
          <w:color w:val="auto"/>
        </w:rPr>
        <w:t>Section 4.5(b)</w:t>
      </w:r>
      <w:r>
        <w:rPr>
          <w:rFonts w:ascii="Arial" w:cs="Arial" w:eastAsia="Arial" w:hAnsi="Arial"/>
          <w:sz w:val="19"/>
          <w:szCs w:val="19"/>
          <w:color w:val="auto"/>
        </w:rPr>
        <w:t>, the appropriate Officers on behalf of the Partnership shall execute and deliver, and in the case of Common Units, the Transfer Agent shall countersign and deliver, in the name of the holder or the designated transferee or transferees, as required pursuant to the holder’s instructions, one or more new Certificates evidencing the same aggregate number and type of Limited Partner Interests as was evidenced by the Certificate so surrendered.</w:t>
      </w:r>
    </w:p>
    <w:p>
      <w:pPr>
        <w:spacing w:after="0" w:line="183" w:lineRule="exact"/>
        <w:rPr>
          <w:sz w:val="20"/>
          <w:szCs w:val="20"/>
          <w:color w:val="auto"/>
        </w:rPr>
      </w:pPr>
    </w:p>
    <w:p>
      <w:pPr>
        <w:ind w:right="40" w:firstLine="1305"/>
        <w:spacing w:after="0" w:line="249" w:lineRule="auto"/>
        <w:tabs>
          <w:tab w:leader="none" w:pos="1819" w:val="left"/>
        </w:tabs>
        <w:numPr>
          <w:ilvl w:val="0"/>
          <w:numId w:val="18"/>
        </w:numPr>
        <w:rPr>
          <w:rFonts w:ascii="Arial" w:cs="Arial" w:eastAsia="Arial" w:hAnsi="Arial"/>
          <w:sz w:val="21"/>
          <w:szCs w:val="21"/>
          <w:color w:val="auto"/>
        </w:rPr>
      </w:pPr>
      <w:r>
        <w:rPr>
          <w:rFonts w:ascii="Arial" w:cs="Arial" w:eastAsia="Arial" w:hAnsi="Arial"/>
          <w:sz w:val="21"/>
          <w:szCs w:val="21"/>
          <w:color w:val="auto"/>
        </w:rPr>
        <w:t xml:space="preserve">If Limited Partner Interests are evidenced by Certificates, the Partnership shall not recognize any transfer of Limited Partner Interests until the Certificates evidencing such Limited Partner Interests are surrendered for registration of transfer. No charge shall be imposed by the Partnership for such transfer;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xml:space="preserve">, that as a condition to the issuance of any new Certificate under this </w:t>
      </w:r>
      <w:r>
        <w:rPr>
          <w:rFonts w:ascii="Arial" w:cs="Arial" w:eastAsia="Arial" w:hAnsi="Arial"/>
          <w:sz w:val="21"/>
          <w:szCs w:val="21"/>
          <w:u w:val="single" w:color="auto"/>
          <w:color w:val="auto"/>
        </w:rPr>
        <w:t>Section 4.5</w:t>
      </w:r>
      <w:r>
        <w:rPr>
          <w:rFonts w:ascii="Arial" w:cs="Arial" w:eastAsia="Arial" w:hAnsi="Arial"/>
          <w:sz w:val="21"/>
          <w:szCs w:val="21"/>
          <w:color w:val="auto"/>
        </w:rPr>
        <w:t>, the Partnership may require the payment of a sum sufficient to cover any tax or other governmental charge that may be imposed with respect thereto.</w:t>
      </w:r>
    </w:p>
    <w:p>
      <w:pPr>
        <w:spacing w:after="0" w:line="205" w:lineRule="exact"/>
        <w:rPr>
          <w:rFonts w:ascii="Arial" w:cs="Arial" w:eastAsia="Arial" w:hAnsi="Arial"/>
          <w:sz w:val="21"/>
          <w:szCs w:val="21"/>
          <w:color w:val="auto"/>
        </w:rPr>
      </w:pPr>
    </w:p>
    <w:p>
      <w:pPr>
        <w:ind w:right="260" w:firstLine="1305"/>
        <w:spacing w:after="0"/>
        <w:tabs>
          <w:tab w:leader="none" w:pos="1807" w:val="left"/>
        </w:tabs>
        <w:numPr>
          <w:ilvl w:val="0"/>
          <w:numId w:val="18"/>
        </w:numPr>
        <w:rPr>
          <w:rFonts w:ascii="Arial" w:cs="Arial" w:eastAsia="Arial" w:hAnsi="Arial"/>
          <w:sz w:val="22"/>
          <w:szCs w:val="22"/>
          <w:color w:val="auto"/>
        </w:rPr>
      </w:pPr>
      <w:r>
        <w:rPr>
          <w:rFonts w:ascii="Arial" w:cs="Arial" w:eastAsia="Arial" w:hAnsi="Arial"/>
          <w:sz w:val="22"/>
          <w:szCs w:val="22"/>
          <w:color w:val="auto"/>
        </w:rPr>
        <w:t xml:space="preserve">By acceptance of the transfer of a Limited Partner Interest in accordance with this </w:t>
      </w:r>
      <w:r>
        <w:rPr>
          <w:rFonts w:ascii="Arial" w:cs="Arial" w:eastAsia="Arial" w:hAnsi="Arial"/>
          <w:sz w:val="22"/>
          <w:szCs w:val="22"/>
          <w:u w:val="single" w:color="auto"/>
          <w:color w:val="auto"/>
        </w:rPr>
        <w:t>Section 4.5</w:t>
      </w:r>
      <w:r>
        <w:rPr>
          <w:rFonts w:ascii="Arial" w:cs="Arial" w:eastAsia="Arial" w:hAnsi="Arial"/>
          <w:sz w:val="22"/>
          <w:szCs w:val="22"/>
          <w:color w:val="auto"/>
        </w:rPr>
        <w:t xml:space="preserve"> and except as otherwise provided in </w:t>
      </w:r>
      <w:r>
        <w:rPr>
          <w:rFonts w:ascii="Arial" w:cs="Arial" w:eastAsia="Arial" w:hAnsi="Arial"/>
          <w:sz w:val="22"/>
          <w:szCs w:val="22"/>
          <w:u w:val="single" w:color="auto"/>
          <w:color w:val="auto"/>
        </w:rPr>
        <w:t>Section 4.8</w:t>
      </w:r>
      <w:r>
        <w:rPr>
          <w:rFonts w:ascii="Arial" w:cs="Arial" w:eastAsia="Arial" w:hAnsi="Arial"/>
          <w:sz w:val="22"/>
          <w:szCs w:val="22"/>
          <w:color w:val="auto"/>
        </w:rPr>
        <w:t>, each transferee of a Limited Partner Interest (including any nominee holder or an agent or representative acquiring</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402" w:right="259" w:bottom="1440" w:gutter="0" w:footer="0" w:header="0"/>
        </w:sectPr>
      </w:pPr>
    </w:p>
    <w:bookmarkStart w:id="37" w:name="page38"/>
    <w:bookmarkEnd w:id="37"/>
    <w:p>
      <w:pPr>
        <w:spacing w:after="0"/>
        <w:rPr>
          <w:sz w:val="20"/>
          <w:szCs w:val="20"/>
          <w:color w:val="auto"/>
        </w:rPr>
      </w:pPr>
      <w:r>
        <w:rPr>
          <w:rFonts w:ascii="Arial" w:cs="Arial" w:eastAsia="Arial" w:hAnsi="Arial"/>
          <w:sz w:val="19"/>
          <w:szCs w:val="19"/>
          <w:color w:val="auto"/>
        </w:rPr>
        <w:t>such Limited Partner Interests for the account of another Person) (i) shall be admitted to the Partnership as a Limited Partner with</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respect to the Limited Partner Interests so transferred to such Person when any such transfer or admission is reflected in the books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and records of the Partnership and such Limited Partner becomes the Record Holder of the Limited Partner Interests so transferred,</w:t>
      </w:r>
    </w:p>
    <w:p>
      <w:pPr>
        <w:spacing w:after="0" w:line="25" w:lineRule="exact"/>
        <w:rPr>
          <w:sz w:val="20"/>
          <w:szCs w:val="20"/>
          <w:color w:val="auto"/>
        </w:rPr>
      </w:pPr>
    </w:p>
    <w:p>
      <w:pPr>
        <w:jc w:val="both"/>
        <w:ind w:right="140" w:firstLine="8"/>
        <w:spacing w:after="0" w:line="280" w:lineRule="auto"/>
        <w:tabs>
          <w:tab w:leader="none" w:pos="318" w:val="left"/>
        </w:tabs>
        <w:numPr>
          <w:ilvl w:val="0"/>
          <w:numId w:val="19"/>
        </w:numPr>
        <w:rPr>
          <w:rFonts w:ascii="Arial" w:cs="Arial" w:eastAsia="Arial" w:hAnsi="Arial"/>
          <w:sz w:val="19"/>
          <w:szCs w:val="19"/>
          <w:color w:val="auto"/>
        </w:rPr>
      </w:pPr>
      <w:r>
        <w:rPr>
          <w:rFonts w:ascii="Arial" w:cs="Arial" w:eastAsia="Arial" w:hAnsi="Arial"/>
          <w:sz w:val="19"/>
          <w:szCs w:val="19"/>
          <w:color w:val="auto"/>
        </w:rPr>
        <w:t>shall become bound, and shall be deemed to have agreed to be bound, by the terms of this Agreement, (iii) represents that the transferee has the capacity, power and authority to enter into this Agreement and (iv) makes the consents, acknowledgments and waivers contained in this Agreement, all with or without execution of this Agreement by such Person. The transfer of any Limited Partner Interests and the admission of any new Limited Partner shall not constitute an amendment to this Agreement.</w:t>
      </w:r>
    </w:p>
    <w:p>
      <w:pPr>
        <w:spacing w:after="0" w:line="177" w:lineRule="exact"/>
        <w:rPr>
          <w:rFonts w:ascii="Arial" w:cs="Arial" w:eastAsia="Arial" w:hAnsi="Arial"/>
          <w:sz w:val="19"/>
          <w:szCs w:val="19"/>
          <w:color w:val="auto"/>
        </w:rPr>
      </w:pPr>
    </w:p>
    <w:p>
      <w:pPr>
        <w:ind w:right="260" w:firstLine="1305"/>
        <w:spacing w:after="0" w:line="251" w:lineRule="auto"/>
        <w:tabs>
          <w:tab w:leader="none" w:pos="1819" w:val="left"/>
        </w:tabs>
        <w:numPr>
          <w:ilvl w:val="1"/>
          <w:numId w:val="19"/>
        </w:numPr>
        <w:rPr>
          <w:rFonts w:ascii="Arial" w:cs="Arial" w:eastAsia="Arial" w:hAnsi="Arial"/>
          <w:sz w:val="22"/>
          <w:szCs w:val="22"/>
          <w:color w:val="auto"/>
        </w:rPr>
      </w:pPr>
      <w:r>
        <w:rPr>
          <w:rFonts w:ascii="Arial" w:cs="Arial" w:eastAsia="Arial" w:hAnsi="Arial"/>
          <w:sz w:val="22"/>
          <w:szCs w:val="22"/>
          <w:color w:val="auto"/>
        </w:rPr>
        <w:t xml:space="preserve">Subject to the provisions set forth in this </w:t>
      </w:r>
      <w:r>
        <w:rPr>
          <w:rFonts w:ascii="Arial" w:cs="Arial" w:eastAsia="Arial" w:hAnsi="Arial"/>
          <w:sz w:val="22"/>
          <w:szCs w:val="22"/>
          <w:u w:val="single" w:color="auto"/>
          <w:color w:val="auto"/>
        </w:rPr>
        <w:t>Article IV</w:t>
      </w:r>
      <w:r>
        <w:rPr>
          <w:rFonts w:ascii="Arial" w:cs="Arial" w:eastAsia="Arial" w:hAnsi="Arial"/>
          <w:sz w:val="22"/>
          <w:szCs w:val="22"/>
          <w:color w:val="auto"/>
        </w:rPr>
        <w:t xml:space="preserve"> and applicable securities laws, Limited Partner Interests shall be freely transferable.</w:t>
      </w:r>
    </w:p>
    <w:p>
      <w:pPr>
        <w:spacing w:after="0" w:line="200" w:lineRule="exact"/>
        <w:rPr>
          <w:rFonts w:ascii="Arial" w:cs="Arial" w:eastAsia="Arial" w:hAnsi="Arial"/>
          <w:sz w:val="22"/>
          <w:szCs w:val="22"/>
          <w:color w:val="auto"/>
        </w:rPr>
      </w:pPr>
    </w:p>
    <w:p>
      <w:pPr>
        <w:ind w:right="260" w:firstLine="1305"/>
        <w:spacing w:after="0"/>
        <w:tabs>
          <w:tab w:leader="none" w:pos="1803" w:val="left"/>
        </w:tabs>
        <w:numPr>
          <w:ilvl w:val="1"/>
          <w:numId w:val="19"/>
        </w:numPr>
        <w:rPr>
          <w:rFonts w:ascii="Arial" w:cs="Arial" w:eastAsia="Arial" w:hAnsi="Arial"/>
          <w:sz w:val="22"/>
          <w:szCs w:val="22"/>
          <w:color w:val="auto"/>
        </w:rPr>
      </w:pPr>
      <w:r>
        <w:rPr>
          <w:rFonts w:ascii="Arial" w:cs="Arial" w:eastAsia="Arial" w:hAnsi="Arial"/>
          <w:sz w:val="22"/>
          <w:szCs w:val="22"/>
          <w:color w:val="auto"/>
        </w:rPr>
        <w:t>The General Partner and its Affiliates shall have the right at any time to transfer their Subordinated Units, Common Units (whether issued upon conversion of the Subordinated Units or otherwise) or any Preference Units to one or more Persons.</w:t>
      </w:r>
    </w:p>
    <w:p>
      <w:pPr>
        <w:spacing w:after="0" w:line="213" w:lineRule="exact"/>
        <w:rPr>
          <w:sz w:val="20"/>
          <w:szCs w:val="20"/>
          <w:color w:val="auto"/>
        </w:rPr>
      </w:pPr>
    </w:p>
    <w:p>
      <w:pPr>
        <w:ind w:right="80" w:firstLine="1297"/>
        <w:spacing w:after="0" w:line="277" w:lineRule="auto"/>
        <w:rPr>
          <w:sz w:val="20"/>
          <w:szCs w:val="20"/>
          <w:color w:val="auto"/>
        </w:rPr>
      </w:pPr>
      <w:r>
        <w:rPr>
          <w:rFonts w:ascii="Arial" w:cs="Arial" w:eastAsia="Arial" w:hAnsi="Arial"/>
          <w:sz w:val="19"/>
          <w:szCs w:val="19"/>
          <w:color w:val="auto"/>
        </w:rPr>
        <w:t xml:space="preserve">Section 4.6. </w:t>
      </w:r>
      <w:r>
        <w:rPr>
          <w:rFonts w:ascii="Arial" w:cs="Arial" w:eastAsia="Arial" w:hAnsi="Arial"/>
          <w:sz w:val="19"/>
          <w:szCs w:val="19"/>
          <w:i w:val="1"/>
          <w:iCs w:val="1"/>
          <w:color w:val="auto"/>
        </w:rPr>
        <w:t>Transfer of the General Partner’s General Partner Interest.</w:t>
      </w:r>
      <w:r>
        <w:rPr>
          <w:rFonts w:ascii="Arial" w:cs="Arial" w:eastAsia="Arial" w:hAnsi="Arial"/>
          <w:sz w:val="19"/>
          <w:szCs w:val="19"/>
          <w:color w:val="auto"/>
        </w:rPr>
        <w:t xml:space="preserve"> (a) Subject to </w:t>
      </w:r>
      <w:r>
        <w:rPr>
          <w:rFonts w:ascii="Arial" w:cs="Arial" w:eastAsia="Arial" w:hAnsi="Arial"/>
          <w:sz w:val="19"/>
          <w:szCs w:val="19"/>
          <w:u w:val="single" w:color="auto"/>
          <w:color w:val="auto"/>
        </w:rPr>
        <w:t>Section 4.6(c)</w:t>
      </w:r>
      <w:r>
        <w:rPr>
          <w:rFonts w:ascii="Arial" w:cs="Arial" w:eastAsia="Arial" w:hAnsi="Arial"/>
          <w:sz w:val="19"/>
          <w:szCs w:val="19"/>
          <w:color w:val="auto"/>
        </w:rPr>
        <w:t xml:space="preserve"> below, prior to March 31, 2024, the General Partner shall not transfer all or any part of its General Partner Interest (represented by General Partner Units) to a Person unless such transfer (i) has been approved by the prior written consent or vote of the holders of at least a majority of the Outstanding Common Units (excluding Common Units held by the General Partner and its Affiliates) or (ii) is of all, but not less than all, of its General Partner Interest to (A) an Affiliate of the General Partner (other than an individual) or (B) another Person (other than an individual) in connection with (y) the merger or consolidation of the General Partner with or into such other Person or (z) the transfer by the General Partner of all or substantially all of its assets to such other Person.</w:t>
      </w:r>
    </w:p>
    <w:p>
      <w:pPr>
        <w:spacing w:after="0" w:line="180" w:lineRule="exact"/>
        <w:rPr>
          <w:sz w:val="20"/>
          <w:szCs w:val="20"/>
          <w:color w:val="auto"/>
        </w:rPr>
      </w:pPr>
    </w:p>
    <w:p>
      <w:pPr>
        <w:ind w:right="140" w:firstLine="1305"/>
        <w:spacing w:after="0" w:line="251" w:lineRule="auto"/>
        <w:tabs>
          <w:tab w:leader="none" w:pos="1819" w:val="left"/>
        </w:tabs>
        <w:numPr>
          <w:ilvl w:val="0"/>
          <w:numId w:val="20"/>
        </w:numPr>
        <w:rPr>
          <w:rFonts w:ascii="Arial" w:cs="Arial" w:eastAsia="Arial" w:hAnsi="Arial"/>
          <w:sz w:val="22"/>
          <w:szCs w:val="22"/>
          <w:color w:val="auto"/>
        </w:rPr>
      </w:pPr>
      <w:r>
        <w:rPr>
          <w:rFonts w:ascii="Arial" w:cs="Arial" w:eastAsia="Arial" w:hAnsi="Arial"/>
          <w:sz w:val="22"/>
          <w:szCs w:val="22"/>
          <w:color w:val="auto"/>
        </w:rPr>
        <w:t xml:space="preserve">Subject to </w:t>
      </w:r>
      <w:r>
        <w:rPr>
          <w:rFonts w:ascii="Arial" w:cs="Arial" w:eastAsia="Arial" w:hAnsi="Arial"/>
          <w:sz w:val="22"/>
          <w:szCs w:val="22"/>
          <w:u w:val="single" w:color="auto"/>
          <w:color w:val="auto"/>
        </w:rPr>
        <w:t>Section 4.6(c)</w:t>
      </w:r>
      <w:r>
        <w:rPr>
          <w:rFonts w:ascii="Arial" w:cs="Arial" w:eastAsia="Arial" w:hAnsi="Arial"/>
          <w:sz w:val="22"/>
          <w:szCs w:val="22"/>
          <w:color w:val="auto"/>
        </w:rPr>
        <w:t xml:space="preserve"> below, on or after March 31, 2024, the General Partner may transfer all or any of its General Partner Interest without Unitholder approval.</w:t>
      </w:r>
    </w:p>
    <w:p>
      <w:pPr>
        <w:spacing w:after="0" w:line="200" w:lineRule="exact"/>
        <w:rPr>
          <w:rFonts w:ascii="Arial" w:cs="Arial" w:eastAsia="Arial" w:hAnsi="Arial"/>
          <w:sz w:val="22"/>
          <w:szCs w:val="22"/>
          <w:color w:val="auto"/>
        </w:rPr>
      </w:pPr>
    </w:p>
    <w:p>
      <w:pPr>
        <w:ind w:firstLine="1305"/>
        <w:spacing w:after="0" w:line="273" w:lineRule="auto"/>
        <w:tabs>
          <w:tab w:leader="none" w:pos="1807" w:val="left"/>
        </w:tabs>
        <w:numPr>
          <w:ilvl w:val="0"/>
          <w:numId w:val="20"/>
        </w:numPr>
        <w:rPr>
          <w:rFonts w:ascii="Arial" w:cs="Arial" w:eastAsia="Arial" w:hAnsi="Arial"/>
          <w:sz w:val="19"/>
          <w:szCs w:val="19"/>
          <w:color w:val="auto"/>
        </w:rPr>
      </w:pPr>
      <w:r>
        <w:rPr>
          <w:rFonts w:ascii="Arial" w:cs="Arial" w:eastAsia="Arial" w:hAnsi="Arial"/>
          <w:sz w:val="19"/>
          <w:szCs w:val="19"/>
          <w:color w:val="auto"/>
        </w:rPr>
        <w:t xml:space="preserve">Notwithstanding anything herein to the contrary, no transfer by the General Partner of all or any part of its General Partner Interest to another Person shall be permitted unless (i) the transferee agrees to assume the rights and duties of the General Partner under this Agreement and to be bound by the provisions of this Agreement, (ii) the Partnership receives an Opinion of Counsel that such transfer would not result in the loss of limited liability of any Limited Partner or of any limited partner or member of any other Group Member under the laws of any such entity’s jurisdiction of formation and (iii) such transferee also agrees to purchase all (or the appropriate portion thereof, if applicable) of the partnership or membership interest of the General Partner as the general partner or managing member, if any, of each other Group Member. In the case of a transfer pursuant to and in compliance with this </w:t>
      </w:r>
      <w:r>
        <w:rPr>
          <w:rFonts w:ascii="Arial" w:cs="Arial" w:eastAsia="Arial" w:hAnsi="Arial"/>
          <w:sz w:val="19"/>
          <w:szCs w:val="19"/>
          <w:u w:val="single" w:color="auto"/>
          <w:color w:val="auto"/>
        </w:rPr>
        <w:t>Section 4.6</w:t>
      </w:r>
      <w:r>
        <w:rPr>
          <w:rFonts w:ascii="Arial" w:cs="Arial" w:eastAsia="Arial" w:hAnsi="Arial"/>
          <w:sz w:val="19"/>
          <w:szCs w:val="19"/>
          <w:color w:val="auto"/>
        </w:rPr>
        <w:t xml:space="preserve">, the transferee or successor (as the case may be) shall, subject to compliance with the terms of </w:t>
      </w:r>
      <w:r>
        <w:rPr>
          <w:rFonts w:ascii="Arial" w:cs="Arial" w:eastAsia="Arial" w:hAnsi="Arial"/>
          <w:sz w:val="19"/>
          <w:szCs w:val="19"/>
          <w:u w:val="single" w:color="auto"/>
          <w:color w:val="auto"/>
        </w:rPr>
        <w:t>Section 10.3</w:t>
      </w:r>
      <w:r>
        <w:rPr>
          <w:rFonts w:ascii="Arial" w:cs="Arial" w:eastAsia="Arial" w:hAnsi="Arial"/>
          <w:sz w:val="19"/>
          <w:szCs w:val="19"/>
          <w:color w:val="auto"/>
        </w:rPr>
        <w:t>, be admitted to the Partnership as the General Partner immediately prior to the transfer of the General Partner Interest, and the business of the Partnership shall continue without dissolution.</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402" w:right="259" w:bottom="1440" w:gutter="0" w:footer="0" w:header="0"/>
        </w:sectPr>
      </w:pPr>
    </w:p>
    <w:bookmarkStart w:id="38" w:name="page39"/>
    <w:bookmarkEnd w:id="38"/>
    <w:p>
      <w:pPr>
        <w:ind w:firstLine="1297"/>
        <w:spacing w:after="0" w:line="272" w:lineRule="auto"/>
        <w:rPr>
          <w:sz w:val="20"/>
          <w:szCs w:val="20"/>
          <w:color w:val="auto"/>
        </w:rPr>
      </w:pPr>
      <w:r>
        <w:rPr>
          <w:rFonts w:ascii="Arial" w:cs="Arial" w:eastAsia="Arial" w:hAnsi="Arial"/>
          <w:sz w:val="19"/>
          <w:szCs w:val="19"/>
          <w:color w:val="auto"/>
        </w:rPr>
        <w:t xml:space="preserve">Section 4.7. </w:t>
      </w:r>
      <w:r>
        <w:rPr>
          <w:rFonts w:ascii="Arial" w:cs="Arial" w:eastAsia="Arial" w:hAnsi="Arial"/>
          <w:sz w:val="19"/>
          <w:szCs w:val="19"/>
          <w:i w:val="1"/>
          <w:iCs w:val="1"/>
          <w:color w:val="auto"/>
        </w:rPr>
        <w:t>Transfer of Incentive Distribution Rights</w:t>
      </w:r>
      <w:r>
        <w:rPr>
          <w:rFonts w:ascii="Arial" w:cs="Arial" w:eastAsia="Arial" w:hAnsi="Arial"/>
          <w:sz w:val="19"/>
          <w:szCs w:val="19"/>
          <w:color w:val="auto"/>
        </w:rPr>
        <w:t xml:space="preserve">. Prior to March 31, 2019, a holder of Incentive Distribution Rights may transfer any or all of the Incentive Distribution Rights held by such holder without any consent of the Unitholders to (a) an Affiliate of such holder (other than an individual) or (b) another Person (other than an individual) in connection with (i) the merger or consolidation of such holder of Incentive Distribution Rights with or into such other Person or (ii) the transfer by such holder of all or substantially all of its assets to such other Person. Any other transfer of the Incentive Distribution Rights prior to March 31, 2019, shall require the prior approval of holders of at least a majority of the Outstanding Common Units (excluding Common Units held by GasLog and its Affiliates). On or after March 31, 2019, any holder of Incentive Distribution Rights may transfer any or all of its Incentive Distribution Rights without Unitholder approval. Notwithstanding anything herein to the contrary, (a) the transfer of Common Units issued pursuant to </w:t>
      </w:r>
      <w:r>
        <w:rPr>
          <w:rFonts w:ascii="Arial" w:cs="Arial" w:eastAsia="Arial" w:hAnsi="Arial"/>
          <w:sz w:val="19"/>
          <w:szCs w:val="19"/>
          <w:u w:val="single" w:color="auto"/>
          <w:color w:val="auto"/>
        </w:rPr>
        <w:t>Section 5.10</w:t>
      </w:r>
      <w:r>
        <w:rPr>
          <w:rFonts w:ascii="Arial" w:cs="Arial" w:eastAsia="Arial" w:hAnsi="Arial"/>
          <w:sz w:val="19"/>
          <w:szCs w:val="19"/>
          <w:color w:val="auto"/>
        </w:rPr>
        <w:t xml:space="preserve"> shall not be treated as a transfer of all or any part of the Incentive Distribution Rights and (b) no transfer of Incentive Distribution Rights to another Person shall be permitted unless the transferee agrees to be bound by the provisions of this Agreement. The General Partner and any transferee or transferees of the Incentive Distribution Rights may agree in a separate instrument as to the General Partner’s exercise of its rights with respect to the Incentive Distribution Rights under </w:t>
      </w:r>
      <w:r>
        <w:rPr>
          <w:rFonts w:ascii="Arial" w:cs="Arial" w:eastAsia="Arial" w:hAnsi="Arial"/>
          <w:sz w:val="19"/>
          <w:szCs w:val="19"/>
          <w:u w:val="single" w:color="auto"/>
          <w:color w:val="auto"/>
        </w:rPr>
        <w:t>Section 11.3</w:t>
      </w:r>
      <w:r>
        <w:rPr>
          <w:rFonts w:ascii="Arial" w:cs="Arial" w:eastAsia="Arial" w:hAnsi="Arial"/>
          <w:sz w:val="19"/>
          <w:szCs w:val="19"/>
          <w:color w:val="auto"/>
        </w:rPr>
        <w:t>.</w:t>
      </w:r>
    </w:p>
    <w:p>
      <w:pPr>
        <w:spacing w:after="0" w:line="200" w:lineRule="exact"/>
        <w:rPr>
          <w:sz w:val="20"/>
          <w:szCs w:val="20"/>
          <w:color w:val="auto"/>
        </w:rPr>
      </w:pPr>
    </w:p>
    <w:p>
      <w:pPr>
        <w:spacing w:after="0" w:line="232" w:lineRule="exact"/>
        <w:rPr>
          <w:sz w:val="20"/>
          <w:szCs w:val="20"/>
          <w:color w:val="auto"/>
        </w:rPr>
      </w:pPr>
    </w:p>
    <w:p>
      <w:pPr>
        <w:ind w:right="80" w:firstLine="1297"/>
        <w:spacing w:after="0" w:line="282" w:lineRule="auto"/>
        <w:rPr>
          <w:sz w:val="20"/>
          <w:szCs w:val="20"/>
          <w:color w:val="auto"/>
        </w:rPr>
      </w:pPr>
      <w:r>
        <w:rPr>
          <w:rFonts w:ascii="Arial" w:cs="Arial" w:eastAsia="Arial" w:hAnsi="Arial"/>
          <w:sz w:val="19"/>
          <w:szCs w:val="19"/>
          <w:color w:val="auto"/>
        </w:rPr>
        <w:t xml:space="preserve">Section 4.8. </w:t>
      </w:r>
      <w:r>
        <w:rPr>
          <w:rFonts w:ascii="Arial" w:cs="Arial" w:eastAsia="Arial" w:hAnsi="Arial"/>
          <w:sz w:val="19"/>
          <w:szCs w:val="19"/>
          <w:i w:val="1"/>
          <w:iCs w:val="1"/>
          <w:color w:val="auto"/>
        </w:rPr>
        <w:t>Restrictions on Transfers.</w:t>
      </w:r>
      <w:r>
        <w:rPr>
          <w:rFonts w:ascii="Arial" w:cs="Arial" w:eastAsia="Arial" w:hAnsi="Arial"/>
          <w:sz w:val="19"/>
          <w:szCs w:val="19"/>
          <w:color w:val="auto"/>
        </w:rPr>
        <w:t xml:space="preserve"> (a) Except as provided in </w:t>
      </w:r>
      <w:r>
        <w:rPr>
          <w:rFonts w:ascii="Arial" w:cs="Arial" w:eastAsia="Arial" w:hAnsi="Arial"/>
          <w:sz w:val="19"/>
          <w:szCs w:val="19"/>
          <w:u w:val="single" w:color="auto"/>
          <w:color w:val="auto"/>
        </w:rPr>
        <w:t>Section 4.8(b)</w:t>
      </w:r>
      <w:r>
        <w:rPr>
          <w:rFonts w:ascii="Arial" w:cs="Arial" w:eastAsia="Arial" w:hAnsi="Arial"/>
          <w:sz w:val="19"/>
          <w:szCs w:val="19"/>
          <w:color w:val="auto"/>
        </w:rPr>
        <w:t xml:space="preserve"> below, but notwithstanding the other provisions of this </w:t>
      </w:r>
      <w:r>
        <w:rPr>
          <w:rFonts w:ascii="Arial" w:cs="Arial" w:eastAsia="Arial" w:hAnsi="Arial"/>
          <w:sz w:val="19"/>
          <w:szCs w:val="19"/>
          <w:u w:val="single" w:color="auto"/>
          <w:color w:val="auto"/>
        </w:rPr>
        <w:t>Article IV</w:t>
      </w:r>
      <w:r>
        <w:rPr>
          <w:rFonts w:ascii="Arial" w:cs="Arial" w:eastAsia="Arial" w:hAnsi="Arial"/>
          <w:sz w:val="19"/>
          <w:szCs w:val="19"/>
          <w:color w:val="auto"/>
        </w:rPr>
        <w:t>, no transfer of any Partnership Interests shall be made if such transfer would (i) violate the then applicable U.S. federal or state securities laws, laws of the Republic of the Marshall Islands or rules and regulations of the Commission, any state securities commission or any other governmental authority with jurisdiction over such transfer or (ii) terminate the existence or qualification of the Partnership or any Group Member under the laws of the jurisdiction of its formation.</w:t>
      </w:r>
    </w:p>
    <w:p>
      <w:pPr>
        <w:spacing w:after="0" w:line="175" w:lineRule="exact"/>
        <w:rPr>
          <w:sz w:val="20"/>
          <w:szCs w:val="20"/>
          <w:color w:val="auto"/>
        </w:rPr>
      </w:pPr>
    </w:p>
    <w:p>
      <w:pPr>
        <w:ind w:right="220" w:firstLine="1305"/>
        <w:spacing w:after="0"/>
        <w:tabs>
          <w:tab w:leader="none" w:pos="1819" w:val="left"/>
        </w:tabs>
        <w:numPr>
          <w:ilvl w:val="0"/>
          <w:numId w:val="21"/>
        </w:numPr>
        <w:rPr>
          <w:rFonts w:ascii="Arial" w:cs="Arial" w:eastAsia="Arial" w:hAnsi="Arial"/>
          <w:sz w:val="22"/>
          <w:szCs w:val="22"/>
          <w:color w:val="auto"/>
        </w:rPr>
      </w:pPr>
      <w:r>
        <w:rPr>
          <w:rFonts w:ascii="Arial" w:cs="Arial" w:eastAsia="Arial" w:hAnsi="Arial"/>
          <w:sz w:val="22"/>
          <w:szCs w:val="22"/>
          <w:color w:val="auto"/>
        </w:rPr>
        <w:t xml:space="preserve">Nothing contained in this </w:t>
      </w:r>
      <w:r>
        <w:rPr>
          <w:rFonts w:ascii="Arial" w:cs="Arial" w:eastAsia="Arial" w:hAnsi="Arial"/>
          <w:sz w:val="22"/>
          <w:szCs w:val="22"/>
          <w:u w:val="single" w:color="auto"/>
          <w:color w:val="auto"/>
        </w:rPr>
        <w:t>Article IV</w:t>
      </w:r>
      <w:r>
        <w:rPr>
          <w:rFonts w:ascii="Arial" w:cs="Arial" w:eastAsia="Arial" w:hAnsi="Arial"/>
          <w:sz w:val="22"/>
          <w:szCs w:val="22"/>
          <w:color w:val="auto"/>
        </w:rPr>
        <w:t>, or elsewhere in this Agreement, shall preclude the settlement of any transactions involving Partnership Interests entered into through the facilities of any National Securities Exchange on which such Partnership Interests are listed or admitted to trading.</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V</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CAPITAL CONTRIBUTIONS AND ISSUANCE OF PARTNERSHIP INTERESTS</w:t>
      </w:r>
    </w:p>
    <w:p>
      <w:pPr>
        <w:spacing w:after="0" w:line="215" w:lineRule="exact"/>
        <w:rPr>
          <w:sz w:val="20"/>
          <w:szCs w:val="20"/>
          <w:color w:val="auto"/>
        </w:rPr>
      </w:pPr>
    </w:p>
    <w:p>
      <w:pPr>
        <w:jc w:val="both"/>
        <w:ind w:right="80" w:firstLine="1297"/>
        <w:spacing w:after="0" w:line="282" w:lineRule="auto"/>
        <w:rPr>
          <w:sz w:val="20"/>
          <w:szCs w:val="20"/>
          <w:color w:val="auto"/>
        </w:rPr>
      </w:pPr>
      <w:r>
        <w:rPr>
          <w:rFonts w:ascii="Arial" w:cs="Arial" w:eastAsia="Arial" w:hAnsi="Arial"/>
          <w:sz w:val="19"/>
          <w:szCs w:val="19"/>
          <w:color w:val="auto"/>
        </w:rPr>
        <w:t xml:space="preserve">Section 5.1. </w:t>
      </w:r>
      <w:r>
        <w:rPr>
          <w:rFonts w:ascii="Arial" w:cs="Arial" w:eastAsia="Arial" w:hAnsi="Arial"/>
          <w:sz w:val="19"/>
          <w:szCs w:val="19"/>
          <w:i w:val="1"/>
          <w:iCs w:val="1"/>
          <w:color w:val="auto"/>
        </w:rPr>
        <w:t>Contributions Prior to the Closing Date.</w:t>
      </w:r>
      <w:r>
        <w:rPr>
          <w:rFonts w:ascii="Arial" w:cs="Arial" w:eastAsia="Arial" w:hAnsi="Arial"/>
          <w:sz w:val="19"/>
          <w:szCs w:val="19"/>
          <w:color w:val="auto"/>
        </w:rPr>
        <w:t xml:space="preserve"> In connection with the formation of the Partnership under the Marshall Islands Act, the General Partner made an initial Capital Contribution in the amount of $20, for a 2% General Partner Interest in the Partnership (the “</w:t>
      </w:r>
      <w:r>
        <w:rPr>
          <w:rFonts w:ascii="Arial" w:cs="Arial" w:eastAsia="Arial" w:hAnsi="Arial"/>
          <w:sz w:val="19"/>
          <w:szCs w:val="19"/>
          <w:b w:val="1"/>
          <w:bCs w:val="1"/>
          <w:i w:val="1"/>
          <w:iCs w:val="1"/>
          <w:color w:val="auto"/>
        </w:rPr>
        <w:t>Initial General Partner Interest</w:t>
      </w:r>
      <w:r>
        <w:rPr>
          <w:rFonts w:ascii="Arial" w:cs="Arial" w:eastAsia="Arial" w:hAnsi="Arial"/>
          <w:sz w:val="19"/>
          <w:szCs w:val="19"/>
          <w:color w:val="auto"/>
        </w:rPr>
        <w:t>”) and was admitted as the General Partner of the Partnership, and the Organizational Limited Partner made an initial Capital Contribution in the amount of $980 for a 98% limited partner interest in the Partnership (the “</w:t>
      </w:r>
      <w:r>
        <w:rPr>
          <w:rFonts w:ascii="Arial" w:cs="Arial" w:eastAsia="Arial" w:hAnsi="Arial"/>
          <w:sz w:val="19"/>
          <w:szCs w:val="19"/>
          <w:b w:val="1"/>
          <w:bCs w:val="1"/>
          <w:i w:val="1"/>
          <w:iCs w:val="1"/>
          <w:color w:val="auto"/>
        </w:rPr>
        <w:t>Initial Limited Partner Interest</w:t>
      </w:r>
      <w:r>
        <w:rPr>
          <w:rFonts w:ascii="Arial" w:cs="Arial" w:eastAsia="Arial" w:hAnsi="Arial"/>
          <w:sz w:val="19"/>
          <w:szCs w:val="19"/>
          <w:color w:val="auto"/>
        </w:rPr>
        <w:t>”) and was admitted as a Limited Partner of the Partnership.</w:t>
      </w:r>
    </w:p>
    <w:p>
      <w:pPr>
        <w:spacing w:after="0" w:line="175" w:lineRule="exact"/>
        <w:rPr>
          <w:sz w:val="20"/>
          <w:szCs w:val="20"/>
          <w:color w:val="auto"/>
        </w:rPr>
      </w:pPr>
    </w:p>
    <w:p>
      <w:pPr>
        <w:ind w:right="200" w:firstLine="1297"/>
        <w:spacing w:after="0" w:line="297" w:lineRule="auto"/>
        <w:rPr>
          <w:sz w:val="20"/>
          <w:szCs w:val="20"/>
          <w:color w:val="auto"/>
        </w:rPr>
      </w:pPr>
      <w:r>
        <w:rPr>
          <w:rFonts w:ascii="Arial" w:cs="Arial" w:eastAsia="Arial" w:hAnsi="Arial"/>
          <w:sz w:val="19"/>
          <w:szCs w:val="19"/>
          <w:color w:val="auto"/>
        </w:rPr>
        <w:t xml:space="preserve">Section 5.2. </w:t>
      </w:r>
      <w:r>
        <w:rPr>
          <w:rFonts w:ascii="Arial" w:cs="Arial" w:eastAsia="Arial" w:hAnsi="Arial"/>
          <w:sz w:val="19"/>
          <w:szCs w:val="19"/>
          <w:i w:val="1"/>
          <w:iCs w:val="1"/>
          <w:color w:val="auto"/>
        </w:rPr>
        <w:t>Initial Unit Issuances; Tax Election; Initial Contributors and Redemption of Common Units.</w:t>
      </w:r>
      <w:r>
        <w:rPr>
          <w:rFonts w:ascii="Arial" w:cs="Arial" w:eastAsia="Arial" w:hAnsi="Arial"/>
          <w:sz w:val="19"/>
          <w:szCs w:val="19"/>
          <w:color w:val="auto"/>
        </w:rPr>
        <w:t xml:space="preserve"> (a) On the Closing Date, automatically pursuant to this Agreement and the Contribution Agreement (i) GasLog shall make a Capital Contribution of the Vessel Interests to the Partnership in exchange for (A) 162,358 Common Units, representing a</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402" w:right="259" w:bottom="1440" w:gutter="0" w:footer="0" w:header="0"/>
        </w:sectPr>
      </w:pPr>
    </w:p>
    <w:bookmarkStart w:id="39" w:name="page40"/>
    <w:bookmarkEnd w:id="39"/>
    <w:p>
      <w:pPr>
        <w:spacing w:after="0" w:line="287" w:lineRule="auto"/>
        <w:rPr>
          <w:sz w:val="20"/>
          <w:szCs w:val="20"/>
          <w:color w:val="auto"/>
        </w:rPr>
      </w:pPr>
      <w:r>
        <w:rPr>
          <w:rFonts w:ascii="Arial" w:cs="Arial" w:eastAsia="Arial" w:hAnsi="Arial"/>
          <w:sz w:val="19"/>
          <w:szCs w:val="19"/>
          <w:color w:val="auto"/>
        </w:rPr>
        <w:t>0.81% limited partner interest in the Partnership, (B) 9,822,358 Subordinated Units, representing a 49.0% limited partner interest in the Partnership, (C) all of the Incentive Distribution Rights, (D) a payment of $68.8 million and (E) the right to receive the Deferred Issuance and Distribution, (ii) the Initial Limited Partner Interest shall be redeemed and (iii) the Initial General Partner Interest shall be converted into 400,913 General Partner Units (representing a 2.0% interest in the Partnership).</w:t>
      </w:r>
    </w:p>
    <w:p>
      <w:pPr>
        <w:spacing w:after="0" w:line="170" w:lineRule="exact"/>
        <w:rPr>
          <w:sz w:val="20"/>
          <w:szCs w:val="20"/>
          <w:color w:val="auto"/>
        </w:rPr>
      </w:pPr>
    </w:p>
    <w:p>
      <w:pPr>
        <w:ind w:right="200" w:firstLine="1305"/>
        <w:spacing w:after="0"/>
        <w:tabs>
          <w:tab w:leader="none" w:pos="1819" w:val="left"/>
        </w:tabs>
        <w:numPr>
          <w:ilvl w:val="0"/>
          <w:numId w:val="22"/>
        </w:numPr>
        <w:rPr>
          <w:rFonts w:ascii="Arial" w:cs="Arial" w:eastAsia="Arial" w:hAnsi="Arial"/>
          <w:sz w:val="22"/>
          <w:szCs w:val="22"/>
          <w:color w:val="auto"/>
        </w:rPr>
      </w:pPr>
      <w:r>
        <w:rPr>
          <w:rFonts w:ascii="Arial" w:cs="Arial" w:eastAsia="Arial" w:hAnsi="Arial"/>
          <w:sz w:val="22"/>
          <w:szCs w:val="22"/>
          <w:color w:val="auto"/>
        </w:rPr>
        <w:t>On the Closing Date and pursuant to the Underwriting Agreement, each Underwriter shall contribute cash to the Partnership in exchange for the issuance by the Partnership of Common Units to each Underwriter, all as set forth in the Underwriting Agreement.</w:t>
      </w:r>
    </w:p>
    <w:p>
      <w:pPr>
        <w:spacing w:after="0" w:line="213" w:lineRule="exact"/>
        <w:rPr>
          <w:rFonts w:ascii="Arial" w:cs="Arial" w:eastAsia="Arial" w:hAnsi="Arial"/>
          <w:sz w:val="22"/>
          <w:szCs w:val="22"/>
          <w:color w:val="auto"/>
        </w:rPr>
      </w:pPr>
    </w:p>
    <w:p>
      <w:pPr>
        <w:ind w:right="760" w:firstLine="1305"/>
        <w:spacing w:after="0"/>
        <w:tabs>
          <w:tab w:leader="none" w:pos="1807" w:val="left"/>
        </w:tabs>
        <w:numPr>
          <w:ilvl w:val="0"/>
          <w:numId w:val="22"/>
        </w:numPr>
        <w:rPr>
          <w:rFonts w:ascii="Arial" w:cs="Arial" w:eastAsia="Arial" w:hAnsi="Arial"/>
          <w:sz w:val="22"/>
          <w:szCs w:val="22"/>
          <w:color w:val="auto"/>
        </w:rPr>
      </w:pPr>
      <w:r>
        <w:rPr>
          <w:rFonts w:ascii="Arial" w:cs="Arial" w:eastAsia="Arial" w:hAnsi="Arial"/>
          <w:sz w:val="22"/>
          <w:szCs w:val="22"/>
          <w:color w:val="auto"/>
        </w:rPr>
        <w:t>Upon the exercise, if any, of the Over-Allotment Option, each Underwriter shall contribute cash to the Partnership in exchange for the issuance by the Partnership of Common Units to each Underwriter, all as set forth in the Underwriting Agreement.</w:t>
      </w:r>
    </w:p>
    <w:p>
      <w:pPr>
        <w:spacing w:after="0" w:line="213" w:lineRule="exact"/>
        <w:rPr>
          <w:rFonts w:ascii="Arial" w:cs="Arial" w:eastAsia="Arial" w:hAnsi="Arial"/>
          <w:sz w:val="22"/>
          <w:szCs w:val="22"/>
          <w:color w:val="auto"/>
        </w:rPr>
      </w:pPr>
    </w:p>
    <w:p>
      <w:pPr>
        <w:ind w:right="140" w:firstLine="1305"/>
        <w:spacing w:after="0" w:line="251" w:lineRule="auto"/>
        <w:tabs>
          <w:tab w:leader="none" w:pos="1819" w:val="left"/>
        </w:tabs>
        <w:numPr>
          <w:ilvl w:val="0"/>
          <w:numId w:val="22"/>
        </w:numPr>
        <w:rPr>
          <w:rFonts w:ascii="Arial" w:cs="Arial" w:eastAsia="Arial" w:hAnsi="Arial"/>
          <w:sz w:val="22"/>
          <w:szCs w:val="22"/>
          <w:color w:val="auto"/>
        </w:rPr>
      </w:pPr>
      <w:r>
        <w:rPr>
          <w:rFonts w:ascii="Arial" w:cs="Arial" w:eastAsia="Arial" w:hAnsi="Arial"/>
          <w:sz w:val="22"/>
          <w:szCs w:val="22"/>
          <w:color w:val="auto"/>
        </w:rPr>
        <w:t>Effective on or before the Closing Date, the Partnership shall elect to be treated as an association taxable as a corporation for U.S. federal income tax purposes.</w:t>
      </w:r>
    </w:p>
    <w:p>
      <w:pPr>
        <w:spacing w:after="0" w:line="200" w:lineRule="exact"/>
        <w:rPr>
          <w:rFonts w:ascii="Arial" w:cs="Arial" w:eastAsia="Arial" w:hAnsi="Arial"/>
          <w:sz w:val="22"/>
          <w:szCs w:val="22"/>
          <w:color w:val="auto"/>
        </w:rPr>
      </w:pPr>
    </w:p>
    <w:p>
      <w:pPr>
        <w:jc w:val="both"/>
        <w:ind w:right="120" w:firstLine="1305"/>
        <w:spacing w:after="0" w:line="238" w:lineRule="auto"/>
        <w:tabs>
          <w:tab w:leader="none" w:pos="1807" w:val="left"/>
        </w:tabs>
        <w:numPr>
          <w:ilvl w:val="0"/>
          <w:numId w:val="22"/>
        </w:numPr>
        <w:rPr>
          <w:rFonts w:ascii="Arial" w:cs="Arial" w:eastAsia="Arial" w:hAnsi="Arial"/>
          <w:sz w:val="22"/>
          <w:szCs w:val="22"/>
          <w:color w:val="auto"/>
        </w:rPr>
      </w:pPr>
      <w:r>
        <w:rPr>
          <w:rFonts w:ascii="Arial" w:cs="Arial" w:eastAsia="Arial" w:hAnsi="Arial"/>
          <w:sz w:val="22"/>
          <w:szCs w:val="22"/>
          <w:color w:val="auto"/>
        </w:rPr>
        <w:t xml:space="preserve">No Limited Partner Interests will be issued or issuable as of or at the Closing Date other than (i) the Common Units and Subordinated Units issuable pursuant to </w:t>
      </w:r>
      <w:r>
        <w:rPr>
          <w:rFonts w:ascii="Arial" w:cs="Arial" w:eastAsia="Arial" w:hAnsi="Arial"/>
          <w:sz w:val="22"/>
          <w:szCs w:val="22"/>
          <w:u w:val="single" w:color="auto"/>
          <w:color w:val="auto"/>
        </w:rPr>
        <w:t>Section 5.2(a)</w:t>
      </w:r>
      <w:r>
        <w:rPr>
          <w:rFonts w:ascii="Arial" w:cs="Arial" w:eastAsia="Arial" w:hAnsi="Arial"/>
          <w:sz w:val="22"/>
          <w:szCs w:val="22"/>
          <w:color w:val="auto"/>
        </w:rPr>
        <w:t>, (ii) any Common Units issued pursuant to the Deferred Issuance and Distribution, (iii) the Common Units issued to the Underwriters as described in subparagraphs (b) and (c) hereof and (iv) the Incentive Distribution Rights.</w:t>
      </w:r>
    </w:p>
    <w:p>
      <w:pPr>
        <w:spacing w:after="0" w:line="212" w:lineRule="exact"/>
        <w:rPr>
          <w:sz w:val="20"/>
          <w:szCs w:val="20"/>
          <w:color w:val="auto"/>
        </w:rPr>
      </w:pPr>
    </w:p>
    <w:p>
      <w:pPr>
        <w:ind w:right="40" w:firstLine="1297"/>
        <w:spacing w:after="0" w:line="282" w:lineRule="auto"/>
        <w:rPr>
          <w:sz w:val="20"/>
          <w:szCs w:val="20"/>
          <w:color w:val="auto"/>
        </w:rPr>
      </w:pPr>
      <w:r>
        <w:rPr>
          <w:rFonts w:ascii="Arial" w:cs="Arial" w:eastAsia="Arial" w:hAnsi="Arial"/>
          <w:sz w:val="19"/>
          <w:szCs w:val="19"/>
          <w:color w:val="auto"/>
        </w:rPr>
        <w:t xml:space="preserve">Section 5.3. </w:t>
      </w:r>
      <w:r>
        <w:rPr>
          <w:rFonts w:ascii="Arial" w:cs="Arial" w:eastAsia="Arial" w:hAnsi="Arial"/>
          <w:sz w:val="19"/>
          <w:szCs w:val="19"/>
          <w:i w:val="1"/>
          <w:iCs w:val="1"/>
          <w:color w:val="auto"/>
        </w:rPr>
        <w:t>Interest and Withdrawal</w:t>
      </w:r>
      <w:r>
        <w:rPr>
          <w:rFonts w:ascii="Arial" w:cs="Arial" w:eastAsia="Arial" w:hAnsi="Arial"/>
          <w:sz w:val="19"/>
          <w:szCs w:val="19"/>
          <w:color w:val="auto"/>
        </w:rPr>
        <w:t>. No interest shall be paid by the Partnership on Capital Contributions. No Partner shall be entitled to the withdrawal or return of its Capital Contribution, except to the extent, if any, that distributions made pursuant to this Agreement or upon dissolution of the Partnership may be considered and permitted as such by law and then only to the extent provided for in this Agreement. Except to the extent expressly provided in this Agreement, no Partner shall have priority over any other Partner either as to the return of Capital Contributions or as to profits, losses or distributions.</w:t>
      </w:r>
    </w:p>
    <w:p>
      <w:pPr>
        <w:spacing w:after="0" w:line="175" w:lineRule="exact"/>
        <w:rPr>
          <w:sz w:val="20"/>
          <w:szCs w:val="20"/>
          <w:color w:val="auto"/>
        </w:rPr>
      </w:pPr>
    </w:p>
    <w:p>
      <w:pPr>
        <w:ind w:right="40" w:firstLine="1297"/>
        <w:spacing w:after="0" w:line="236" w:lineRule="auto"/>
        <w:rPr>
          <w:sz w:val="20"/>
          <w:szCs w:val="20"/>
          <w:color w:val="auto"/>
        </w:rPr>
      </w:pPr>
      <w:r>
        <w:rPr>
          <w:rFonts w:ascii="Arial" w:cs="Arial" w:eastAsia="Arial" w:hAnsi="Arial"/>
          <w:sz w:val="22"/>
          <w:szCs w:val="22"/>
          <w:color w:val="auto"/>
        </w:rPr>
        <w:t xml:space="preserve">Section 5.4. </w:t>
      </w:r>
      <w:r>
        <w:rPr>
          <w:rFonts w:ascii="Arial" w:cs="Arial" w:eastAsia="Arial" w:hAnsi="Arial"/>
          <w:sz w:val="22"/>
          <w:szCs w:val="22"/>
          <w:i w:val="1"/>
          <w:iCs w:val="1"/>
          <w:color w:val="auto"/>
        </w:rPr>
        <w:t>Issuances of Additional Partnership Interests.</w:t>
      </w:r>
      <w:r>
        <w:rPr>
          <w:rFonts w:ascii="Arial" w:cs="Arial" w:eastAsia="Arial" w:hAnsi="Arial"/>
          <w:sz w:val="22"/>
          <w:szCs w:val="22"/>
          <w:color w:val="auto"/>
        </w:rPr>
        <w:t xml:space="preserve"> (a) Subject to any approvals required by Series A Holders pursuant to </w:t>
      </w:r>
      <w:r>
        <w:rPr>
          <w:rFonts w:ascii="Arial" w:cs="Arial" w:eastAsia="Arial" w:hAnsi="Arial"/>
          <w:sz w:val="22"/>
          <w:szCs w:val="22"/>
          <w:u w:val="single" w:color="auto"/>
          <w:color w:val="auto"/>
        </w:rPr>
        <w:t>Section 16.5(c)(ii)</w:t>
      </w:r>
      <w:r>
        <w:rPr>
          <w:rFonts w:ascii="Arial" w:cs="Arial" w:eastAsia="Arial" w:hAnsi="Arial"/>
          <w:sz w:val="22"/>
          <w:szCs w:val="22"/>
          <w:color w:val="auto"/>
        </w:rPr>
        <w:t>, the Partnership may issue additional Partnership Interests and options, rights, warrants and appreciation rights relating to the Partnership Interests for any Partnership purpose at any time and from time to time to such Persons for such consideration and on such terms and conditions as the Board of Directors shall determine, all without the approval of any Partners.</w:t>
      </w:r>
    </w:p>
    <w:p>
      <w:pPr>
        <w:spacing w:after="0" w:line="215" w:lineRule="exact"/>
        <w:rPr>
          <w:sz w:val="20"/>
          <w:szCs w:val="20"/>
          <w:color w:val="auto"/>
        </w:rPr>
      </w:pPr>
    </w:p>
    <w:p>
      <w:pPr>
        <w:ind w:right="100" w:firstLine="1305"/>
        <w:spacing w:after="0" w:line="249" w:lineRule="auto"/>
        <w:tabs>
          <w:tab w:leader="none" w:pos="1819" w:val="left"/>
        </w:tabs>
        <w:numPr>
          <w:ilvl w:val="0"/>
          <w:numId w:val="23"/>
        </w:numPr>
        <w:rPr>
          <w:rFonts w:ascii="Arial" w:cs="Arial" w:eastAsia="Arial" w:hAnsi="Arial"/>
          <w:sz w:val="21"/>
          <w:szCs w:val="21"/>
          <w:color w:val="auto"/>
        </w:rPr>
      </w:pPr>
      <w:r>
        <w:rPr>
          <w:rFonts w:ascii="Arial" w:cs="Arial" w:eastAsia="Arial" w:hAnsi="Arial"/>
          <w:sz w:val="21"/>
          <w:szCs w:val="21"/>
          <w:color w:val="auto"/>
        </w:rPr>
        <w:t xml:space="preserve">Each additional Partnership Interest authorized to be issued by the Partnership pursuant to </w:t>
      </w:r>
      <w:r>
        <w:rPr>
          <w:rFonts w:ascii="Arial" w:cs="Arial" w:eastAsia="Arial" w:hAnsi="Arial"/>
          <w:sz w:val="21"/>
          <w:szCs w:val="21"/>
          <w:u w:val="single" w:color="auto"/>
          <w:color w:val="auto"/>
        </w:rPr>
        <w:t>Section 5.4(a)</w:t>
      </w:r>
      <w:r>
        <w:rPr>
          <w:rFonts w:ascii="Arial" w:cs="Arial" w:eastAsia="Arial" w:hAnsi="Arial"/>
          <w:sz w:val="21"/>
          <w:szCs w:val="21"/>
          <w:color w:val="auto"/>
        </w:rPr>
        <w:t xml:space="preserve"> may be issued in one or more classes, or one or more series of any such classes, with such designations, preferences, rights, powers and duties (which may be senior to existing classes and series of Partnership Interests), as shall be fixed by the Board of Directors, including (i) the right to share in Partnership distributions; (ii) the rights upon dissolution and liquidation of the Partnership; (iii) whether, and the terms and conditions</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402" w:right="259" w:bottom="1440" w:gutter="0" w:footer="0" w:header="0"/>
        </w:sectPr>
      </w:pPr>
    </w:p>
    <w:bookmarkStart w:id="40" w:name="page41"/>
    <w:bookmarkEnd w:id="40"/>
    <w:p>
      <w:pPr>
        <w:ind w:right="40"/>
        <w:spacing w:after="0" w:line="248" w:lineRule="auto"/>
        <w:rPr>
          <w:sz w:val="20"/>
          <w:szCs w:val="20"/>
          <w:color w:val="auto"/>
        </w:rPr>
      </w:pPr>
      <w:r>
        <w:rPr>
          <w:rFonts w:ascii="Arial" w:cs="Arial" w:eastAsia="Arial" w:hAnsi="Arial"/>
          <w:sz w:val="21"/>
          <w:szCs w:val="21"/>
          <w:color w:val="auto"/>
        </w:rPr>
        <w:t>upon which, the Partnership may or shall be required to redeem the Partnership Interest (including sinking fund provisions); (iv) whether such Partnership Interest is issued with the privilege of conversion or exchange and, if so, the terms and conditions of such conversion or exchange; (v) the terms and conditions upon which each Partnership Interest will be issued, evidenced by certificates and assigned or transferred; (vi) the method for determining the Percentage Interest as to such Partnership Interest; and (vii) the right, if any, of each such Partnership Interest to vote on Partnership matters, including matters relating to the relative rights, preferences and privileges of such Partnership Interest.</w:t>
      </w:r>
    </w:p>
    <w:p>
      <w:pPr>
        <w:spacing w:after="0" w:line="204" w:lineRule="exact"/>
        <w:rPr>
          <w:sz w:val="20"/>
          <w:szCs w:val="20"/>
          <w:color w:val="auto"/>
        </w:rPr>
      </w:pPr>
    </w:p>
    <w:p>
      <w:pPr>
        <w:ind w:right="140" w:firstLine="1305"/>
        <w:spacing w:after="0" w:line="272" w:lineRule="auto"/>
        <w:tabs>
          <w:tab w:leader="none" w:pos="1803" w:val="left"/>
        </w:tabs>
        <w:numPr>
          <w:ilvl w:val="0"/>
          <w:numId w:val="24"/>
        </w:numPr>
        <w:rPr>
          <w:rFonts w:ascii="Arial" w:cs="Arial" w:eastAsia="Arial" w:hAnsi="Arial"/>
          <w:sz w:val="19"/>
          <w:szCs w:val="19"/>
          <w:color w:val="auto"/>
        </w:rPr>
      </w:pPr>
      <w:r>
        <w:rPr>
          <w:rFonts w:ascii="Arial" w:cs="Arial" w:eastAsia="Arial" w:hAnsi="Arial"/>
          <w:sz w:val="19"/>
          <w:szCs w:val="19"/>
          <w:color w:val="auto"/>
        </w:rPr>
        <w:t xml:space="preserve">The Board of Directors shall take all actions that it determines to be necessary or appropriate in connection with (i) each issuance of Partnership Interests and options, rights, warrants and appreciation rights relating to Partnership Interests pursuant to this </w:t>
      </w:r>
      <w:r>
        <w:rPr>
          <w:rFonts w:ascii="Arial" w:cs="Arial" w:eastAsia="Arial" w:hAnsi="Arial"/>
          <w:sz w:val="19"/>
          <w:szCs w:val="19"/>
          <w:u w:val="single" w:color="auto"/>
          <w:color w:val="auto"/>
        </w:rPr>
        <w:t>Section 5.4</w:t>
      </w:r>
      <w:r>
        <w:rPr>
          <w:rFonts w:ascii="Arial" w:cs="Arial" w:eastAsia="Arial" w:hAnsi="Arial"/>
          <w:sz w:val="19"/>
          <w:szCs w:val="19"/>
          <w:color w:val="auto"/>
        </w:rPr>
        <w:t xml:space="preserve">, including Common Units issued in connection with the Deferred Issuance and Distribution, (ii) the conversion of the General Partner Interest (represented by General Partner Units) or any Incentive Distribution Rights into Units pursuant to the terms of this Agreement, (iii) the issuance of Common Units pursuant to </w:t>
      </w:r>
      <w:r>
        <w:rPr>
          <w:rFonts w:ascii="Arial" w:cs="Arial" w:eastAsia="Arial" w:hAnsi="Arial"/>
          <w:sz w:val="19"/>
          <w:szCs w:val="19"/>
          <w:u w:val="single" w:color="auto"/>
          <w:color w:val="auto"/>
        </w:rPr>
        <w:t>Section 5.10,</w:t>
      </w:r>
      <w:r>
        <w:rPr>
          <w:rFonts w:ascii="Arial" w:cs="Arial" w:eastAsia="Arial" w:hAnsi="Arial"/>
          <w:sz w:val="19"/>
          <w:szCs w:val="19"/>
          <w:color w:val="auto"/>
        </w:rPr>
        <w:t xml:space="preserve"> (iv) the admission of additional Limited Partners and (v) all additional issuances of Partnership Interests. The Board of Directors shall determine the relative rights, powers and duties of the holders of the Units or other Partnership Interests being so issued. The Board of Directors shall do all things necessary to comply with the Marshall Islands Act and is authorized and directed to do all things that it determines to be necessary or appropriate in connection with any future issuance of Partnership Interests or in connection with the conversion of the General Partner Interest or any Incentive Distribution Rights into Units pursuant to the terms of this Agreement, including compliance with any statute, rule, regulation or guideline of any federal, state or other governmental agency or any National Securities Exchange on which the Units or other Partnership Interests are listed or admitted to trading.</w:t>
      </w:r>
    </w:p>
    <w:p>
      <w:pPr>
        <w:spacing w:after="0" w:line="189" w:lineRule="exact"/>
        <w:rPr>
          <w:sz w:val="20"/>
          <w:szCs w:val="20"/>
          <w:color w:val="auto"/>
        </w:rPr>
      </w:pPr>
    </w:p>
    <w:p>
      <w:pPr>
        <w:ind w:firstLine="1297"/>
        <w:spacing w:after="0" w:line="277" w:lineRule="auto"/>
        <w:rPr>
          <w:sz w:val="20"/>
          <w:szCs w:val="20"/>
          <w:color w:val="auto"/>
        </w:rPr>
      </w:pPr>
      <w:r>
        <w:rPr>
          <w:rFonts w:ascii="Arial" w:cs="Arial" w:eastAsia="Arial" w:hAnsi="Arial"/>
          <w:sz w:val="19"/>
          <w:szCs w:val="19"/>
          <w:color w:val="auto"/>
        </w:rPr>
        <w:t xml:space="preserve">Section 5.5. </w:t>
      </w:r>
      <w:r>
        <w:rPr>
          <w:rFonts w:ascii="Arial" w:cs="Arial" w:eastAsia="Arial" w:hAnsi="Arial"/>
          <w:sz w:val="19"/>
          <w:szCs w:val="19"/>
          <w:i w:val="1"/>
          <w:iCs w:val="1"/>
          <w:color w:val="auto"/>
        </w:rPr>
        <w:t>Limitations on Issuance of Additional Partnership Interests</w:t>
      </w:r>
      <w:r>
        <w:rPr>
          <w:rFonts w:ascii="Arial" w:cs="Arial" w:eastAsia="Arial" w:hAnsi="Arial"/>
          <w:sz w:val="19"/>
          <w:szCs w:val="19"/>
          <w:color w:val="auto"/>
        </w:rPr>
        <w:t xml:space="preserve">. The Partnership may issue an unlimited number of Partnership Interests (or options, rights, warrants or appreciation rights related thereto) pursuant to </w:t>
      </w:r>
      <w:r>
        <w:rPr>
          <w:rFonts w:ascii="Arial" w:cs="Arial" w:eastAsia="Arial" w:hAnsi="Arial"/>
          <w:sz w:val="19"/>
          <w:szCs w:val="19"/>
          <w:u w:val="single" w:color="auto"/>
          <w:color w:val="auto"/>
        </w:rPr>
        <w:t>Section 5.4</w:t>
      </w:r>
      <w:r>
        <w:rPr>
          <w:rFonts w:ascii="Arial" w:cs="Arial" w:eastAsia="Arial" w:hAnsi="Arial"/>
          <w:sz w:val="19"/>
          <w:szCs w:val="19"/>
          <w:color w:val="auto"/>
        </w:rPr>
        <w:t xml:space="preserve"> without the approval of the Partners;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no fractional units shall be issued by the Partnership; and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that without the approval of the General Partner, the Partnership shall not issue any equity where such issuance (as determined by the Board of Directors) (a) is not reasonably expected to be accretive to equity within 12 months of issuance or (b) would otherwise have a material adverse impact on the General Partner, the General Partner Interest or the ability of the Partnership to satisfy the tests set forth in the definition of Subordination Period.</w:t>
      </w:r>
    </w:p>
    <w:p>
      <w:pPr>
        <w:spacing w:after="0" w:line="180" w:lineRule="exact"/>
        <w:rPr>
          <w:sz w:val="20"/>
          <w:szCs w:val="20"/>
          <w:color w:val="auto"/>
        </w:rPr>
      </w:pPr>
    </w:p>
    <w:p>
      <w:pPr>
        <w:ind w:right="240" w:firstLine="1297"/>
        <w:spacing w:after="0" w:line="251" w:lineRule="auto"/>
        <w:rPr>
          <w:sz w:val="20"/>
          <w:szCs w:val="20"/>
          <w:color w:val="auto"/>
        </w:rPr>
      </w:pPr>
      <w:r>
        <w:rPr>
          <w:rFonts w:ascii="Arial" w:cs="Arial" w:eastAsia="Arial" w:hAnsi="Arial"/>
          <w:sz w:val="22"/>
          <w:szCs w:val="22"/>
          <w:color w:val="auto"/>
        </w:rPr>
        <w:t xml:space="preserve">Section 5.6. </w:t>
      </w:r>
      <w:r>
        <w:rPr>
          <w:rFonts w:ascii="Arial" w:cs="Arial" w:eastAsia="Arial" w:hAnsi="Arial"/>
          <w:sz w:val="22"/>
          <w:szCs w:val="22"/>
          <w:i w:val="1"/>
          <w:iCs w:val="1"/>
          <w:color w:val="auto"/>
        </w:rPr>
        <w:t>Conversion of Subordinated Units to Common Units.</w:t>
      </w:r>
      <w:r>
        <w:rPr>
          <w:rFonts w:ascii="Arial" w:cs="Arial" w:eastAsia="Arial" w:hAnsi="Arial"/>
          <w:sz w:val="22"/>
          <w:szCs w:val="22"/>
          <w:color w:val="auto"/>
        </w:rPr>
        <w:t xml:space="preserve"> (a) The Subordinated Units shall convert into Common Units on a one-for-one basis upon the expiration of the Subordination Period.</w:t>
      </w:r>
    </w:p>
    <w:p>
      <w:pPr>
        <w:spacing w:after="0" w:line="200" w:lineRule="exact"/>
        <w:rPr>
          <w:sz w:val="20"/>
          <w:szCs w:val="20"/>
          <w:color w:val="auto"/>
        </w:rPr>
      </w:pPr>
    </w:p>
    <w:p>
      <w:pPr>
        <w:ind w:right="360" w:firstLine="1305"/>
        <w:spacing w:after="0" w:line="274" w:lineRule="auto"/>
        <w:tabs>
          <w:tab w:leader="none" w:pos="1819" w:val="left"/>
        </w:tabs>
        <w:numPr>
          <w:ilvl w:val="0"/>
          <w:numId w:val="25"/>
        </w:numPr>
        <w:rPr>
          <w:rFonts w:ascii="Arial" w:cs="Arial" w:eastAsia="Arial" w:hAnsi="Arial"/>
          <w:sz w:val="21"/>
          <w:szCs w:val="21"/>
          <w:color w:val="auto"/>
        </w:rPr>
      </w:pPr>
      <w:r>
        <w:rPr>
          <w:rFonts w:ascii="Arial" w:cs="Arial" w:eastAsia="Arial" w:hAnsi="Arial"/>
          <w:sz w:val="21"/>
          <w:szCs w:val="21"/>
          <w:color w:val="auto"/>
        </w:rPr>
        <w:t xml:space="preserve">Notwithstanding any other provision of this Agreement, the Subordinated Units will automatically convert into Common Units on a one-for-one basis as set forth in, and pursuant to the terms of, </w:t>
      </w:r>
      <w:r>
        <w:rPr>
          <w:rFonts w:ascii="Arial" w:cs="Arial" w:eastAsia="Arial" w:hAnsi="Arial"/>
          <w:sz w:val="21"/>
          <w:szCs w:val="21"/>
          <w:u w:val="single" w:color="auto"/>
          <w:color w:val="auto"/>
        </w:rPr>
        <w:t>Section 11.4</w:t>
      </w:r>
      <w:r>
        <w:rPr>
          <w:rFonts w:ascii="Arial" w:cs="Arial" w:eastAsia="Arial" w:hAnsi="Arial"/>
          <w:sz w:val="21"/>
          <w:szCs w:val="21"/>
          <w:color w:val="auto"/>
        </w:rPr>
        <w:t>.</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402" w:right="259" w:bottom="1440" w:gutter="0" w:footer="0" w:header="0"/>
        </w:sectPr>
      </w:pPr>
    </w:p>
    <w:bookmarkStart w:id="41" w:name="page42"/>
    <w:bookmarkEnd w:id="41"/>
    <w:p>
      <w:pPr>
        <w:ind w:right="80" w:firstLine="1297"/>
        <w:spacing w:after="0" w:line="245" w:lineRule="auto"/>
        <w:rPr>
          <w:sz w:val="20"/>
          <w:szCs w:val="20"/>
          <w:color w:val="auto"/>
        </w:rPr>
      </w:pPr>
      <w:r>
        <w:rPr>
          <w:rFonts w:ascii="Arial" w:cs="Arial" w:eastAsia="Arial" w:hAnsi="Arial"/>
          <w:sz w:val="21"/>
          <w:szCs w:val="21"/>
          <w:color w:val="auto"/>
        </w:rPr>
        <w:t xml:space="preserve">Section 5.7. </w:t>
      </w:r>
      <w:r>
        <w:rPr>
          <w:rFonts w:ascii="Arial" w:cs="Arial" w:eastAsia="Arial" w:hAnsi="Arial"/>
          <w:sz w:val="21"/>
          <w:szCs w:val="21"/>
          <w:i w:val="1"/>
          <w:iCs w:val="1"/>
          <w:color w:val="auto"/>
        </w:rPr>
        <w:t>Limited Preemptive Right.</w:t>
      </w:r>
      <w:r>
        <w:rPr>
          <w:rFonts w:ascii="Arial" w:cs="Arial" w:eastAsia="Arial" w:hAnsi="Arial"/>
          <w:sz w:val="21"/>
          <w:szCs w:val="21"/>
          <w:color w:val="auto"/>
        </w:rPr>
        <w:t xml:space="preserve"> (a) Except as provided in this </w:t>
      </w:r>
      <w:r>
        <w:rPr>
          <w:rFonts w:ascii="Arial" w:cs="Arial" w:eastAsia="Arial" w:hAnsi="Arial"/>
          <w:sz w:val="21"/>
          <w:szCs w:val="21"/>
          <w:u w:val="single" w:color="auto"/>
          <w:color w:val="auto"/>
        </w:rPr>
        <w:t>Section 5.7</w:t>
      </w:r>
      <w:r>
        <w:rPr>
          <w:rFonts w:ascii="Arial" w:cs="Arial" w:eastAsia="Arial" w:hAnsi="Arial"/>
          <w:sz w:val="21"/>
          <w:szCs w:val="21"/>
          <w:color w:val="auto"/>
        </w:rPr>
        <w:t xml:space="preserve">, no Person shall have any preemptive, preferential or other similar right with respect to the issuance of any Partnership Interest, whether unissued, held in the treasury or hereafter created. The General Partner shall have the right, which it may from time to time assign in whole or in part to any of its Affiliates, to purchase Partnership Interests from the Partnership whenever, and on the same terms that, the Partnership issues Partnership Interests to Persons other than the General Partner and its Affiliates, to the extent necessary to maintain the Percentage Interests of the General Partner and its Affiliates equal to that which existed immediately prior to the issuance of such Partnership Interests;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xml:space="preserve">, that the amount of any series of Preference Units issued by the Partnership from time to time that the General Partner shall have a right to purchase pursuant to </w:t>
      </w:r>
      <w:r>
        <w:rPr>
          <w:rFonts w:ascii="Arial" w:cs="Arial" w:eastAsia="Arial" w:hAnsi="Arial"/>
          <w:sz w:val="21"/>
          <w:szCs w:val="21"/>
          <w:u w:val="single" w:color="auto"/>
          <w:color w:val="auto"/>
        </w:rPr>
        <w:t>Section 5.7</w:t>
      </w:r>
      <w:r>
        <w:rPr>
          <w:rFonts w:ascii="Arial" w:cs="Arial" w:eastAsia="Arial" w:hAnsi="Arial"/>
          <w:sz w:val="21"/>
          <w:szCs w:val="21"/>
          <w:color w:val="auto"/>
        </w:rPr>
        <w:t xml:space="preserve"> shall equal the product of (a) the aggregate Percentage Interest of the General Partner and its Affiliates multiplied by (b) the number of such series of Preference Units so issued.</w:t>
      </w:r>
    </w:p>
    <w:p>
      <w:pPr>
        <w:spacing w:after="0" w:line="209" w:lineRule="exact"/>
        <w:rPr>
          <w:sz w:val="20"/>
          <w:szCs w:val="20"/>
          <w:color w:val="auto"/>
        </w:rPr>
      </w:pPr>
    </w:p>
    <w:p>
      <w:pPr>
        <w:ind w:right="240" w:firstLine="1305"/>
        <w:spacing w:after="0" w:line="245" w:lineRule="auto"/>
        <w:tabs>
          <w:tab w:leader="none" w:pos="1819" w:val="left"/>
        </w:tabs>
        <w:numPr>
          <w:ilvl w:val="0"/>
          <w:numId w:val="26"/>
        </w:numPr>
        <w:rPr>
          <w:rFonts w:ascii="Arial" w:cs="Arial" w:eastAsia="Arial" w:hAnsi="Arial"/>
          <w:sz w:val="21"/>
          <w:szCs w:val="21"/>
          <w:color w:val="auto"/>
        </w:rPr>
      </w:pPr>
      <w:r>
        <w:rPr>
          <w:rFonts w:ascii="Arial" w:cs="Arial" w:eastAsia="Arial" w:hAnsi="Arial"/>
          <w:sz w:val="21"/>
          <w:szCs w:val="21"/>
          <w:color w:val="auto"/>
        </w:rPr>
        <w:t xml:space="preserve">Upon the issuance of any additional Limited Partner Interests by the Partnership (other than Common Units issued pursuant to </w:t>
      </w:r>
      <w:r>
        <w:rPr>
          <w:rFonts w:ascii="Arial" w:cs="Arial" w:eastAsia="Arial" w:hAnsi="Arial"/>
          <w:sz w:val="21"/>
          <w:szCs w:val="21"/>
          <w:u w:val="single" w:color="auto"/>
          <w:color w:val="auto"/>
        </w:rPr>
        <w:t>Section 5.2(a)</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5.2(b)</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5.2(c)</w:t>
      </w:r>
      <w:r>
        <w:rPr>
          <w:rFonts w:ascii="Arial" w:cs="Arial" w:eastAsia="Arial" w:hAnsi="Arial"/>
          <w:sz w:val="21"/>
          <w:szCs w:val="21"/>
          <w:color w:val="auto"/>
        </w:rPr>
        <w:t xml:space="preserve"> and Common Units issued in connection with a reset of the Incentive Distribution target levels or the issuance of Limited Partner Interests upon conversion of outstanding Limited Partner Interests), the General Partner may, in exchange for a proportionate number of General Partner Units, make additional Capital Contributions in an amount equal to the product obtained by multiplying (i) the quotient determined by dividing (A) the General Partner’s Percentage Interest immediately prior to such issuance by (B) 100 less the General Partner’s Percentage Interest immediately prior to such issuance by (ii) the amount contributed to the Partnership by the Limited Partners in exchange for such additional Limited Partner Interests. The General Partner shall not be obligated to make additional Capital Contributions to the Partnership.</w:t>
      </w:r>
    </w:p>
    <w:p>
      <w:pPr>
        <w:spacing w:after="0" w:line="212" w:lineRule="exact"/>
        <w:rPr>
          <w:sz w:val="20"/>
          <w:szCs w:val="20"/>
          <w:color w:val="auto"/>
        </w:rPr>
      </w:pPr>
    </w:p>
    <w:p>
      <w:pPr>
        <w:ind w:firstLine="1297"/>
        <w:spacing w:after="0" w:line="277" w:lineRule="auto"/>
        <w:rPr>
          <w:sz w:val="20"/>
          <w:szCs w:val="20"/>
          <w:color w:val="auto"/>
        </w:rPr>
      </w:pPr>
      <w:r>
        <w:rPr>
          <w:rFonts w:ascii="Arial" w:cs="Arial" w:eastAsia="Arial" w:hAnsi="Arial"/>
          <w:sz w:val="19"/>
          <w:szCs w:val="19"/>
          <w:color w:val="auto"/>
        </w:rPr>
        <w:t xml:space="preserve">Section 5.8. </w:t>
      </w:r>
      <w:r>
        <w:rPr>
          <w:rFonts w:ascii="Arial" w:cs="Arial" w:eastAsia="Arial" w:hAnsi="Arial"/>
          <w:sz w:val="19"/>
          <w:szCs w:val="19"/>
          <w:i w:val="1"/>
          <w:iCs w:val="1"/>
          <w:color w:val="auto"/>
        </w:rPr>
        <w:t>Splits and Combinations.</w:t>
      </w:r>
      <w:r>
        <w:rPr>
          <w:rFonts w:ascii="Arial" w:cs="Arial" w:eastAsia="Arial" w:hAnsi="Arial"/>
          <w:sz w:val="19"/>
          <w:szCs w:val="19"/>
          <w:color w:val="auto"/>
        </w:rPr>
        <w:t xml:space="preserve"> (a) Subject to </w:t>
      </w:r>
      <w:r>
        <w:rPr>
          <w:rFonts w:ascii="Arial" w:cs="Arial" w:eastAsia="Arial" w:hAnsi="Arial"/>
          <w:sz w:val="19"/>
          <w:szCs w:val="19"/>
          <w:u w:val="single" w:color="auto"/>
          <w:color w:val="auto"/>
        </w:rPr>
        <w:t>Section 5.8(d)</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6.5</w:t>
      </w:r>
      <w:r>
        <w:rPr>
          <w:rFonts w:ascii="Arial" w:cs="Arial" w:eastAsia="Arial" w:hAnsi="Arial"/>
          <w:sz w:val="19"/>
          <w:szCs w:val="19"/>
          <w:color w:val="auto"/>
        </w:rPr>
        <w:t xml:space="preserve"> (dealing with adjustments of distribution levels), the Partnership may make a Pro Rata distribution of Partnership Interests (other than Series A Preference Units) to all Record Holders of the same class or series of Partnership Interests or may effect a subdivision or combination of the same class or series of Partnership Interests so long as, after any such event, each Partner holding such class or series of such Partnership Interests shall have the same Percentage Interest in the Partnership as before such event, and any amounts calculated on a per Unit basis (including those based on the Series A Liquidation Preference or the Stated Series A Unit Liquidation Preference) or stated as a number of Units are proportionately adjusted, to the extent applicable.</w:t>
      </w:r>
    </w:p>
    <w:p>
      <w:pPr>
        <w:spacing w:after="0" w:line="180" w:lineRule="exact"/>
        <w:rPr>
          <w:sz w:val="20"/>
          <w:szCs w:val="20"/>
          <w:color w:val="auto"/>
        </w:rPr>
      </w:pPr>
    </w:p>
    <w:p>
      <w:pPr>
        <w:ind w:right="60" w:firstLine="1305"/>
        <w:spacing w:after="0" w:line="234" w:lineRule="auto"/>
        <w:tabs>
          <w:tab w:leader="none" w:pos="1815" w:val="left"/>
        </w:tabs>
        <w:numPr>
          <w:ilvl w:val="0"/>
          <w:numId w:val="27"/>
        </w:numPr>
        <w:rPr>
          <w:rFonts w:ascii="Arial" w:cs="Arial" w:eastAsia="Arial" w:hAnsi="Arial"/>
          <w:sz w:val="22"/>
          <w:szCs w:val="22"/>
          <w:color w:val="auto"/>
        </w:rPr>
      </w:pPr>
      <w:r>
        <w:rPr>
          <w:rFonts w:ascii="Arial" w:cs="Arial" w:eastAsia="Arial" w:hAnsi="Arial"/>
          <w:sz w:val="22"/>
          <w:szCs w:val="22"/>
          <w:color w:val="auto"/>
        </w:rPr>
        <w:t>Whenever such a Pro Rata distribution, subdivision or combination of Partnership Interests is declared, the Board of Directors shall select a Record Date as of which the distribution, subdivision or combination shall be effective and shall send notice thereof at least 20 days prior to such Record Date to each Record Holder as of a date not less than 10 days prior to the date of such notice. The Board of Directors also may cause a firm of independent public accountants selected by it to calculate the number of Partnership Interests to be held by each Record Holder after giving effect to such distribution, subdivision or combination. The Board of Directors shall be entitled to rely on any certificate provided by such firm as conclusive evidence of the accuracy of such calculation.</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42" w:name="page43"/>
    <w:bookmarkEnd w:id="42"/>
    <w:p>
      <w:pPr>
        <w:ind w:right="160" w:firstLine="1305"/>
        <w:spacing w:after="0" w:line="247" w:lineRule="auto"/>
        <w:tabs>
          <w:tab w:leader="none" w:pos="1807" w:val="left"/>
        </w:tabs>
        <w:numPr>
          <w:ilvl w:val="0"/>
          <w:numId w:val="28"/>
        </w:numPr>
        <w:rPr>
          <w:rFonts w:ascii="Arial" w:cs="Arial" w:eastAsia="Arial" w:hAnsi="Arial"/>
          <w:sz w:val="21"/>
          <w:szCs w:val="21"/>
          <w:color w:val="auto"/>
        </w:rPr>
      </w:pPr>
      <w:r>
        <w:rPr>
          <w:rFonts w:ascii="Arial" w:cs="Arial" w:eastAsia="Arial" w:hAnsi="Arial"/>
          <w:sz w:val="21"/>
          <w:szCs w:val="21"/>
          <w:color w:val="auto"/>
        </w:rPr>
        <w:t>Promptly following any such distribution, subdivision or combination, the Partnership may issue Certificates or uncertificated Partnership Interests to the Record Holders of Partnership Interests as of the applicable Record Date representing the new number of Partnership Interests held by such Record Holders, or the Board of Directors may adopt such other procedures that it determines to be necessary or appropriate to reflect such changes. If any such combination results in a smaller total number of Partnership Interests Outstanding, the Partnership shall require, as a condition to the delivery to a Record Holder of such new Certificate or uncertificated Partnership Interest, the surrender of any Certificate held by such Record Holder immediately prior to such Record Date.</w:t>
      </w:r>
    </w:p>
    <w:p>
      <w:pPr>
        <w:spacing w:after="0" w:line="205" w:lineRule="exact"/>
        <w:rPr>
          <w:rFonts w:ascii="Arial" w:cs="Arial" w:eastAsia="Arial" w:hAnsi="Arial"/>
          <w:sz w:val="21"/>
          <w:szCs w:val="21"/>
          <w:color w:val="auto"/>
        </w:rPr>
      </w:pPr>
    </w:p>
    <w:p>
      <w:pPr>
        <w:ind w:firstLine="1305"/>
        <w:spacing w:after="0" w:line="238" w:lineRule="auto"/>
        <w:tabs>
          <w:tab w:leader="none" w:pos="1815" w:val="left"/>
        </w:tabs>
        <w:numPr>
          <w:ilvl w:val="0"/>
          <w:numId w:val="28"/>
        </w:numPr>
        <w:rPr>
          <w:rFonts w:ascii="Arial" w:cs="Arial" w:eastAsia="Arial" w:hAnsi="Arial"/>
          <w:sz w:val="22"/>
          <w:szCs w:val="22"/>
          <w:color w:val="auto"/>
        </w:rPr>
      </w:pPr>
      <w:r>
        <w:rPr>
          <w:rFonts w:ascii="Arial" w:cs="Arial" w:eastAsia="Arial" w:hAnsi="Arial"/>
          <w:sz w:val="22"/>
          <w:szCs w:val="22"/>
          <w:color w:val="auto"/>
        </w:rPr>
        <w:t xml:space="preserve">The Partnership shall not issue fractional Units upon any distribution, subdivision or combination of Units. If a distribution, subdivision or combination of Units would result in the issuance of fractional Units but for the provisions of this </w:t>
      </w:r>
      <w:r>
        <w:rPr>
          <w:rFonts w:ascii="Arial" w:cs="Arial" w:eastAsia="Arial" w:hAnsi="Arial"/>
          <w:sz w:val="22"/>
          <w:szCs w:val="22"/>
          <w:u w:val="single" w:color="auto"/>
          <w:color w:val="auto"/>
        </w:rPr>
        <w:t>Section 5.8(d)</w:t>
      </w:r>
      <w:r>
        <w:rPr>
          <w:rFonts w:ascii="Arial" w:cs="Arial" w:eastAsia="Arial" w:hAnsi="Arial"/>
          <w:sz w:val="22"/>
          <w:szCs w:val="22"/>
          <w:color w:val="auto"/>
        </w:rPr>
        <w:t>, each fractional Unit shall be rounded to the nearest whole Unit (and a 0.5 Unit shall be rounded to the next higher Unit).</w:t>
      </w:r>
    </w:p>
    <w:p>
      <w:pPr>
        <w:spacing w:after="0" w:line="212" w:lineRule="exact"/>
        <w:rPr>
          <w:sz w:val="20"/>
          <w:szCs w:val="20"/>
          <w:color w:val="auto"/>
        </w:rPr>
      </w:pPr>
    </w:p>
    <w:p>
      <w:pPr>
        <w:ind w:right="420" w:firstLine="1297"/>
        <w:spacing w:after="0" w:line="297" w:lineRule="auto"/>
        <w:rPr>
          <w:sz w:val="20"/>
          <w:szCs w:val="20"/>
          <w:color w:val="auto"/>
        </w:rPr>
      </w:pPr>
      <w:r>
        <w:rPr>
          <w:rFonts w:ascii="Arial" w:cs="Arial" w:eastAsia="Arial" w:hAnsi="Arial"/>
          <w:sz w:val="19"/>
          <w:szCs w:val="19"/>
          <w:color w:val="auto"/>
        </w:rPr>
        <w:t xml:space="preserve">Section 5.9. </w:t>
      </w:r>
      <w:r>
        <w:rPr>
          <w:rFonts w:ascii="Arial" w:cs="Arial" w:eastAsia="Arial" w:hAnsi="Arial"/>
          <w:sz w:val="19"/>
          <w:szCs w:val="19"/>
          <w:i w:val="1"/>
          <w:iCs w:val="1"/>
          <w:color w:val="auto"/>
        </w:rPr>
        <w:t>Fully Paid and Non-Assessable Nature of Limited Partner Interests</w:t>
      </w:r>
      <w:r>
        <w:rPr>
          <w:rFonts w:ascii="Arial" w:cs="Arial" w:eastAsia="Arial" w:hAnsi="Arial"/>
          <w:sz w:val="19"/>
          <w:szCs w:val="19"/>
          <w:color w:val="auto"/>
        </w:rPr>
        <w:t xml:space="preserve">. All Limited Partner Interests issued pursuant to, and in accordance with the requirements of, this </w:t>
      </w:r>
      <w:r>
        <w:rPr>
          <w:rFonts w:ascii="Arial" w:cs="Arial" w:eastAsia="Arial" w:hAnsi="Arial"/>
          <w:sz w:val="19"/>
          <w:szCs w:val="19"/>
          <w:u w:val="single" w:color="auto"/>
          <w:color w:val="auto"/>
        </w:rPr>
        <w:t>Article V</w:t>
      </w:r>
      <w:r>
        <w:rPr>
          <w:rFonts w:ascii="Arial" w:cs="Arial" w:eastAsia="Arial" w:hAnsi="Arial"/>
          <w:sz w:val="19"/>
          <w:szCs w:val="19"/>
          <w:color w:val="auto"/>
        </w:rPr>
        <w:t xml:space="preserve"> shall be fully paid and non-assessable Limited Partner Interests in the Partnership, except as such non- assessability may be affected by the Marshall Islands Act.</w:t>
      </w:r>
    </w:p>
    <w:p>
      <w:pPr>
        <w:spacing w:after="0" w:line="161" w:lineRule="exact"/>
        <w:rPr>
          <w:sz w:val="20"/>
          <w:szCs w:val="20"/>
          <w:color w:val="auto"/>
        </w:rPr>
      </w:pPr>
    </w:p>
    <w:p>
      <w:pPr>
        <w:ind w:firstLine="1297"/>
        <w:spacing w:after="0" w:line="270" w:lineRule="auto"/>
        <w:rPr>
          <w:sz w:val="20"/>
          <w:szCs w:val="20"/>
          <w:color w:val="auto"/>
        </w:rPr>
      </w:pPr>
      <w:r>
        <w:rPr>
          <w:rFonts w:ascii="Arial" w:cs="Arial" w:eastAsia="Arial" w:hAnsi="Arial"/>
          <w:sz w:val="19"/>
          <w:szCs w:val="19"/>
          <w:color w:val="auto"/>
        </w:rPr>
        <w:t xml:space="preserve">Section 5.10. </w:t>
      </w:r>
      <w:r>
        <w:rPr>
          <w:rFonts w:ascii="Arial" w:cs="Arial" w:eastAsia="Arial" w:hAnsi="Arial"/>
          <w:sz w:val="19"/>
          <w:szCs w:val="19"/>
          <w:i w:val="1"/>
          <w:iCs w:val="1"/>
          <w:color w:val="auto"/>
        </w:rPr>
        <w:t>Issuance of Common Units in Connection with Reset of Incentive Distribution Rights.</w:t>
      </w:r>
      <w:r>
        <w:rPr>
          <w:rFonts w:ascii="Arial" w:cs="Arial" w:eastAsia="Arial" w:hAnsi="Arial"/>
          <w:sz w:val="19"/>
          <w:szCs w:val="19"/>
          <w:color w:val="auto"/>
        </w:rPr>
        <w:t xml:space="preserve"> (a) Subject to the provisions of this </w:t>
      </w:r>
      <w:r>
        <w:rPr>
          <w:rFonts w:ascii="Arial" w:cs="Arial" w:eastAsia="Arial" w:hAnsi="Arial"/>
          <w:sz w:val="19"/>
          <w:szCs w:val="19"/>
          <w:u w:val="single" w:color="auto"/>
          <w:color w:val="auto"/>
        </w:rPr>
        <w:t>Section 5.10</w:t>
      </w:r>
      <w:r>
        <w:rPr>
          <w:rFonts w:ascii="Arial" w:cs="Arial" w:eastAsia="Arial" w:hAnsi="Arial"/>
          <w:sz w:val="19"/>
          <w:szCs w:val="19"/>
          <w:color w:val="auto"/>
        </w:rPr>
        <w:t xml:space="preserve">, the holder of the Incentive Distribution Rights (or, if there is more than one holder of the Incentive Distribution Rights, the holders of a majority in interest of the Incentive Distribution Rights) shall have the right, at any time when there are no Subordinated Units Outstanding and the Partnership has made a distribution pursuant to </w:t>
      </w:r>
      <w:r>
        <w:rPr>
          <w:rFonts w:ascii="Arial" w:cs="Arial" w:eastAsia="Arial" w:hAnsi="Arial"/>
          <w:sz w:val="19"/>
          <w:szCs w:val="19"/>
          <w:u w:val="single" w:color="auto"/>
          <w:color w:val="auto"/>
        </w:rPr>
        <w:t>Section 6.3(b)(v)</w:t>
      </w:r>
      <w:r>
        <w:rPr>
          <w:rFonts w:ascii="Arial" w:cs="Arial" w:eastAsia="Arial" w:hAnsi="Arial"/>
          <w:sz w:val="19"/>
          <w:szCs w:val="19"/>
          <w:color w:val="auto"/>
        </w:rPr>
        <w:t xml:space="preserve"> for each of the four most recently completed Quarters and the amount of each such distribution did not exceed Adjusted Operating Surplus for such Quarter, to make an election (the “</w:t>
      </w:r>
      <w:r>
        <w:rPr>
          <w:rFonts w:ascii="Arial" w:cs="Arial" w:eastAsia="Arial" w:hAnsi="Arial"/>
          <w:sz w:val="19"/>
          <w:szCs w:val="19"/>
          <w:b w:val="1"/>
          <w:bCs w:val="1"/>
          <w:i w:val="1"/>
          <w:iCs w:val="1"/>
          <w:color w:val="auto"/>
        </w:rPr>
        <w:t>IDR Reset Election</w:t>
      </w:r>
      <w:r>
        <w:rPr>
          <w:rFonts w:ascii="Arial" w:cs="Arial" w:eastAsia="Arial" w:hAnsi="Arial"/>
          <w:sz w:val="19"/>
          <w:szCs w:val="19"/>
          <w:color w:val="auto"/>
        </w:rPr>
        <w:t xml:space="preserve">”) to cause the Minimum Quarterly Distribution and the Target Distributions to be reset in accordance with the provisions of </w:t>
      </w:r>
      <w:r>
        <w:rPr>
          <w:rFonts w:ascii="Arial" w:cs="Arial" w:eastAsia="Arial" w:hAnsi="Arial"/>
          <w:sz w:val="19"/>
          <w:szCs w:val="19"/>
          <w:u w:val="single" w:color="auto"/>
          <w:color w:val="auto"/>
        </w:rPr>
        <w:t>Section 5.10(e)</w:t>
      </w:r>
      <w:r>
        <w:rPr>
          <w:rFonts w:ascii="Arial" w:cs="Arial" w:eastAsia="Arial" w:hAnsi="Arial"/>
          <w:sz w:val="19"/>
          <w:szCs w:val="19"/>
          <w:color w:val="auto"/>
        </w:rPr>
        <w:t xml:space="preserve"> and, in connection therewith, the holder or holders of the Incentive Distribution Rights will become entitled to receive their respective proportionate shares of a number of Common Units (“</w:t>
      </w:r>
      <w:r>
        <w:rPr>
          <w:rFonts w:ascii="Arial" w:cs="Arial" w:eastAsia="Arial" w:hAnsi="Arial"/>
          <w:sz w:val="19"/>
          <w:szCs w:val="19"/>
          <w:b w:val="1"/>
          <w:bCs w:val="1"/>
          <w:i w:val="1"/>
          <w:iCs w:val="1"/>
          <w:color w:val="auto"/>
        </w:rPr>
        <w:t>IDR Reset Common Units</w:t>
      </w:r>
      <w:r>
        <w:rPr>
          <w:rFonts w:ascii="Arial" w:cs="Arial" w:eastAsia="Arial" w:hAnsi="Arial"/>
          <w:sz w:val="19"/>
          <w:szCs w:val="19"/>
          <w:color w:val="auto"/>
        </w:rPr>
        <w:t>”) derived by dividing (i) the average of the aggregate amount of cash distributions made by the Partnership for each of the two full Quarters immediately preceding the giving of the Reset Notice in respect of the Incentive Distribution Rights by (ii) the average of the cash distributions made by the Partnership in respect of each Common Unit for each of the two full Quarters immediately preceding the giving of the Reset Notice (the number of Common Units determined by such quotient is referred to herein as the “</w:t>
      </w:r>
      <w:r>
        <w:rPr>
          <w:rFonts w:ascii="Arial" w:cs="Arial" w:eastAsia="Arial" w:hAnsi="Arial"/>
          <w:sz w:val="19"/>
          <w:szCs w:val="19"/>
          <w:b w:val="1"/>
          <w:bCs w:val="1"/>
          <w:i w:val="1"/>
          <w:iCs w:val="1"/>
          <w:color w:val="auto"/>
        </w:rPr>
        <w:t>Aggregate Quantity of IDR Reset Common Units</w:t>
      </w:r>
      <w:r>
        <w:rPr>
          <w:rFonts w:ascii="Arial" w:cs="Arial" w:eastAsia="Arial" w:hAnsi="Arial"/>
          <w:sz w:val="19"/>
          <w:szCs w:val="19"/>
          <w:color w:val="auto"/>
        </w:rPr>
        <w:t>”). If at the time of any IDR Reset Election the General Partner and its Affiliates are not the holders of a majority interest of the Incentive Distribution Rights, then the IDR Reset Election shall be subject to the prior approval of the Board of Directors that the conditions described in the immediately preceding sentence have been satisfied. Upon the issuance of such IDR Reset Common Units, the Partnership will issue to the General Partner that number of additional General Partner Units equal to the product of (i) the quotient obtained by dividing (A) the Percentage Interest of the General Partner immediately prior to such issuance by (B) a percentage equal to 100% less such Percentage Interest and (ii) the number of such IDR</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43" w:name="page44"/>
    <w:bookmarkEnd w:id="43"/>
    <w:p>
      <w:pPr>
        <w:spacing w:after="0" w:line="277" w:lineRule="auto"/>
        <w:rPr>
          <w:sz w:val="20"/>
          <w:szCs w:val="20"/>
          <w:color w:val="auto"/>
        </w:rPr>
      </w:pPr>
      <w:r>
        <w:rPr>
          <w:rFonts w:ascii="Arial" w:cs="Arial" w:eastAsia="Arial" w:hAnsi="Arial"/>
          <w:sz w:val="19"/>
          <w:szCs w:val="19"/>
          <w:color w:val="auto"/>
        </w:rPr>
        <w:t xml:space="preserve">Reset Common Units, and the General Partner shall not be obligated to make any additional Capital Contribution to the Partnership in exchange for such issuance. The making of the IDR Reset Election in the manner specified in </w:t>
      </w:r>
      <w:r>
        <w:rPr>
          <w:rFonts w:ascii="Arial" w:cs="Arial" w:eastAsia="Arial" w:hAnsi="Arial"/>
          <w:sz w:val="19"/>
          <w:szCs w:val="19"/>
          <w:u w:val="single" w:color="auto"/>
          <w:color w:val="auto"/>
        </w:rPr>
        <w:t>Section 5.10(b)</w:t>
      </w:r>
      <w:r>
        <w:rPr>
          <w:rFonts w:ascii="Arial" w:cs="Arial" w:eastAsia="Arial" w:hAnsi="Arial"/>
          <w:sz w:val="19"/>
          <w:szCs w:val="19"/>
          <w:color w:val="auto"/>
        </w:rPr>
        <w:t xml:space="preserve"> shall cause the Minimum Quarterly Distribution and the Target Distributions to be reset in accordance with the provisions of </w:t>
      </w:r>
      <w:r>
        <w:rPr>
          <w:rFonts w:ascii="Arial" w:cs="Arial" w:eastAsia="Arial" w:hAnsi="Arial"/>
          <w:sz w:val="19"/>
          <w:szCs w:val="19"/>
          <w:u w:val="single" w:color="auto"/>
          <w:color w:val="auto"/>
        </w:rPr>
        <w:t>Section 5.10(c)</w:t>
      </w:r>
      <w:r>
        <w:rPr>
          <w:rFonts w:ascii="Arial" w:cs="Arial" w:eastAsia="Arial" w:hAnsi="Arial"/>
          <w:sz w:val="19"/>
          <w:szCs w:val="19"/>
          <w:color w:val="auto"/>
        </w:rPr>
        <w:t xml:space="preserve"> and, in connection therewith, the holder or holders of the Incentive Distribution Rights will become entitled to receive IDR Reset Common Units and the General Partner will become entitled to receive General Partner Units on the basis specified above, without any further approval required by the General Partner or the Unitholders, at the time specified in </w:t>
      </w:r>
      <w:r>
        <w:rPr>
          <w:rFonts w:ascii="Arial" w:cs="Arial" w:eastAsia="Arial" w:hAnsi="Arial"/>
          <w:sz w:val="19"/>
          <w:szCs w:val="19"/>
          <w:u w:val="single" w:color="auto"/>
          <w:color w:val="auto"/>
        </w:rPr>
        <w:t>Section 5.10(c)</w:t>
      </w:r>
      <w:r>
        <w:rPr>
          <w:rFonts w:ascii="Arial" w:cs="Arial" w:eastAsia="Arial" w:hAnsi="Arial"/>
          <w:sz w:val="19"/>
          <w:szCs w:val="19"/>
          <w:color w:val="auto"/>
        </w:rPr>
        <w:t xml:space="preserve">, unless the IDR Reset Election is rescinded pursuant to </w:t>
      </w:r>
      <w:r>
        <w:rPr>
          <w:rFonts w:ascii="Arial" w:cs="Arial" w:eastAsia="Arial" w:hAnsi="Arial"/>
          <w:sz w:val="19"/>
          <w:szCs w:val="19"/>
          <w:u w:val="single" w:color="auto"/>
          <w:color w:val="auto"/>
        </w:rPr>
        <w:t>Section 5.10(d)</w:t>
      </w:r>
      <w:r>
        <w:rPr>
          <w:rFonts w:ascii="Arial" w:cs="Arial" w:eastAsia="Arial" w:hAnsi="Arial"/>
          <w:sz w:val="19"/>
          <w:szCs w:val="19"/>
          <w:color w:val="auto"/>
        </w:rPr>
        <w:t>.</w:t>
      </w:r>
    </w:p>
    <w:p>
      <w:pPr>
        <w:spacing w:after="0" w:line="180" w:lineRule="exact"/>
        <w:rPr>
          <w:sz w:val="20"/>
          <w:szCs w:val="20"/>
          <w:color w:val="auto"/>
        </w:rPr>
      </w:pPr>
    </w:p>
    <w:p>
      <w:pPr>
        <w:ind w:firstLine="1305"/>
        <w:spacing w:after="0" w:line="235" w:lineRule="auto"/>
        <w:tabs>
          <w:tab w:leader="none" w:pos="1815" w:val="left"/>
        </w:tabs>
        <w:numPr>
          <w:ilvl w:val="0"/>
          <w:numId w:val="29"/>
        </w:numPr>
        <w:rPr>
          <w:rFonts w:ascii="Arial" w:cs="Arial" w:eastAsia="Arial" w:hAnsi="Arial"/>
          <w:sz w:val="22"/>
          <w:szCs w:val="22"/>
          <w:color w:val="auto"/>
        </w:rPr>
      </w:pPr>
      <w:r>
        <w:rPr>
          <w:rFonts w:ascii="Arial" w:cs="Arial" w:eastAsia="Arial" w:hAnsi="Arial"/>
          <w:sz w:val="22"/>
          <w:szCs w:val="22"/>
          <w:color w:val="auto"/>
        </w:rPr>
        <w:t xml:space="preserve">To exercise the right specified in </w:t>
      </w:r>
      <w:r>
        <w:rPr>
          <w:rFonts w:ascii="Arial" w:cs="Arial" w:eastAsia="Arial" w:hAnsi="Arial"/>
          <w:sz w:val="22"/>
          <w:szCs w:val="22"/>
          <w:u w:val="single" w:color="auto"/>
          <w:color w:val="auto"/>
        </w:rPr>
        <w:t>Section 5.10(a)</w:t>
      </w:r>
      <w:r>
        <w:rPr>
          <w:rFonts w:ascii="Arial" w:cs="Arial" w:eastAsia="Arial" w:hAnsi="Arial"/>
          <w:sz w:val="22"/>
          <w:szCs w:val="22"/>
          <w:color w:val="auto"/>
        </w:rPr>
        <w:t>, the holder of the Incentive Distribution Rights (or, if there is more than one holder of the Incentive Distribution Rights, the holders of a majority in interest of the Incentive Distribution Rights) shall deliver a written notice (the “</w:t>
      </w:r>
      <w:r>
        <w:rPr>
          <w:rFonts w:ascii="Arial" w:cs="Arial" w:eastAsia="Arial" w:hAnsi="Arial"/>
          <w:sz w:val="22"/>
          <w:szCs w:val="22"/>
          <w:b w:val="1"/>
          <w:bCs w:val="1"/>
          <w:i w:val="1"/>
          <w:iCs w:val="1"/>
          <w:color w:val="auto"/>
        </w:rPr>
        <w:t>Reset Notice</w:t>
      </w:r>
      <w:r>
        <w:rPr>
          <w:rFonts w:ascii="Arial" w:cs="Arial" w:eastAsia="Arial" w:hAnsi="Arial"/>
          <w:sz w:val="22"/>
          <w:szCs w:val="22"/>
          <w:color w:val="auto"/>
        </w:rPr>
        <w:t>”) to the Partnership. Within 10 Business Days after the receipt by the Partnership of such Reset Notice, the Partnership shall deliver a written notice to the holder or holders of the Incentive Distribution Rights of the Partnership’s determination of the aggregate number of Common Units that each holder of Incentive Distribution Rights will be entitled to receive.</w:t>
      </w:r>
    </w:p>
    <w:p>
      <w:pPr>
        <w:spacing w:after="0" w:line="215" w:lineRule="exact"/>
        <w:rPr>
          <w:rFonts w:ascii="Arial" w:cs="Arial" w:eastAsia="Arial" w:hAnsi="Arial"/>
          <w:sz w:val="22"/>
          <w:szCs w:val="22"/>
          <w:color w:val="auto"/>
        </w:rPr>
      </w:pPr>
    </w:p>
    <w:p>
      <w:pPr>
        <w:ind w:firstLine="1305"/>
        <w:spacing w:after="0" w:line="287" w:lineRule="auto"/>
        <w:tabs>
          <w:tab w:leader="none" w:pos="1803" w:val="left"/>
        </w:tabs>
        <w:numPr>
          <w:ilvl w:val="0"/>
          <w:numId w:val="29"/>
        </w:numPr>
        <w:rPr>
          <w:rFonts w:ascii="Arial" w:cs="Arial" w:eastAsia="Arial" w:hAnsi="Arial"/>
          <w:sz w:val="19"/>
          <w:szCs w:val="19"/>
          <w:color w:val="auto"/>
        </w:rPr>
      </w:pPr>
      <w:r>
        <w:rPr>
          <w:rFonts w:ascii="Arial" w:cs="Arial" w:eastAsia="Arial" w:hAnsi="Arial"/>
          <w:sz w:val="19"/>
          <w:szCs w:val="19"/>
          <w:color w:val="auto"/>
        </w:rPr>
        <w:t>The holder or holders of the Incentive Distribution Rights will be entitled to receive the Aggregate Quantity of IDR Reset Common Units and the General Partner will become entitled to receive the related additional General Partner Units on the 15th Business Day after receipt by the Partnership of the Reset Notice, and the Partnership may issue Certificates for the Common Units or uncertificated Partnership Interests to the holder or holders of the Incentive Distribution Rights.</w:t>
      </w:r>
    </w:p>
    <w:p>
      <w:pPr>
        <w:spacing w:after="0" w:line="170" w:lineRule="exact"/>
        <w:rPr>
          <w:rFonts w:ascii="Arial" w:cs="Arial" w:eastAsia="Arial" w:hAnsi="Arial"/>
          <w:sz w:val="19"/>
          <w:szCs w:val="19"/>
          <w:color w:val="auto"/>
        </w:rPr>
      </w:pPr>
    </w:p>
    <w:p>
      <w:pPr>
        <w:ind w:right="20" w:firstLine="1305"/>
        <w:spacing w:after="0" w:line="272" w:lineRule="auto"/>
        <w:tabs>
          <w:tab w:leader="none" w:pos="1819" w:val="left"/>
        </w:tabs>
        <w:numPr>
          <w:ilvl w:val="0"/>
          <w:numId w:val="29"/>
        </w:numPr>
        <w:rPr>
          <w:rFonts w:ascii="Arial" w:cs="Arial" w:eastAsia="Arial" w:hAnsi="Arial"/>
          <w:sz w:val="19"/>
          <w:szCs w:val="19"/>
          <w:color w:val="auto"/>
        </w:rPr>
      </w:pPr>
      <w:r>
        <w:rPr>
          <w:rFonts w:ascii="Arial" w:cs="Arial" w:eastAsia="Arial" w:hAnsi="Arial"/>
          <w:sz w:val="19"/>
          <w:szCs w:val="19"/>
          <w:color w:val="auto"/>
        </w:rPr>
        <w:t xml:space="preserve">If the principal National Securities Exchange upon which the Common Units are then traded has not approved the listing or admission for trading of the Common Units to be issued pursuant to this </w:t>
      </w:r>
      <w:r>
        <w:rPr>
          <w:rFonts w:ascii="Arial" w:cs="Arial" w:eastAsia="Arial" w:hAnsi="Arial"/>
          <w:sz w:val="19"/>
          <w:szCs w:val="19"/>
          <w:u w:val="single" w:color="auto"/>
          <w:color w:val="auto"/>
        </w:rPr>
        <w:t>Section 5.10</w:t>
      </w:r>
      <w:r>
        <w:rPr>
          <w:rFonts w:ascii="Arial" w:cs="Arial" w:eastAsia="Arial" w:hAnsi="Arial"/>
          <w:sz w:val="19"/>
          <w:szCs w:val="19"/>
          <w:color w:val="auto"/>
        </w:rPr>
        <w:t xml:space="preserve"> on or before the 30th calendar day following the Partnership’s receipt of the Reset Notice and such approval is required by the rules and regulations of such National Securities Exchange, then the holder of the Incentive Distribution Rights (or, if there is more than one holder of the Incentive Distribution Rights, the holders of a majority in interest of the Incentive Distribution Rights) shall have the right to either rescind the IDR Reset Election or elect to receive other Partnership Interests having such terms as the General Partner may approve, with the approval of the Conflicts Committee, that will provide (i) the same economic value, in the aggregate, as the Aggregate Quantity of IDR Reset Common Units would have had at the time of the Partnership’s receipt of the Reset Notice, as determined by the General Partner, and (ii) for the subsequent conversion (on terms acceptable to the National Securities Exchange upon which the Common Units are then traded) of such Partnership Interests into Common Units within not more than 12 months following the Partnership’s receipt of the Reset Notice upon the satisfaction of one or more conditions that are reasonably acceptable to the holder of the Incentive Distribution Rights (or, if there is more than one holder of the Incentive Distribution Rights, the holders of a majority in interest of the Incentive Distribution Rights).</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80"/>
          </w:cols>
          <w:pgMar w:left="240" w:top="402" w:right="279" w:bottom="1440" w:gutter="0" w:footer="0" w:header="0"/>
        </w:sectPr>
      </w:pPr>
    </w:p>
    <w:bookmarkStart w:id="44" w:name="page45"/>
    <w:bookmarkEnd w:id="44"/>
    <w:p>
      <w:pPr>
        <w:ind w:right="180" w:firstLine="1305"/>
        <w:spacing w:after="0" w:line="276" w:lineRule="auto"/>
        <w:tabs>
          <w:tab w:leader="none" w:pos="1803" w:val="left"/>
        </w:tabs>
        <w:numPr>
          <w:ilvl w:val="0"/>
          <w:numId w:val="30"/>
        </w:numPr>
        <w:rPr>
          <w:rFonts w:ascii="Arial" w:cs="Arial" w:eastAsia="Arial" w:hAnsi="Arial"/>
          <w:sz w:val="19"/>
          <w:szCs w:val="19"/>
          <w:color w:val="auto"/>
        </w:rPr>
      </w:pPr>
      <w:r>
        <w:rPr>
          <w:rFonts w:ascii="Arial" w:cs="Arial" w:eastAsia="Arial" w:hAnsi="Arial"/>
          <w:sz w:val="19"/>
          <w:szCs w:val="19"/>
          <w:color w:val="auto"/>
        </w:rPr>
        <w:t xml:space="preserve">The Minimum Quarterly Distribution, First Target Distribution, Second Target Distribution and Third Target Distribution shall be adjusted at the time of the issuance of Common Units or other Partnership Interests pursuant to this </w:t>
      </w:r>
      <w:r>
        <w:rPr>
          <w:rFonts w:ascii="Arial" w:cs="Arial" w:eastAsia="Arial" w:hAnsi="Arial"/>
          <w:sz w:val="19"/>
          <w:szCs w:val="19"/>
          <w:u w:val="single" w:color="auto"/>
          <w:color w:val="auto"/>
        </w:rPr>
        <w:t>Section</w:t>
      </w:r>
    </w:p>
    <w:p>
      <w:pPr>
        <w:spacing w:after="0" w:line="1" w:lineRule="exact"/>
        <w:rPr>
          <w:rFonts w:ascii="Arial" w:cs="Arial" w:eastAsia="Arial" w:hAnsi="Arial"/>
          <w:sz w:val="19"/>
          <w:szCs w:val="19"/>
          <w:color w:val="auto"/>
        </w:rPr>
      </w:pPr>
    </w:p>
    <w:p>
      <w:pPr>
        <w:spacing w:after="0" w:line="280" w:lineRule="auto"/>
        <w:rPr>
          <w:rFonts w:ascii="Arial" w:cs="Arial" w:eastAsia="Arial" w:hAnsi="Arial"/>
          <w:sz w:val="19"/>
          <w:szCs w:val="19"/>
          <w:color w:val="auto"/>
        </w:rPr>
      </w:pPr>
      <w:r>
        <w:rPr>
          <w:rFonts w:ascii="Arial" w:cs="Arial" w:eastAsia="Arial" w:hAnsi="Arial"/>
          <w:sz w:val="19"/>
          <w:szCs w:val="19"/>
          <w:u w:val="single" w:color="auto"/>
          <w:color w:val="auto"/>
        </w:rPr>
        <w:t>5.10</w:t>
      </w:r>
      <w:r>
        <w:rPr>
          <w:rFonts w:ascii="Arial" w:cs="Arial" w:eastAsia="Arial" w:hAnsi="Arial"/>
          <w:sz w:val="19"/>
          <w:szCs w:val="19"/>
          <w:color w:val="auto"/>
        </w:rPr>
        <w:t xml:space="preserve"> such that (i) the Minimum Quarterly Distribution shall be reset to equal to the average cash distribution amount per Common Unit for the two Quarters immediately prior to the Partnership’s receipt of the Reset Notice (the “</w:t>
      </w:r>
      <w:r>
        <w:rPr>
          <w:rFonts w:ascii="Arial" w:cs="Arial" w:eastAsia="Arial" w:hAnsi="Arial"/>
          <w:sz w:val="19"/>
          <w:szCs w:val="19"/>
          <w:b w:val="1"/>
          <w:bCs w:val="1"/>
          <w:i w:val="1"/>
          <w:iCs w:val="1"/>
          <w:color w:val="auto"/>
        </w:rPr>
        <w:t>Reset MQD</w:t>
      </w:r>
      <w:r>
        <w:rPr>
          <w:rFonts w:ascii="Arial" w:cs="Arial" w:eastAsia="Arial" w:hAnsi="Arial"/>
          <w:sz w:val="19"/>
          <w:szCs w:val="19"/>
          <w:color w:val="auto"/>
        </w:rPr>
        <w:t>”), (ii) the First Target Distribution shall be reset to equal 115% of the Reset MQD, (iii) the Second Target Distribution shall be reset to equal 125% of the Reset MQD and (iv) the Third Target Distribution shall be reset to equal 150% of the Reset MQD.</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ARTICLE VI</w:t>
      </w:r>
    </w:p>
    <w:p>
      <w:pPr>
        <w:spacing w:after="0" w:line="14"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DISTRIBUTIONS</w:t>
      </w:r>
    </w:p>
    <w:p>
      <w:pPr>
        <w:spacing w:after="0" w:line="215" w:lineRule="exact"/>
        <w:rPr>
          <w:sz w:val="20"/>
          <w:szCs w:val="20"/>
          <w:color w:val="auto"/>
        </w:rPr>
      </w:pPr>
    </w:p>
    <w:p>
      <w:pPr>
        <w:ind w:right="40" w:firstLine="1297"/>
        <w:spacing w:after="0" w:line="272" w:lineRule="auto"/>
        <w:rPr>
          <w:sz w:val="20"/>
          <w:szCs w:val="20"/>
          <w:color w:val="auto"/>
        </w:rPr>
      </w:pPr>
      <w:r>
        <w:rPr>
          <w:rFonts w:ascii="Arial" w:cs="Arial" w:eastAsia="Arial" w:hAnsi="Arial"/>
          <w:sz w:val="19"/>
          <w:szCs w:val="19"/>
          <w:color w:val="auto"/>
        </w:rPr>
        <w:t xml:space="preserve">Section 6.1. </w:t>
      </w:r>
      <w:r>
        <w:rPr>
          <w:rFonts w:ascii="Arial" w:cs="Arial" w:eastAsia="Arial" w:hAnsi="Arial"/>
          <w:sz w:val="19"/>
          <w:szCs w:val="19"/>
          <w:i w:val="1"/>
          <w:iCs w:val="1"/>
          <w:color w:val="auto"/>
        </w:rPr>
        <w:t>Allocations</w:t>
      </w:r>
      <w:r>
        <w:rPr>
          <w:rFonts w:ascii="Arial" w:cs="Arial" w:eastAsia="Arial" w:hAnsi="Arial"/>
          <w:sz w:val="19"/>
          <w:szCs w:val="19"/>
          <w:color w:val="auto"/>
        </w:rPr>
        <w:t xml:space="preserve">. The Partnership shall determine its profit or loss and allocate such profit or loss among the Partners in a manner determined appropriate so as to cause, to the extent possible, a capital account maintained with respect to each Partnership Interest to equal the excess of (a) the hypothetical distribution that would be paid with respect to such Partnership Interest in the event the Partnership sold all of its assets for their respective book values (as determined for such purpose), satisfied all outstanding liabilities (limited, with respect to nonrecourse liabilities, to the book value of the assets securing such liabilities) and distributed the remaining proceeds in accordance with </w:t>
      </w:r>
      <w:r>
        <w:rPr>
          <w:rFonts w:ascii="Arial" w:cs="Arial" w:eastAsia="Arial" w:hAnsi="Arial"/>
          <w:sz w:val="19"/>
          <w:szCs w:val="19"/>
          <w:u w:val="single" w:color="auto"/>
          <w:color w:val="auto"/>
        </w:rPr>
        <w:t>Section 12.4</w:t>
      </w:r>
      <w:r>
        <w:rPr>
          <w:rFonts w:ascii="Arial" w:cs="Arial" w:eastAsia="Arial" w:hAnsi="Arial"/>
          <w:sz w:val="19"/>
          <w:szCs w:val="19"/>
          <w:color w:val="auto"/>
        </w:rPr>
        <w:t>, over (b) the sum of the outstanding balance of any nonrecourse liabilities not required to be repaid in the event of such a hypothetical liquidation that are properly allocable to losses or distributions with respect to such Partnership Interest and the amount (if any) that would be required to be contributed to the Partnership with respect to such Partnership Interest upon such a hypothetical liquidation; provided that the Partnership may deviate from the foregoing, as determined necessary or appropriate, for proper administration of the Partnership or otherwise to preserve or achieve uniformity of the Limited Partner Interests (or any class or classes thereof). For the avoidance of doubt, the allocations described in this Section 6.1 shall not apply for U.S. federal income tax purposes.</w:t>
      </w:r>
    </w:p>
    <w:p>
      <w:pPr>
        <w:spacing w:after="0" w:line="189" w:lineRule="exact"/>
        <w:rPr>
          <w:sz w:val="20"/>
          <w:szCs w:val="20"/>
          <w:color w:val="auto"/>
        </w:rPr>
      </w:pPr>
    </w:p>
    <w:p>
      <w:pPr>
        <w:ind w:firstLine="1297"/>
        <w:spacing w:after="0" w:line="244" w:lineRule="auto"/>
        <w:rPr>
          <w:sz w:val="20"/>
          <w:szCs w:val="20"/>
          <w:color w:val="auto"/>
        </w:rPr>
      </w:pPr>
      <w:r>
        <w:rPr>
          <w:rFonts w:ascii="Arial" w:cs="Arial" w:eastAsia="Arial" w:hAnsi="Arial"/>
          <w:sz w:val="21"/>
          <w:szCs w:val="21"/>
          <w:color w:val="auto"/>
        </w:rPr>
        <w:t xml:space="preserve">Section 6.2. </w:t>
      </w:r>
      <w:r>
        <w:rPr>
          <w:rFonts w:ascii="Arial" w:cs="Arial" w:eastAsia="Arial" w:hAnsi="Arial"/>
          <w:sz w:val="21"/>
          <w:szCs w:val="21"/>
          <w:i w:val="1"/>
          <w:iCs w:val="1"/>
          <w:color w:val="auto"/>
        </w:rPr>
        <w:t>Requirement and Characterization of Distributions; Distributions to Record Holders</w:t>
      </w:r>
      <w:r>
        <w:rPr>
          <w:rFonts w:ascii="Arial" w:cs="Arial" w:eastAsia="Arial" w:hAnsi="Arial"/>
          <w:sz w:val="21"/>
          <w:szCs w:val="21"/>
          <w:color w:val="auto"/>
        </w:rPr>
        <w:t xml:space="preserve">. (a) Within 45 days following the end of each Quarter commencing with the Quarter ending on June 30, 2014, an amount equal to 100% of Available Cash with respect to such Quarter shall, subject to Section 51 of the Marshall Islands Act, be distributed in accordance with this </w:t>
      </w:r>
      <w:r>
        <w:rPr>
          <w:rFonts w:ascii="Arial" w:cs="Arial" w:eastAsia="Arial" w:hAnsi="Arial"/>
          <w:sz w:val="21"/>
          <w:szCs w:val="21"/>
          <w:u w:val="single" w:color="auto"/>
          <w:color w:val="auto"/>
        </w:rPr>
        <w:t>Article VI</w:t>
      </w:r>
      <w:r>
        <w:rPr>
          <w:rFonts w:ascii="Arial" w:cs="Arial" w:eastAsia="Arial" w:hAnsi="Arial"/>
          <w:sz w:val="21"/>
          <w:szCs w:val="21"/>
          <w:color w:val="auto"/>
        </w:rPr>
        <w:t xml:space="preserve"> by the Partnership to the Partners as of the Record Date selected by the Board of Directors. All amounts of Available Cash distributed by the Partnership on any date following the Closing Date from any source shall be deemed to be Operating Surplus until the sum of all amounts of Available Cash theretofore distributed by the Partnership to the Partners following the Closing Date pursuant to </w:t>
      </w:r>
      <w:r>
        <w:rPr>
          <w:rFonts w:ascii="Arial" w:cs="Arial" w:eastAsia="Arial" w:hAnsi="Arial"/>
          <w:sz w:val="21"/>
          <w:szCs w:val="21"/>
          <w:u w:val="single" w:color="auto"/>
          <w:color w:val="auto"/>
        </w:rPr>
        <w:t>Section 6.3</w:t>
      </w:r>
      <w:r>
        <w:rPr>
          <w:rFonts w:ascii="Arial" w:cs="Arial" w:eastAsia="Arial" w:hAnsi="Arial"/>
          <w:sz w:val="21"/>
          <w:szCs w:val="21"/>
          <w:color w:val="auto"/>
        </w:rPr>
        <w:t xml:space="preserve"> equals the Operating Surplus from the Closing Date through the close of the immediately preceding Quarter. Any remaining amounts of Available Cash distributed by the Partnership on such date shall, except as otherwise provided in </w:t>
      </w:r>
      <w:r>
        <w:rPr>
          <w:rFonts w:ascii="Arial" w:cs="Arial" w:eastAsia="Arial" w:hAnsi="Arial"/>
          <w:sz w:val="21"/>
          <w:szCs w:val="21"/>
          <w:u w:val="single" w:color="auto"/>
          <w:color w:val="auto"/>
        </w:rPr>
        <w:t>Section 6.4</w:t>
      </w:r>
      <w:r>
        <w:rPr>
          <w:rFonts w:ascii="Arial" w:cs="Arial" w:eastAsia="Arial" w:hAnsi="Arial"/>
          <w:sz w:val="21"/>
          <w:szCs w:val="21"/>
          <w:color w:val="auto"/>
        </w:rPr>
        <w:t>, be deemed to be “</w:t>
      </w:r>
      <w:r>
        <w:rPr>
          <w:rFonts w:ascii="Arial" w:cs="Arial" w:eastAsia="Arial" w:hAnsi="Arial"/>
          <w:sz w:val="21"/>
          <w:szCs w:val="21"/>
          <w:b w:val="1"/>
          <w:bCs w:val="1"/>
          <w:i w:val="1"/>
          <w:iCs w:val="1"/>
          <w:color w:val="auto"/>
        </w:rPr>
        <w:t>Capital Surplus</w:t>
      </w:r>
      <w:r>
        <w:rPr>
          <w:rFonts w:ascii="Arial" w:cs="Arial" w:eastAsia="Arial" w:hAnsi="Arial"/>
          <w:sz w:val="21"/>
          <w:szCs w:val="21"/>
          <w:color w:val="auto"/>
        </w:rPr>
        <w:t xml:space="preserve">.” Notwithstanding any provision to the contrary contained in this Agreement, the Partnership shall not make a distribution to any Partner on account of its interest in the Partnership if such distribution would violate the Marshall Islands Act or any other applicable law. This </w:t>
      </w:r>
      <w:r>
        <w:rPr>
          <w:rFonts w:ascii="Arial" w:cs="Arial" w:eastAsia="Arial" w:hAnsi="Arial"/>
          <w:sz w:val="21"/>
          <w:szCs w:val="21"/>
          <w:u w:val="single" w:color="auto"/>
          <w:color w:val="auto"/>
        </w:rPr>
        <w:t>Section 6.2(a)</w:t>
      </w:r>
      <w:r>
        <w:rPr>
          <w:rFonts w:ascii="Arial" w:cs="Arial" w:eastAsia="Arial" w:hAnsi="Arial"/>
          <w:sz w:val="21"/>
          <w:szCs w:val="21"/>
          <w:color w:val="auto"/>
        </w:rPr>
        <w:t xml:space="preserve"> shall not apply to Preference Units.</w:t>
      </w:r>
    </w:p>
    <w:p>
      <w:pPr>
        <w:spacing w:after="0" w:line="16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60"/>
          </w:cols>
          <w:pgMar w:left="240" w:top="402" w:right="299" w:bottom="1440" w:gutter="0" w:footer="0" w:header="0"/>
        </w:sectPr>
      </w:pPr>
    </w:p>
    <w:bookmarkStart w:id="45" w:name="page46"/>
    <w:bookmarkEnd w:id="45"/>
    <w:p>
      <w:pPr>
        <w:ind w:right="20" w:firstLine="1305"/>
        <w:spacing w:after="0" w:line="238" w:lineRule="auto"/>
        <w:tabs>
          <w:tab w:leader="none" w:pos="1819" w:val="left"/>
        </w:tabs>
        <w:numPr>
          <w:ilvl w:val="0"/>
          <w:numId w:val="31"/>
        </w:numPr>
        <w:rPr>
          <w:rFonts w:ascii="Arial" w:cs="Arial" w:eastAsia="Arial" w:hAnsi="Arial"/>
          <w:sz w:val="22"/>
          <w:szCs w:val="22"/>
          <w:color w:val="auto"/>
        </w:rPr>
      </w:pPr>
      <w:r>
        <w:rPr>
          <w:rFonts w:ascii="Arial" w:cs="Arial" w:eastAsia="Arial" w:hAnsi="Arial"/>
          <w:sz w:val="22"/>
          <w:szCs w:val="22"/>
          <w:color w:val="auto"/>
        </w:rPr>
        <w:t xml:space="preserve">Notwithstanding the first three sentences of </w:t>
      </w:r>
      <w:r>
        <w:rPr>
          <w:rFonts w:ascii="Arial" w:cs="Arial" w:eastAsia="Arial" w:hAnsi="Arial"/>
          <w:sz w:val="22"/>
          <w:szCs w:val="22"/>
          <w:u w:val="single" w:color="auto"/>
          <w:color w:val="auto"/>
        </w:rPr>
        <w:t>Section 6.2(a)</w:t>
      </w:r>
      <w:r>
        <w:rPr>
          <w:rFonts w:ascii="Arial" w:cs="Arial" w:eastAsia="Arial" w:hAnsi="Arial"/>
          <w:sz w:val="22"/>
          <w:szCs w:val="22"/>
          <w:color w:val="auto"/>
        </w:rPr>
        <w:t xml:space="preserve">, in the event of the dissolution and liquidation of the Partnership, all receipts received during or after the Quarter in which the Liquidation Date occurs, other than from borrowings described in </w:t>
      </w:r>
      <w:r>
        <w:rPr>
          <w:rFonts w:ascii="Arial" w:cs="Arial" w:eastAsia="Arial" w:hAnsi="Arial"/>
          <w:sz w:val="22"/>
          <w:szCs w:val="22"/>
          <w:u w:val="single" w:color="auto"/>
          <w:color w:val="auto"/>
        </w:rPr>
        <w:t>(a)(ii)</w:t>
      </w:r>
      <w:r>
        <w:rPr>
          <w:rFonts w:ascii="Arial" w:cs="Arial" w:eastAsia="Arial" w:hAnsi="Arial"/>
          <w:sz w:val="22"/>
          <w:szCs w:val="22"/>
          <w:color w:val="auto"/>
        </w:rPr>
        <w:t xml:space="preserve"> of the definition of Available Cash, shall be applied and distributed solely in accordance with, and subject to the terms and conditions of, </w:t>
      </w:r>
      <w:r>
        <w:rPr>
          <w:rFonts w:ascii="Arial" w:cs="Arial" w:eastAsia="Arial" w:hAnsi="Arial"/>
          <w:sz w:val="22"/>
          <w:szCs w:val="22"/>
          <w:u w:val="single" w:color="auto"/>
          <w:color w:val="auto"/>
        </w:rPr>
        <w:t>Section 12.4</w:t>
      </w:r>
      <w:r>
        <w:rPr>
          <w:rFonts w:ascii="Arial" w:cs="Arial" w:eastAsia="Arial" w:hAnsi="Arial"/>
          <w:sz w:val="22"/>
          <w:szCs w:val="22"/>
          <w:color w:val="auto"/>
        </w:rPr>
        <w:t>.</w:t>
      </w:r>
    </w:p>
    <w:p>
      <w:pPr>
        <w:spacing w:after="0" w:line="212" w:lineRule="exact"/>
        <w:rPr>
          <w:rFonts w:ascii="Arial" w:cs="Arial" w:eastAsia="Arial" w:hAnsi="Arial"/>
          <w:sz w:val="22"/>
          <w:szCs w:val="22"/>
          <w:color w:val="auto"/>
        </w:rPr>
      </w:pPr>
    </w:p>
    <w:p>
      <w:pPr>
        <w:ind w:right="40" w:firstLine="1305"/>
        <w:spacing w:after="0" w:line="236" w:lineRule="auto"/>
        <w:tabs>
          <w:tab w:leader="none" w:pos="1807" w:val="left"/>
        </w:tabs>
        <w:numPr>
          <w:ilvl w:val="0"/>
          <w:numId w:val="31"/>
        </w:numPr>
        <w:rPr>
          <w:rFonts w:ascii="Arial" w:cs="Arial" w:eastAsia="Arial" w:hAnsi="Arial"/>
          <w:sz w:val="22"/>
          <w:szCs w:val="22"/>
          <w:color w:val="auto"/>
        </w:rPr>
      </w:pPr>
      <w:r>
        <w:rPr>
          <w:rFonts w:ascii="Arial" w:cs="Arial" w:eastAsia="Arial" w:hAnsi="Arial"/>
          <w:sz w:val="22"/>
          <w:szCs w:val="22"/>
          <w:color w:val="auto"/>
        </w:rPr>
        <w:t>Each distribution in respect of a Partnership Interest shall be paid by the Partnership, directly or through the Transfer Agent or through any other Person or agent, only to the Record Holder of such Partnership Interest as of the Record Date set for such distribution. Such payment shall constitute full payment and satisfaction of the Partnership’s liability in respect of such payment, regardless of any claim of any Person who may have an interest in such payment by reason of an assignment or otherwise.</w:t>
      </w:r>
    </w:p>
    <w:p>
      <w:pPr>
        <w:spacing w:after="0" w:line="215" w:lineRule="exact"/>
        <w:rPr>
          <w:sz w:val="20"/>
          <w:szCs w:val="20"/>
          <w:color w:val="auto"/>
        </w:rPr>
      </w:pPr>
    </w:p>
    <w:p>
      <w:pPr>
        <w:ind w:right="80" w:firstLine="1297"/>
        <w:spacing w:after="0" w:line="249" w:lineRule="auto"/>
        <w:rPr>
          <w:sz w:val="20"/>
          <w:szCs w:val="20"/>
          <w:color w:val="auto"/>
        </w:rPr>
      </w:pPr>
      <w:r>
        <w:rPr>
          <w:rFonts w:ascii="Arial" w:cs="Arial" w:eastAsia="Arial" w:hAnsi="Arial"/>
          <w:sz w:val="21"/>
          <w:szCs w:val="21"/>
          <w:color w:val="auto"/>
        </w:rPr>
        <w:t xml:space="preserve">Section 6.3. </w:t>
      </w:r>
      <w:r>
        <w:rPr>
          <w:rFonts w:ascii="Arial" w:cs="Arial" w:eastAsia="Arial" w:hAnsi="Arial"/>
          <w:sz w:val="21"/>
          <w:szCs w:val="21"/>
          <w:i w:val="1"/>
          <w:iCs w:val="1"/>
          <w:color w:val="auto"/>
        </w:rPr>
        <w:t>Distributions of Available Cash from Operating Surplus</w:t>
      </w:r>
      <w:r>
        <w:rPr>
          <w:rFonts w:ascii="Arial" w:cs="Arial" w:eastAsia="Arial" w:hAnsi="Arial"/>
          <w:sz w:val="21"/>
          <w:szCs w:val="21"/>
          <w:color w:val="auto"/>
        </w:rPr>
        <w:t xml:space="preserve">. (a) During Subordination Period. Available Cash with respect to any Quarter or portion thereof within the Subordination Period that is deemed to be Operating Surplus pursuant to the provisions of </w:t>
      </w:r>
      <w:r>
        <w:rPr>
          <w:rFonts w:ascii="Arial" w:cs="Arial" w:eastAsia="Arial" w:hAnsi="Arial"/>
          <w:sz w:val="21"/>
          <w:szCs w:val="21"/>
          <w:u w:val="single" w:color="auto"/>
          <w:color w:val="auto"/>
        </w:rPr>
        <w:t>Section 6.2</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 6.4</w:t>
      </w:r>
      <w:r>
        <w:rPr>
          <w:rFonts w:ascii="Arial" w:cs="Arial" w:eastAsia="Arial" w:hAnsi="Arial"/>
          <w:sz w:val="21"/>
          <w:szCs w:val="21"/>
          <w:color w:val="auto"/>
        </w:rPr>
        <w:t xml:space="preserve"> shall, subject to Section 51 of the Marshall Islands Act, be distributed as follows (subject to </w:t>
      </w:r>
      <w:r>
        <w:rPr>
          <w:rFonts w:ascii="Arial" w:cs="Arial" w:eastAsia="Arial" w:hAnsi="Arial"/>
          <w:sz w:val="21"/>
          <w:szCs w:val="21"/>
          <w:u w:val="single" w:color="auto"/>
          <w:color w:val="auto"/>
        </w:rPr>
        <w:t>Section 16.3</w:t>
      </w:r>
      <w:r>
        <w:rPr>
          <w:rFonts w:ascii="Arial" w:cs="Arial" w:eastAsia="Arial" w:hAnsi="Arial"/>
          <w:sz w:val="21"/>
          <w:szCs w:val="21"/>
          <w:color w:val="auto"/>
        </w:rPr>
        <w:t xml:space="preserve"> in respect of Series A Preference Units described therein and except as otherwise contemplated by </w:t>
      </w:r>
      <w:r>
        <w:rPr>
          <w:rFonts w:ascii="Arial" w:cs="Arial" w:eastAsia="Arial" w:hAnsi="Arial"/>
          <w:sz w:val="21"/>
          <w:szCs w:val="21"/>
          <w:u w:val="single" w:color="auto"/>
          <w:color w:val="auto"/>
        </w:rPr>
        <w:t>Section 5.4</w:t>
      </w:r>
      <w:r>
        <w:rPr>
          <w:rFonts w:ascii="Arial" w:cs="Arial" w:eastAsia="Arial" w:hAnsi="Arial"/>
          <w:sz w:val="21"/>
          <w:szCs w:val="21"/>
          <w:color w:val="auto"/>
        </w:rPr>
        <w:t xml:space="preserve"> in respect of other Partnership Interests issued pursuant thereto):</w:t>
      </w:r>
    </w:p>
    <w:p>
      <w:pPr>
        <w:spacing w:after="0" w:line="206" w:lineRule="exact"/>
        <w:rPr>
          <w:sz w:val="20"/>
          <w:szCs w:val="20"/>
          <w:color w:val="auto"/>
        </w:rPr>
      </w:pPr>
    </w:p>
    <w:p>
      <w:pPr>
        <w:ind w:left="660" w:right="20" w:firstLine="645"/>
        <w:spacing w:after="0" w:line="238" w:lineRule="auto"/>
        <w:tabs>
          <w:tab w:leader="none" w:pos="1782" w:val="left"/>
        </w:tabs>
        <w:numPr>
          <w:ilvl w:val="0"/>
          <w:numId w:val="32"/>
        </w:numPr>
        <w:rPr>
          <w:rFonts w:ascii="Arial" w:cs="Arial" w:eastAsia="Arial" w:hAnsi="Arial"/>
          <w:sz w:val="22"/>
          <w:szCs w:val="22"/>
          <w:color w:val="auto"/>
        </w:rPr>
      </w:pPr>
      <w:r>
        <w:rPr>
          <w:rFonts w:ascii="Arial" w:cs="Arial" w:eastAsia="Arial" w:hAnsi="Arial"/>
          <w:sz w:val="22"/>
          <w:szCs w:val="22"/>
          <w:i w:val="1"/>
          <w:iCs w:val="1"/>
          <w:color w:val="auto"/>
        </w:rPr>
        <w:t>First</w:t>
      </w:r>
      <w:r>
        <w:rPr>
          <w:rFonts w:ascii="Arial" w:cs="Arial" w:eastAsia="Arial" w:hAnsi="Arial"/>
          <w:sz w:val="22"/>
          <w:szCs w:val="22"/>
          <w:color w:val="auto"/>
        </w:rPr>
        <w:t>, (x) to the General Partner in accordance with its Percentage Interest and (y) to all the Unitholders</w:t>
      </w:r>
      <w:r>
        <w:rPr>
          <w:rFonts w:ascii="Arial" w:cs="Arial" w:eastAsia="Arial" w:hAnsi="Arial"/>
          <w:sz w:val="22"/>
          <w:szCs w:val="22"/>
          <w:i w:val="1"/>
          <w:iCs w:val="1"/>
          <w:color w:val="auto"/>
        </w:rPr>
        <w:t xml:space="preserve"> </w:t>
      </w:r>
      <w:r>
        <w:rPr>
          <w:rFonts w:ascii="Arial" w:cs="Arial" w:eastAsia="Arial" w:hAnsi="Arial"/>
          <w:sz w:val="22"/>
          <w:szCs w:val="22"/>
          <w:color w:val="auto"/>
        </w:rPr>
        <w:t>holding Common Units, Pro Rata, a percentage equal to 100% less the General Partner’s Percentage Interest, until there has been distributed in respect of each Common Unit then Outstanding an amount equal to the Minimum Quarterly Distribution for such Quarter;</w:t>
      </w:r>
    </w:p>
    <w:p>
      <w:pPr>
        <w:spacing w:after="0" w:line="212" w:lineRule="exact"/>
        <w:rPr>
          <w:rFonts w:ascii="Arial" w:cs="Arial" w:eastAsia="Arial" w:hAnsi="Arial"/>
          <w:sz w:val="22"/>
          <w:szCs w:val="22"/>
          <w:color w:val="auto"/>
        </w:rPr>
      </w:pPr>
    </w:p>
    <w:p>
      <w:pPr>
        <w:ind w:left="660" w:firstLine="645"/>
        <w:spacing w:after="0" w:line="238" w:lineRule="auto"/>
        <w:tabs>
          <w:tab w:leader="none" w:pos="1842" w:val="left"/>
        </w:tabs>
        <w:numPr>
          <w:ilvl w:val="0"/>
          <w:numId w:val="32"/>
        </w:numPr>
        <w:rPr>
          <w:rFonts w:ascii="Arial" w:cs="Arial" w:eastAsia="Arial" w:hAnsi="Arial"/>
          <w:sz w:val="22"/>
          <w:szCs w:val="22"/>
          <w:color w:val="auto"/>
        </w:rPr>
      </w:pPr>
      <w:r>
        <w:rPr>
          <w:rFonts w:ascii="Arial" w:cs="Arial" w:eastAsia="Arial" w:hAnsi="Arial"/>
          <w:sz w:val="22"/>
          <w:szCs w:val="22"/>
          <w:i w:val="1"/>
          <w:iCs w:val="1"/>
          <w:color w:val="auto"/>
        </w:rPr>
        <w:t>Second</w:t>
      </w:r>
      <w:r>
        <w:rPr>
          <w:rFonts w:ascii="Arial" w:cs="Arial" w:eastAsia="Arial" w:hAnsi="Arial"/>
          <w:sz w:val="22"/>
          <w:szCs w:val="22"/>
          <w:color w:val="auto"/>
        </w:rPr>
        <w:t>, (x) to the General Partner in accordance with its Percentage Interest and (y) to all Unitholders holding</w:t>
      </w:r>
      <w:r>
        <w:rPr>
          <w:rFonts w:ascii="Arial" w:cs="Arial" w:eastAsia="Arial" w:hAnsi="Arial"/>
          <w:sz w:val="22"/>
          <w:szCs w:val="22"/>
          <w:i w:val="1"/>
          <w:iCs w:val="1"/>
          <w:color w:val="auto"/>
        </w:rPr>
        <w:t xml:space="preserve"> </w:t>
      </w:r>
      <w:r>
        <w:rPr>
          <w:rFonts w:ascii="Arial" w:cs="Arial" w:eastAsia="Arial" w:hAnsi="Arial"/>
          <w:sz w:val="22"/>
          <w:szCs w:val="22"/>
          <w:color w:val="auto"/>
        </w:rPr>
        <w:t>Common Units, Pro Rata, a percentage equal to 100% less the General Partner’s Percentage Interest, until there has been distributed in respect of each Common Unit then Outstanding an amount equal to the Cumulative Common Unit Arrearage existing with respect to such Quarter;</w:t>
      </w:r>
    </w:p>
    <w:p>
      <w:pPr>
        <w:spacing w:after="0" w:line="212" w:lineRule="exact"/>
        <w:rPr>
          <w:rFonts w:ascii="Arial" w:cs="Arial" w:eastAsia="Arial" w:hAnsi="Arial"/>
          <w:sz w:val="22"/>
          <w:szCs w:val="22"/>
          <w:color w:val="auto"/>
        </w:rPr>
      </w:pPr>
    </w:p>
    <w:p>
      <w:pPr>
        <w:ind w:left="660" w:right="100" w:firstLine="645"/>
        <w:spacing w:after="0" w:line="238" w:lineRule="auto"/>
        <w:tabs>
          <w:tab w:leader="none" w:pos="1902" w:val="left"/>
        </w:tabs>
        <w:numPr>
          <w:ilvl w:val="0"/>
          <w:numId w:val="32"/>
        </w:numPr>
        <w:rPr>
          <w:rFonts w:ascii="Arial" w:cs="Arial" w:eastAsia="Arial" w:hAnsi="Arial"/>
          <w:sz w:val="22"/>
          <w:szCs w:val="22"/>
          <w:color w:val="auto"/>
        </w:rPr>
      </w:pPr>
      <w:r>
        <w:rPr>
          <w:rFonts w:ascii="Arial" w:cs="Arial" w:eastAsia="Arial" w:hAnsi="Arial"/>
          <w:sz w:val="22"/>
          <w:szCs w:val="22"/>
          <w:i w:val="1"/>
          <w:iCs w:val="1"/>
          <w:color w:val="auto"/>
        </w:rPr>
        <w:t>Third</w:t>
      </w:r>
      <w:r>
        <w:rPr>
          <w:rFonts w:ascii="Arial" w:cs="Arial" w:eastAsia="Arial" w:hAnsi="Arial"/>
          <w:sz w:val="22"/>
          <w:szCs w:val="22"/>
          <w:color w:val="auto"/>
        </w:rPr>
        <w:t>, (x) to the General Partner in accordance with its Percentage Interest and (y) to all Unitholders holding</w:t>
      </w:r>
      <w:r>
        <w:rPr>
          <w:rFonts w:ascii="Arial" w:cs="Arial" w:eastAsia="Arial" w:hAnsi="Arial"/>
          <w:sz w:val="22"/>
          <w:szCs w:val="22"/>
          <w:i w:val="1"/>
          <w:iCs w:val="1"/>
          <w:color w:val="auto"/>
        </w:rPr>
        <w:t xml:space="preserve"> </w:t>
      </w:r>
      <w:r>
        <w:rPr>
          <w:rFonts w:ascii="Arial" w:cs="Arial" w:eastAsia="Arial" w:hAnsi="Arial"/>
          <w:sz w:val="22"/>
          <w:szCs w:val="22"/>
          <w:color w:val="auto"/>
        </w:rPr>
        <w:t>Subordinated Units, Pro Rata, a percentage equal to 100% less the General Partner’s Percentage Interest, until there has been distributed in respect of each Subordinated Unit then Outstanding an amount equal to the Minimum Quarterly Distribution for such Quarter;</w:t>
      </w:r>
    </w:p>
    <w:p>
      <w:pPr>
        <w:spacing w:after="0" w:line="212" w:lineRule="exact"/>
        <w:rPr>
          <w:rFonts w:ascii="Arial" w:cs="Arial" w:eastAsia="Arial" w:hAnsi="Arial"/>
          <w:sz w:val="22"/>
          <w:szCs w:val="22"/>
          <w:color w:val="auto"/>
        </w:rPr>
      </w:pPr>
    </w:p>
    <w:p>
      <w:pPr>
        <w:jc w:val="both"/>
        <w:ind w:left="660" w:right="260" w:firstLine="645"/>
        <w:spacing w:after="0" w:line="258" w:lineRule="auto"/>
        <w:tabs>
          <w:tab w:leader="none" w:pos="1890" w:val="left"/>
        </w:tabs>
        <w:numPr>
          <w:ilvl w:val="0"/>
          <w:numId w:val="32"/>
        </w:numPr>
        <w:rPr>
          <w:rFonts w:ascii="Arial" w:cs="Arial" w:eastAsia="Arial" w:hAnsi="Arial"/>
          <w:sz w:val="21"/>
          <w:szCs w:val="21"/>
          <w:color w:val="auto"/>
        </w:rPr>
      </w:pPr>
      <w:r>
        <w:rPr>
          <w:rFonts w:ascii="Arial" w:cs="Arial" w:eastAsia="Arial" w:hAnsi="Arial"/>
          <w:sz w:val="21"/>
          <w:szCs w:val="21"/>
          <w:i w:val="1"/>
          <w:iCs w:val="1"/>
          <w:color w:val="auto"/>
        </w:rPr>
        <w:t>Fourth</w:t>
      </w:r>
      <w:r>
        <w:rPr>
          <w:rFonts w:ascii="Arial" w:cs="Arial" w:eastAsia="Arial" w:hAnsi="Arial"/>
          <w:sz w:val="21"/>
          <w:szCs w:val="21"/>
          <w:color w:val="auto"/>
        </w:rPr>
        <w:t>, to the General Partner and all Unitholders in accordance with their respective Percentage Interests,</w:t>
      </w:r>
      <w:r>
        <w:rPr>
          <w:rFonts w:ascii="Arial" w:cs="Arial" w:eastAsia="Arial" w:hAnsi="Arial"/>
          <w:sz w:val="21"/>
          <w:szCs w:val="21"/>
          <w:i w:val="1"/>
          <w:iCs w:val="1"/>
          <w:color w:val="auto"/>
        </w:rPr>
        <w:t xml:space="preserve"> </w:t>
      </w:r>
      <w:r>
        <w:rPr>
          <w:rFonts w:ascii="Arial" w:cs="Arial" w:eastAsia="Arial" w:hAnsi="Arial"/>
          <w:sz w:val="21"/>
          <w:szCs w:val="21"/>
          <w:color w:val="auto"/>
        </w:rPr>
        <w:t>until there has been distributed in respect of each Unit then Outstanding an amount equal to the excess of the First Target Distribution over the Minimum Quarterly Distribution for such Quarter;</w:t>
      </w:r>
    </w:p>
    <w:p>
      <w:pPr>
        <w:spacing w:after="0" w:line="193" w:lineRule="exact"/>
        <w:rPr>
          <w:rFonts w:ascii="Arial" w:cs="Arial" w:eastAsia="Arial" w:hAnsi="Arial"/>
          <w:sz w:val="21"/>
          <w:szCs w:val="21"/>
          <w:color w:val="auto"/>
        </w:rPr>
      </w:pPr>
    </w:p>
    <w:p>
      <w:pPr>
        <w:ind w:left="660" w:right="480" w:firstLine="645"/>
        <w:spacing w:after="0" w:line="251" w:lineRule="auto"/>
        <w:tabs>
          <w:tab w:leader="none" w:pos="1830" w:val="left"/>
        </w:tabs>
        <w:numPr>
          <w:ilvl w:val="0"/>
          <w:numId w:val="32"/>
        </w:numPr>
        <w:rPr>
          <w:rFonts w:ascii="Arial" w:cs="Arial" w:eastAsia="Arial" w:hAnsi="Arial"/>
          <w:sz w:val="22"/>
          <w:szCs w:val="22"/>
          <w:color w:val="auto"/>
        </w:rPr>
      </w:pPr>
      <w:r>
        <w:rPr>
          <w:rFonts w:ascii="Arial" w:cs="Arial" w:eastAsia="Arial" w:hAnsi="Arial"/>
          <w:sz w:val="22"/>
          <w:szCs w:val="22"/>
          <w:i w:val="1"/>
          <w:iCs w:val="1"/>
          <w:color w:val="auto"/>
        </w:rPr>
        <w:t>Fifth</w:t>
      </w:r>
      <w:r>
        <w:rPr>
          <w:rFonts w:ascii="Arial" w:cs="Arial" w:eastAsia="Arial" w:hAnsi="Arial"/>
          <w:sz w:val="22"/>
          <w:szCs w:val="22"/>
          <w:color w:val="auto"/>
        </w:rPr>
        <w:t>, (A) to the General Partner in accordance with its Percentage Interest; (B) 13% to the holders of the</w:t>
      </w:r>
      <w:r>
        <w:rPr>
          <w:rFonts w:ascii="Arial" w:cs="Arial" w:eastAsia="Arial" w:hAnsi="Arial"/>
          <w:sz w:val="22"/>
          <w:szCs w:val="22"/>
          <w:i w:val="1"/>
          <w:iCs w:val="1"/>
          <w:color w:val="auto"/>
        </w:rPr>
        <w:t xml:space="preserve"> </w:t>
      </w:r>
      <w:r>
        <w:rPr>
          <w:rFonts w:ascii="Arial" w:cs="Arial" w:eastAsia="Arial" w:hAnsi="Arial"/>
          <w:sz w:val="22"/>
          <w:szCs w:val="22"/>
          <w:color w:val="auto"/>
        </w:rPr>
        <w:t>Incentive Distribution Rights, Pro Rata; and (C) to</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80"/>
          </w:cols>
          <w:pgMar w:left="240" w:top="402" w:right="279" w:bottom="1440" w:gutter="0" w:footer="0" w:header="0"/>
        </w:sectPr>
      </w:pPr>
    </w:p>
    <w:bookmarkStart w:id="46" w:name="page47"/>
    <w:bookmarkEnd w:id="46"/>
    <w:p>
      <w:pPr>
        <w:jc w:val="both"/>
        <w:ind w:left="660" w:right="160"/>
        <w:spacing w:after="0" w:line="258" w:lineRule="auto"/>
        <w:rPr>
          <w:sz w:val="20"/>
          <w:szCs w:val="20"/>
          <w:color w:val="auto"/>
        </w:rPr>
      </w:pPr>
      <w:r>
        <w:rPr>
          <w:rFonts w:ascii="Arial" w:cs="Arial" w:eastAsia="Arial" w:hAnsi="Arial"/>
          <w:sz w:val="21"/>
          <w:szCs w:val="21"/>
          <w:color w:val="auto"/>
        </w:rPr>
        <w:t xml:space="preserve">all Unitholders, Pro Rata, a percentage equal to 100% less the sum of the percentages applicable to </w:t>
      </w:r>
      <w:r>
        <w:rPr>
          <w:rFonts w:ascii="Arial" w:cs="Arial" w:eastAsia="Arial" w:hAnsi="Arial"/>
          <w:sz w:val="21"/>
          <w:szCs w:val="21"/>
          <w:u w:val="single" w:color="auto"/>
          <w:color w:val="auto"/>
        </w:rPr>
        <w:t>subclauses (A)</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(B)</w:t>
      </w:r>
      <w:r>
        <w:rPr>
          <w:rFonts w:ascii="Arial" w:cs="Arial" w:eastAsia="Arial" w:hAnsi="Arial"/>
          <w:sz w:val="21"/>
          <w:szCs w:val="21"/>
          <w:color w:val="auto"/>
        </w:rPr>
        <w:t xml:space="preserve"> of this </w:t>
      </w:r>
      <w:r>
        <w:rPr>
          <w:rFonts w:ascii="Arial" w:cs="Arial" w:eastAsia="Arial" w:hAnsi="Arial"/>
          <w:sz w:val="21"/>
          <w:szCs w:val="21"/>
          <w:u w:val="single" w:color="auto"/>
          <w:color w:val="auto"/>
        </w:rPr>
        <w:t>clause (v)</w:t>
      </w:r>
      <w:r>
        <w:rPr>
          <w:rFonts w:ascii="Arial" w:cs="Arial" w:eastAsia="Arial" w:hAnsi="Arial"/>
          <w:sz w:val="21"/>
          <w:szCs w:val="21"/>
          <w:color w:val="auto"/>
        </w:rPr>
        <w:t xml:space="preserve"> until there has been distributed in respect of each Unit then Outstanding an amount equal to the excess of the Second Target Distribution over the First Target Distribution for such Quarter;</w:t>
      </w:r>
    </w:p>
    <w:p>
      <w:pPr>
        <w:spacing w:after="0" w:line="194" w:lineRule="exact"/>
        <w:rPr>
          <w:sz w:val="20"/>
          <w:szCs w:val="20"/>
          <w:color w:val="auto"/>
        </w:rPr>
      </w:pPr>
    </w:p>
    <w:p>
      <w:pPr>
        <w:ind w:left="660" w:right="20" w:firstLine="645"/>
        <w:spacing w:after="0" w:line="236" w:lineRule="auto"/>
        <w:tabs>
          <w:tab w:leader="none" w:pos="1890" w:val="left"/>
        </w:tabs>
        <w:numPr>
          <w:ilvl w:val="0"/>
          <w:numId w:val="33"/>
        </w:numPr>
        <w:rPr>
          <w:rFonts w:ascii="Arial" w:cs="Arial" w:eastAsia="Arial" w:hAnsi="Arial"/>
          <w:sz w:val="22"/>
          <w:szCs w:val="22"/>
          <w:color w:val="auto"/>
        </w:rPr>
      </w:pPr>
      <w:r>
        <w:rPr>
          <w:rFonts w:ascii="Arial" w:cs="Arial" w:eastAsia="Arial" w:hAnsi="Arial"/>
          <w:sz w:val="22"/>
          <w:szCs w:val="22"/>
          <w:i w:val="1"/>
          <w:iCs w:val="1"/>
          <w:color w:val="auto"/>
        </w:rPr>
        <w:t>Sixth</w:t>
      </w:r>
      <w:r>
        <w:rPr>
          <w:rFonts w:ascii="Arial" w:cs="Arial" w:eastAsia="Arial" w:hAnsi="Arial"/>
          <w:sz w:val="22"/>
          <w:szCs w:val="22"/>
          <w:color w:val="auto"/>
        </w:rPr>
        <w:t>, (A) to the General Partner in accordance with its Percentage Interest, (B) 23% to the holders of the</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Incentive Distribution Rights, Pro Rata; and (C) to all Unitholders, Pro Rata, a percentage equal to 100% less the sum of the percentages applicable to </w:t>
      </w:r>
      <w:r>
        <w:rPr>
          <w:rFonts w:ascii="Arial" w:cs="Arial" w:eastAsia="Arial" w:hAnsi="Arial"/>
          <w:sz w:val="22"/>
          <w:szCs w:val="22"/>
          <w:u w:val="single" w:color="auto"/>
          <w:color w:val="auto"/>
        </w:rPr>
        <w:t>subclauses (A)</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(B)</w:t>
      </w:r>
      <w:r>
        <w:rPr>
          <w:rFonts w:ascii="Arial" w:cs="Arial" w:eastAsia="Arial" w:hAnsi="Arial"/>
          <w:sz w:val="22"/>
          <w:szCs w:val="22"/>
          <w:color w:val="auto"/>
        </w:rPr>
        <w:t xml:space="preserve"> of this </w:t>
      </w:r>
      <w:r>
        <w:rPr>
          <w:rFonts w:ascii="Arial" w:cs="Arial" w:eastAsia="Arial" w:hAnsi="Arial"/>
          <w:sz w:val="22"/>
          <w:szCs w:val="22"/>
          <w:u w:val="single" w:color="auto"/>
          <w:color w:val="auto"/>
        </w:rPr>
        <w:t>subclause (vi)</w:t>
      </w:r>
      <w:r>
        <w:rPr>
          <w:rFonts w:ascii="Arial" w:cs="Arial" w:eastAsia="Arial" w:hAnsi="Arial"/>
          <w:sz w:val="22"/>
          <w:szCs w:val="22"/>
          <w:color w:val="auto"/>
        </w:rPr>
        <w:t>, until there has been distributed in respect of each Unit then Outstanding an amount equal to the excess of the Third Target Distribution over the Second Target Distribution for such Quarter; and</w:t>
      </w:r>
    </w:p>
    <w:p>
      <w:pPr>
        <w:spacing w:after="0" w:line="214" w:lineRule="exact"/>
        <w:rPr>
          <w:rFonts w:ascii="Arial" w:cs="Arial" w:eastAsia="Arial" w:hAnsi="Arial"/>
          <w:sz w:val="22"/>
          <w:szCs w:val="22"/>
          <w:color w:val="auto"/>
        </w:rPr>
      </w:pPr>
    </w:p>
    <w:p>
      <w:pPr>
        <w:ind w:left="660" w:right="20" w:firstLine="645"/>
        <w:spacing w:after="0"/>
        <w:tabs>
          <w:tab w:leader="none" w:pos="1950" w:val="left"/>
        </w:tabs>
        <w:numPr>
          <w:ilvl w:val="0"/>
          <w:numId w:val="33"/>
        </w:numPr>
        <w:rPr>
          <w:rFonts w:ascii="Arial" w:cs="Arial" w:eastAsia="Arial" w:hAnsi="Arial"/>
          <w:sz w:val="22"/>
          <w:szCs w:val="22"/>
          <w:color w:val="auto"/>
        </w:rPr>
      </w:pPr>
      <w:r>
        <w:rPr>
          <w:rFonts w:ascii="Arial" w:cs="Arial" w:eastAsia="Arial" w:hAnsi="Arial"/>
          <w:sz w:val="22"/>
          <w:szCs w:val="22"/>
          <w:i w:val="1"/>
          <w:iCs w:val="1"/>
          <w:color w:val="auto"/>
        </w:rPr>
        <w:t>Thereafter</w:t>
      </w:r>
      <w:r>
        <w:rPr>
          <w:rFonts w:ascii="Arial" w:cs="Arial" w:eastAsia="Arial" w:hAnsi="Arial"/>
          <w:sz w:val="22"/>
          <w:szCs w:val="22"/>
          <w:color w:val="auto"/>
        </w:rPr>
        <w:t>, (A) to the General Partner in accordance with its Percentage Interest; (B) 48% to the holders of</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the Incentive Distribution Rights, Pro Rata; and (C) to all Unitholders, Pro Rata, a percentage equal to 100% less the sum of the percentages applicable to </w:t>
      </w:r>
      <w:r>
        <w:rPr>
          <w:rFonts w:ascii="Arial" w:cs="Arial" w:eastAsia="Arial" w:hAnsi="Arial"/>
          <w:sz w:val="22"/>
          <w:szCs w:val="22"/>
          <w:u w:val="single" w:color="auto"/>
          <w:color w:val="auto"/>
        </w:rPr>
        <w:t>subclauses (A)</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(B)</w:t>
      </w:r>
      <w:r>
        <w:rPr>
          <w:rFonts w:ascii="Arial" w:cs="Arial" w:eastAsia="Arial" w:hAnsi="Arial"/>
          <w:sz w:val="22"/>
          <w:szCs w:val="22"/>
          <w:color w:val="auto"/>
        </w:rPr>
        <w:t xml:space="preserve"> of this </w:t>
      </w:r>
      <w:r>
        <w:rPr>
          <w:rFonts w:ascii="Arial" w:cs="Arial" w:eastAsia="Arial" w:hAnsi="Arial"/>
          <w:sz w:val="22"/>
          <w:szCs w:val="22"/>
          <w:u w:val="single" w:color="auto"/>
          <w:color w:val="auto"/>
        </w:rPr>
        <w:t>clause (vii)</w:t>
      </w:r>
      <w:r>
        <w:rPr>
          <w:rFonts w:ascii="Arial" w:cs="Arial" w:eastAsia="Arial" w:hAnsi="Arial"/>
          <w:sz w:val="22"/>
          <w:szCs w:val="22"/>
          <w:color w:val="auto"/>
        </w:rPr>
        <w:t>;</w:t>
      </w:r>
    </w:p>
    <w:p>
      <w:pPr>
        <w:spacing w:after="0" w:line="213" w:lineRule="exact"/>
        <w:rPr>
          <w:sz w:val="20"/>
          <w:szCs w:val="20"/>
          <w:color w:val="auto"/>
        </w:rPr>
      </w:pPr>
    </w:p>
    <w:p>
      <w:pPr>
        <w:spacing w:after="0" w:line="297" w:lineRule="auto"/>
        <w:rPr>
          <w:sz w:val="20"/>
          <w:szCs w:val="20"/>
          <w:color w:val="auto"/>
        </w:rPr>
      </w:pPr>
      <w:r>
        <w:rPr>
          <w:rFonts w:ascii="Arial" w:cs="Arial" w:eastAsia="Arial" w:hAnsi="Arial"/>
          <w:sz w:val="19"/>
          <w:szCs w:val="19"/>
          <w:i w:val="1"/>
          <w:iCs w:val="1"/>
          <w:color w:val="auto"/>
        </w:rPr>
        <w:t>provided</w:t>
      </w:r>
      <w:r>
        <w:rPr>
          <w:rFonts w:ascii="Arial" w:cs="Arial" w:eastAsia="Arial" w:hAnsi="Arial"/>
          <w:sz w:val="19"/>
          <w:szCs w:val="19"/>
          <w:color w:val="auto"/>
        </w:rPr>
        <w:t>,</w:t>
      </w:r>
      <w:r>
        <w:rPr>
          <w:rFonts w:ascii="Arial" w:cs="Arial" w:eastAsia="Arial" w:hAnsi="Arial"/>
          <w:sz w:val="19"/>
          <w:szCs w:val="19"/>
          <w:i w:val="1"/>
          <w:iCs w:val="1"/>
          <w:color w:val="auto"/>
        </w:rPr>
        <w:t xml:space="preserve"> however</w:t>
      </w:r>
      <w:r>
        <w:rPr>
          <w:rFonts w:ascii="Arial" w:cs="Arial" w:eastAsia="Arial" w:hAnsi="Arial"/>
          <w:sz w:val="19"/>
          <w:szCs w:val="19"/>
          <w:color w:val="auto"/>
        </w:rPr>
        <w:t>, that if the Minimum Quarterly Distribution, the First Target Distribution, the Second Target Distribution and the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Third Target Distribution have been reduced to zero pursuant to the second sentence of </w:t>
      </w:r>
      <w:r>
        <w:rPr>
          <w:rFonts w:ascii="Arial" w:cs="Arial" w:eastAsia="Arial" w:hAnsi="Arial"/>
          <w:sz w:val="19"/>
          <w:szCs w:val="19"/>
          <w:u w:val="single" w:color="auto"/>
          <w:color w:val="auto"/>
        </w:rPr>
        <w:t>Section 6.5</w:t>
      </w:r>
      <w:r>
        <w:rPr>
          <w:rFonts w:ascii="Arial" w:cs="Arial" w:eastAsia="Arial" w:hAnsi="Arial"/>
          <w:sz w:val="19"/>
          <w:szCs w:val="19"/>
          <w:color w:val="auto"/>
        </w:rPr>
        <w:t xml:space="preserve">, the distribution of Available Cash that is deemed to be Operating Surplus with respect to any Quarter will be made solely in accordance with </w:t>
      </w:r>
      <w:r>
        <w:rPr>
          <w:rFonts w:ascii="Arial" w:cs="Arial" w:eastAsia="Arial" w:hAnsi="Arial"/>
          <w:sz w:val="19"/>
          <w:szCs w:val="19"/>
          <w:u w:val="single" w:color="auto"/>
          <w:color w:val="auto"/>
        </w:rPr>
        <w:t>Section 6.3(a)(vii)</w:t>
      </w:r>
      <w:r>
        <w:rPr>
          <w:rFonts w:ascii="Arial" w:cs="Arial" w:eastAsia="Arial" w:hAnsi="Arial"/>
          <w:sz w:val="19"/>
          <w:szCs w:val="19"/>
          <w:color w:val="auto"/>
        </w:rPr>
        <w:t>.</w:t>
      </w:r>
    </w:p>
    <w:p>
      <w:pPr>
        <w:spacing w:after="0" w:line="161" w:lineRule="exact"/>
        <w:rPr>
          <w:sz w:val="20"/>
          <w:szCs w:val="20"/>
          <w:color w:val="auto"/>
        </w:rPr>
      </w:pPr>
    </w:p>
    <w:p>
      <w:pPr>
        <w:ind w:right="40" w:firstLine="1305"/>
        <w:spacing w:after="0" w:line="287" w:lineRule="auto"/>
        <w:tabs>
          <w:tab w:leader="none" w:pos="1807" w:val="left"/>
        </w:tabs>
        <w:numPr>
          <w:ilvl w:val="0"/>
          <w:numId w:val="34"/>
        </w:numPr>
        <w:rPr>
          <w:rFonts w:ascii="Arial" w:cs="Arial" w:eastAsia="Arial" w:hAnsi="Arial"/>
          <w:sz w:val="19"/>
          <w:szCs w:val="19"/>
          <w:color w:val="auto"/>
        </w:rPr>
      </w:pPr>
      <w:r>
        <w:rPr>
          <w:rFonts w:ascii="Arial" w:cs="Arial" w:eastAsia="Arial" w:hAnsi="Arial"/>
          <w:sz w:val="19"/>
          <w:szCs w:val="19"/>
          <w:color w:val="auto"/>
        </w:rPr>
        <w:t xml:space="preserve">After Subordination Period. Available Cash with respect to any Quarter after the Subordination Period that is deemed to be Operating Surplus pursuant to the provisions of </w:t>
      </w:r>
      <w:r>
        <w:rPr>
          <w:rFonts w:ascii="Arial" w:cs="Arial" w:eastAsia="Arial" w:hAnsi="Arial"/>
          <w:sz w:val="19"/>
          <w:szCs w:val="19"/>
          <w:u w:val="single" w:color="auto"/>
          <w:color w:val="auto"/>
        </w:rPr>
        <w:t>Section 6.2</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6.4</w:t>
      </w:r>
      <w:r>
        <w:rPr>
          <w:rFonts w:ascii="Arial" w:cs="Arial" w:eastAsia="Arial" w:hAnsi="Arial"/>
          <w:sz w:val="19"/>
          <w:szCs w:val="19"/>
          <w:color w:val="auto"/>
        </w:rPr>
        <w:t xml:space="preserve">, shall subject to Section 51 of the Marshall Islands Act, be distributed as follows (subject to </w:t>
      </w:r>
      <w:r>
        <w:rPr>
          <w:rFonts w:ascii="Arial" w:cs="Arial" w:eastAsia="Arial" w:hAnsi="Arial"/>
          <w:sz w:val="19"/>
          <w:szCs w:val="19"/>
          <w:u w:val="single" w:color="auto"/>
          <w:color w:val="auto"/>
        </w:rPr>
        <w:t>Section 16.3</w:t>
      </w:r>
      <w:r>
        <w:rPr>
          <w:rFonts w:ascii="Arial" w:cs="Arial" w:eastAsia="Arial" w:hAnsi="Arial"/>
          <w:sz w:val="19"/>
          <w:szCs w:val="19"/>
          <w:color w:val="auto"/>
        </w:rPr>
        <w:t xml:space="preserve"> in respect of Series A Preference Units described therein and except as otherwise required by </w:t>
      </w:r>
      <w:r>
        <w:rPr>
          <w:rFonts w:ascii="Arial" w:cs="Arial" w:eastAsia="Arial" w:hAnsi="Arial"/>
          <w:sz w:val="19"/>
          <w:szCs w:val="19"/>
          <w:u w:val="single" w:color="auto"/>
          <w:color w:val="auto"/>
        </w:rPr>
        <w:t>Section 5.4(b)</w:t>
      </w:r>
      <w:r>
        <w:rPr>
          <w:rFonts w:ascii="Arial" w:cs="Arial" w:eastAsia="Arial" w:hAnsi="Arial"/>
          <w:sz w:val="19"/>
          <w:szCs w:val="19"/>
          <w:color w:val="auto"/>
        </w:rPr>
        <w:t xml:space="preserve"> in respect of additional Partnership Interests issued pursuant thereto):</w:t>
      </w:r>
    </w:p>
    <w:p>
      <w:pPr>
        <w:spacing w:after="0" w:line="170" w:lineRule="exact"/>
        <w:rPr>
          <w:sz w:val="20"/>
          <w:szCs w:val="20"/>
          <w:color w:val="auto"/>
        </w:rPr>
      </w:pPr>
    </w:p>
    <w:p>
      <w:pPr>
        <w:ind w:left="660" w:right="180" w:firstLine="645"/>
        <w:spacing w:after="0" w:line="274" w:lineRule="auto"/>
        <w:tabs>
          <w:tab w:leader="none" w:pos="1782" w:val="left"/>
        </w:tabs>
        <w:numPr>
          <w:ilvl w:val="0"/>
          <w:numId w:val="35"/>
        </w:numPr>
        <w:rPr>
          <w:rFonts w:ascii="Arial" w:cs="Arial" w:eastAsia="Arial" w:hAnsi="Arial"/>
          <w:sz w:val="21"/>
          <w:szCs w:val="21"/>
          <w:color w:val="auto"/>
        </w:rPr>
      </w:pPr>
      <w:r>
        <w:rPr>
          <w:rFonts w:ascii="Arial" w:cs="Arial" w:eastAsia="Arial" w:hAnsi="Arial"/>
          <w:sz w:val="21"/>
          <w:szCs w:val="21"/>
          <w:i w:val="1"/>
          <w:iCs w:val="1"/>
          <w:color w:val="auto"/>
        </w:rPr>
        <w:t>First</w:t>
      </w:r>
      <w:r>
        <w:rPr>
          <w:rFonts w:ascii="Arial" w:cs="Arial" w:eastAsia="Arial" w:hAnsi="Arial"/>
          <w:sz w:val="21"/>
          <w:szCs w:val="21"/>
          <w:color w:val="auto"/>
        </w:rPr>
        <w:t>, 100% to the General Partner and the Unitholders Pro Rata, until there has been distributed in respect of</w:t>
      </w:r>
      <w:r>
        <w:rPr>
          <w:rFonts w:ascii="Arial" w:cs="Arial" w:eastAsia="Arial" w:hAnsi="Arial"/>
          <w:sz w:val="21"/>
          <w:szCs w:val="21"/>
          <w:i w:val="1"/>
          <w:iCs w:val="1"/>
          <w:color w:val="auto"/>
        </w:rPr>
        <w:t xml:space="preserve"> </w:t>
      </w:r>
      <w:r>
        <w:rPr>
          <w:rFonts w:ascii="Arial" w:cs="Arial" w:eastAsia="Arial" w:hAnsi="Arial"/>
          <w:sz w:val="21"/>
          <w:szCs w:val="21"/>
          <w:color w:val="auto"/>
        </w:rPr>
        <w:t>each Unit then Outstanding an amount equal to the Minimum Quarterly Distribution for such Quarter;</w:t>
      </w:r>
    </w:p>
    <w:p>
      <w:pPr>
        <w:spacing w:after="0" w:line="177" w:lineRule="exact"/>
        <w:rPr>
          <w:rFonts w:ascii="Arial" w:cs="Arial" w:eastAsia="Arial" w:hAnsi="Arial"/>
          <w:sz w:val="21"/>
          <w:szCs w:val="21"/>
          <w:color w:val="auto"/>
        </w:rPr>
      </w:pPr>
    </w:p>
    <w:p>
      <w:pPr>
        <w:ind w:left="660" w:right="140" w:firstLine="645"/>
        <w:spacing w:after="0"/>
        <w:tabs>
          <w:tab w:leader="none" w:pos="1842" w:val="left"/>
        </w:tabs>
        <w:numPr>
          <w:ilvl w:val="0"/>
          <w:numId w:val="35"/>
        </w:numPr>
        <w:rPr>
          <w:rFonts w:ascii="Arial" w:cs="Arial" w:eastAsia="Arial" w:hAnsi="Arial"/>
          <w:sz w:val="22"/>
          <w:szCs w:val="22"/>
          <w:color w:val="auto"/>
        </w:rPr>
      </w:pPr>
      <w:r>
        <w:rPr>
          <w:rFonts w:ascii="Arial" w:cs="Arial" w:eastAsia="Arial" w:hAnsi="Arial"/>
          <w:sz w:val="22"/>
          <w:szCs w:val="22"/>
          <w:i w:val="1"/>
          <w:iCs w:val="1"/>
          <w:color w:val="auto"/>
        </w:rPr>
        <w:t>Second</w:t>
      </w:r>
      <w:r>
        <w:rPr>
          <w:rFonts w:ascii="Arial" w:cs="Arial" w:eastAsia="Arial" w:hAnsi="Arial"/>
          <w:sz w:val="22"/>
          <w:szCs w:val="22"/>
          <w:color w:val="auto"/>
        </w:rPr>
        <w:t>, 100% to the General Partner and the Unitholders Pro Rata, until there has been distributed in respect</w:t>
      </w:r>
      <w:r>
        <w:rPr>
          <w:rFonts w:ascii="Arial" w:cs="Arial" w:eastAsia="Arial" w:hAnsi="Arial"/>
          <w:sz w:val="22"/>
          <w:szCs w:val="22"/>
          <w:i w:val="1"/>
          <w:iCs w:val="1"/>
          <w:color w:val="auto"/>
        </w:rPr>
        <w:t xml:space="preserve"> </w:t>
      </w:r>
      <w:r>
        <w:rPr>
          <w:rFonts w:ascii="Arial" w:cs="Arial" w:eastAsia="Arial" w:hAnsi="Arial"/>
          <w:sz w:val="22"/>
          <w:szCs w:val="22"/>
          <w:color w:val="auto"/>
        </w:rPr>
        <w:t>of each Unit then Outstanding an amount equal to the excess of the First Target Distribution over the Minimum Quarterly Distribution for such Quarter;</w:t>
      </w:r>
    </w:p>
    <w:p>
      <w:pPr>
        <w:spacing w:after="0" w:line="213" w:lineRule="exact"/>
        <w:rPr>
          <w:rFonts w:ascii="Arial" w:cs="Arial" w:eastAsia="Arial" w:hAnsi="Arial"/>
          <w:sz w:val="22"/>
          <w:szCs w:val="22"/>
          <w:color w:val="auto"/>
        </w:rPr>
      </w:pPr>
    </w:p>
    <w:p>
      <w:pPr>
        <w:ind w:left="660" w:right="20" w:firstLine="645"/>
        <w:spacing w:after="0" w:line="236" w:lineRule="auto"/>
        <w:tabs>
          <w:tab w:leader="none" w:pos="1902" w:val="left"/>
        </w:tabs>
        <w:numPr>
          <w:ilvl w:val="0"/>
          <w:numId w:val="35"/>
        </w:numPr>
        <w:rPr>
          <w:rFonts w:ascii="Arial" w:cs="Arial" w:eastAsia="Arial" w:hAnsi="Arial"/>
          <w:sz w:val="22"/>
          <w:szCs w:val="22"/>
          <w:color w:val="auto"/>
        </w:rPr>
      </w:pPr>
      <w:r>
        <w:rPr>
          <w:rFonts w:ascii="Arial" w:cs="Arial" w:eastAsia="Arial" w:hAnsi="Arial"/>
          <w:sz w:val="22"/>
          <w:szCs w:val="22"/>
          <w:i w:val="1"/>
          <w:iCs w:val="1"/>
          <w:color w:val="auto"/>
        </w:rPr>
        <w:t>Third</w:t>
      </w:r>
      <w:r>
        <w:rPr>
          <w:rFonts w:ascii="Arial" w:cs="Arial" w:eastAsia="Arial" w:hAnsi="Arial"/>
          <w:sz w:val="22"/>
          <w:szCs w:val="22"/>
          <w:color w:val="auto"/>
        </w:rPr>
        <w:t>, (A) to the General Partner in accordance with its Percentage Interest; (B) 13% to the holders of the</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Incentive Distribution Rights, Pro Rata; and (C) to all Unitholders, Pro Rata, a percentage equal to 100% less the sum of the percentages applicable to </w:t>
      </w:r>
      <w:r>
        <w:rPr>
          <w:rFonts w:ascii="Arial" w:cs="Arial" w:eastAsia="Arial" w:hAnsi="Arial"/>
          <w:sz w:val="22"/>
          <w:szCs w:val="22"/>
          <w:u w:val="single" w:color="auto"/>
          <w:color w:val="auto"/>
        </w:rPr>
        <w:t>subclauses (A)</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(B)</w:t>
      </w:r>
      <w:r>
        <w:rPr>
          <w:rFonts w:ascii="Arial" w:cs="Arial" w:eastAsia="Arial" w:hAnsi="Arial"/>
          <w:sz w:val="22"/>
          <w:szCs w:val="22"/>
          <w:color w:val="auto"/>
        </w:rPr>
        <w:t xml:space="preserve"> of this </w:t>
      </w:r>
      <w:r>
        <w:rPr>
          <w:rFonts w:ascii="Arial" w:cs="Arial" w:eastAsia="Arial" w:hAnsi="Arial"/>
          <w:sz w:val="22"/>
          <w:szCs w:val="22"/>
          <w:u w:val="single" w:color="auto"/>
          <w:color w:val="auto"/>
        </w:rPr>
        <w:t>clause (iii)</w:t>
      </w:r>
      <w:r>
        <w:rPr>
          <w:rFonts w:ascii="Arial" w:cs="Arial" w:eastAsia="Arial" w:hAnsi="Arial"/>
          <w:sz w:val="22"/>
          <w:szCs w:val="22"/>
          <w:color w:val="auto"/>
        </w:rPr>
        <w:t>, until there has been distributed in respect of each Unit then Outstanding an amount equal to the excess of the Second Target Distribution over the First Target Distribution for such Quarter;</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402" w:right="259" w:bottom="1440" w:gutter="0" w:footer="0" w:header="0"/>
        </w:sectPr>
      </w:pPr>
    </w:p>
    <w:bookmarkStart w:id="47" w:name="page48"/>
    <w:bookmarkEnd w:id="47"/>
    <w:p>
      <w:pPr>
        <w:ind w:left="660" w:firstLine="645"/>
        <w:spacing w:after="0" w:line="236" w:lineRule="auto"/>
        <w:tabs>
          <w:tab w:leader="none" w:pos="1890" w:val="left"/>
        </w:tabs>
        <w:numPr>
          <w:ilvl w:val="0"/>
          <w:numId w:val="36"/>
        </w:numPr>
        <w:rPr>
          <w:rFonts w:ascii="Arial" w:cs="Arial" w:eastAsia="Arial" w:hAnsi="Arial"/>
          <w:sz w:val="22"/>
          <w:szCs w:val="22"/>
          <w:color w:val="auto"/>
        </w:rPr>
      </w:pPr>
      <w:r>
        <w:rPr>
          <w:rFonts w:ascii="Arial" w:cs="Arial" w:eastAsia="Arial" w:hAnsi="Arial"/>
          <w:sz w:val="22"/>
          <w:szCs w:val="22"/>
          <w:i w:val="1"/>
          <w:iCs w:val="1"/>
          <w:color w:val="auto"/>
        </w:rPr>
        <w:t>Fourth</w:t>
      </w:r>
      <w:r>
        <w:rPr>
          <w:rFonts w:ascii="Arial" w:cs="Arial" w:eastAsia="Arial" w:hAnsi="Arial"/>
          <w:sz w:val="22"/>
          <w:szCs w:val="22"/>
          <w:color w:val="auto"/>
        </w:rPr>
        <w:t>, (A) to the General Partner in accordance with its Percentage Interest; (B) 23% to the holders of the</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Incentive Distribution Rights, Pro Rata; and (C) to all Unitholders, Pro Rata, a percentage equal to 100% less the sum of the percentages applicable to </w:t>
      </w:r>
      <w:r>
        <w:rPr>
          <w:rFonts w:ascii="Arial" w:cs="Arial" w:eastAsia="Arial" w:hAnsi="Arial"/>
          <w:sz w:val="22"/>
          <w:szCs w:val="22"/>
          <w:u w:val="single" w:color="auto"/>
          <w:color w:val="auto"/>
        </w:rPr>
        <w:t>subclause (A)</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(B)</w:t>
      </w:r>
      <w:r>
        <w:rPr>
          <w:rFonts w:ascii="Arial" w:cs="Arial" w:eastAsia="Arial" w:hAnsi="Arial"/>
          <w:sz w:val="22"/>
          <w:szCs w:val="22"/>
          <w:color w:val="auto"/>
        </w:rPr>
        <w:t xml:space="preserve"> of this </w:t>
      </w:r>
      <w:r>
        <w:rPr>
          <w:rFonts w:ascii="Arial" w:cs="Arial" w:eastAsia="Arial" w:hAnsi="Arial"/>
          <w:sz w:val="22"/>
          <w:szCs w:val="22"/>
          <w:u w:val="single" w:color="auto"/>
          <w:color w:val="auto"/>
        </w:rPr>
        <w:t>clause (iv)</w:t>
      </w:r>
      <w:r>
        <w:rPr>
          <w:rFonts w:ascii="Arial" w:cs="Arial" w:eastAsia="Arial" w:hAnsi="Arial"/>
          <w:sz w:val="22"/>
          <w:szCs w:val="22"/>
          <w:color w:val="auto"/>
        </w:rPr>
        <w:t>, until there has been distributed in respect of each Unit then Outstanding an amount equal to the excess of the Third Target Distribution over the Second Target Distribution for such Quarter; and</w:t>
      </w:r>
    </w:p>
    <w:p>
      <w:pPr>
        <w:spacing w:after="0" w:line="214" w:lineRule="exact"/>
        <w:rPr>
          <w:rFonts w:ascii="Arial" w:cs="Arial" w:eastAsia="Arial" w:hAnsi="Arial"/>
          <w:sz w:val="22"/>
          <w:szCs w:val="22"/>
          <w:color w:val="auto"/>
        </w:rPr>
      </w:pPr>
    </w:p>
    <w:p>
      <w:pPr>
        <w:jc w:val="both"/>
        <w:ind w:left="660" w:firstLine="645"/>
        <w:spacing w:after="0" w:line="279" w:lineRule="auto"/>
        <w:tabs>
          <w:tab w:leader="none" w:pos="1830" w:val="left"/>
        </w:tabs>
        <w:numPr>
          <w:ilvl w:val="0"/>
          <w:numId w:val="36"/>
        </w:numPr>
        <w:rPr>
          <w:rFonts w:ascii="Arial" w:cs="Arial" w:eastAsia="Arial" w:hAnsi="Arial"/>
          <w:sz w:val="19"/>
          <w:szCs w:val="19"/>
          <w:color w:val="auto"/>
        </w:rPr>
      </w:pPr>
      <w:r>
        <w:rPr>
          <w:rFonts w:ascii="Arial" w:cs="Arial" w:eastAsia="Arial" w:hAnsi="Arial"/>
          <w:sz w:val="19"/>
          <w:szCs w:val="19"/>
          <w:i w:val="1"/>
          <w:iCs w:val="1"/>
          <w:color w:val="auto"/>
        </w:rPr>
        <w:t>Thereafter</w:t>
      </w:r>
      <w:r>
        <w:rPr>
          <w:rFonts w:ascii="Arial" w:cs="Arial" w:eastAsia="Arial" w:hAnsi="Arial"/>
          <w:sz w:val="19"/>
          <w:szCs w:val="19"/>
          <w:color w:val="auto"/>
        </w:rPr>
        <w:t>, (A) to the General Partner in accordance with its Percentage Interest; (B) 48% to the holders of the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Incentive Distribution Rights, Pro Rata; and (C) to all Unitholders, Pro Rata, a percentage equal to 100% less the sum of the percentages applicable to </w:t>
      </w:r>
      <w:r>
        <w:rPr>
          <w:rFonts w:ascii="Arial" w:cs="Arial" w:eastAsia="Arial" w:hAnsi="Arial"/>
          <w:sz w:val="19"/>
          <w:szCs w:val="19"/>
          <w:u w:val="single" w:color="auto"/>
          <w:color w:val="auto"/>
        </w:rPr>
        <w:t>subclauses (A)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clause (v)</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if the Minimum Quarterly Distribution, the First Target Distribution, the Second Target Distribution and the Third Target Distribution have been reduced to zero pursuant to the second sentence of </w:t>
      </w:r>
      <w:r>
        <w:rPr>
          <w:rFonts w:ascii="Arial" w:cs="Arial" w:eastAsia="Arial" w:hAnsi="Arial"/>
          <w:sz w:val="19"/>
          <w:szCs w:val="19"/>
          <w:u w:val="single" w:color="auto"/>
          <w:color w:val="auto"/>
        </w:rPr>
        <w:t>Section 6.5</w:t>
      </w:r>
      <w:r>
        <w:rPr>
          <w:rFonts w:ascii="Arial" w:cs="Arial" w:eastAsia="Arial" w:hAnsi="Arial"/>
          <w:sz w:val="19"/>
          <w:szCs w:val="19"/>
          <w:color w:val="auto"/>
        </w:rPr>
        <w:t xml:space="preserve">, the distribution of Available Cash that is deemed to be Operating Surplus with respect to any Quarter will be made solely in accordance with </w:t>
      </w:r>
      <w:r>
        <w:rPr>
          <w:rFonts w:ascii="Arial" w:cs="Arial" w:eastAsia="Arial" w:hAnsi="Arial"/>
          <w:sz w:val="19"/>
          <w:szCs w:val="19"/>
          <w:u w:val="single" w:color="auto"/>
          <w:color w:val="auto"/>
        </w:rPr>
        <w:t>Section 6.3(b)(v)</w:t>
      </w:r>
      <w:r>
        <w:rPr>
          <w:rFonts w:ascii="Arial" w:cs="Arial" w:eastAsia="Arial" w:hAnsi="Arial"/>
          <w:sz w:val="19"/>
          <w:szCs w:val="19"/>
          <w:color w:val="auto"/>
        </w:rPr>
        <w:t>.</w:t>
      </w:r>
    </w:p>
    <w:p>
      <w:pPr>
        <w:spacing w:after="0" w:line="17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No distributions shall be made with respect to Preference Units pursuant to this Section 6.3.</w:t>
      </w:r>
    </w:p>
    <w:p>
      <w:pPr>
        <w:spacing w:after="0" w:line="233" w:lineRule="exact"/>
        <w:rPr>
          <w:sz w:val="20"/>
          <w:szCs w:val="20"/>
          <w:color w:val="auto"/>
        </w:rPr>
      </w:pPr>
    </w:p>
    <w:p>
      <w:pPr>
        <w:ind w:firstLine="1297"/>
        <w:spacing w:after="0" w:line="270" w:lineRule="auto"/>
        <w:rPr>
          <w:sz w:val="20"/>
          <w:szCs w:val="20"/>
          <w:color w:val="auto"/>
        </w:rPr>
      </w:pPr>
      <w:r>
        <w:rPr>
          <w:rFonts w:ascii="Arial" w:cs="Arial" w:eastAsia="Arial" w:hAnsi="Arial"/>
          <w:sz w:val="19"/>
          <w:szCs w:val="19"/>
          <w:color w:val="auto"/>
        </w:rPr>
        <w:t xml:space="preserve">Section 6.4. </w:t>
      </w:r>
      <w:r>
        <w:rPr>
          <w:rFonts w:ascii="Arial" w:cs="Arial" w:eastAsia="Arial" w:hAnsi="Arial"/>
          <w:sz w:val="19"/>
          <w:szCs w:val="19"/>
          <w:i w:val="1"/>
          <w:iCs w:val="1"/>
          <w:color w:val="auto"/>
        </w:rPr>
        <w:t>Distributions of Available Cash from Capital Surplus</w:t>
      </w:r>
      <w:r>
        <w:rPr>
          <w:rFonts w:ascii="Arial" w:cs="Arial" w:eastAsia="Arial" w:hAnsi="Arial"/>
          <w:sz w:val="19"/>
          <w:szCs w:val="19"/>
          <w:color w:val="auto"/>
        </w:rPr>
        <w:t xml:space="preserve">. Available Cash that is deemed to be Capital Surplus pursuant to the provisions of </w:t>
      </w:r>
      <w:r>
        <w:rPr>
          <w:rFonts w:ascii="Arial" w:cs="Arial" w:eastAsia="Arial" w:hAnsi="Arial"/>
          <w:sz w:val="19"/>
          <w:szCs w:val="19"/>
          <w:u w:val="single" w:color="auto"/>
          <w:color w:val="auto"/>
        </w:rPr>
        <w:t>Section 6.2(a)</w:t>
      </w:r>
      <w:r>
        <w:rPr>
          <w:rFonts w:ascii="Arial" w:cs="Arial" w:eastAsia="Arial" w:hAnsi="Arial"/>
          <w:sz w:val="19"/>
          <w:szCs w:val="19"/>
          <w:color w:val="auto"/>
        </w:rPr>
        <w:t xml:space="preserve"> shall, subject to Section 51 of the Marshall Islands Act and </w:t>
      </w:r>
      <w:r>
        <w:rPr>
          <w:rFonts w:ascii="Arial" w:cs="Arial" w:eastAsia="Arial" w:hAnsi="Arial"/>
          <w:sz w:val="19"/>
          <w:szCs w:val="19"/>
          <w:u w:val="single" w:color="auto"/>
          <w:color w:val="auto"/>
        </w:rPr>
        <w:t>Section 16.3</w:t>
      </w:r>
      <w:r>
        <w:rPr>
          <w:rFonts w:ascii="Arial" w:cs="Arial" w:eastAsia="Arial" w:hAnsi="Arial"/>
          <w:sz w:val="19"/>
          <w:szCs w:val="19"/>
          <w:color w:val="auto"/>
        </w:rPr>
        <w:t xml:space="preserve"> in respect of Series A Preference Units, be distributed, unless the provisions of </w:t>
      </w:r>
      <w:r>
        <w:rPr>
          <w:rFonts w:ascii="Arial" w:cs="Arial" w:eastAsia="Arial" w:hAnsi="Arial"/>
          <w:sz w:val="19"/>
          <w:szCs w:val="19"/>
          <w:u w:val="single" w:color="auto"/>
          <w:color w:val="auto"/>
        </w:rPr>
        <w:t>Section 6.2</w:t>
      </w:r>
      <w:r>
        <w:rPr>
          <w:rFonts w:ascii="Arial" w:cs="Arial" w:eastAsia="Arial" w:hAnsi="Arial"/>
          <w:sz w:val="19"/>
          <w:szCs w:val="19"/>
          <w:color w:val="auto"/>
        </w:rPr>
        <w:t xml:space="preserve"> require otherwise, 100% to the General Partner and the Unitholders (other than the Preference Unitholders) Pro Rata, until the Minimum Quarterly Distribution is reduced to zero pursuant to the second sentence of </w:t>
      </w:r>
      <w:r>
        <w:rPr>
          <w:rFonts w:ascii="Arial" w:cs="Arial" w:eastAsia="Arial" w:hAnsi="Arial"/>
          <w:sz w:val="19"/>
          <w:szCs w:val="19"/>
          <w:u w:val="single" w:color="auto"/>
          <w:color w:val="auto"/>
        </w:rPr>
        <w:t>Section 6.5</w:t>
      </w:r>
      <w:r>
        <w:rPr>
          <w:rFonts w:ascii="Arial" w:cs="Arial" w:eastAsia="Arial" w:hAnsi="Arial"/>
          <w:sz w:val="19"/>
          <w:szCs w:val="19"/>
          <w:color w:val="auto"/>
        </w:rPr>
        <w:t>. Available Cash that is deemed to be Capital Surplus shall then be distributed</w:t>
      </w:r>
    </w:p>
    <w:p>
      <w:pPr>
        <w:spacing w:after="0" w:line="4" w:lineRule="exact"/>
        <w:rPr>
          <w:sz w:val="20"/>
          <w:szCs w:val="20"/>
          <w:color w:val="auto"/>
        </w:rPr>
      </w:pPr>
    </w:p>
    <w:p>
      <w:pPr>
        <w:ind w:right="160" w:firstLine="8"/>
        <w:spacing w:after="0" w:line="280" w:lineRule="auto"/>
        <w:tabs>
          <w:tab w:leader="none" w:pos="294" w:val="left"/>
        </w:tabs>
        <w:numPr>
          <w:ilvl w:val="0"/>
          <w:numId w:val="37"/>
        </w:numPr>
        <w:rPr>
          <w:rFonts w:ascii="Arial" w:cs="Arial" w:eastAsia="Arial" w:hAnsi="Arial"/>
          <w:sz w:val="19"/>
          <w:szCs w:val="19"/>
          <w:color w:val="auto"/>
        </w:rPr>
      </w:pPr>
      <w:r>
        <w:rPr>
          <w:rFonts w:ascii="Arial" w:cs="Arial" w:eastAsia="Arial" w:hAnsi="Arial"/>
          <w:sz w:val="19"/>
          <w:szCs w:val="19"/>
          <w:color w:val="auto"/>
        </w:rPr>
        <w:t xml:space="preserve">to the General Partner in accordance with its Percentage Interest and (b) to all Unitholders holding Common Units their Pro Rata share of a percentage equal to 100% less the General Partner’s Percentage Interest, until there has been distributed in respect of each Common Unit then Outstanding an amount equal to the Cumulative Common Unit Arrearage. Thereafter, all Available Cash shall be distributed as if it were Operating Surplus and shall be distributed in accordance with </w:t>
      </w:r>
      <w:r>
        <w:rPr>
          <w:rFonts w:ascii="Arial" w:cs="Arial" w:eastAsia="Arial" w:hAnsi="Arial"/>
          <w:sz w:val="19"/>
          <w:szCs w:val="19"/>
          <w:u w:val="single" w:color="auto"/>
          <w:color w:val="auto"/>
        </w:rPr>
        <w:t>Section 6.3</w:t>
      </w:r>
      <w:r>
        <w:rPr>
          <w:rFonts w:ascii="Arial" w:cs="Arial" w:eastAsia="Arial" w:hAnsi="Arial"/>
          <w:sz w:val="19"/>
          <w:szCs w:val="19"/>
          <w:color w:val="auto"/>
        </w:rPr>
        <w:t>.</w:t>
      </w:r>
    </w:p>
    <w:p>
      <w:pPr>
        <w:spacing w:after="0" w:line="178" w:lineRule="exact"/>
        <w:rPr>
          <w:sz w:val="20"/>
          <w:szCs w:val="20"/>
          <w:color w:val="auto"/>
        </w:rPr>
      </w:pPr>
    </w:p>
    <w:p>
      <w:pPr>
        <w:ind w:firstLine="1297"/>
        <w:spacing w:after="0" w:line="233" w:lineRule="auto"/>
        <w:rPr>
          <w:sz w:val="20"/>
          <w:szCs w:val="20"/>
          <w:color w:val="auto"/>
        </w:rPr>
      </w:pPr>
      <w:r>
        <w:rPr>
          <w:rFonts w:ascii="Arial" w:cs="Arial" w:eastAsia="Arial" w:hAnsi="Arial"/>
          <w:sz w:val="22"/>
          <w:szCs w:val="22"/>
          <w:color w:val="auto"/>
        </w:rPr>
        <w:t xml:space="preserve">Section 6.5. </w:t>
      </w:r>
      <w:r>
        <w:rPr>
          <w:rFonts w:ascii="Arial" w:cs="Arial" w:eastAsia="Arial" w:hAnsi="Arial"/>
          <w:sz w:val="22"/>
          <w:szCs w:val="22"/>
          <w:i w:val="1"/>
          <w:iCs w:val="1"/>
          <w:color w:val="auto"/>
        </w:rPr>
        <w:t>Adjustment of Minimum Quarterly Distribution and Target Distribution Levels</w:t>
      </w:r>
      <w:r>
        <w:rPr>
          <w:rFonts w:ascii="Arial" w:cs="Arial" w:eastAsia="Arial" w:hAnsi="Arial"/>
          <w:sz w:val="22"/>
          <w:szCs w:val="22"/>
          <w:color w:val="auto"/>
        </w:rPr>
        <w:t xml:space="preserve">. The Minimum Quarterly Distribution, First Target Distribution, Second Target Distribution, Third Target Distribution, Common Unit Arrearages and Cumulative Common Unit Arrearages shall be proportionately adjusted in the event of any distribution, combination or subdivision (whether effected by a distribution payable in Units or otherwise) of Units or other Partnership Interests in accordance with </w:t>
      </w:r>
      <w:r>
        <w:rPr>
          <w:rFonts w:ascii="Arial" w:cs="Arial" w:eastAsia="Arial" w:hAnsi="Arial"/>
          <w:sz w:val="22"/>
          <w:szCs w:val="22"/>
          <w:u w:val="single" w:color="auto"/>
          <w:color w:val="auto"/>
        </w:rPr>
        <w:t>Section 5.8</w:t>
      </w:r>
      <w:r>
        <w:rPr>
          <w:rFonts w:ascii="Arial" w:cs="Arial" w:eastAsia="Arial" w:hAnsi="Arial"/>
          <w:sz w:val="22"/>
          <w:szCs w:val="22"/>
          <w:color w:val="auto"/>
        </w:rPr>
        <w:t>. In the event of a distribution of Available Cash that is deemed to be from Capital Surplus, the then applicable Minimum Quarterly Distribution, First Target Distribution, Second Target Distribution and Third Target Distribution, shall be reduced in the same proportion that the distribution had to the fair market value of the Common Units prior to the announcement of the distribution. If the Common Units are publicly traded on a National Securities Exchange, the fair market value will be the Current</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80"/>
          </w:cols>
          <w:pgMar w:left="240" w:top="402" w:right="279" w:bottom="1440" w:gutter="0" w:footer="0" w:header="0"/>
        </w:sectPr>
      </w:pPr>
    </w:p>
    <w:bookmarkStart w:id="48" w:name="page49"/>
    <w:bookmarkEnd w:id="48"/>
    <w:p>
      <w:pPr>
        <w:ind w:right="180"/>
        <w:spacing w:after="0" w:line="251" w:lineRule="auto"/>
        <w:rPr>
          <w:sz w:val="20"/>
          <w:szCs w:val="20"/>
          <w:color w:val="auto"/>
        </w:rPr>
      </w:pPr>
      <w:r>
        <w:rPr>
          <w:rFonts w:ascii="Arial" w:cs="Arial" w:eastAsia="Arial" w:hAnsi="Arial"/>
          <w:sz w:val="22"/>
          <w:szCs w:val="22"/>
          <w:color w:val="auto"/>
        </w:rPr>
        <w:t>Market Price before the announcement of the distribution. If the Common Units are not publicly traded, the fair market value will be determined by the Board of Directors.</w:t>
      </w:r>
    </w:p>
    <w:p>
      <w:pPr>
        <w:spacing w:after="0" w:line="200" w:lineRule="exact"/>
        <w:rPr>
          <w:sz w:val="20"/>
          <w:szCs w:val="20"/>
          <w:color w:val="auto"/>
        </w:rPr>
      </w:pPr>
    </w:p>
    <w:p>
      <w:pPr>
        <w:ind w:right="40" w:firstLine="1297"/>
        <w:spacing w:after="0" w:line="247" w:lineRule="auto"/>
        <w:rPr>
          <w:sz w:val="20"/>
          <w:szCs w:val="20"/>
          <w:color w:val="auto"/>
        </w:rPr>
      </w:pPr>
      <w:r>
        <w:rPr>
          <w:rFonts w:ascii="Arial" w:cs="Arial" w:eastAsia="Arial" w:hAnsi="Arial"/>
          <w:sz w:val="21"/>
          <w:szCs w:val="21"/>
          <w:color w:val="auto"/>
        </w:rPr>
        <w:t xml:space="preserve">Section 6.6. </w:t>
      </w:r>
      <w:r>
        <w:rPr>
          <w:rFonts w:ascii="Arial" w:cs="Arial" w:eastAsia="Arial" w:hAnsi="Arial"/>
          <w:sz w:val="21"/>
          <w:szCs w:val="21"/>
          <w:i w:val="1"/>
          <w:iCs w:val="1"/>
          <w:color w:val="auto"/>
        </w:rPr>
        <w:t>Special Provisions Relating to the Holders of Subordinated Units</w:t>
      </w:r>
      <w:r>
        <w:rPr>
          <w:rFonts w:ascii="Arial" w:cs="Arial" w:eastAsia="Arial" w:hAnsi="Arial"/>
          <w:sz w:val="21"/>
          <w:szCs w:val="21"/>
          <w:color w:val="auto"/>
        </w:rPr>
        <w:t xml:space="preserve">. Except with respect to the right to vote on or approve matters requiring the vote or approval of a percentage of the holders of Outstanding Common Units and the right to participate in distributions made with respect to Common Units, the holder of a Subordinated Unit shall have all of the rights and obligations of a Unitholder holding Common Units hereunder; </w:t>
      </w:r>
      <w:r>
        <w:rPr>
          <w:rFonts w:ascii="Arial" w:cs="Arial" w:eastAsia="Arial" w:hAnsi="Arial"/>
          <w:sz w:val="21"/>
          <w:szCs w:val="21"/>
          <w:i w:val="1"/>
          <w:iCs w:val="1"/>
          <w:color w:val="auto"/>
        </w:rPr>
        <w:t>provided, however</w:t>
      </w:r>
      <w:r>
        <w:rPr>
          <w:rFonts w:ascii="Arial" w:cs="Arial" w:eastAsia="Arial" w:hAnsi="Arial"/>
          <w:sz w:val="21"/>
          <w:szCs w:val="21"/>
          <w:color w:val="auto"/>
        </w:rPr>
        <w:t>, that immediately upon the conversion of Subordinated Units into Common Units, the Unitholder holding a Subordinated Unit shall possess all of the rights and obligations of a Unitholder holding Common Units hereunder, including the right to vote as a Common Unitholder and the right to participate in distributions made with respect to Common Units.</w:t>
      </w:r>
    </w:p>
    <w:p>
      <w:pPr>
        <w:spacing w:after="0" w:line="205" w:lineRule="exact"/>
        <w:rPr>
          <w:sz w:val="20"/>
          <w:szCs w:val="20"/>
          <w:color w:val="auto"/>
        </w:rPr>
      </w:pPr>
    </w:p>
    <w:p>
      <w:pPr>
        <w:ind w:right="80" w:firstLine="1297"/>
        <w:spacing w:after="0" w:line="235" w:lineRule="auto"/>
        <w:rPr>
          <w:sz w:val="20"/>
          <w:szCs w:val="20"/>
          <w:color w:val="auto"/>
        </w:rPr>
      </w:pPr>
      <w:r>
        <w:rPr>
          <w:rFonts w:ascii="Arial" w:cs="Arial" w:eastAsia="Arial" w:hAnsi="Arial"/>
          <w:sz w:val="22"/>
          <w:szCs w:val="22"/>
          <w:color w:val="auto"/>
        </w:rPr>
        <w:t xml:space="preserve">Section 6.7. </w:t>
      </w:r>
      <w:r>
        <w:rPr>
          <w:rFonts w:ascii="Arial" w:cs="Arial" w:eastAsia="Arial" w:hAnsi="Arial"/>
          <w:sz w:val="22"/>
          <w:szCs w:val="22"/>
          <w:i w:val="1"/>
          <w:iCs w:val="1"/>
          <w:color w:val="auto"/>
        </w:rPr>
        <w:t>Special Provisions Relating to the Holders of Incentive Distribution Rights</w:t>
      </w:r>
      <w:r>
        <w:rPr>
          <w:rFonts w:ascii="Arial" w:cs="Arial" w:eastAsia="Arial" w:hAnsi="Arial"/>
          <w:sz w:val="22"/>
          <w:szCs w:val="22"/>
          <w:color w:val="auto"/>
        </w:rPr>
        <w:t xml:space="preserve">. Notwithstanding anything to the contrary set forth in this Agreement, the holders of the Incentive Distribution Rights (a) shall possess the rights and obligations provided in this Agreement with respect to a Limited Partner pursuant to </w:t>
      </w:r>
      <w:r>
        <w:rPr>
          <w:rFonts w:ascii="Arial" w:cs="Arial" w:eastAsia="Arial" w:hAnsi="Arial"/>
          <w:sz w:val="22"/>
          <w:szCs w:val="22"/>
          <w:u w:val="single" w:color="auto"/>
          <w:color w:val="auto"/>
        </w:rPr>
        <w:t>Articles III</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VII</w:t>
      </w:r>
      <w:r>
        <w:rPr>
          <w:rFonts w:ascii="Arial" w:cs="Arial" w:eastAsia="Arial" w:hAnsi="Arial"/>
          <w:sz w:val="22"/>
          <w:szCs w:val="22"/>
          <w:color w:val="auto"/>
        </w:rPr>
        <w:t xml:space="preserve"> and (b) shall not (i) be entitled to vote on any matters requiring the approval or vote of the holders of Outstanding Units, except as provided by law, or (ii) be entitled to any distributions other than as provided in </w:t>
      </w:r>
      <w:r>
        <w:rPr>
          <w:rFonts w:ascii="Arial" w:cs="Arial" w:eastAsia="Arial" w:hAnsi="Arial"/>
          <w:sz w:val="22"/>
          <w:szCs w:val="22"/>
          <w:u w:val="single" w:color="auto"/>
          <w:color w:val="auto"/>
        </w:rPr>
        <w:t>Sections 6.3(a)(v)</w:t>
      </w:r>
      <w:r>
        <w:rPr>
          <w:rFonts w:ascii="Arial" w:cs="Arial" w:eastAsia="Arial" w:hAnsi="Arial"/>
          <w:sz w:val="22"/>
          <w:szCs w:val="22"/>
          <w:color w:val="auto"/>
        </w:rPr>
        <w:t xml:space="preserve">, </w:t>
      </w:r>
      <w:r>
        <w:rPr>
          <w:rFonts w:ascii="Arial" w:cs="Arial" w:eastAsia="Arial" w:hAnsi="Arial"/>
          <w:sz w:val="22"/>
          <w:szCs w:val="22"/>
          <w:u w:val="single" w:color="auto"/>
          <w:color w:val="auto"/>
        </w:rPr>
        <w:t>6.3(a)(vi)</w:t>
      </w:r>
      <w:r>
        <w:rPr>
          <w:rFonts w:ascii="Arial" w:cs="Arial" w:eastAsia="Arial" w:hAnsi="Arial"/>
          <w:sz w:val="22"/>
          <w:szCs w:val="22"/>
          <w:color w:val="auto"/>
        </w:rPr>
        <w:t xml:space="preserve">, </w:t>
      </w:r>
      <w:r>
        <w:rPr>
          <w:rFonts w:ascii="Arial" w:cs="Arial" w:eastAsia="Arial" w:hAnsi="Arial"/>
          <w:sz w:val="22"/>
          <w:szCs w:val="22"/>
          <w:u w:val="single" w:color="auto"/>
          <w:color w:val="auto"/>
        </w:rPr>
        <w:t>6.3(a)(vii)</w:t>
      </w:r>
      <w:r>
        <w:rPr>
          <w:rFonts w:ascii="Arial" w:cs="Arial" w:eastAsia="Arial" w:hAnsi="Arial"/>
          <w:sz w:val="22"/>
          <w:szCs w:val="22"/>
          <w:color w:val="auto"/>
        </w:rPr>
        <w:t xml:space="preserve">, </w:t>
      </w:r>
      <w:r>
        <w:rPr>
          <w:rFonts w:ascii="Arial" w:cs="Arial" w:eastAsia="Arial" w:hAnsi="Arial"/>
          <w:sz w:val="22"/>
          <w:szCs w:val="22"/>
          <w:u w:val="single" w:color="auto"/>
          <w:color w:val="auto"/>
        </w:rPr>
        <w:t>6.3(b)(iii)</w:t>
      </w:r>
      <w:r>
        <w:rPr>
          <w:rFonts w:ascii="Arial" w:cs="Arial" w:eastAsia="Arial" w:hAnsi="Arial"/>
          <w:sz w:val="22"/>
          <w:szCs w:val="22"/>
          <w:color w:val="auto"/>
        </w:rPr>
        <w:t xml:space="preserve">, </w:t>
      </w:r>
      <w:r>
        <w:rPr>
          <w:rFonts w:ascii="Arial" w:cs="Arial" w:eastAsia="Arial" w:hAnsi="Arial"/>
          <w:sz w:val="22"/>
          <w:szCs w:val="22"/>
          <w:u w:val="single" w:color="auto"/>
          <w:color w:val="auto"/>
        </w:rPr>
        <w:t>6.3(b)(iv)</w:t>
      </w:r>
      <w:r>
        <w:rPr>
          <w:rFonts w:ascii="Arial" w:cs="Arial" w:eastAsia="Arial" w:hAnsi="Arial"/>
          <w:sz w:val="22"/>
          <w:szCs w:val="22"/>
          <w:color w:val="auto"/>
        </w:rPr>
        <w:t xml:space="preserve">, </w:t>
      </w:r>
      <w:r>
        <w:rPr>
          <w:rFonts w:ascii="Arial" w:cs="Arial" w:eastAsia="Arial" w:hAnsi="Arial"/>
          <w:sz w:val="22"/>
          <w:szCs w:val="22"/>
          <w:u w:val="single" w:color="auto"/>
          <w:color w:val="auto"/>
        </w:rPr>
        <w:t>6.3(b)(v)</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12.4</w:t>
      </w:r>
      <w:r>
        <w:rPr>
          <w:rFonts w:ascii="Arial" w:cs="Arial" w:eastAsia="Arial" w:hAnsi="Arial"/>
          <w:sz w:val="22"/>
          <w:szCs w:val="22"/>
          <w:color w:val="auto"/>
        </w:rPr>
        <w:t>.</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ARTICLE VII</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MANAGEMENT AND OPERATION OF BUSINESS</w:t>
      </w:r>
    </w:p>
    <w:p>
      <w:pPr>
        <w:spacing w:after="0" w:line="215" w:lineRule="exact"/>
        <w:rPr>
          <w:sz w:val="20"/>
          <w:szCs w:val="20"/>
          <w:color w:val="auto"/>
        </w:rPr>
      </w:pPr>
    </w:p>
    <w:p>
      <w:pPr>
        <w:ind w:firstLine="1297"/>
        <w:spacing w:after="0" w:line="271" w:lineRule="auto"/>
        <w:rPr>
          <w:sz w:val="20"/>
          <w:szCs w:val="20"/>
          <w:color w:val="auto"/>
        </w:rPr>
      </w:pPr>
      <w:r>
        <w:rPr>
          <w:rFonts w:ascii="Arial" w:cs="Arial" w:eastAsia="Arial" w:hAnsi="Arial"/>
          <w:sz w:val="19"/>
          <w:szCs w:val="19"/>
          <w:color w:val="auto"/>
        </w:rPr>
        <w:t xml:space="preserve">Section 7.1. </w:t>
      </w:r>
      <w:r>
        <w:rPr>
          <w:rFonts w:ascii="Arial" w:cs="Arial" w:eastAsia="Arial" w:hAnsi="Arial"/>
          <w:sz w:val="19"/>
          <w:szCs w:val="19"/>
          <w:i w:val="1"/>
          <w:iCs w:val="1"/>
          <w:color w:val="auto"/>
        </w:rPr>
        <w:t>Management</w:t>
      </w:r>
      <w:r>
        <w:rPr>
          <w:rFonts w:ascii="Arial" w:cs="Arial" w:eastAsia="Arial" w:hAnsi="Arial"/>
          <w:sz w:val="19"/>
          <w:szCs w:val="19"/>
          <w:color w:val="auto"/>
        </w:rPr>
        <w:t xml:space="preserve">. (a) Except as otherwise expressly provided in this Agreement, all management powers over the business and affairs of the Partnership shall be vested exclusively in the Board of Directors and, subject to the direction of the Board of Directors and in accordance with the provisions of </w:t>
      </w:r>
      <w:r>
        <w:rPr>
          <w:rFonts w:ascii="Arial" w:cs="Arial" w:eastAsia="Arial" w:hAnsi="Arial"/>
          <w:sz w:val="19"/>
          <w:szCs w:val="19"/>
          <w:u w:val="single" w:color="auto"/>
          <w:color w:val="auto"/>
        </w:rPr>
        <w:t>Section 7.8</w:t>
      </w:r>
      <w:r>
        <w:rPr>
          <w:rFonts w:ascii="Arial" w:cs="Arial" w:eastAsia="Arial" w:hAnsi="Arial"/>
          <w:sz w:val="19"/>
          <w:szCs w:val="19"/>
          <w:color w:val="auto"/>
        </w:rPr>
        <w:t xml:space="preserve">, the Officers. No Limited Partner shall have any management power or control over the business and affairs of the Partnership. Thus, except as expressly provided in this Agreement, the business and affairs of the Partnership shall be managed by or under the direction of the Board of Directors, and the day-to-day activities of the Partnership shall be conducted on the Partnership’s behalf by the Officers. In order to enable the Board of Directors to manage the business and affairs of the Partnership, the General Partner, except as otherwise expressly provided in this Agreement, hereby irrevocably delegates to the Board of Directors all management powers over the business and affairs of the Partnership that it may now or hereafter possess under applicable law. The General Partner further agrees to take any and all action necessary and appropriate, in the sole discretion of the Board of Directors, to effect any duly authorized actions by the Board of Directors, including executing or filing any agreements, instruments or certificates, delivering all documents, providing all information and taking or refraining from taking action as may be necessary or appropriate to achieve the effective delegation of power described in this </w:t>
      </w:r>
      <w:r>
        <w:rPr>
          <w:rFonts w:ascii="Arial" w:cs="Arial" w:eastAsia="Arial" w:hAnsi="Arial"/>
          <w:sz w:val="19"/>
          <w:szCs w:val="19"/>
          <w:u w:val="single" w:color="auto"/>
          <w:color w:val="auto"/>
        </w:rPr>
        <w:t>Section 7.1(a)</w:t>
      </w:r>
      <w:r>
        <w:rPr>
          <w:rFonts w:ascii="Arial" w:cs="Arial" w:eastAsia="Arial" w:hAnsi="Arial"/>
          <w:sz w:val="19"/>
          <w:szCs w:val="19"/>
          <w:color w:val="auto"/>
        </w:rPr>
        <w:t>. Each of the Partners and each Person who may acquire an interest in a Partnership Interest hereby approves, consents to, ratifies and confirms such delegation. The delegation by the General Partner to the Board of Directors of management powers over the business and affairs of the Partnership pursuant to the provisions of this Agreement shall not cause the General Partner to</w:t>
      </w: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402" w:right="259" w:bottom="1440" w:gutter="0" w:footer="0" w:header="0"/>
        </w:sectPr>
      </w:pPr>
    </w:p>
    <w:bookmarkStart w:id="49" w:name="page50"/>
    <w:bookmarkEnd w:id="49"/>
    <w:p>
      <w:pPr>
        <w:ind w:right="520"/>
        <w:spacing w:after="0" w:line="328" w:lineRule="auto"/>
        <w:rPr>
          <w:sz w:val="20"/>
          <w:szCs w:val="20"/>
          <w:color w:val="auto"/>
        </w:rPr>
      </w:pPr>
      <w:r>
        <w:rPr>
          <w:rFonts w:ascii="Arial" w:cs="Arial" w:eastAsia="Arial" w:hAnsi="Arial"/>
          <w:sz w:val="19"/>
          <w:szCs w:val="19"/>
          <w:color w:val="auto"/>
        </w:rPr>
        <w:t>cease to be a general partner of the Partnership nor shall it cause the Board of Directors or any member thereof to be a general partner of the Partnership or to have or be subject to the liabilities of a general partner of the Partnership.</w:t>
      </w:r>
    </w:p>
    <w:p>
      <w:pPr>
        <w:spacing w:after="0" w:line="132" w:lineRule="exact"/>
        <w:rPr>
          <w:sz w:val="20"/>
          <w:szCs w:val="20"/>
          <w:color w:val="auto"/>
        </w:rPr>
      </w:pPr>
    </w:p>
    <w:p>
      <w:pPr>
        <w:ind w:right="80" w:firstLine="1305"/>
        <w:spacing w:after="0" w:line="270" w:lineRule="auto"/>
        <w:tabs>
          <w:tab w:leader="none" w:pos="1819" w:val="left"/>
        </w:tabs>
        <w:numPr>
          <w:ilvl w:val="0"/>
          <w:numId w:val="38"/>
        </w:numPr>
        <w:rPr>
          <w:rFonts w:ascii="Arial" w:cs="Arial" w:eastAsia="Arial" w:hAnsi="Arial"/>
          <w:sz w:val="19"/>
          <w:szCs w:val="19"/>
          <w:color w:val="auto"/>
        </w:rPr>
      </w:pPr>
      <w:r>
        <w:rPr>
          <w:rFonts w:ascii="Arial" w:cs="Arial" w:eastAsia="Arial" w:hAnsi="Arial"/>
          <w:sz w:val="19"/>
          <w:szCs w:val="19"/>
          <w:color w:val="auto"/>
        </w:rPr>
        <w:t xml:space="preserve">Notwithstanding any other provision of this Agreement, any Group Member Agreement, the Marshall Islands Act or any applicable law, rule or regulation, each of the Partners and each other Person who may acquire an interest in Partnership Interests hereby (i) approves, consents to, ratifies and confirms the General Partner’s delegation of management powers to the Board of Directors pursuant to </w:t>
      </w:r>
      <w:r>
        <w:rPr>
          <w:rFonts w:ascii="Arial" w:cs="Arial" w:eastAsia="Arial" w:hAnsi="Arial"/>
          <w:sz w:val="19"/>
          <w:szCs w:val="19"/>
          <w:u w:val="single" w:color="auto"/>
          <w:color w:val="auto"/>
        </w:rPr>
        <w:t>paragraph (a)</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7.1</w:t>
      </w:r>
      <w:r>
        <w:rPr>
          <w:rFonts w:ascii="Arial" w:cs="Arial" w:eastAsia="Arial" w:hAnsi="Arial"/>
          <w:sz w:val="19"/>
          <w:szCs w:val="19"/>
          <w:color w:val="auto"/>
        </w:rPr>
        <w:t xml:space="preserve">; (ii) approves, ratifies and confirms the execution, delivery and performance by the parties thereto of this Agreement, the Underwriting Agreement, the Omnibus Agreement, the Contribution Agreement, any Group Member Agreement of any other Group Member and the other agreements described in or filed as exhibits to the Registration Statement that are related to the transactions contemplated by the Registration Statement; (iii) agrees that the General Partner (on behalf of the Partnership) is authorized to execute, deliver and perform the agreements referred to in </w:t>
      </w:r>
      <w:r>
        <w:rPr>
          <w:rFonts w:ascii="Arial" w:cs="Arial" w:eastAsia="Arial" w:hAnsi="Arial"/>
          <w:sz w:val="19"/>
          <w:szCs w:val="19"/>
          <w:u w:val="single" w:color="auto"/>
          <w:color w:val="auto"/>
        </w:rPr>
        <w:t>clause (ii)</w:t>
      </w:r>
      <w:r>
        <w:rPr>
          <w:rFonts w:ascii="Arial" w:cs="Arial" w:eastAsia="Arial" w:hAnsi="Arial"/>
          <w:sz w:val="19"/>
          <w:szCs w:val="19"/>
          <w:color w:val="auto"/>
        </w:rPr>
        <w:t xml:space="preserve"> of this sentence and the other agreements, acts, transactions and matters described in or contemplated by the Underwriting Agreement or described in or filed as exhibits to the Registration Statement, in each case, on behalf of the Partnership without any further act, approval or vote of the Partners or the other Persons who may acquire an interest in Partnership Interests; and (iv) agrees that the execution, delivery or performance by the Board of Directors, the General Partner, any Group Member or any Affiliate of any of them of this Agreement or any agreement authorized or permitted under this Agreement (including the exercise by the General Partner or any Affiliate of the General Partner of the rights accorded pursuant to </w:t>
      </w:r>
      <w:r>
        <w:rPr>
          <w:rFonts w:ascii="Arial" w:cs="Arial" w:eastAsia="Arial" w:hAnsi="Arial"/>
          <w:sz w:val="19"/>
          <w:szCs w:val="19"/>
          <w:u w:val="single" w:color="auto"/>
          <w:color w:val="auto"/>
        </w:rPr>
        <w:t>Article XV</w:t>
      </w:r>
      <w:r>
        <w:rPr>
          <w:rFonts w:ascii="Arial" w:cs="Arial" w:eastAsia="Arial" w:hAnsi="Arial"/>
          <w:sz w:val="19"/>
          <w:szCs w:val="19"/>
          <w:color w:val="auto"/>
        </w:rPr>
        <w:t>) shall not constitute a breach by the Board of Directors or the General Partner of any duty that the Board of Directors or the General Partner may owe the Partnership or the Limited Partners or any other Persons under this Agreement (or any other agreements) or of any duty stated or implied by law or equity.</w:t>
      </w:r>
    </w:p>
    <w:p>
      <w:pPr>
        <w:spacing w:after="0" w:line="200" w:lineRule="exact"/>
        <w:rPr>
          <w:sz w:val="20"/>
          <w:szCs w:val="20"/>
          <w:color w:val="auto"/>
        </w:rPr>
      </w:pPr>
    </w:p>
    <w:p>
      <w:pPr>
        <w:spacing w:after="0" w:line="243" w:lineRule="exact"/>
        <w:rPr>
          <w:sz w:val="20"/>
          <w:szCs w:val="20"/>
          <w:color w:val="auto"/>
        </w:rPr>
      </w:pPr>
    </w:p>
    <w:p>
      <w:pPr>
        <w:ind w:right="140" w:firstLine="1297"/>
        <w:spacing w:after="0" w:line="270" w:lineRule="auto"/>
        <w:rPr>
          <w:sz w:val="20"/>
          <w:szCs w:val="20"/>
          <w:color w:val="auto"/>
        </w:rPr>
      </w:pPr>
      <w:r>
        <w:rPr>
          <w:rFonts w:ascii="Arial" w:cs="Arial" w:eastAsia="Arial" w:hAnsi="Arial"/>
          <w:sz w:val="19"/>
          <w:szCs w:val="19"/>
          <w:color w:val="auto"/>
        </w:rPr>
        <w:t xml:space="preserve">Section 7.2. </w:t>
      </w:r>
      <w:r>
        <w:rPr>
          <w:rFonts w:ascii="Arial" w:cs="Arial" w:eastAsia="Arial" w:hAnsi="Arial"/>
          <w:sz w:val="19"/>
          <w:szCs w:val="19"/>
          <w:i w:val="1"/>
          <w:iCs w:val="1"/>
          <w:color w:val="auto"/>
        </w:rPr>
        <w:t>Election and Appointment; Term; Manner of Acting</w:t>
      </w:r>
      <w:r>
        <w:rPr>
          <w:rFonts w:ascii="Arial" w:cs="Arial" w:eastAsia="Arial" w:hAnsi="Arial"/>
          <w:sz w:val="19"/>
          <w:szCs w:val="19"/>
          <w:color w:val="auto"/>
        </w:rPr>
        <w:t xml:space="preserve">. (a) Subject to </w:t>
      </w:r>
      <w:r>
        <w:rPr>
          <w:rFonts w:ascii="Arial" w:cs="Arial" w:eastAsia="Arial" w:hAnsi="Arial"/>
          <w:sz w:val="19"/>
          <w:szCs w:val="19"/>
          <w:u w:val="single" w:color="auto"/>
          <w:color w:val="auto"/>
        </w:rPr>
        <w:t>Section 7.2(d)</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16.5(b)</w:t>
      </w:r>
      <w:r>
        <w:rPr>
          <w:rFonts w:ascii="Arial" w:cs="Arial" w:eastAsia="Arial" w:hAnsi="Arial"/>
          <w:sz w:val="19"/>
          <w:szCs w:val="19"/>
          <w:color w:val="auto"/>
        </w:rPr>
        <w:t xml:space="preserve">, following the 2015 Annual Meeting, the Board of Directors shall consist of seven individuals, four of whom shall be Appointed Directors and three of whom shall be Elected Directors. The Elected Directors shall be divided into three classes: Class I, comprising one Elected Director, Class II, comprising one Elected Director and Class III, comprising one Elected Director; provided that following the addition of one additional Elected Director resulting from a Surrender Election pursuant to </w:t>
      </w:r>
      <w:r>
        <w:rPr>
          <w:rFonts w:ascii="Arial" w:cs="Arial" w:eastAsia="Arial" w:hAnsi="Arial"/>
          <w:sz w:val="19"/>
          <w:szCs w:val="19"/>
          <w:u w:val="single" w:color="auto"/>
          <w:color w:val="auto"/>
        </w:rPr>
        <w:t>Section</w:t>
      </w:r>
    </w:p>
    <w:p>
      <w:pPr>
        <w:spacing w:after="0" w:line="4" w:lineRule="exact"/>
        <w:rPr>
          <w:sz w:val="20"/>
          <w:szCs w:val="20"/>
          <w:color w:val="auto"/>
        </w:rPr>
      </w:pPr>
    </w:p>
    <w:p>
      <w:pPr>
        <w:spacing w:after="0" w:line="234" w:lineRule="auto"/>
        <w:rPr>
          <w:sz w:val="20"/>
          <w:szCs w:val="20"/>
          <w:color w:val="auto"/>
        </w:rPr>
      </w:pPr>
      <w:r>
        <w:rPr>
          <w:rFonts w:ascii="Arial" w:cs="Arial" w:eastAsia="Arial" w:hAnsi="Arial"/>
          <w:sz w:val="22"/>
          <w:szCs w:val="22"/>
          <w:u w:val="single" w:color="auto"/>
          <w:color w:val="auto"/>
        </w:rPr>
        <w:t>7.2(d)</w:t>
      </w:r>
      <w:r>
        <w:rPr>
          <w:rFonts w:ascii="Arial" w:cs="Arial" w:eastAsia="Arial" w:hAnsi="Arial"/>
          <w:sz w:val="22"/>
          <w:szCs w:val="22"/>
          <w:color w:val="auto"/>
        </w:rPr>
        <w:t xml:space="preserve">, Class III shall comprise two Elected Directors. Subject to </w:t>
      </w:r>
      <w:r>
        <w:rPr>
          <w:rFonts w:ascii="Arial" w:cs="Arial" w:eastAsia="Arial" w:hAnsi="Arial"/>
          <w:sz w:val="22"/>
          <w:szCs w:val="22"/>
          <w:u w:val="single" w:color="auto"/>
          <w:color w:val="auto"/>
        </w:rPr>
        <w:t>Section 16.5(b)</w:t>
      </w:r>
      <w:r>
        <w:rPr>
          <w:rFonts w:ascii="Arial" w:cs="Arial" w:eastAsia="Arial" w:hAnsi="Arial"/>
          <w:sz w:val="22"/>
          <w:szCs w:val="22"/>
          <w:color w:val="auto"/>
        </w:rPr>
        <w:t xml:space="preserve">, any vacancy among the Appointed Directors shall be filled as if an Appointed Director had resigned, in accordance with </w:t>
      </w:r>
      <w:r>
        <w:rPr>
          <w:rFonts w:ascii="Arial" w:cs="Arial" w:eastAsia="Arial" w:hAnsi="Arial"/>
          <w:sz w:val="22"/>
          <w:szCs w:val="22"/>
          <w:u w:val="single" w:color="auto"/>
          <w:color w:val="auto"/>
        </w:rPr>
        <w:t>Section 7.6</w:t>
      </w:r>
      <w:r>
        <w:rPr>
          <w:rFonts w:ascii="Arial" w:cs="Arial" w:eastAsia="Arial" w:hAnsi="Arial"/>
          <w:sz w:val="22"/>
          <w:szCs w:val="22"/>
          <w:color w:val="auto"/>
        </w:rPr>
        <w:t>. The successors of the initial members of the Board of Directors shall be appointed or elected, as the case may be, as follows:</w:t>
      </w:r>
    </w:p>
    <w:p>
      <w:pPr>
        <w:spacing w:after="0" w:line="214" w:lineRule="exact"/>
        <w:rPr>
          <w:sz w:val="20"/>
          <w:szCs w:val="20"/>
          <w:color w:val="auto"/>
        </w:rPr>
      </w:pPr>
    </w:p>
    <w:p>
      <w:pPr>
        <w:ind w:left="660" w:right="260" w:firstLine="645"/>
        <w:spacing w:after="0"/>
        <w:tabs>
          <w:tab w:leader="none" w:pos="1778" w:val="left"/>
        </w:tabs>
        <w:numPr>
          <w:ilvl w:val="0"/>
          <w:numId w:val="39"/>
        </w:numPr>
        <w:rPr>
          <w:rFonts w:ascii="Arial" w:cs="Arial" w:eastAsia="Arial" w:hAnsi="Arial"/>
          <w:sz w:val="22"/>
          <w:szCs w:val="22"/>
          <w:color w:val="auto"/>
        </w:rPr>
      </w:pPr>
      <w:r>
        <w:rPr>
          <w:rFonts w:ascii="Arial" w:cs="Arial" w:eastAsia="Arial" w:hAnsi="Arial"/>
          <w:sz w:val="22"/>
          <w:szCs w:val="22"/>
          <w:color w:val="auto"/>
        </w:rPr>
        <w:t xml:space="preserve">The Appointed Directors shall be appointed by the General Partner, and subject to </w:t>
      </w:r>
      <w:r>
        <w:rPr>
          <w:rFonts w:ascii="Arial" w:cs="Arial" w:eastAsia="Arial" w:hAnsi="Arial"/>
          <w:sz w:val="22"/>
          <w:szCs w:val="22"/>
          <w:u w:val="single" w:color="auto"/>
          <w:color w:val="auto"/>
        </w:rPr>
        <w:t>Section 16.5(b)</w:t>
      </w:r>
      <w:r>
        <w:rPr>
          <w:rFonts w:ascii="Arial" w:cs="Arial" w:eastAsia="Arial" w:hAnsi="Arial"/>
          <w:sz w:val="22"/>
          <w:szCs w:val="22"/>
          <w:color w:val="auto"/>
        </w:rPr>
        <w:t>, each Appointed Director shall hold office until his successor is duly appointed by the General Partner and qualified or until his earlier death, resignation or removal; and</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50" w:name="page51"/>
    <w:bookmarkEnd w:id="50"/>
    <w:p>
      <w:pPr>
        <w:ind w:left="640" w:right="40" w:firstLine="645"/>
        <w:spacing w:after="0" w:line="279" w:lineRule="auto"/>
        <w:tabs>
          <w:tab w:leader="none" w:pos="1819" w:val="left"/>
        </w:tabs>
        <w:numPr>
          <w:ilvl w:val="0"/>
          <w:numId w:val="40"/>
        </w:numPr>
        <w:rPr>
          <w:rFonts w:ascii="Arial" w:cs="Arial" w:eastAsia="Arial" w:hAnsi="Arial"/>
          <w:sz w:val="19"/>
          <w:szCs w:val="19"/>
          <w:color w:val="auto"/>
        </w:rPr>
      </w:pPr>
      <w:r>
        <w:rPr>
          <w:rFonts w:ascii="Arial" w:cs="Arial" w:eastAsia="Arial" w:hAnsi="Arial"/>
          <w:sz w:val="19"/>
          <w:szCs w:val="19"/>
          <w:color w:val="auto"/>
        </w:rPr>
        <w:t>The Class I Elected Director shall be elected at the 2015 Annual Meeting for a one-year term expiring on the date of the first succeeding Annual Meeting, the Class II Elected Director shall be elected at the 2015 Annual Meeting for a two-year term expiring on the second succeeding Annual Meeting and the Class III Elected Director (or, if a Surrender Election has been made, the Class III Elected Directors) shall be elected at the 2015 Annual Meeting for a three-year term expiring on the third succeeding Annual Meeting, in each case by a plurality of the votes of the Outstanding Common Units present in person or represented by proxy at the Annual Meeting with each Outstanding Common Unit having one vote.</w:t>
      </w:r>
    </w:p>
    <w:p>
      <w:pPr>
        <w:spacing w:after="0" w:line="178" w:lineRule="exact"/>
        <w:rPr>
          <w:sz w:val="20"/>
          <w:szCs w:val="20"/>
          <w:color w:val="auto"/>
        </w:rPr>
      </w:pPr>
    </w:p>
    <w:p>
      <w:pPr>
        <w:ind w:left="-20" w:right="80" w:firstLine="1305"/>
        <w:spacing w:after="0" w:line="287" w:lineRule="auto"/>
        <w:tabs>
          <w:tab w:leader="none" w:pos="1799" w:val="left"/>
        </w:tabs>
        <w:numPr>
          <w:ilvl w:val="0"/>
          <w:numId w:val="41"/>
        </w:numPr>
        <w:rPr>
          <w:rFonts w:ascii="Arial" w:cs="Arial" w:eastAsia="Arial" w:hAnsi="Arial"/>
          <w:sz w:val="19"/>
          <w:szCs w:val="19"/>
          <w:color w:val="auto"/>
        </w:rPr>
      </w:pPr>
      <w:r>
        <w:rPr>
          <w:rFonts w:ascii="Arial" w:cs="Arial" w:eastAsia="Arial" w:hAnsi="Arial"/>
          <w:sz w:val="19"/>
          <w:szCs w:val="19"/>
          <w:color w:val="auto"/>
        </w:rPr>
        <w:t xml:space="preserve">Except as provided in </w:t>
      </w:r>
      <w:r>
        <w:rPr>
          <w:rFonts w:ascii="Arial" w:cs="Arial" w:eastAsia="Arial" w:hAnsi="Arial"/>
          <w:sz w:val="19"/>
          <w:szCs w:val="19"/>
          <w:u w:val="single" w:color="auto"/>
          <w:color w:val="auto"/>
        </w:rPr>
        <w:t>paragraph (a)(ii)</w:t>
      </w:r>
      <w:r>
        <w:rPr>
          <w:rFonts w:ascii="Arial" w:cs="Arial" w:eastAsia="Arial" w:hAnsi="Arial"/>
          <w:sz w:val="19"/>
          <w:szCs w:val="19"/>
          <w:color w:val="auto"/>
        </w:rPr>
        <w:t xml:space="preserve"> above with respect to the Elected Directors elected at the 2015 Annual Meeting or as provided in </w:t>
      </w:r>
      <w:r>
        <w:rPr>
          <w:rFonts w:ascii="Arial" w:cs="Arial" w:eastAsia="Arial" w:hAnsi="Arial"/>
          <w:sz w:val="19"/>
          <w:szCs w:val="19"/>
          <w:u w:val="single" w:color="auto"/>
          <w:color w:val="auto"/>
        </w:rPr>
        <w:t>paragraphs (d)</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(g)</w:t>
      </w:r>
      <w:r>
        <w:rPr>
          <w:rFonts w:ascii="Arial" w:cs="Arial" w:eastAsia="Arial" w:hAnsi="Arial"/>
          <w:sz w:val="19"/>
          <w:szCs w:val="19"/>
          <w:color w:val="auto"/>
        </w:rPr>
        <w:t xml:space="preserve"> below, each member of the Board of Directors appointed or elected, as the case may be, at an Annual Meeting shall hold office until the third succeeding Annual Meeting and until his successor is duly elected or appointed, as the case may be, and qualified, or until his earlier death, resignation or removal.</w:t>
      </w:r>
    </w:p>
    <w:p>
      <w:pPr>
        <w:spacing w:after="0" w:line="170" w:lineRule="exact"/>
        <w:rPr>
          <w:rFonts w:ascii="Arial" w:cs="Arial" w:eastAsia="Arial" w:hAnsi="Arial"/>
          <w:sz w:val="19"/>
          <w:szCs w:val="19"/>
          <w:color w:val="auto"/>
        </w:rPr>
      </w:pPr>
    </w:p>
    <w:p>
      <w:pPr>
        <w:ind w:left="-20" w:right="20" w:firstLine="1305"/>
        <w:spacing w:after="0" w:line="235" w:lineRule="auto"/>
        <w:tabs>
          <w:tab w:leader="none" w:pos="1787" w:val="left"/>
        </w:tabs>
        <w:numPr>
          <w:ilvl w:val="0"/>
          <w:numId w:val="41"/>
        </w:numPr>
        <w:rPr>
          <w:rFonts w:ascii="Arial" w:cs="Arial" w:eastAsia="Arial" w:hAnsi="Arial"/>
          <w:sz w:val="22"/>
          <w:szCs w:val="22"/>
          <w:color w:val="auto"/>
        </w:rPr>
      </w:pPr>
      <w:r>
        <w:rPr>
          <w:rFonts w:ascii="Arial" w:cs="Arial" w:eastAsia="Arial" w:hAnsi="Arial"/>
          <w:sz w:val="22"/>
          <w:szCs w:val="22"/>
          <w:color w:val="auto"/>
        </w:rPr>
        <w:t>Each member of the Board of Directors shall have one vote. The vote of the majority of the members of the Board of Directors present at a meeting at which a quorum is present shall be the act of the Board of Directors. A majority of the number of members of the Board of Directors then in office shall constitute a quorum for the transaction of business at any meeting of the Board of Directors, but if less than a quorum is present at a meeting, a majority of the members of the Board of Directors present at such meeting may adjourn the meeting from time to time, without notice other than announcement at the meeting, until a quorum shall be present.</w:t>
      </w:r>
    </w:p>
    <w:p>
      <w:pPr>
        <w:spacing w:after="0" w:line="215" w:lineRule="exact"/>
        <w:rPr>
          <w:rFonts w:ascii="Arial" w:cs="Arial" w:eastAsia="Arial" w:hAnsi="Arial"/>
          <w:sz w:val="22"/>
          <w:szCs w:val="22"/>
          <w:color w:val="auto"/>
        </w:rPr>
      </w:pPr>
    </w:p>
    <w:p>
      <w:pPr>
        <w:ind w:left="-20" w:right="20" w:firstLine="1305"/>
        <w:spacing w:after="0" w:line="235" w:lineRule="auto"/>
        <w:tabs>
          <w:tab w:leader="none" w:pos="1795" w:val="left"/>
        </w:tabs>
        <w:numPr>
          <w:ilvl w:val="0"/>
          <w:numId w:val="41"/>
        </w:numPr>
        <w:rPr>
          <w:rFonts w:ascii="Arial" w:cs="Arial" w:eastAsia="Arial" w:hAnsi="Arial"/>
          <w:sz w:val="22"/>
          <w:szCs w:val="22"/>
          <w:color w:val="auto"/>
        </w:rPr>
      </w:pPr>
      <w:r>
        <w:rPr>
          <w:rFonts w:ascii="Arial" w:cs="Arial" w:eastAsia="Arial" w:hAnsi="Arial"/>
          <w:sz w:val="22"/>
          <w:szCs w:val="22"/>
          <w:color w:val="auto"/>
        </w:rPr>
        <w:t>The General Partner shall have the right, exercisable in its sole discretion at any time, to elect in writing to surrender its right to appoint one Appointed Director (such election, a “</w:t>
      </w:r>
      <w:r>
        <w:rPr>
          <w:rFonts w:ascii="Arial" w:cs="Arial" w:eastAsia="Arial" w:hAnsi="Arial"/>
          <w:sz w:val="22"/>
          <w:szCs w:val="22"/>
          <w:b w:val="1"/>
          <w:bCs w:val="1"/>
          <w:i w:val="1"/>
          <w:iCs w:val="1"/>
          <w:color w:val="auto"/>
        </w:rPr>
        <w:t>Surrender Election</w:t>
      </w:r>
      <w:r>
        <w:rPr>
          <w:rFonts w:ascii="Arial" w:cs="Arial" w:eastAsia="Arial" w:hAnsi="Arial"/>
          <w:sz w:val="22"/>
          <w:szCs w:val="22"/>
          <w:color w:val="auto"/>
        </w:rPr>
        <w:t xml:space="preserve">”). If the Surrender Election is made, then in accordance with and at the times specified in </w:t>
      </w:r>
      <w:r>
        <w:rPr>
          <w:rFonts w:ascii="Arial" w:cs="Arial" w:eastAsia="Arial" w:hAnsi="Arial"/>
          <w:sz w:val="22"/>
          <w:szCs w:val="22"/>
          <w:u w:val="single" w:color="auto"/>
          <w:color w:val="auto"/>
        </w:rPr>
        <w:t>Sections 7.2(e)</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(f)</w:t>
      </w:r>
      <w:r>
        <w:rPr>
          <w:rFonts w:ascii="Arial" w:cs="Arial" w:eastAsia="Arial" w:hAnsi="Arial"/>
          <w:sz w:val="22"/>
          <w:szCs w:val="22"/>
          <w:color w:val="auto"/>
        </w:rPr>
        <w:t xml:space="preserve"> below, (i) the number of Appointed Directors shall decrease from four to three (subject to </w:t>
      </w:r>
      <w:r>
        <w:rPr>
          <w:rFonts w:ascii="Arial" w:cs="Arial" w:eastAsia="Arial" w:hAnsi="Arial"/>
          <w:sz w:val="22"/>
          <w:szCs w:val="22"/>
          <w:u w:val="single" w:color="auto"/>
          <w:color w:val="auto"/>
        </w:rPr>
        <w:t>Section 16.5(b)</w:t>
      </w:r>
      <w:r>
        <w:rPr>
          <w:rFonts w:ascii="Arial" w:cs="Arial" w:eastAsia="Arial" w:hAnsi="Arial"/>
          <w:sz w:val="22"/>
          <w:szCs w:val="22"/>
          <w:color w:val="auto"/>
        </w:rPr>
        <w:t>), and (ii) the number of Elected Directors shall increase from three to four. The Partnership shall inform the Limited Partners of the date on which the Surrender Election is made within 30 days following the Surrender Election.</w:t>
      </w:r>
    </w:p>
    <w:p>
      <w:pPr>
        <w:spacing w:after="0" w:line="215" w:lineRule="exact"/>
        <w:rPr>
          <w:rFonts w:ascii="Arial" w:cs="Arial" w:eastAsia="Arial" w:hAnsi="Arial"/>
          <w:sz w:val="22"/>
          <w:szCs w:val="22"/>
          <w:color w:val="auto"/>
        </w:rPr>
      </w:pPr>
    </w:p>
    <w:p>
      <w:pPr>
        <w:jc w:val="both"/>
        <w:ind w:left="-20" w:right="260" w:firstLine="1305"/>
        <w:spacing w:after="0" w:line="238" w:lineRule="auto"/>
        <w:tabs>
          <w:tab w:leader="none" w:pos="1787" w:val="left"/>
        </w:tabs>
        <w:numPr>
          <w:ilvl w:val="0"/>
          <w:numId w:val="41"/>
        </w:numPr>
        <w:rPr>
          <w:rFonts w:ascii="Arial" w:cs="Arial" w:eastAsia="Arial" w:hAnsi="Arial"/>
          <w:sz w:val="22"/>
          <w:szCs w:val="22"/>
          <w:color w:val="auto"/>
        </w:rPr>
      </w:pPr>
      <w:r>
        <w:rPr>
          <w:rFonts w:ascii="Arial" w:cs="Arial" w:eastAsia="Arial" w:hAnsi="Arial"/>
          <w:sz w:val="22"/>
          <w:szCs w:val="22"/>
          <w:color w:val="auto"/>
        </w:rPr>
        <w:t xml:space="preserve">If a Surrender Election is made, then, unless </w:t>
      </w:r>
      <w:r>
        <w:rPr>
          <w:rFonts w:ascii="Arial" w:cs="Arial" w:eastAsia="Arial" w:hAnsi="Arial"/>
          <w:sz w:val="22"/>
          <w:szCs w:val="22"/>
          <w:u w:val="single" w:color="auto"/>
          <w:color w:val="auto"/>
        </w:rPr>
        <w:t>Section 7.2(f)</w:t>
      </w:r>
      <w:r>
        <w:rPr>
          <w:rFonts w:ascii="Arial" w:cs="Arial" w:eastAsia="Arial" w:hAnsi="Arial"/>
          <w:sz w:val="22"/>
          <w:szCs w:val="22"/>
          <w:color w:val="auto"/>
        </w:rPr>
        <w:t xml:space="preserve"> applies, the additional Elected Director resulting from the Surrender Election shall be elected at the Annual Meeting next following the Surrender Election. Such Elected Director shall be a Class III Elected Director and shall hold office until the Annual Meeting at which the Class III Elected Director seat would expire.</w:t>
      </w:r>
    </w:p>
    <w:p>
      <w:pPr>
        <w:spacing w:after="0" w:line="212" w:lineRule="exact"/>
        <w:rPr>
          <w:rFonts w:ascii="Arial" w:cs="Arial" w:eastAsia="Arial" w:hAnsi="Arial"/>
          <w:sz w:val="22"/>
          <w:szCs w:val="22"/>
          <w:color w:val="auto"/>
        </w:rPr>
      </w:pPr>
    </w:p>
    <w:p>
      <w:pPr>
        <w:ind w:left="-20" w:firstLine="1305"/>
        <w:spacing w:after="0" w:line="252" w:lineRule="auto"/>
        <w:tabs>
          <w:tab w:leader="none" w:pos="1763" w:val="left"/>
        </w:tabs>
        <w:numPr>
          <w:ilvl w:val="0"/>
          <w:numId w:val="41"/>
        </w:numPr>
        <w:rPr>
          <w:rFonts w:ascii="Arial" w:cs="Arial" w:eastAsia="Arial" w:hAnsi="Arial"/>
          <w:sz w:val="21"/>
          <w:szCs w:val="21"/>
          <w:color w:val="auto"/>
        </w:rPr>
      </w:pPr>
      <w:r>
        <w:rPr>
          <w:rFonts w:ascii="Arial" w:cs="Arial" w:eastAsia="Arial" w:hAnsi="Arial"/>
          <w:sz w:val="21"/>
          <w:szCs w:val="21"/>
          <w:color w:val="auto"/>
        </w:rPr>
        <w:t xml:space="preserve">If the Surrender Election is made after the 2015 Annual Meeting, within 90 days following the date of the Surrender Election, the General Partner, the Board of Directors or the Limited Partners may call a special meeting to be held prior to the next Annual Meeting, in accordance with the procedures in </w:t>
      </w:r>
      <w:r>
        <w:rPr>
          <w:rFonts w:ascii="Arial" w:cs="Arial" w:eastAsia="Arial" w:hAnsi="Arial"/>
          <w:sz w:val="21"/>
          <w:szCs w:val="21"/>
          <w:u w:val="single" w:color="auto"/>
          <w:color w:val="auto"/>
        </w:rPr>
        <w:t>Section 13.4</w:t>
      </w:r>
      <w:r>
        <w:rPr>
          <w:rFonts w:ascii="Arial" w:cs="Arial" w:eastAsia="Arial" w:hAnsi="Arial"/>
          <w:sz w:val="21"/>
          <w:szCs w:val="21"/>
          <w:color w:val="auto"/>
        </w:rPr>
        <w:t>, for the sole purpose of the Limited Partners electing an additional Elected Director. Such Elected Director shall be a Class III Elected</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144780</wp:posOffset>
            </wp:positionV>
            <wp:extent cx="7246620" cy="342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80"/>
          </w:cols>
          <w:pgMar w:left="260" w:top="402" w:right="259" w:bottom="1440" w:gutter="0" w:footer="0" w:header="0"/>
        </w:sectPr>
      </w:pPr>
    </w:p>
    <w:bookmarkStart w:id="51" w:name="page52"/>
    <w:bookmarkEnd w:id="51"/>
    <w:p>
      <w:pPr>
        <w:spacing w:after="0"/>
        <w:rPr>
          <w:sz w:val="20"/>
          <w:szCs w:val="20"/>
          <w:color w:val="auto"/>
        </w:rPr>
      </w:pPr>
      <w:r>
        <w:rPr>
          <w:rFonts w:ascii="Arial" w:cs="Arial" w:eastAsia="Arial" w:hAnsi="Arial"/>
          <w:sz w:val="22"/>
          <w:szCs w:val="22"/>
          <w:color w:val="auto"/>
        </w:rPr>
        <w:t>Director and shall hold office until the Annual Meeting at which the Class III Elected Director seat would expire.</w:t>
      </w:r>
    </w:p>
    <w:p>
      <w:pPr>
        <w:spacing w:after="0" w:line="233" w:lineRule="exact"/>
        <w:rPr>
          <w:sz w:val="20"/>
          <w:szCs w:val="20"/>
          <w:color w:val="auto"/>
        </w:rPr>
      </w:pPr>
    </w:p>
    <w:p>
      <w:pPr>
        <w:ind w:right="20" w:firstLine="1305"/>
        <w:spacing w:after="0" w:line="236" w:lineRule="auto"/>
        <w:tabs>
          <w:tab w:leader="none" w:pos="1819" w:val="left"/>
        </w:tabs>
        <w:numPr>
          <w:ilvl w:val="0"/>
          <w:numId w:val="42"/>
        </w:numPr>
        <w:rPr>
          <w:rFonts w:ascii="Arial" w:cs="Arial" w:eastAsia="Arial" w:hAnsi="Arial"/>
          <w:sz w:val="22"/>
          <w:szCs w:val="22"/>
          <w:color w:val="auto"/>
        </w:rPr>
      </w:pPr>
      <w:r>
        <w:rPr>
          <w:rFonts w:ascii="Arial" w:cs="Arial" w:eastAsia="Arial" w:hAnsi="Arial"/>
          <w:sz w:val="22"/>
          <w:szCs w:val="22"/>
          <w:color w:val="auto"/>
        </w:rPr>
        <w:t xml:space="preserve">On and after the date that an additional Elected Director is elected in accordance with </w:t>
      </w:r>
      <w:r>
        <w:rPr>
          <w:rFonts w:ascii="Arial" w:cs="Arial" w:eastAsia="Arial" w:hAnsi="Arial"/>
          <w:sz w:val="22"/>
          <w:szCs w:val="22"/>
          <w:u w:val="single" w:color="auto"/>
          <w:color w:val="auto"/>
        </w:rPr>
        <w:t>Section 7.2(e)</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(f)</w:t>
      </w:r>
      <w:r>
        <w:rPr>
          <w:rFonts w:ascii="Arial" w:cs="Arial" w:eastAsia="Arial" w:hAnsi="Arial"/>
          <w:sz w:val="22"/>
          <w:szCs w:val="22"/>
          <w:color w:val="auto"/>
        </w:rPr>
        <w:t xml:space="preserve">, only three (or four, if an additional Appointed Director has been appointed under </w:t>
      </w:r>
      <w:r>
        <w:rPr>
          <w:rFonts w:ascii="Arial" w:cs="Arial" w:eastAsia="Arial" w:hAnsi="Arial"/>
          <w:sz w:val="22"/>
          <w:szCs w:val="22"/>
          <w:u w:val="single" w:color="auto"/>
          <w:color w:val="auto"/>
        </w:rPr>
        <w:t>Section 16.5(b)</w:t>
      </w:r>
      <w:r>
        <w:rPr>
          <w:rFonts w:ascii="Arial" w:cs="Arial" w:eastAsia="Arial" w:hAnsi="Arial"/>
          <w:sz w:val="22"/>
          <w:szCs w:val="22"/>
          <w:color w:val="auto"/>
        </w:rPr>
        <w:t xml:space="preserve">) Appointed Directors may be in office at any time. If necessary to satisfy this condition, the General Partner shall, immediately prior to the election of the additional Elected Director and in accordance with </w:t>
      </w:r>
      <w:r>
        <w:rPr>
          <w:rFonts w:ascii="Arial" w:cs="Arial" w:eastAsia="Arial" w:hAnsi="Arial"/>
          <w:sz w:val="22"/>
          <w:szCs w:val="22"/>
          <w:u w:val="single" w:color="auto"/>
          <w:color w:val="auto"/>
        </w:rPr>
        <w:t>Section 7.4(a)(i)</w:t>
      </w:r>
      <w:r>
        <w:rPr>
          <w:rFonts w:ascii="Arial" w:cs="Arial" w:eastAsia="Arial" w:hAnsi="Arial"/>
          <w:sz w:val="22"/>
          <w:szCs w:val="22"/>
          <w:color w:val="auto"/>
        </w:rPr>
        <w:t>, designate the Appointed Director whose term shall terminate upon such election.</w:t>
      </w:r>
    </w:p>
    <w:p>
      <w:pPr>
        <w:spacing w:after="0" w:line="215" w:lineRule="exact"/>
        <w:rPr>
          <w:sz w:val="20"/>
          <w:szCs w:val="20"/>
          <w:color w:val="auto"/>
        </w:rPr>
      </w:pPr>
    </w:p>
    <w:p>
      <w:pPr>
        <w:ind w:firstLine="1297"/>
        <w:spacing w:after="0" w:line="271" w:lineRule="auto"/>
        <w:rPr>
          <w:sz w:val="20"/>
          <w:szCs w:val="20"/>
          <w:color w:val="auto"/>
        </w:rPr>
      </w:pPr>
      <w:r>
        <w:rPr>
          <w:rFonts w:ascii="Arial" w:cs="Arial" w:eastAsia="Arial" w:hAnsi="Arial"/>
          <w:sz w:val="19"/>
          <w:szCs w:val="19"/>
          <w:color w:val="auto"/>
        </w:rPr>
        <w:t xml:space="preserve">Section 7.3. </w:t>
      </w:r>
      <w:r>
        <w:rPr>
          <w:rFonts w:ascii="Arial" w:cs="Arial" w:eastAsia="Arial" w:hAnsi="Arial"/>
          <w:sz w:val="19"/>
          <w:szCs w:val="19"/>
          <w:i w:val="1"/>
          <w:iCs w:val="1"/>
          <w:color w:val="auto"/>
        </w:rPr>
        <w:t>Nominations of Elected Directors</w:t>
      </w:r>
      <w:r>
        <w:rPr>
          <w:rFonts w:ascii="Arial" w:cs="Arial" w:eastAsia="Arial" w:hAnsi="Arial"/>
          <w:sz w:val="19"/>
          <w:szCs w:val="19"/>
          <w:color w:val="auto"/>
        </w:rPr>
        <w:t xml:space="preserve">. The Board of Directors shall be entitled to nominate individuals to stand for election as Elected Directors at an Annual Meeting. In addition, any Limited Partner or Group of Limited Partners that beneficially owns 10% or more of the Outstanding Common Units shall be entitled to nominate one or more individuals to stand for election as Elected Directors at an Annual Meeting by providing written notice thereof to the Board of Directors not more than 120 days and not less than 90 days prior to the date of such Annual Meeting;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in the event that the date of the Annual Meeting was not publicly announced by the Partnership by mail, press release or otherwise more than 100 days prior to the date of such meeting, such notice, to be timely, must be delivered to the Board of Directors not later than the close of business on the 10th day following the date on which the date of the Annual Meeting was announced. Such notice shall set forth (a) the name and address of the Limited Partner or Limited Partners making the nomination or nominations, (b) the number of Common Units beneficially owned by such Limited Partner or Limited Partners, (c) such information regarding the nominee(s) proposed by the Limited Partner or Limited Partners as would be required to be included in a proxy statement relating to the solicitation of proxies for the election of directors filed pursuant to the proxy rules of the Commission had the nominee(s) been nominated or intended to be nominated to the Board of Directors, (d) the written consent of each nominee to serve as a member of the Board of Directors if so elected and (e) a certification that such nominee(s) qualify as Elected Directors.</w:t>
      </w:r>
    </w:p>
    <w:p>
      <w:pPr>
        <w:spacing w:after="0" w:line="192" w:lineRule="exact"/>
        <w:rPr>
          <w:sz w:val="20"/>
          <w:szCs w:val="20"/>
          <w:color w:val="auto"/>
        </w:rPr>
      </w:pPr>
    </w:p>
    <w:p>
      <w:pPr>
        <w:ind w:right="800" w:firstLine="1297"/>
        <w:spacing w:after="0" w:line="251" w:lineRule="auto"/>
        <w:rPr>
          <w:sz w:val="20"/>
          <w:szCs w:val="20"/>
          <w:color w:val="auto"/>
        </w:rPr>
      </w:pPr>
      <w:r>
        <w:rPr>
          <w:rFonts w:ascii="Arial" w:cs="Arial" w:eastAsia="Arial" w:hAnsi="Arial"/>
          <w:sz w:val="22"/>
          <w:szCs w:val="22"/>
          <w:color w:val="auto"/>
        </w:rPr>
        <w:t xml:space="preserve">Section 7.4. </w:t>
      </w:r>
      <w:r>
        <w:rPr>
          <w:rFonts w:ascii="Arial" w:cs="Arial" w:eastAsia="Arial" w:hAnsi="Arial"/>
          <w:sz w:val="22"/>
          <w:szCs w:val="22"/>
          <w:i w:val="1"/>
          <w:iCs w:val="1"/>
          <w:color w:val="auto"/>
        </w:rPr>
        <w:t>Removal of Members of Board of Directors</w:t>
      </w:r>
      <w:r>
        <w:rPr>
          <w:rFonts w:ascii="Arial" w:cs="Arial" w:eastAsia="Arial" w:hAnsi="Arial"/>
          <w:sz w:val="22"/>
          <w:szCs w:val="22"/>
          <w:color w:val="auto"/>
        </w:rPr>
        <w:t>. Members of the Board of Directors may only be removed as follows:</w:t>
      </w:r>
    </w:p>
    <w:p>
      <w:pPr>
        <w:spacing w:after="0" w:line="200" w:lineRule="exact"/>
        <w:rPr>
          <w:sz w:val="20"/>
          <w:szCs w:val="20"/>
          <w:color w:val="auto"/>
        </w:rPr>
      </w:pPr>
    </w:p>
    <w:p>
      <w:pPr>
        <w:ind w:right="160" w:firstLine="1305"/>
        <w:spacing w:after="0" w:line="238" w:lineRule="auto"/>
        <w:tabs>
          <w:tab w:leader="none" w:pos="1795" w:val="left"/>
        </w:tabs>
        <w:numPr>
          <w:ilvl w:val="0"/>
          <w:numId w:val="43"/>
        </w:numPr>
        <w:rPr>
          <w:rFonts w:ascii="Arial" w:cs="Arial" w:eastAsia="Arial" w:hAnsi="Arial"/>
          <w:sz w:val="22"/>
          <w:szCs w:val="22"/>
          <w:color w:val="auto"/>
        </w:rPr>
      </w:pPr>
      <w:r>
        <w:rPr>
          <w:rFonts w:ascii="Arial" w:cs="Arial" w:eastAsia="Arial" w:hAnsi="Arial"/>
          <w:sz w:val="22"/>
          <w:szCs w:val="22"/>
          <w:color w:val="auto"/>
        </w:rPr>
        <w:t>Any Appointed Director may be removed at any time, (i) without Cause, only by the General Partner and, (ii) with Cause, by (x) the General Partner, (y) by the affirmative vote of the holders of a majority of the Outstanding Units at a properly called meeting of the Limited Partners or (z) by the affirmative vote of a majority of the other members of the Board of Directors.</w:t>
      </w:r>
    </w:p>
    <w:p>
      <w:pPr>
        <w:spacing w:after="0" w:line="212" w:lineRule="exact"/>
        <w:rPr>
          <w:rFonts w:ascii="Arial" w:cs="Arial" w:eastAsia="Arial" w:hAnsi="Arial"/>
          <w:sz w:val="22"/>
          <w:szCs w:val="22"/>
          <w:color w:val="auto"/>
        </w:rPr>
      </w:pPr>
    </w:p>
    <w:p>
      <w:pPr>
        <w:ind w:right="120" w:firstLine="1305"/>
        <w:spacing w:after="0"/>
        <w:tabs>
          <w:tab w:leader="none" w:pos="1807" w:val="left"/>
        </w:tabs>
        <w:numPr>
          <w:ilvl w:val="0"/>
          <w:numId w:val="43"/>
        </w:numPr>
        <w:rPr>
          <w:rFonts w:ascii="Arial" w:cs="Arial" w:eastAsia="Arial" w:hAnsi="Arial"/>
          <w:sz w:val="22"/>
          <w:szCs w:val="22"/>
          <w:color w:val="auto"/>
        </w:rPr>
      </w:pPr>
      <w:r>
        <w:rPr>
          <w:rFonts w:ascii="Arial" w:cs="Arial" w:eastAsia="Arial" w:hAnsi="Arial"/>
          <w:sz w:val="22"/>
          <w:szCs w:val="22"/>
          <w:color w:val="auto"/>
        </w:rPr>
        <w:t>Any Elected Director may be removed at any time, with Cause, only by the affirmative vote of a majority of the other members of the Board of Directors or at a properly called meeting of the Limited Partners only by the affirmative vote of the holders of a majority of the Outstanding Common Units.</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52" w:name="page53"/>
    <w:bookmarkEnd w:id="52"/>
    <w:p>
      <w:pPr>
        <w:ind w:right="60" w:firstLine="1297"/>
        <w:spacing w:after="0" w:line="328" w:lineRule="auto"/>
        <w:rPr>
          <w:sz w:val="20"/>
          <w:szCs w:val="20"/>
          <w:color w:val="auto"/>
        </w:rPr>
      </w:pPr>
      <w:r>
        <w:rPr>
          <w:rFonts w:ascii="Arial" w:cs="Arial" w:eastAsia="Arial" w:hAnsi="Arial"/>
          <w:sz w:val="19"/>
          <w:szCs w:val="19"/>
          <w:color w:val="auto"/>
        </w:rPr>
        <w:t xml:space="preserve">Section 7.5. </w:t>
      </w:r>
      <w:r>
        <w:rPr>
          <w:rFonts w:ascii="Arial" w:cs="Arial" w:eastAsia="Arial" w:hAnsi="Arial"/>
          <w:sz w:val="19"/>
          <w:szCs w:val="19"/>
          <w:i w:val="1"/>
          <w:iCs w:val="1"/>
          <w:color w:val="auto"/>
        </w:rPr>
        <w:t>Resignations of Members of the Board of Directors</w:t>
      </w:r>
      <w:r>
        <w:rPr>
          <w:rFonts w:ascii="Arial" w:cs="Arial" w:eastAsia="Arial" w:hAnsi="Arial"/>
          <w:sz w:val="19"/>
          <w:szCs w:val="19"/>
          <w:color w:val="auto"/>
        </w:rPr>
        <w:t>. Any member of the Board of Directors may resign at any time by giving written notice to the Board of Directors. Such resignation shall take effect at the time specified therein.</w:t>
      </w:r>
    </w:p>
    <w:p>
      <w:pPr>
        <w:spacing w:after="0" w:line="132"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color w:val="auto"/>
        </w:rPr>
        <w:t>Section 7.6.</w:t>
      </w:r>
      <w:r>
        <w:rPr>
          <w:sz w:val="20"/>
          <w:szCs w:val="20"/>
          <w:color w:val="auto"/>
        </w:rPr>
        <w:tab/>
      </w:r>
      <w:r>
        <w:rPr>
          <w:rFonts w:ascii="Arial" w:cs="Arial" w:eastAsia="Arial" w:hAnsi="Arial"/>
          <w:sz w:val="19"/>
          <w:szCs w:val="19"/>
          <w:i w:val="1"/>
          <w:iCs w:val="1"/>
          <w:color w:val="auto"/>
        </w:rPr>
        <w:t>Vacancies on the Board of Directors</w:t>
      </w:r>
      <w:r>
        <w:rPr>
          <w:rFonts w:ascii="Arial" w:cs="Arial" w:eastAsia="Arial" w:hAnsi="Arial"/>
          <w:sz w:val="19"/>
          <w:szCs w:val="19"/>
          <w:color w:val="auto"/>
        </w:rPr>
        <w:t>. Vacancies on the Board of Directors may be filled only as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follows:</w:t>
      </w:r>
    </w:p>
    <w:p>
      <w:pPr>
        <w:spacing w:after="0" w:line="215" w:lineRule="exact"/>
        <w:rPr>
          <w:sz w:val="20"/>
          <w:szCs w:val="20"/>
          <w:color w:val="auto"/>
        </w:rPr>
      </w:pPr>
    </w:p>
    <w:p>
      <w:pPr>
        <w:ind w:right="200" w:firstLine="1305"/>
        <w:spacing w:after="0" w:line="328" w:lineRule="auto"/>
        <w:tabs>
          <w:tab w:leader="none" w:pos="1807" w:val="left"/>
        </w:tabs>
        <w:numPr>
          <w:ilvl w:val="0"/>
          <w:numId w:val="44"/>
        </w:numPr>
        <w:rPr>
          <w:rFonts w:ascii="Arial" w:cs="Arial" w:eastAsia="Arial" w:hAnsi="Arial"/>
          <w:sz w:val="19"/>
          <w:szCs w:val="19"/>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Section 16.5(b)</w:t>
      </w:r>
      <w:r>
        <w:rPr>
          <w:rFonts w:ascii="Arial" w:cs="Arial" w:eastAsia="Arial" w:hAnsi="Arial"/>
          <w:sz w:val="19"/>
          <w:szCs w:val="19"/>
          <w:color w:val="auto"/>
        </w:rPr>
        <w:t>, if any Appointed Director is removed, resigns or is otherwise unable to serve as a member of the Board of Directors, the General Partner shall, in its individual capacity, appoint an individual to fill the vacancy.</w:t>
      </w:r>
    </w:p>
    <w:p>
      <w:pPr>
        <w:spacing w:after="0" w:line="132" w:lineRule="exact"/>
        <w:rPr>
          <w:rFonts w:ascii="Arial" w:cs="Arial" w:eastAsia="Arial" w:hAnsi="Arial"/>
          <w:sz w:val="19"/>
          <w:szCs w:val="19"/>
          <w:color w:val="auto"/>
        </w:rPr>
      </w:pPr>
    </w:p>
    <w:p>
      <w:pPr>
        <w:ind w:right="340" w:firstLine="1305"/>
        <w:spacing w:after="0" w:line="251" w:lineRule="auto"/>
        <w:tabs>
          <w:tab w:leader="none" w:pos="1819" w:val="left"/>
        </w:tabs>
        <w:numPr>
          <w:ilvl w:val="0"/>
          <w:numId w:val="44"/>
        </w:numPr>
        <w:rPr>
          <w:rFonts w:ascii="Arial" w:cs="Arial" w:eastAsia="Arial" w:hAnsi="Arial"/>
          <w:sz w:val="22"/>
          <w:szCs w:val="22"/>
          <w:color w:val="auto"/>
        </w:rPr>
      </w:pPr>
      <w:r>
        <w:rPr>
          <w:rFonts w:ascii="Arial" w:cs="Arial" w:eastAsia="Arial" w:hAnsi="Arial"/>
          <w:sz w:val="22"/>
          <w:szCs w:val="22"/>
          <w:color w:val="auto"/>
        </w:rPr>
        <w:t>If any Elected Director is removed, resigns or is unable to serve as a member of the Board of Directors, the vacancy shall be filled by a majority of the other Elected Directors then serving.</w:t>
      </w:r>
    </w:p>
    <w:p>
      <w:pPr>
        <w:spacing w:after="0" w:line="200" w:lineRule="exact"/>
        <w:rPr>
          <w:rFonts w:ascii="Arial" w:cs="Arial" w:eastAsia="Arial" w:hAnsi="Arial"/>
          <w:sz w:val="22"/>
          <w:szCs w:val="22"/>
          <w:color w:val="auto"/>
        </w:rPr>
      </w:pPr>
    </w:p>
    <w:p>
      <w:pPr>
        <w:ind w:right="260" w:firstLine="1305"/>
        <w:spacing w:after="0" w:line="251" w:lineRule="auto"/>
        <w:tabs>
          <w:tab w:leader="none" w:pos="1795" w:val="left"/>
        </w:tabs>
        <w:numPr>
          <w:ilvl w:val="0"/>
          <w:numId w:val="44"/>
        </w:numPr>
        <w:rPr>
          <w:rFonts w:ascii="Arial" w:cs="Arial" w:eastAsia="Arial" w:hAnsi="Arial"/>
          <w:sz w:val="22"/>
          <w:szCs w:val="22"/>
          <w:color w:val="auto"/>
        </w:rPr>
      </w:pPr>
      <w:r>
        <w:rPr>
          <w:rFonts w:ascii="Arial" w:cs="Arial" w:eastAsia="Arial" w:hAnsi="Arial"/>
          <w:sz w:val="22"/>
          <w:szCs w:val="22"/>
          <w:color w:val="auto"/>
        </w:rPr>
        <w:t xml:space="preserve">A director appointed or elected pursuant to this </w:t>
      </w:r>
      <w:r>
        <w:rPr>
          <w:rFonts w:ascii="Arial" w:cs="Arial" w:eastAsia="Arial" w:hAnsi="Arial"/>
          <w:sz w:val="22"/>
          <w:szCs w:val="22"/>
          <w:u w:val="single" w:color="auto"/>
          <w:color w:val="auto"/>
        </w:rPr>
        <w:t>Section 7.6</w:t>
      </w:r>
      <w:r>
        <w:rPr>
          <w:rFonts w:ascii="Arial" w:cs="Arial" w:eastAsia="Arial" w:hAnsi="Arial"/>
          <w:sz w:val="22"/>
          <w:szCs w:val="22"/>
          <w:color w:val="auto"/>
        </w:rPr>
        <w:t xml:space="preserve"> to fill a vacancy shall be appointed or elected, as the case may be, for no more than the unexpired term of his predecessor in office.</w:t>
      </w:r>
    </w:p>
    <w:p>
      <w:pPr>
        <w:spacing w:after="0" w:line="200" w:lineRule="exact"/>
        <w:rPr>
          <w:sz w:val="20"/>
          <w:szCs w:val="20"/>
          <w:color w:val="auto"/>
        </w:rPr>
      </w:pPr>
    </w:p>
    <w:p>
      <w:pPr>
        <w:ind w:right="20" w:firstLine="1297"/>
        <w:spacing w:after="0" w:line="271" w:lineRule="auto"/>
        <w:rPr>
          <w:sz w:val="20"/>
          <w:szCs w:val="20"/>
          <w:color w:val="auto"/>
        </w:rPr>
      </w:pPr>
      <w:r>
        <w:rPr>
          <w:rFonts w:ascii="Arial" w:cs="Arial" w:eastAsia="Arial" w:hAnsi="Arial"/>
          <w:sz w:val="19"/>
          <w:szCs w:val="19"/>
          <w:color w:val="auto"/>
        </w:rPr>
        <w:t xml:space="preserve">Section 7.7. </w:t>
      </w:r>
      <w:r>
        <w:rPr>
          <w:rFonts w:ascii="Arial" w:cs="Arial" w:eastAsia="Arial" w:hAnsi="Arial"/>
          <w:sz w:val="19"/>
          <w:szCs w:val="19"/>
          <w:i w:val="1"/>
          <w:iCs w:val="1"/>
          <w:color w:val="auto"/>
        </w:rPr>
        <w:t>Meetings; Committees; Chairman</w:t>
      </w:r>
      <w:r>
        <w:rPr>
          <w:rFonts w:ascii="Arial" w:cs="Arial" w:eastAsia="Arial" w:hAnsi="Arial"/>
          <w:sz w:val="19"/>
          <w:szCs w:val="19"/>
          <w:color w:val="auto"/>
        </w:rPr>
        <w:t xml:space="preserve">. (a) Regular meetings of the Board of Directors shall be held at such times and places as shall be designated from time to time by resolution of the Board of Directors. Notice of such regular meetings shall not be required. Special meetings of the Board of Directors may be called by the Chairman of the Board of Directors and shall be called by the Secretary upon the written request of two members of the Board of Directors, on at least 48 hours prior written notice to the other members. Any such notice, or waiver thereof, need not state the purpose of such meeting except as may otherwise be required by law. Attendance of a member of the Board of Directors at a meeting (including pursuant to the penultimate sentence of this </w:t>
      </w:r>
      <w:r>
        <w:rPr>
          <w:rFonts w:ascii="Arial" w:cs="Arial" w:eastAsia="Arial" w:hAnsi="Arial"/>
          <w:sz w:val="19"/>
          <w:szCs w:val="19"/>
          <w:u w:val="single" w:color="auto"/>
          <w:color w:val="auto"/>
        </w:rPr>
        <w:t>Section 7.7(a)</w:t>
      </w:r>
      <w:r>
        <w:rPr>
          <w:rFonts w:ascii="Arial" w:cs="Arial" w:eastAsia="Arial" w:hAnsi="Arial"/>
          <w:sz w:val="19"/>
          <w:szCs w:val="19"/>
          <w:color w:val="auto"/>
        </w:rPr>
        <w:t>) shall constitute a waiver of notice of such meeting, except where such member attends the meeting for the express purpose of objecting to the transaction of any business on the ground that the meeting is not lawfully called or convened. Any action required or permitted to be taken at a meeting of the Board of Directors may be taken without a meeting, without prior notice and without a vote if a consent or consents in writing, setting forth the action so taken, is signed by all the members of the Board of Directors. Members of the Board of Directors may participate in and hold meetings by means of conference telephone, videoconference or similar communications equipment by means of which all Persons participating in the meeting can hear each other, and participation in such meetings shall constitute presence in person at the meeting. The Board of Directors may establish any additional rules governing the conduct of its meetings that are not inconsistent with the provisions of this Agreement.</w:t>
      </w:r>
    </w:p>
    <w:p>
      <w:pPr>
        <w:spacing w:after="0" w:line="200" w:lineRule="exact"/>
        <w:rPr>
          <w:sz w:val="20"/>
          <w:szCs w:val="20"/>
          <w:color w:val="auto"/>
        </w:rPr>
      </w:pPr>
    </w:p>
    <w:p>
      <w:pPr>
        <w:spacing w:after="0" w:line="236" w:lineRule="exact"/>
        <w:rPr>
          <w:sz w:val="20"/>
          <w:szCs w:val="20"/>
          <w:color w:val="auto"/>
        </w:rPr>
      </w:pPr>
    </w:p>
    <w:p>
      <w:pPr>
        <w:ind w:firstLine="1305"/>
        <w:spacing w:after="0" w:line="236" w:lineRule="auto"/>
        <w:tabs>
          <w:tab w:leader="none" w:pos="1815" w:val="left"/>
        </w:tabs>
        <w:numPr>
          <w:ilvl w:val="0"/>
          <w:numId w:val="45"/>
        </w:numPr>
        <w:rPr>
          <w:rFonts w:ascii="Arial" w:cs="Arial" w:eastAsia="Arial" w:hAnsi="Arial"/>
          <w:sz w:val="22"/>
          <w:szCs w:val="22"/>
          <w:color w:val="auto"/>
        </w:rPr>
      </w:pPr>
      <w:r>
        <w:rPr>
          <w:rFonts w:ascii="Arial" w:cs="Arial" w:eastAsia="Arial" w:hAnsi="Arial"/>
          <w:sz w:val="22"/>
          <w:szCs w:val="22"/>
          <w:color w:val="auto"/>
        </w:rPr>
        <w:t>The Board of Directors shall appoint the members of the Audit Committee and the Conflicts Committee. The Audit Committee and the Conflicts Committee shall, in each case, perform the functions delegated to it pursuant to the terms of this Agreement and such other matters as may be delegated to it from time to time by resolution of the Board of Directors. The Board of Directors, by a majority of the whole Board of Directors, may appoint one or more additional committees of the Board of Directors to consist of one or more members of the Board</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53" w:name="page54"/>
    <w:bookmarkEnd w:id="53"/>
    <w:p>
      <w:pPr>
        <w:ind w:right="20"/>
        <w:spacing w:after="0" w:line="268" w:lineRule="auto"/>
        <w:rPr>
          <w:sz w:val="20"/>
          <w:szCs w:val="20"/>
          <w:color w:val="auto"/>
        </w:rPr>
      </w:pPr>
      <w:r>
        <w:rPr>
          <w:rFonts w:ascii="Arial" w:cs="Arial" w:eastAsia="Arial" w:hAnsi="Arial"/>
          <w:sz w:val="19"/>
          <w:szCs w:val="19"/>
          <w:color w:val="auto"/>
        </w:rPr>
        <w:t xml:space="preserve">of Directors, which committee(s) shall have and may exercise such of the powers and authority of the Board of Directors (including in respect of </w:t>
      </w:r>
      <w:r>
        <w:rPr>
          <w:rFonts w:ascii="Arial" w:cs="Arial" w:eastAsia="Arial" w:hAnsi="Arial"/>
          <w:sz w:val="19"/>
          <w:szCs w:val="19"/>
          <w:u w:val="single" w:color="auto"/>
          <w:color w:val="auto"/>
        </w:rPr>
        <w:t>Section 7.1</w:t>
      </w:r>
      <w:r>
        <w:rPr>
          <w:rFonts w:ascii="Arial" w:cs="Arial" w:eastAsia="Arial" w:hAnsi="Arial"/>
          <w:sz w:val="19"/>
          <w:szCs w:val="19"/>
          <w:color w:val="auto"/>
        </w:rPr>
        <w:t xml:space="preserve">) with respect to the management of the business and affairs of the Partnership as may be provided in a resolution of the Board of Directors. Any committee designated pursuant to this </w:t>
      </w:r>
      <w:r>
        <w:rPr>
          <w:rFonts w:ascii="Arial" w:cs="Arial" w:eastAsia="Arial" w:hAnsi="Arial"/>
          <w:sz w:val="19"/>
          <w:szCs w:val="19"/>
          <w:u w:val="single" w:color="auto"/>
          <w:color w:val="auto"/>
        </w:rPr>
        <w:t>Section 7.7(b)</w:t>
      </w:r>
      <w:r>
        <w:rPr>
          <w:rFonts w:ascii="Arial" w:cs="Arial" w:eastAsia="Arial" w:hAnsi="Arial"/>
          <w:sz w:val="19"/>
          <w:szCs w:val="19"/>
          <w:color w:val="auto"/>
        </w:rPr>
        <w:t xml:space="preserve"> shall choose its own chairman, shall keep regular minutes of its proceedings and report the same to the Board of Directors when requested, shall fix its own rules or procedures and shall meet at such times and at such place or places as may be provided by such rules or by resolution of such committee or resolution of the Board of Directors. At every meeting of any such committee, the presence of a majority of all the members thereof shall constitute a quorum and the affirmative vote of a majority of the members present shall be necessary for the taking of any action. Any action required or permitted to be taken at a meeting of a committee of the Board of Directors may be taken without a meeting, without prior notice and without a vote if a consent or consents in writing, setting forth the action so taken, is signed by all the members of the committee of the Board of Directors. Subject to the first sentence of this </w:t>
      </w:r>
      <w:r>
        <w:rPr>
          <w:rFonts w:ascii="Arial" w:cs="Arial" w:eastAsia="Arial" w:hAnsi="Arial"/>
          <w:sz w:val="19"/>
          <w:szCs w:val="19"/>
          <w:u w:val="single" w:color="auto"/>
          <w:color w:val="auto"/>
        </w:rPr>
        <w:t>Section 7.7(b)</w:t>
      </w:r>
      <w:r>
        <w:rPr>
          <w:rFonts w:ascii="Arial" w:cs="Arial" w:eastAsia="Arial" w:hAnsi="Arial"/>
          <w:sz w:val="19"/>
          <w:szCs w:val="19"/>
          <w:color w:val="auto"/>
        </w:rPr>
        <w:t xml:space="preserve">, the Board of Directors may designate one or more members of the Board of Directors as alternate members of any committee who may replace any absent or disqualified member at any meeting of such committee. Subject to the first sentence of this </w:t>
      </w:r>
      <w:r>
        <w:rPr>
          <w:rFonts w:ascii="Arial" w:cs="Arial" w:eastAsia="Arial" w:hAnsi="Arial"/>
          <w:sz w:val="19"/>
          <w:szCs w:val="19"/>
          <w:u w:val="single" w:color="auto"/>
          <w:color w:val="auto"/>
        </w:rPr>
        <w:t>Section</w:t>
      </w:r>
    </w:p>
    <w:p>
      <w:pPr>
        <w:spacing w:after="0" w:line="7" w:lineRule="exact"/>
        <w:rPr>
          <w:sz w:val="20"/>
          <w:szCs w:val="20"/>
          <w:color w:val="auto"/>
        </w:rPr>
      </w:pPr>
    </w:p>
    <w:p>
      <w:pPr>
        <w:ind w:right="520"/>
        <w:spacing w:after="0" w:line="249" w:lineRule="auto"/>
        <w:rPr>
          <w:sz w:val="20"/>
          <w:szCs w:val="20"/>
          <w:color w:val="auto"/>
        </w:rPr>
      </w:pPr>
      <w:r>
        <w:rPr>
          <w:rFonts w:ascii="Arial" w:cs="Arial" w:eastAsia="Arial" w:hAnsi="Arial"/>
          <w:sz w:val="21"/>
          <w:szCs w:val="21"/>
          <w:u w:val="single" w:color="auto"/>
          <w:color w:val="auto"/>
        </w:rPr>
        <w:t>7.7(b)</w:t>
      </w:r>
      <w:r>
        <w:rPr>
          <w:rFonts w:ascii="Arial" w:cs="Arial" w:eastAsia="Arial" w:hAnsi="Arial"/>
          <w:sz w:val="21"/>
          <w:szCs w:val="21"/>
          <w:color w:val="auto"/>
        </w:rPr>
        <w:t>, in the absence or disqualification of a member of a committee, the member or members present at any meeting and not disqualified from voting, whether or not constituting a quorum, may unanimously appoint another member of the Board of Directors to act at the meeting in the place of the absent or disqualified member.</w:t>
      </w:r>
    </w:p>
    <w:p>
      <w:pPr>
        <w:spacing w:after="0" w:line="203" w:lineRule="exact"/>
        <w:rPr>
          <w:sz w:val="20"/>
          <w:szCs w:val="20"/>
          <w:color w:val="auto"/>
        </w:rPr>
      </w:pPr>
    </w:p>
    <w:p>
      <w:pPr>
        <w:ind w:firstLine="1305"/>
        <w:spacing w:after="0" w:line="277" w:lineRule="auto"/>
        <w:tabs>
          <w:tab w:leader="none" w:pos="1803" w:val="left"/>
        </w:tabs>
        <w:numPr>
          <w:ilvl w:val="0"/>
          <w:numId w:val="46"/>
        </w:numPr>
        <w:rPr>
          <w:rFonts w:ascii="Arial" w:cs="Arial" w:eastAsia="Arial" w:hAnsi="Arial"/>
          <w:sz w:val="19"/>
          <w:szCs w:val="19"/>
          <w:color w:val="auto"/>
        </w:rPr>
      </w:pPr>
      <w:r>
        <w:rPr>
          <w:rFonts w:ascii="Arial" w:cs="Arial" w:eastAsia="Arial" w:hAnsi="Arial"/>
          <w:sz w:val="19"/>
          <w:szCs w:val="19"/>
          <w:color w:val="auto"/>
        </w:rPr>
        <w:t>The Appointed Directors may designate one of the members of the Board of Directors as Chairman of the Board of Directors. The initial Chairman of the Board of Directors shall be Curtis Anastasio. The Chairman of the Board of Directors, if any, and if present and acting, shall preside at all meetings of the Board of Directors. In the absence of the Chairman of the Board of Directors, another member of the Board of Directors chosen by the Appointed Directors shall preside. If, at any time, the Board of Directors consists solely of Elected Directors, the Board of Directors may designate one of its members as Chairman of the Board of Directors and shall, in the absence of the Chairman of the Board of Directors at a meeting of the Board of Directors, designate another member of the Board of Directors to preside at the meeting.</w:t>
      </w:r>
    </w:p>
    <w:p>
      <w:pPr>
        <w:spacing w:after="0" w:line="180" w:lineRule="exact"/>
        <w:rPr>
          <w:sz w:val="20"/>
          <w:szCs w:val="20"/>
          <w:color w:val="auto"/>
        </w:rPr>
      </w:pPr>
    </w:p>
    <w:p>
      <w:pPr>
        <w:ind w:right="260" w:firstLine="1297"/>
        <w:spacing w:after="0" w:line="252" w:lineRule="auto"/>
        <w:rPr>
          <w:sz w:val="20"/>
          <w:szCs w:val="20"/>
          <w:color w:val="auto"/>
        </w:rPr>
      </w:pPr>
      <w:r>
        <w:rPr>
          <w:rFonts w:ascii="Arial" w:cs="Arial" w:eastAsia="Arial" w:hAnsi="Arial"/>
          <w:sz w:val="21"/>
          <w:szCs w:val="21"/>
          <w:color w:val="auto"/>
        </w:rPr>
        <w:t xml:space="preserve">Section 7.8. </w:t>
      </w:r>
      <w:r>
        <w:rPr>
          <w:rFonts w:ascii="Arial" w:cs="Arial" w:eastAsia="Arial" w:hAnsi="Arial"/>
          <w:sz w:val="21"/>
          <w:szCs w:val="21"/>
          <w:i w:val="1"/>
          <w:iCs w:val="1"/>
          <w:color w:val="auto"/>
        </w:rPr>
        <w:t>Officers</w:t>
      </w:r>
      <w:r>
        <w:rPr>
          <w:rFonts w:ascii="Arial" w:cs="Arial" w:eastAsia="Arial" w:hAnsi="Arial"/>
          <w:sz w:val="21"/>
          <w:szCs w:val="21"/>
          <w:color w:val="auto"/>
        </w:rPr>
        <w:t>. (a) The Board of Directors, as set forth below, shall appoint or designate agents of the Partnership, referred to as “</w:t>
      </w:r>
      <w:r>
        <w:rPr>
          <w:rFonts w:ascii="Arial" w:cs="Arial" w:eastAsia="Arial" w:hAnsi="Arial"/>
          <w:sz w:val="21"/>
          <w:szCs w:val="21"/>
          <w:i w:val="1"/>
          <w:iCs w:val="1"/>
          <w:color w:val="auto"/>
        </w:rPr>
        <w:t>Officers</w:t>
      </w:r>
      <w:r>
        <w:rPr>
          <w:rFonts w:ascii="Arial" w:cs="Arial" w:eastAsia="Arial" w:hAnsi="Arial"/>
          <w:sz w:val="21"/>
          <w:szCs w:val="21"/>
          <w:color w:val="auto"/>
        </w:rPr>
        <w:t xml:space="preserve">” of the Partnership as described in this </w:t>
      </w:r>
      <w:r>
        <w:rPr>
          <w:rFonts w:ascii="Arial" w:cs="Arial" w:eastAsia="Arial" w:hAnsi="Arial"/>
          <w:sz w:val="21"/>
          <w:szCs w:val="21"/>
          <w:u w:val="single" w:color="auto"/>
          <w:color w:val="auto"/>
        </w:rPr>
        <w:t>Section 7.8</w:t>
      </w:r>
      <w:r>
        <w:rPr>
          <w:rFonts w:ascii="Arial" w:cs="Arial" w:eastAsia="Arial" w:hAnsi="Arial"/>
          <w:sz w:val="21"/>
          <w:szCs w:val="21"/>
          <w:color w:val="auto"/>
        </w:rPr>
        <w:t>. Such Officers may be employed by any Group Member directly or may be employed by one or more third parties, including GasLog and its Affiliates, and designated by the Board of Directors to perform officer functions for the benefit of the Partnership.</w:t>
      </w:r>
    </w:p>
    <w:p>
      <w:pPr>
        <w:spacing w:after="0" w:line="201" w:lineRule="exact"/>
        <w:rPr>
          <w:sz w:val="20"/>
          <w:szCs w:val="20"/>
          <w:color w:val="auto"/>
        </w:rPr>
      </w:pPr>
    </w:p>
    <w:p>
      <w:pPr>
        <w:ind w:right="60" w:firstLine="1305"/>
        <w:spacing w:after="0" w:line="236" w:lineRule="auto"/>
        <w:tabs>
          <w:tab w:leader="none" w:pos="1815" w:val="left"/>
        </w:tabs>
        <w:numPr>
          <w:ilvl w:val="0"/>
          <w:numId w:val="47"/>
        </w:numPr>
        <w:rPr>
          <w:rFonts w:ascii="Arial" w:cs="Arial" w:eastAsia="Arial" w:hAnsi="Arial"/>
          <w:sz w:val="22"/>
          <w:szCs w:val="22"/>
          <w:color w:val="auto"/>
        </w:rPr>
      </w:pPr>
      <w:r>
        <w:rPr>
          <w:rFonts w:ascii="Arial" w:cs="Arial" w:eastAsia="Arial" w:hAnsi="Arial"/>
          <w:sz w:val="22"/>
          <w:szCs w:val="22"/>
          <w:color w:val="auto"/>
        </w:rPr>
        <w:t>The Board of Directors shall appoint or designate such Officers and agents as may from time to time appear to be necessary or advisable in the conduct of the affairs of the Partnership, who shall hold such titles, exercise such powers and authority and perform such duties as shall be determined from time to time by resolution of the Board of Directors. The Officers may include a Chairman of the Board of Directors, an Executive Vice Chairman or Vice Chairman of the Board of Directors, a Chief Executive Officer, a President, a Chief Financial</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54" w:name="page55"/>
    <w:bookmarkEnd w:id="54"/>
    <w:p>
      <w:pPr>
        <w:ind w:right="100"/>
        <w:spacing w:after="0"/>
        <w:rPr>
          <w:sz w:val="20"/>
          <w:szCs w:val="20"/>
          <w:color w:val="auto"/>
        </w:rPr>
      </w:pPr>
      <w:r>
        <w:rPr>
          <w:rFonts w:ascii="Arial" w:cs="Arial" w:eastAsia="Arial" w:hAnsi="Arial"/>
          <w:sz w:val="22"/>
          <w:szCs w:val="22"/>
          <w:color w:val="auto"/>
        </w:rPr>
        <w:t xml:space="preserve">Officer, any and all Vice Presidents, a Secretary, any and all Assistant Secretaries, a Treasurer, any and all Assistant Treasurers and any other Officers appointed or designated by the Board of Directors pursuant to this </w:t>
      </w:r>
      <w:r>
        <w:rPr>
          <w:rFonts w:ascii="Arial" w:cs="Arial" w:eastAsia="Arial" w:hAnsi="Arial"/>
          <w:sz w:val="22"/>
          <w:szCs w:val="22"/>
          <w:u w:val="single" w:color="auto"/>
          <w:color w:val="auto"/>
        </w:rPr>
        <w:t>Section 7.8</w:t>
      </w:r>
      <w:r>
        <w:rPr>
          <w:rFonts w:ascii="Arial" w:cs="Arial" w:eastAsia="Arial" w:hAnsi="Arial"/>
          <w:sz w:val="22"/>
          <w:szCs w:val="22"/>
          <w:color w:val="auto"/>
        </w:rPr>
        <w:t>. Any person may hold two or more offices.</w:t>
      </w:r>
    </w:p>
    <w:p>
      <w:pPr>
        <w:spacing w:after="0" w:line="213" w:lineRule="exact"/>
        <w:rPr>
          <w:sz w:val="20"/>
          <w:szCs w:val="20"/>
          <w:color w:val="auto"/>
        </w:rPr>
      </w:pPr>
    </w:p>
    <w:p>
      <w:pPr>
        <w:ind w:right="300" w:firstLine="1305"/>
        <w:spacing w:after="0" w:line="238" w:lineRule="auto"/>
        <w:tabs>
          <w:tab w:leader="none" w:pos="1803" w:val="left"/>
        </w:tabs>
        <w:numPr>
          <w:ilvl w:val="0"/>
          <w:numId w:val="48"/>
        </w:numPr>
        <w:rPr>
          <w:rFonts w:ascii="Arial" w:cs="Arial" w:eastAsia="Arial" w:hAnsi="Arial"/>
          <w:sz w:val="22"/>
          <w:szCs w:val="22"/>
          <w:color w:val="auto"/>
        </w:rPr>
      </w:pPr>
      <w:r>
        <w:rPr>
          <w:rFonts w:ascii="Arial" w:cs="Arial" w:eastAsia="Arial" w:hAnsi="Arial"/>
          <w:sz w:val="22"/>
          <w:szCs w:val="22"/>
          <w:color w:val="auto"/>
        </w:rPr>
        <w:t>The Officers, including any Officer employed by a third party and designated by the Board of Directors to perform officer services for the benefit of the Partnership, shall be appointed by the Board of Directors at such time and for such terms as the Board of Directors shall determine. Any Officer may be removed, with or without Cause, only by the Board of Directors. Vacancies in any office may be filled only by the Board of Directors.</w:t>
      </w:r>
    </w:p>
    <w:p>
      <w:pPr>
        <w:spacing w:after="0" w:line="212" w:lineRule="exact"/>
        <w:rPr>
          <w:rFonts w:ascii="Arial" w:cs="Arial" w:eastAsia="Arial" w:hAnsi="Arial"/>
          <w:sz w:val="22"/>
          <w:szCs w:val="22"/>
          <w:color w:val="auto"/>
        </w:rPr>
      </w:pPr>
    </w:p>
    <w:p>
      <w:pPr>
        <w:ind w:right="760" w:firstLine="1305"/>
        <w:spacing w:after="0" w:line="251" w:lineRule="auto"/>
        <w:tabs>
          <w:tab w:leader="none" w:pos="1815" w:val="left"/>
        </w:tabs>
        <w:numPr>
          <w:ilvl w:val="0"/>
          <w:numId w:val="48"/>
        </w:numPr>
        <w:rPr>
          <w:rFonts w:ascii="Arial" w:cs="Arial" w:eastAsia="Arial" w:hAnsi="Arial"/>
          <w:sz w:val="22"/>
          <w:szCs w:val="22"/>
          <w:color w:val="auto"/>
        </w:rPr>
      </w:pPr>
      <w:r>
        <w:rPr>
          <w:rFonts w:ascii="Arial" w:cs="Arial" w:eastAsia="Arial" w:hAnsi="Arial"/>
          <w:sz w:val="22"/>
          <w:szCs w:val="22"/>
          <w:color w:val="auto"/>
        </w:rPr>
        <w:t>The Board of Directors may grant powers of attorney or other authority as appropriate to establish and evidence the authority of the Officers and other Persons.</w:t>
      </w:r>
    </w:p>
    <w:p>
      <w:pPr>
        <w:spacing w:after="0" w:line="200" w:lineRule="exact"/>
        <w:rPr>
          <w:rFonts w:ascii="Arial" w:cs="Arial" w:eastAsia="Arial" w:hAnsi="Arial"/>
          <w:sz w:val="22"/>
          <w:szCs w:val="22"/>
          <w:color w:val="auto"/>
        </w:rPr>
      </w:pPr>
    </w:p>
    <w:p>
      <w:pPr>
        <w:jc w:val="both"/>
        <w:ind w:right="800" w:firstLine="1305"/>
        <w:spacing w:after="0"/>
        <w:tabs>
          <w:tab w:leader="none" w:pos="1807" w:val="left"/>
        </w:tabs>
        <w:numPr>
          <w:ilvl w:val="0"/>
          <w:numId w:val="48"/>
        </w:numPr>
        <w:rPr>
          <w:rFonts w:ascii="Arial" w:cs="Arial" w:eastAsia="Arial" w:hAnsi="Arial"/>
          <w:sz w:val="22"/>
          <w:szCs w:val="22"/>
          <w:color w:val="auto"/>
        </w:rPr>
      </w:pPr>
      <w:r>
        <w:rPr>
          <w:rFonts w:ascii="Arial" w:cs="Arial" w:eastAsia="Arial" w:hAnsi="Arial"/>
          <w:sz w:val="22"/>
          <w:szCs w:val="22"/>
          <w:color w:val="auto"/>
        </w:rPr>
        <w:t>Unless otherwise provided by resolution of the Board of Directors, no Officer shall have the power or authority to delegate to any Person such Officer’s rights and powers as an Officer to manage the business and affairs of the Partnership.</w:t>
      </w:r>
    </w:p>
    <w:p>
      <w:pPr>
        <w:spacing w:after="0" w:line="213" w:lineRule="exact"/>
        <w:rPr>
          <w:sz w:val="20"/>
          <w:szCs w:val="20"/>
          <w:color w:val="auto"/>
        </w:rPr>
      </w:pPr>
    </w:p>
    <w:p>
      <w:pPr>
        <w:ind w:right="360" w:firstLine="1297"/>
        <w:spacing w:after="0" w:line="287" w:lineRule="auto"/>
        <w:rPr>
          <w:sz w:val="20"/>
          <w:szCs w:val="20"/>
          <w:color w:val="auto"/>
        </w:rPr>
      </w:pPr>
      <w:r>
        <w:rPr>
          <w:rFonts w:ascii="Arial" w:cs="Arial" w:eastAsia="Arial" w:hAnsi="Arial"/>
          <w:sz w:val="19"/>
          <w:szCs w:val="19"/>
          <w:color w:val="auto"/>
        </w:rPr>
        <w:t xml:space="preserve">Section 7.9. </w:t>
      </w:r>
      <w:r>
        <w:rPr>
          <w:rFonts w:ascii="Arial" w:cs="Arial" w:eastAsia="Arial" w:hAnsi="Arial"/>
          <w:sz w:val="19"/>
          <w:szCs w:val="19"/>
          <w:i w:val="1"/>
          <w:iCs w:val="1"/>
          <w:color w:val="auto"/>
        </w:rPr>
        <w:t>Compensation of Directors</w:t>
      </w:r>
      <w:r>
        <w:rPr>
          <w:rFonts w:ascii="Arial" w:cs="Arial" w:eastAsia="Arial" w:hAnsi="Arial"/>
          <w:sz w:val="19"/>
          <w:szCs w:val="19"/>
          <w:color w:val="auto"/>
        </w:rPr>
        <w:t>. The members of the Board of Directors who are not employees of the General Partner or its Affiliates shall receive such compensation for their services as members of the Board of Directors or members of a committee of the Board of Directors shall determine. In addition, the members of the Board of Directors shall be entitled to be reimbursed for out-of-pocket costs and expenses incurred in the course of their service hereunder.</w:t>
      </w:r>
    </w:p>
    <w:p>
      <w:pPr>
        <w:spacing w:after="0" w:line="170" w:lineRule="exact"/>
        <w:rPr>
          <w:sz w:val="20"/>
          <w:szCs w:val="20"/>
          <w:color w:val="auto"/>
        </w:rPr>
      </w:pPr>
    </w:p>
    <w:p>
      <w:pPr>
        <w:ind w:firstLine="1297"/>
        <w:spacing w:after="0" w:line="244" w:lineRule="auto"/>
        <w:rPr>
          <w:sz w:val="20"/>
          <w:szCs w:val="20"/>
          <w:color w:val="auto"/>
        </w:rPr>
      </w:pPr>
      <w:r>
        <w:rPr>
          <w:rFonts w:ascii="Arial" w:cs="Arial" w:eastAsia="Arial" w:hAnsi="Arial"/>
          <w:sz w:val="21"/>
          <w:szCs w:val="21"/>
          <w:color w:val="auto"/>
        </w:rPr>
        <w:t xml:space="preserve">Section 7.10. </w:t>
      </w:r>
      <w:r>
        <w:rPr>
          <w:rFonts w:ascii="Arial" w:cs="Arial" w:eastAsia="Arial" w:hAnsi="Arial"/>
          <w:sz w:val="21"/>
          <w:szCs w:val="21"/>
          <w:i w:val="1"/>
          <w:iCs w:val="1"/>
          <w:color w:val="auto"/>
        </w:rPr>
        <w:t>Certificate of Limited Partnership</w:t>
      </w:r>
      <w:r>
        <w:rPr>
          <w:rFonts w:ascii="Arial" w:cs="Arial" w:eastAsia="Arial" w:hAnsi="Arial"/>
          <w:sz w:val="21"/>
          <w:szCs w:val="21"/>
          <w:color w:val="auto"/>
        </w:rPr>
        <w:t xml:space="preserve">. The General Partner has caused the Certificate of Limited Partnership to be filed with the Registrar of Corporations of The Marshall Islands as required by the Marshall Islands Act. The General Partner shall use all commercially reasonable efforts to cause to be filed such other certificates or documents that the Board of Directors determines to be necessary or appropriate for the formation, continuation, qualification and operation of a limited partnership (or a partnership or other entity in which the limited partners have limited liability) in The Marshall Islands or any other jurisdiction in which the Partnership may elect to do business or own property. To the extent the Board of Directors determines such action to be necessary or appropriate, the General Partner shall file or cause to be filed amendments to and restatements of the Certificate of Limited Partnership and do all things to maintain the Partnership as a limited partnership (or a partnership or other entity in which the limited partners have limited liability) under the laws of The Marshall Islands or of any other jurisdiction in which the Partnership may elect to do business or own property. Subject to the terms of </w:t>
      </w:r>
      <w:r>
        <w:rPr>
          <w:rFonts w:ascii="Arial" w:cs="Arial" w:eastAsia="Arial" w:hAnsi="Arial"/>
          <w:sz w:val="21"/>
          <w:szCs w:val="21"/>
          <w:u w:val="single" w:color="auto"/>
          <w:color w:val="auto"/>
        </w:rPr>
        <w:t>Section 3.4(a)</w:t>
      </w:r>
      <w:r>
        <w:rPr>
          <w:rFonts w:ascii="Arial" w:cs="Arial" w:eastAsia="Arial" w:hAnsi="Arial"/>
          <w:sz w:val="21"/>
          <w:szCs w:val="21"/>
          <w:color w:val="auto"/>
        </w:rPr>
        <w:t>, the General Partner shall not be required, before or after filing, to deliver or mail a copy of the Certificate of Limited Partnership, any qualification document or any amendment thereto to any Limited Partner.</w:t>
      </w:r>
    </w:p>
    <w:p>
      <w:pPr>
        <w:spacing w:after="0" w:line="214" w:lineRule="exact"/>
        <w:rPr>
          <w:sz w:val="20"/>
          <w:szCs w:val="20"/>
          <w:color w:val="auto"/>
        </w:rPr>
      </w:pPr>
    </w:p>
    <w:p>
      <w:pPr>
        <w:ind w:right="160" w:firstLine="1297"/>
        <w:spacing w:after="0" w:line="297" w:lineRule="auto"/>
        <w:rPr>
          <w:sz w:val="20"/>
          <w:szCs w:val="20"/>
          <w:color w:val="auto"/>
        </w:rPr>
      </w:pPr>
      <w:r>
        <w:rPr>
          <w:rFonts w:ascii="Arial" w:cs="Arial" w:eastAsia="Arial" w:hAnsi="Arial"/>
          <w:sz w:val="19"/>
          <w:szCs w:val="19"/>
          <w:color w:val="auto"/>
        </w:rPr>
        <w:t xml:space="preserve">Section 7.11. </w:t>
      </w:r>
      <w:r>
        <w:rPr>
          <w:rFonts w:ascii="Arial" w:cs="Arial" w:eastAsia="Arial" w:hAnsi="Arial"/>
          <w:sz w:val="19"/>
          <w:szCs w:val="19"/>
          <w:i w:val="1"/>
          <w:iCs w:val="1"/>
          <w:color w:val="auto"/>
        </w:rPr>
        <w:t>Restrictions on the Authority of the Board of Directors and the General Partner</w:t>
      </w:r>
      <w:r>
        <w:rPr>
          <w:rFonts w:ascii="Arial" w:cs="Arial" w:eastAsia="Arial" w:hAnsi="Arial"/>
          <w:sz w:val="19"/>
          <w:szCs w:val="19"/>
          <w:color w:val="auto"/>
        </w:rPr>
        <w:t>. (a) Except as otherwise provided in this Agreement, neither the Board of Directors nor the General Partner may, without written approval of the specific act by holders of all of the Outstanding Limited Partner Interests or by other written instrument executed and</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55" w:name="page56"/>
    <w:bookmarkEnd w:id="55"/>
    <w:p>
      <w:pPr>
        <w:ind w:right="40"/>
        <w:spacing w:after="0" w:line="251" w:lineRule="auto"/>
        <w:rPr>
          <w:sz w:val="20"/>
          <w:szCs w:val="20"/>
          <w:color w:val="auto"/>
        </w:rPr>
      </w:pPr>
      <w:r>
        <w:rPr>
          <w:rFonts w:ascii="Arial" w:cs="Arial" w:eastAsia="Arial" w:hAnsi="Arial"/>
          <w:sz w:val="22"/>
          <w:szCs w:val="22"/>
          <w:color w:val="auto"/>
        </w:rPr>
        <w:t>delivered by holders of all of the Outstanding Limited Partner Interests subsequent to the date of this Agreement, take any action in contravention of this Agreement.</w:t>
      </w:r>
    </w:p>
    <w:p>
      <w:pPr>
        <w:spacing w:after="0" w:line="200" w:lineRule="exact"/>
        <w:rPr>
          <w:sz w:val="20"/>
          <w:szCs w:val="20"/>
          <w:color w:val="auto"/>
        </w:rPr>
      </w:pPr>
    </w:p>
    <w:p>
      <w:pPr>
        <w:ind w:right="60" w:firstLine="1305"/>
        <w:spacing w:after="0" w:line="245" w:lineRule="auto"/>
        <w:tabs>
          <w:tab w:leader="none" w:pos="1819" w:val="left"/>
        </w:tabs>
        <w:numPr>
          <w:ilvl w:val="0"/>
          <w:numId w:val="49"/>
        </w:numPr>
        <w:rPr>
          <w:rFonts w:ascii="Arial" w:cs="Arial" w:eastAsia="Arial" w:hAnsi="Arial"/>
          <w:sz w:val="21"/>
          <w:szCs w:val="21"/>
          <w:color w:val="auto"/>
        </w:rPr>
      </w:pPr>
      <w:r>
        <w:rPr>
          <w:rFonts w:ascii="Arial" w:cs="Arial" w:eastAsia="Arial" w:hAnsi="Arial"/>
          <w:sz w:val="21"/>
          <w:szCs w:val="21"/>
          <w:color w:val="auto"/>
        </w:rPr>
        <w:t xml:space="preserve">Except as provided in </w:t>
      </w:r>
      <w:r>
        <w:rPr>
          <w:rFonts w:ascii="Arial" w:cs="Arial" w:eastAsia="Arial" w:hAnsi="Arial"/>
          <w:sz w:val="21"/>
          <w:szCs w:val="21"/>
          <w:u w:val="single" w:color="auto"/>
          <w:color w:val="auto"/>
        </w:rPr>
        <w:t>Articles XII</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XIV</w:t>
      </w:r>
      <w:r>
        <w:rPr>
          <w:rFonts w:ascii="Arial" w:cs="Arial" w:eastAsia="Arial" w:hAnsi="Arial"/>
          <w:sz w:val="21"/>
          <w:szCs w:val="21"/>
          <w:color w:val="auto"/>
        </w:rPr>
        <w:t xml:space="preserve">, the Board of Directors may not sell, exchange or otherwise dispose of all or substantially all of the assets of the Partnership Group, taken as a whole, in a single transaction or a series of related transactions (including by way of merger, consolidation, other combination or sale of ownership interests in the Partnership’s Subsidiaries) without the approval of holders of a Unit Majority and the General Partner;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xml:space="preserve">, that this provision shall not preclude or limit the ability of the Board of Directors to mortgage, pledge, hypothecate or grant a security interest in all or substantially all of the assets of the Partnership Group and shall not apply to any forced sale of any or all of the assets of the Partnership Group pursuant to the foreclosure of, or other realization upon, any such encumbrance. The transfer of the General Partner Interest to and the election of a successor general partner of the Partnership shall be made in accordance with </w:t>
      </w:r>
      <w:r>
        <w:rPr>
          <w:rFonts w:ascii="Arial" w:cs="Arial" w:eastAsia="Arial" w:hAnsi="Arial"/>
          <w:sz w:val="21"/>
          <w:szCs w:val="21"/>
          <w:u w:val="single" w:color="auto"/>
          <w:color w:val="auto"/>
        </w:rPr>
        <w:t>Section 4.6</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11.1</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11.2</w:t>
      </w:r>
      <w:r>
        <w:rPr>
          <w:rFonts w:ascii="Arial" w:cs="Arial" w:eastAsia="Arial" w:hAnsi="Arial"/>
          <w:sz w:val="21"/>
          <w:szCs w:val="21"/>
          <w:color w:val="auto"/>
        </w:rPr>
        <w:t>.</w:t>
      </w:r>
    </w:p>
    <w:p>
      <w:pPr>
        <w:spacing w:after="0" w:line="212" w:lineRule="exact"/>
        <w:rPr>
          <w:sz w:val="20"/>
          <w:szCs w:val="20"/>
          <w:color w:val="auto"/>
        </w:rPr>
      </w:pPr>
    </w:p>
    <w:p>
      <w:pPr>
        <w:ind w:right="40" w:firstLine="1297"/>
        <w:spacing w:after="0"/>
        <w:rPr>
          <w:sz w:val="20"/>
          <w:szCs w:val="20"/>
          <w:color w:val="auto"/>
        </w:rPr>
      </w:pPr>
      <w:r>
        <w:rPr>
          <w:rFonts w:ascii="Arial" w:cs="Arial" w:eastAsia="Arial" w:hAnsi="Arial"/>
          <w:sz w:val="22"/>
          <w:szCs w:val="22"/>
          <w:color w:val="auto"/>
        </w:rPr>
        <w:t xml:space="preserve">Section 7.12. </w:t>
      </w:r>
      <w:r>
        <w:rPr>
          <w:rFonts w:ascii="Arial" w:cs="Arial" w:eastAsia="Arial" w:hAnsi="Arial"/>
          <w:sz w:val="22"/>
          <w:szCs w:val="22"/>
          <w:i w:val="1"/>
          <w:iCs w:val="1"/>
          <w:color w:val="auto"/>
        </w:rPr>
        <w:t>Reimbursement of the General Partner</w:t>
      </w:r>
      <w:r>
        <w:rPr>
          <w:rFonts w:ascii="Arial" w:cs="Arial" w:eastAsia="Arial" w:hAnsi="Arial"/>
          <w:sz w:val="22"/>
          <w:szCs w:val="22"/>
          <w:color w:val="auto"/>
        </w:rPr>
        <w:t xml:space="preserve">. (a) Except as provided in this </w:t>
      </w:r>
      <w:r>
        <w:rPr>
          <w:rFonts w:ascii="Arial" w:cs="Arial" w:eastAsia="Arial" w:hAnsi="Arial"/>
          <w:sz w:val="22"/>
          <w:szCs w:val="22"/>
          <w:u w:val="single" w:color="auto"/>
          <w:color w:val="auto"/>
        </w:rPr>
        <w:t>Section 7.12</w:t>
      </w:r>
      <w:r>
        <w:rPr>
          <w:rFonts w:ascii="Arial" w:cs="Arial" w:eastAsia="Arial" w:hAnsi="Arial"/>
          <w:sz w:val="22"/>
          <w:szCs w:val="22"/>
          <w:color w:val="auto"/>
        </w:rPr>
        <w:t xml:space="preserve"> and elsewhere in this Agreement, the General Partner shall not be compensated for its services as a general partner or managing member of any Group Member.</w:t>
      </w:r>
    </w:p>
    <w:p>
      <w:pPr>
        <w:spacing w:after="0" w:line="213" w:lineRule="exact"/>
        <w:rPr>
          <w:sz w:val="20"/>
          <w:szCs w:val="20"/>
          <w:color w:val="auto"/>
        </w:rPr>
      </w:pPr>
    </w:p>
    <w:p>
      <w:pPr>
        <w:ind w:firstLine="1305"/>
        <w:spacing w:after="0" w:line="275" w:lineRule="auto"/>
        <w:tabs>
          <w:tab w:leader="none" w:pos="1815" w:val="left"/>
        </w:tabs>
        <w:numPr>
          <w:ilvl w:val="0"/>
          <w:numId w:val="50"/>
        </w:numPr>
        <w:rPr>
          <w:rFonts w:ascii="Arial" w:cs="Arial" w:eastAsia="Arial" w:hAnsi="Arial"/>
          <w:sz w:val="19"/>
          <w:szCs w:val="19"/>
          <w:color w:val="auto"/>
        </w:rPr>
      </w:pPr>
      <w:r>
        <w:rPr>
          <w:rFonts w:ascii="Arial" w:cs="Arial" w:eastAsia="Arial" w:hAnsi="Arial"/>
          <w:sz w:val="19"/>
          <w:szCs w:val="19"/>
          <w:color w:val="auto"/>
        </w:rPr>
        <w:t xml:space="preserve">The General Partner shall be reimbursed on a monthly basis, or such other basis as the Board of Directors may determine, for any direct and indirect expenses it incurs that are allocable to the Partnership Group or payments it makes on behalf of the Partnership Group (including salary, bonus, incentive compensation and other amounts paid to any Person, including Affiliates of the General Partner, to perform services for the Partnership Group or for the General Partner in the discharge of its duties to the Partnership Group, which amounts shall also include reimbursement for any Common Units purchased to satisfy obligations of the Partnership under any of its equity compensation plans). The Board of Directors shall determine the expenses that are allocable to the Partnership Group. Reimbursements pursuant to this </w:t>
      </w:r>
      <w:r>
        <w:rPr>
          <w:rFonts w:ascii="Arial" w:cs="Arial" w:eastAsia="Arial" w:hAnsi="Arial"/>
          <w:sz w:val="19"/>
          <w:szCs w:val="19"/>
          <w:u w:val="single" w:color="auto"/>
          <w:color w:val="auto"/>
        </w:rPr>
        <w:t>Section 7.12</w:t>
      </w:r>
      <w:r>
        <w:rPr>
          <w:rFonts w:ascii="Arial" w:cs="Arial" w:eastAsia="Arial" w:hAnsi="Arial"/>
          <w:sz w:val="19"/>
          <w:szCs w:val="19"/>
          <w:color w:val="auto"/>
        </w:rPr>
        <w:t xml:space="preserve"> shall be in addition to any reimbursement to the General Partner as a result of indemnification pursuant to </w:t>
      </w:r>
      <w:r>
        <w:rPr>
          <w:rFonts w:ascii="Arial" w:cs="Arial" w:eastAsia="Arial" w:hAnsi="Arial"/>
          <w:sz w:val="19"/>
          <w:szCs w:val="19"/>
          <w:u w:val="single" w:color="auto"/>
          <w:color w:val="auto"/>
        </w:rPr>
        <w:t>Section 7.15</w:t>
      </w:r>
      <w:r>
        <w:rPr>
          <w:rFonts w:ascii="Arial" w:cs="Arial" w:eastAsia="Arial" w:hAnsi="Arial"/>
          <w:sz w:val="19"/>
          <w:szCs w:val="19"/>
          <w:color w:val="auto"/>
        </w:rPr>
        <w:t>.</w:t>
      </w:r>
    </w:p>
    <w:p>
      <w:pPr>
        <w:spacing w:after="0" w:line="185" w:lineRule="exact"/>
        <w:rPr>
          <w:rFonts w:ascii="Arial" w:cs="Arial" w:eastAsia="Arial" w:hAnsi="Arial"/>
          <w:sz w:val="19"/>
          <w:szCs w:val="19"/>
          <w:color w:val="auto"/>
        </w:rPr>
      </w:pPr>
    </w:p>
    <w:p>
      <w:pPr>
        <w:ind w:right="20" w:firstLine="1305"/>
        <w:spacing w:after="0" w:line="273" w:lineRule="auto"/>
        <w:tabs>
          <w:tab w:leader="none" w:pos="1807" w:val="left"/>
        </w:tabs>
        <w:numPr>
          <w:ilvl w:val="0"/>
          <w:numId w:val="50"/>
        </w:numPr>
        <w:rPr>
          <w:rFonts w:ascii="Arial" w:cs="Arial" w:eastAsia="Arial" w:hAnsi="Arial"/>
          <w:sz w:val="19"/>
          <w:szCs w:val="19"/>
          <w:color w:val="auto"/>
        </w:rPr>
      </w:pPr>
      <w:r>
        <w:rPr>
          <w:rFonts w:ascii="Arial" w:cs="Arial" w:eastAsia="Arial" w:hAnsi="Arial"/>
          <w:sz w:val="19"/>
          <w:szCs w:val="19"/>
          <w:color w:val="auto"/>
        </w:rPr>
        <w:t>Subject to the applicable rules and regulations of the National Securities Exchange on which the Common Units are listed, the Board of Directors, without the approval of the Partners (who shall have no right to vote in respect thereof), may propose and adopt on behalf of the Partnership employee benefit plans, employee programs and employee practices (including plans, programs and practices involving the issuance of Partnership Interests or options to purchase or rights, warrants or appreciation rights or phantom or tracking interests relating to Partnership Interests), or cause the Partnership to issue Partnership Interests in connection with, or pursuant to, any employee benefit plan, employee program or employee practice maintained or sponsored by the Partnership, the General Partner or any of its Affiliates, in each case for the benefit of employees and directors of the Partnership, the General Partner, any Group Member or any Affiliate thereof, or any of them, in respect of services performed, directly or indirectly, for the benefit of the Partnership Group. The Partnership agrees to issue and sell to the General Partner or any of its Affiliates any Partnership Interests that the General Partner or such Affiliates are obligated to provide to any employees and directors pursuant to any</w:t>
      </w: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402" w:right="259" w:bottom="1440" w:gutter="0" w:footer="0" w:header="0"/>
        </w:sectPr>
      </w:pPr>
    </w:p>
    <w:bookmarkStart w:id="56" w:name="page57"/>
    <w:bookmarkEnd w:id="56"/>
    <w:p>
      <w:pPr>
        <w:ind w:right="20"/>
        <w:spacing w:after="0" w:line="246" w:lineRule="auto"/>
        <w:rPr>
          <w:sz w:val="20"/>
          <w:szCs w:val="20"/>
          <w:color w:val="auto"/>
        </w:rPr>
      </w:pPr>
      <w:r>
        <w:rPr>
          <w:rFonts w:ascii="Arial" w:cs="Arial" w:eastAsia="Arial" w:hAnsi="Arial"/>
          <w:sz w:val="21"/>
          <w:szCs w:val="21"/>
          <w:color w:val="auto"/>
        </w:rPr>
        <w:t xml:space="preserve">such employee benefit plans, employee programs or employee practices. Expenses incurred by the General Partner in connection with any such plans, programs and practices (including the net cost to the General Partner or such Affiliates of Partnership Interests purchased by the General Partner or such Affiliates from the Partnership or otherwise to fulfill options or awards under such plans, programs and practices) shall be reimbursed in accordance with </w:t>
      </w:r>
      <w:r>
        <w:rPr>
          <w:rFonts w:ascii="Arial" w:cs="Arial" w:eastAsia="Arial" w:hAnsi="Arial"/>
          <w:sz w:val="21"/>
          <w:szCs w:val="21"/>
          <w:u w:val="single" w:color="auto"/>
          <w:color w:val="auto"/>
        </w:rPr>
        <w:t>Section 7.12(b)</w:t>
      </w:r>
      <w:r>
        <w:rPr>
          <w:rFonts w:ascii="Arial" w:cs="Arial" w:eastAsia="Arial" w:hAnsi="Arial"/>
          <w:sz w:val="21"/>
          <w:szCs w:val="21"/>
          <w:color w:val="auto"/>
        </w:rPr>
        <w:t xml:space="preserve">. Any and all obligations of the General Partner under any employee benefit plans, employee programs or employee practices adopted by the General Partner as permitted by this </w:t>
      </w:r>
      <w:r>
        <w:rPr>
          <w:rFonts w:ascii="Arial" w:cs="Arial" w:eastAsia="Arial" w:hAnsi="Arial"/>
          <w:sz w:val="21"/>
          <w:szCs w:val="21"/>
          <w:u w:val="single" w:color="auto"/>
          <w:color w:val="auto"/>
        </w:rPr>
        <w:t>Section 7.12(c)</w:t>
      </w:r>
      <w:r>
        <w:rPr>
          <w:rFonts w:ascii="Arial" w:cs="Arial" w:eastAsia="Arial" w:hAnsi="Arial"/>
          <w:sz w:val="21"/>
          <w:szCs w:val="21"/>
          <w:color w:val="auto"/>
        </w:rPr>
        <w:t xml:space="preserve"> shall constitute obligations of the General Partner hereunder and shall be assumed by any successor General Partner approved pursuant to </w:t>
      </w:r>
      <w:r>
        <w:rPr>
          <w:rFonts w:ascii="Arial" w:cs="Arial" w:eastAsia="Arial" w:hAnsi="Arial"/>
          <w:sz w:val="21"/>
          <w:szCs w:val="21"/>
          <w:u w:val="single" w:color="auto"/>
          <w:color w:val="auto"/>
        </w:rPr>
        <w:t>Section 11.1</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 11.2</w:t>
      </w:r>
      <w:r>
        <w:rPr>
          <w:rFonts w:ascii="Arial" w:cs="Arial" w:eastAsia="Arial" w:hAnsi="Arial"/>
          <w:sz w:val="21"/>
          <w:szCs w:val="21"/>
          <w:color w:val="auto"/>
        </w:rPr>
        <w:t xml:space="preserve"> or the transferee of or successor to all of the General Partner’s General Partner Interest pursuant to </w:t>
      </w:r>
      <w:r>
        <w:rPr>
          <w:rFonts w:ascii="Arial" w:cs="Arial" w:eastAsia="Arial" w:hAnsi="Arial"/>
          <w:sz w:val="21"/>
          <w:szCs w:val="21"/>
          <w:u w:val="single" w:color="auto"/>
          <w:color w:val="auto"/>
        </w:rPr>
        <w:t>Section 4.6.</w:t>
      </w:r>
    </w:p>
    <w:p>
      <w:pPr>
        <w:spacing w:after="0" w:line="208" w:lineRule="exact"/>
        <w:rPr>
          <w:sz w:val="20"/>
          <w:szCs w:val="20"/>
          <w:color w:val="auto"/>
        </w:rPr>
      </w:pPr>
    </w:p>
    <w:p>
      <w:pPr>
        <w:ind w:right="100" w:firstLine="1297"/>
        <w:spacing w:after="0" w:line="274" w:lineRule="auto"/>
        <w:rPr>
          <w:sz w:val="20"/>
          <w:szCs w:val="20"/>
          <w:color w:val="auto"/>
        </w:rPr>
      </w:pPr>
      <w:r>
        <w:rPr>
          <w:rFonts w:ascii="Arial" w:cs="Arial" w:eastAsia="Arial" w:hAnsi="Arial"/>
          <w:sz w:val="19"/>
          <w:szCs w:val="19"/>
          <w:color w:val="auto"/>
        </w:rPr>
        <w:t xml:space="preserve">Section 7.13. </w:t>
      </w:r>
      <w:r>
        <w:rPr>
          <w:rFonts w:ascii="Arial" w:cs="Arial" w:eastAsia="Arial" w:hAnsi="Arial"/>
          <w:sz w:val="19"/>
          <w:szCs w:val="19"/>
          <w:i w:val="1"/>
          <w:iCs w:val="1"/>
          <w:color w:val="auto"/>
        </w:rPr>
        <w:t>Outside Activities</w:t>
      </w:r>
      <w:r>
        <w:rPr>
          <w:rFonts w:ascii="Arial" w:cs="Arial" w:eastAsia="Arial" w:hAnsi="Arial"/>
          <w:sz w:val="19"/>
          <w:szCs w:val="19"/>
          <w:color w:val="auto"/>
        </w:rPr>
        <w:t>. (a) After the Closing Date, the General Partner, for so long as it is the general partner of the Partnership (i) agrees that its sole business will be to act as a general partner or managing member, as the case may be, of the Partnership and any other partnership or limited liability company of which the Partnership is, directly or indirectly, a partner or member and to undertake activities that are ancillary or related thereto (including being a limited partner in the Partnership), (ii) shall not engage in any business or activity or incur any debts or liabilities except in connection with or incidental to (A) its performance as general partner or managing member, if any, of one or more Group Members or as described in or contemplated by the Registration Statement or (B) the acquiring, owning or disposing of debt or equity securities in any Group Member and (iii) except to the extent permitted in the Omnibus Agreement, shall not acquire or own any Five-Year Vessels (as such term is defined in the Omnibus Agreement).</w:t>
      </w:r>
    </w:p>
    <w:p>
      <w:pPr>
        <w:spacing w:after="0" w:line="186" w:lineRule="exact"/>
        <w:rPr>
          <w:sz w:val="20"/>
          <w:szCs w:val="20"/>
          <w:color w:val="auto"/>
        </w:rPr>
      </w:pPr>
    </w:p>
    <w:p>
      <w:pPr>
        <w:ind w:right="200" w:firstLine="1305"/>
        <w:spacing w:after="0"/>
        <w:tabs>
          <w:tab w:leader="none" w:pos="1819" w:val="left"/>
        </w:tabs>
        <w:numPr>
          <w:ilvl w:val="0"/>
          <w:numId w:val="51"/>
        </w:numPr>
        <w:rPr>
          <w:rFonts w:ascii="Arial" w:cs="Arial" w:eastAsia="Arial" w:hAnsi="Arial"/>
          <w:sz w:val="22"/>
          <w:szCs w:val="22"/>
          <w:color w:val="auto"/>
        </w:rPr>
      </w:pPr>
      <w:r>
        <w:rPr>
          <w:rFonts w:ascii="Arial" w:cs="Arial" w:eastAsia="Arial" w:hAnsi="Arial"/>
          <w:sz w:val="22"/>
          <w:szCs w:val="22"/>
          <w:color w:val="auto"/>
        </w:rPr>
        <w:t>GasLog, the Partnership, the General Partner and the Operating Company have entered into the Omnibus Agreement, which agreement sets forth certain restrictions on the ability of GasLog and certain of its Affiliates to acquire, own or operate any Five-Year Vessels (as such term is defined in the Omnibus Agreement).</w:t>
      </w:r>
    </w:p>
    <w:p>
      <w:pPr>
        <w:spacing w:after="0" w:line="213" w:lineRule="exact"/>
        <w:rPr>
          <w:rFonts w:ascii="Arial" w:cs="Arial" w:eastAsia="Arial" w:hAnsi="Arial"/>
          <w:sz w:val="22"/>
          <w:szCs w:val="22"/>
          <w:color w:val="auto"/>
        </w:rPr>
      </w:pPr>
    </w:p>
    <w:p>
      <w:pPr>
        <w:ind w:firstLine="1305"/>
        <w:spacing w:after="0" w:line="273" w:lineRule="auto"/>
        <w:tabs>
          <w:tab w:leader="none" w:pos="1807" w:val="left"/>
        </w:tabs>
        <w:numPr>
          <w:ilvl w:val="0"/>
          <w:numId w:val="51"/>
        </w:numPr>
        <w:rPr>
          <w:rFonts w:ascii="Arial" w:cs="Arial" w:eastAsia="Arial" w:hAnsi="Arial"/>
          <w:sz w:val="19"/>
          <w:szCs w:val="19"/>
          <w:color w:val="auto"/>
        </w:rPr>
      </w:pPr>
      <w:r>
        <w:rPr>
          <w:rFonts w:ascii="Arial" w:cs="Arial" w:eastAsia="Arial" w:hAnsi="Arial"/>
          <w:sz w:val="19"/>
          <w:szCs w:val="19"/>
          <w:color w:val="auto"/>
        </w:rPr>
        <w:t xml:space="preserve">Except as specifically restricted by </w:t>
      </w:r>
      <w:r>
        <w:rPr>
          <w:rFonts w:ascii="Arial" w:cs="Arial" w:eastAsia="Arial" w:hAnsi="Arial"/>
          <w:sz w:val="19"/>
          <w:szCs w:val="19"/>
          <w:u w:val="single" w:color="auto"/>
          <w:color w:val="auto"/>
        </w:rPr>
        <w:t>Section 7.13(a)</w:t>
      </w:r>
      <w:r>
        <w:rPr>
          <w:rFonts w:ascii="Arial" w:cs="Arial" w:eastAsia="Arial" w:hAnsi="Arial"/>
          <w:sz w:val="19"/>
          <w:szCs w:val="19"/>
          <w:color w:val="auto"/>
        </w:rPr>
        <w:t xml:space="preserve"> or the Omnibus Agreement, each Indemnitee (other than the General Partner) shall have the right to engage in businesses of every type and description and other activities for profit and to engage in and possess an interest in other business ventures of any and every type or description, whether in businesses engaged in or anticipated to be engaged in by any Group Member, independently or with others, including business interests and activities in direct competition with the business and activities of any Group Member, and none of the same shall constitute a breach of this Agreement or any duty expressed or implied by law to any Group Member or any Partner. Notwithstanding anything to the contrary in this Agreement, (i) the possessing of competitive interests and engaging in competitive activities by any Indemnitees (other than the General Partner) in accordance with the provisions of this </w:t>
      </w:r>
      <w:r>
        <w:rPr>
          <w:rFonts w:ascii="Arial" w:cs="Arial" w:eastAsia="Arial" w:hAnsi="Arial"/>
          <w:sz w:val="19"/>
          <w:szCs w:val="19"/>
          <w:u w:val="single" w:color="auto"/>
          <w:color w:val="auto"/>
        </w:rPr>
        <w:t>Section 7.13</w:t>
      </w:r>
      <w:r>
        <w:rPr>
          <w:rFonts w:ascii="Arial" w:cs="Arial" w:eastAsia="Arial" w:hAnsi="Arial"/>
          <w:sz w:val="19"/>
          <w:szCs w:val="19"/>
          <w:color w:val="auto"/>
        </w:rPr>
        <w:t xml:space="preserve"> is hereby approved by the Partnership and all Partners and (ii) it shall be deemed not to be a breach of any duty (including any fiduciary duty) or any other obligation of any type whatsoever of the General Partner or of any Indemnitee for the Indemnitees (other than the General Partner) to engage in such business interests and activities in preference to or to the exclusion of the Partnership.</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57" w:name="page58"/>
    <w:bookmarkEnd w:id="57"/>
    <w:p>
      <w:pPr>
        <w:ind w:right="140" w:firstLine="1305"/>
        <w:spacing w:after="0" w:line="273" w:lineRule="auto"/>
        <w:tabs>
          <w:tab w:leader="none" w:pos="1819" w:val="left"/>
        </w:tabs>
        <w:numPr>
          <w:ilvl w:val="0"/>
          <w:numId w:val="52"/>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in this Agreement, the doctrine of corporate opportunity, or any analogous doctrine, shall not apply to an Indemnitee (including the General Partner) and, subject to the terms of </w:t>
      </w:r>
      <w:r>
        <w:rPr>
          <w:rFonts w:ascii="Arial" w:cs="Arial" w:eastAsia="Arial" w:hAnsi="Arial"/>
          <w:sz w:val="19"/>
          <w:szCs w:val="19"/>
          <w:u w:val="single" w:color="auto"/>
          <w:color w:val="auto"/>
        </w:rPr>
        <w:t>Section 7.13(a)</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7.13(b)</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7.13(c)</w:t>
      </w:r>
      <w:r>
        <w:rPr>
          <w:rFonts w:ascii="Arial" w:cs="Arial" w:eastAsia="Arial" w:hAnsi="Arial"/>
          <w:sz w:val="19"/>
          <w:szCs w:val="19"/>
          <w:color w:val="auto"/>
        </w:rPr>
        <w:t xml:space="preserve"> and the Omnibus Agreement, no Indemnitee (including the General Partner) who acquires knowledge of a potential transaction, agreement, arrangement or other matter that may be an opportunity for the Partnership shall have any duty to communicate or offer such opportunity to the Partnership, and, subject to the terms of </w:t>
      </w:r>
      <w:r>
        <w:rPr>
          <w:rFonts w:ascii="Arial" w:cs="Arial" w:eastAsia="Arial" w:hAnsi="Arial"/>
          <w:sz w:val="19"/>
          <w:szCs w:val="19"/>
          <w:u w:val="single" w:color="auto"/>
          <w:color w:val="auto"/>
        </w:rPr>
        <w:t>Section 7.13(a)</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7.13(b)</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7.13(c)</w:t>
      </w:r>
      <w:r>
        <w:rPr>
          <w:rFonts w:ascii="Arial" w:cs="Arial" w:eastAsia="Arial" w:hAnsi="Arial"/>
          <w:sz w:val="19"/>
          <w:szCs w:val="19"/>
          <w:color w:val="auto"/>
        </w:rPr>
        <w:t xml:space="preserve"> and the Omnibus Agreement, such Indemnitee (including the General Partner) shall not be liable to the Partnership, to any Limited Partner or any other Person for breach of any fiduciary or other duty by reason of the fact that such Indemnitee (including the General Partner) pursues or acquires such opportunity for itself, directs such opportunity to another Person or does not communicate such opportunity or information to the Partnership; </w:t>
      </w:r>
      <w:r>
        <w:rPr>
          <w:rFonts w:ascii="Arial" w:cs="Arial" w:eastAsia="Arial" w:hAnsi="Arial"/>
          <w:sz w:val="19"/>
          <w:szCs w:val="19"/>
          <w:i w:val="1"/>
          <w:iCs w:val="1"/>
          <w:color w:val="auto"/>
        </w:rPr>
        <w:t>provided</w:t>
      </w:r>
      <w:r>
        <w:rPr>
          <w:rFonts w:ascii="Arial" w:cs="Arial" w:eastAsia="Arial" w:hAnsi="Arial"/>
          <w:sz w:val="19"/>
          <w:szCs w:val="19"/>
          <w:color w:val="auto"/>
        </w:rPr>
        <w:t>, that such Indemnitee (including the General Partner) does not engage in such business or activity as a result of using confidential or proprietary information provided by or on behalf of the Partnership to such Indemnitee (including the General Partner).</w:t>
      </w:r>
    </w:p>
    <w:p>
      <w:pPr>
        <w:spacing w:after="0" w:line="183" w:lineRule="exact"/>
        <w:rPr>
          <w:rFonts w:ascii="Arial" w:cs="Arial" w:eastAsia="Arial" w:hAnsi="Arial"/>
          <w:sz w:val="19"/>
          <w:szCs w:val="19"/>
          <w:color w:val="auto"/>
        </w:rPr>
      </w:pPr>
    </w:p>
    <w:p>
      <w:pPr>
        <w:ind w:right="80" w:firstLine="1305"/>
        <w:spacing w:after="0" w:line="252" w:lineRule="auto"/>
        <w:tabs>
          <w:tab w:leader="none" w:pos="1803" w:val="left"/>
        </w:tabs>
        <w:numPr>
          <w:ilvl w:val="0"/>
          <w:numId w:val="52"/>
        </w:numPr>
        <w:rPr>
          <w:rFonts w:ascii="Arial" w:cs="Arial" w:eastAsia="Arial" w:hAnsi="Arial"/>
          <w:sz w:val="21"/>
          <w:szCs w:val="21"/>
          <w:color w:val="auto"/>
        </w:rPr>
      </w:pPr>
      <w:r>
        <w:rPr>
          <w:rFonts w:ascii="Arial" w:cs="Arial" w:eastAsia="Arial" w:hAnsi="Arial"/>
          <w:sz w:val="21"/>
          <w:szCs w:val="21"/>
          <w:color w:val="auto"/>
        </w:rPr>
        <w:t>The General Partner and each of its Affiliates may own and acquire Units or other Partnership Interests in addition to those acquired on the Closing Date and, except as otherwise provided in this Agreement, shall be entitled to exercise, at their option, all rights relating to all Units or other Partnership Interests acquired by them. The term “</w:t>
      </w:r>
      <w:r>
        <w:rPr>
          <w:rFonts w:ascii="Arial" w:cs="Arial" w:eastAsia="Arial" w:hAnsi="Arial"/>
          <w:sz w:val="21"/>
          <w:szCs w:val="21"/>
          <w:i w:val="1"/>
          <w:iCs w:val="1"/>
          <w:color w:val="auto"/>
        </w:rPr>
        <w:t>Affiliates</w:t>
      </w:r>
      <w:r>
        <w:rPr>
          <w:rFonts w:ascii="Arial" w:cs="Arial" w:eastAsia="Arial" w:hAnsi="Arial"/>
          <w:sz w:val="21"/>
          <w:szCs w:val="21"/>
          <w:color w:val="auto"/>
        </w:rPr>
        <w:t xml:space="preserve">” as used in this </w:t>
      </w:r>
      <w:r>
        <w:rPr>
          <w:rFonts w:ascii="Arial" w:cs="Arial" w:eastAsia="Arial" w:hAnsi="Arial"/>
          <w:sz w:val="21"/>
          <w:szCs w:val="21"/>
          <w:u w:val="single" w:color="auto"/>
          <w:color w:val="auto"/>
        </w:rPr>
        <w:t>Section 7.13(e)</w:t>
      </w:r>
      <w:r>
        <w:rPr>
          <w:rFonts w:ascii="Arial" w:cs="Arial" w:eastAsia="Arial" w:hAnsi="Arial"/>
          <w:sz w:val="21"/>
          <w:szCs w:val="21"/>
          <w:color w:val="auto"/>
        </w:rPr>
        <w:t xml:space="preserve"> with respect to the General Partner shall not include any Group Member.</w:t>
      </w:r>
    </w:p>
    <w:p>
      <w:pPr>
        <w:spacing w:after="0" w:line="201" w:lineRule="exact"/>
        <w:rPr>
          <w:sz w:val="20"/>
          <w:szCs w:val="20"/>
          <w:color w:val="auto"/>
        </w:rPr>
      </w:pPr>
    </w:p>
    <w:p>
      <w:pPr>
        <w:ind w:left="1300"/>
        <w:spacing w:after="0"/>
        <w:tabs>
          <w:tab w:leader="none" w:pos="2680" w:val="left"/>
        </w:tabs>
        <w:rPr>
          <w:sz w:val="20"/>
          <w:szCs w:val="20"/>
          <w:color w:val="auto"/>
        </w:rPr>
      </w:pPr>
      <w:r>
        <w:rPr>
          <w:rFonts w:ascii="Arial" w:cs="Arial" w:eastAsia="Arial" w:hAnsi="Arial"/>
          <w:sz w:val="22"/>
          <w:szCs w:val="22"/>
          <w:color w:val="auto"/>
        </w:rPr>
        <w:t>Section 7.14.</w:t>
      </w:r>
      <w:r>
        <w:rPr>
          <w:sz w:val="20"/>
          <w:szCs w:val="20"/>
          <w:color w:val="auto"/>
        </w:rPr>
        <w:tab/>
      </w:r>
      <w:r>
        <w:rPr>
          <w:rFonts w:ascii="Arial" w:cs="Arial" w:eastAsia="Arial" w:hAnsi="Arial"/>
          <w:sz w:val="19"/>
          <w:szCs w:val="19"/>
          <w:i w:val="1"/>
          <w:iCs w:val="1"/>
          <w:color w:val="auto"/>
        </w:rPr>
        <w:t>Loans from the General Partner; Loans or Contributions from the Partnership or Group Members</w:t>
      </w:r>
      <w:r>
        <w:rPr>
          <w:rFonts w:ascii="Arial" w:cs="Arial" w:eastAsia="Arial" w:hAnsi="Arial"/>
          <w:sz w:val="19"/>
          <w:szCs w:val="19"/>
          <w:color w:val="auto"/>
        </w:rPr>
        <w:t>.</w:t>
      </w:r>
    </w:p>
    <w:p>
      <w:pPr>
        <w:spacing w:after="0" w:line="8" w:lineRule="exact"/>
        <w:rPr>
          <w:sz w:val="20"/>
          <w:szCs w:val="20"/>
          <w:color w:val="auto"/>
        </w:rPr>
      </w:pPr>
    </w:p>
    <w:p>
      <w:pPr>
        <w:ind w:firstLine="8"/>
        <w:spacing w:after="0" w:line="243" w:lineRule="auto"/>
        <w:tabs>
          <w:tab w:leader="none" w:pos="294" w:val="left"/>
        </w:tabs>
        <w:numPr>
          <w:ilvl w:val="0"/>
          <w:numId w:val="53"/>
        </w:numPr>
        <w:rPr>
          <w:rFonts w:ascii="Arial" w:cs="Arial" w:eastAsia="Arial" w:hAnsi="Arial"/>
          <w:sz w:val="21"/>
          <w:szCs w:val="21"/>
          <w:color w:val="auto"/>
        </w:rPr>
      </w:pPr>
      <w:r>
        <w:rPr>
          <w:rFonts w:ascii="Arial" w:cs="Arial" w:eastAsia="Arial" w:hAnsi="Arial"/>
          <w:sz w:val="21"/>
          <w:szCs w:val="21"/>
          <w:color w:val="auto"/>
        </w:rPr>
        <w:t xml:space="preserve">The General Partner or any of its Affiliates may lend to any Group Member, and any Group Member may borrow from the General Partner or any of its Affiliates, funds needed or desired by the Group Member for such periods of time and in such amounts as the General Partner and the Board of Directors may determine;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xml:space="preserve">, that in any such case the lending party may not charge the borrowing party interest at a rate greater than the rate that would be charged the borrowing party or impose terms less favorable to the borrowing party than would be charged or imposed on the borrowing party by unrelated lenders on comparable loans made on an arms’ length basis (without reference to the lending party’s financial abilities or guarantees), all as determined by the General Partner and the Board of Directors. The borrowing party shall reimburse the lending party for any costs (other than any additional interest costs) incurred by the lending party in connection with the borrowing of such funds. For purposes of this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7.14(a)</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7.14(b)</w:t>
      </w:r>
      <w:r>
        <w:rPr>
          <w:rFonts w:ascii="Arial" w:cs="Arial" w:eastAsia="Arial" w:hAnsi="Arial"/>
          <w:sz w:val="21"/>
          <w:szCs w:val="21"/>
          <w:color w:val="auto"/>
        </w:rPr>
        <w:t>, the term “</w:t>
      </w:r>
      <w:r>
        <w:rPr>
          <w:rFonts w:ascii="Arial" w:cs="Arial" w:eastAsia="Arial" w:hAnsi="Arial"/>
          <w:sz w:val="21"/>
          <w:szCs w:val="21"/>
          <w:b w:val="1"/>
          <w:bCs w:val="1"/>
          <w:i w:val="1"/>
          <w:iCs w:val="1"/>
          <w:color w:val="auto"/>
        </w:rPr>
        <w:t>Group Member</w:t>
      </w:r>
      <w:r>
        <w:rPr>
          <w:rFonts w:ascii="Arial" w:cs="Arial" w:eastAsia="Arial" w:hAnsi="Arial"/>
          <w:sz w:val="21"/>
          <w:szCs w:val="21"/>
          <w:color w:val="auto"/>
        </w:rPr>
        <w:t>” shall include any Affiliate of a Group Member that is controlled by the Group Member.</w:t>
      </w:r>
    </w:p>
    <w:p>
      <w:pPr>
        <w:spacing w:after="0" w:line="211" w:lineRule="exact"/>
        <w:rPr>
          <w:rFonts w:ascii="Arial" w:cs="Arial" w:eastAsia="Arial" w:hAnsi="Arial"/>
          <w:sz w:val="21"/>
          <w:szCs w:val="21"/>
          <w:color w:val="auto"/>
        </w:rPr>
      </w:pPr>
    </w:p>
    <w:p>
      <w:pPr>
        <w:ind w:right="160" w:firstLine="1305"/>
        <w:spacing w:after="0"/>
        <w:tabs>
          <w:tab w:leader="none" w:pos="1815" w:val="left"/>
        </w:tabs>
        <w:numPr>
          <w:ilvl w:val="1"/>
          <w:numId w:val="53"/>
        </w:numPr>
        <w:rPr>
          <w:rFonts w:ascii="Arial" w:cs="Arial" w:eastAsia="Arial" w:hAnsi="Arial"/>
          <w:sz w:val="22"/>
          <w:szCs w:val="22"/>
          <w:color w:val="auto"/>
        </w:rPr>
      </w:pPr>
      <w:r>
        <w:rPr>
          <w:rFonts w:ascii="Arial" w:cs="Arial" w:eastAsia="Arial" w:hAnsi="Arial"/>
          <w:sz w:val="22"/>
          <w:szCs w:val="22"/>
          <w:color w:val="auto"/>
        </w:rPr>
        <w:t>The Partnership may lend or contribute to any Group Member, and any Group Member may borrow from the Partnership, funds on terms and conditions determined by the Board of Directors. No Group Member may lend funds to the General Partner or any of its Affiliates (other than another Group Member).</w:t>
      </w:r>
    </w:p>
    <w:p>
      <w:pPr>
        <w:spacing w:after="0" w:line="213" w:lineRule="exact"/>
        <w:rPr>
          <w:rFonts w:ascii="Arial" w:cs="Arial" w:eastAsia="Arial" w:hAnsi="Arial"/>
          <w:sz w:val="22"/>
          <w:szCs w:val="22"/>
          <w:color w:val="auto"/>
        </w:rPr>
      </w:pPr>
    </w:p>
    <w:p>
      <w:pPr>
        <w:ind w:right="100" w:firstLine="1305"/>
        <w:spacing w:after="0"/>
        <w:tabs>
          <w:tab w:leader="none" w:pos="1807" w:val="left"/>
        </w:tabs>
        <w:numPr>
          <w:ilvl w:val="1"/>
          <w:numId w:val="53"/>
        </w:numPr>
        <w:rPr>
          <w:rFonts w:ascii="Arial" w:cs="Arial" w:eastAsia="Arial" w:hAnsi="Arial"/>
          <w:sz w:val="22"/>
          <w:szCs w:val="22"/>
          <w:color w:val="auto"/>
        </w:rPr>
      </w:pPr>
      <w:r>
        <w:rPr>
          <w:rFonts w:ascii="Arial" w:cs="Arial" w:eastAsia="Arial" w:hAnsi="Arial"/>
          <w:sz w:val="22"/>
          <w:szCs w:val="22"/>
          <w:color w:val="auto"/>
        </w:rPr>
        <w:t>No borrowing by any Group Member or the approval thereof by the General Partner or the Board of Directors shall be deemed to constitute a breach of any duty, expressed or implied, of the General Partner or its Affiliates or the Board of Directors to the</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58" w:name="page59"/>
    <w:bookmarkEnd w:id="58"/>
    <w:p>
      <w:pPr>
        <w:jc w:val="both"/>
        <w:ind w:right="200"/>
        <w:spacing w:after="0" w:line="238" w:lineRule="auto"/>
        <w:rPr>
          <w:sz w:val="20"/>
          <w:szCs w:val="20"/>
          <w:color w:val="auto"/>
        </w:rPr>
      </w:pPr>
      <w:r>
        <w:rPr>
          <w:rFonts w:ascii="Arial" w:cs="Arial" w:eastAsia="Arial" w:hAnsi="Arial"/>
          <w:sz w:val="22"/>
          <w:szCs w:val="22"/>
          <w:color w:val="auto"/>
        </w:rPr>
        <w:t>Partnership or the Limited Partners if the purpose or effect of such borrowing is directly or indirectly to (i) enable distributions to the General Partner or its Affiliates (including in their capacities as Limited Partners) to exceed the General Partner’s Percentage Interest of the total amount distributed to all partners or (ii) hasten the expiration of the Subordination Period or the conversion of any Subordinated Units into Common Units.</w:t>
      </w:r>
    </w:p>
    <w:p>
      <w:pPr>
        <w:spacing w:after="0" w:line="212" w:lineRule="exact"/>
        <w:rPr>
          <w:sz w:val="20"/>
          <w:szCs w:val="20"/>
          <w:color w:val="auto"/>
        </w:rPr>
      </w:pPr>
    </w:p>
    <w:p>
      <w:pPr>
        <w:ind w:right="160" w:firstLine="1297"/>
        <w:spacing w:after="0" w:line="271" w:lineRule="auto"/>
        <w:rPr>
          <w:sz w:val="20"/>
          <w:szCs w:val="20"/>
          <w:color w:val="auto"/>
        </w:rPr>
      </w:pPr>
      <w:r>
        <w:rPr>
          <w:rFonts w:ascii="Arial" w:cs="Arial" w:eastAsia="Arial" w:hAnsi="Arial"/>
          <w:sz w:val="19"/>
          <w:szCs w:val="19"/>
          <w:color w:val="auto"/>
        </w:rPr>
        <w:t xml:space="preserve">Section 7.15. </w:t>
      </w:r>
      <w:r>
        <w:rPr>
          <w:rFonts w:ascii="Arial" w:cs="Arial" w:eastAsia="Arial" w:hAnsi="Arial"/>
          <w:sz w:val="19"/>
          <w:szCs w:val="19"/>
          <w:i w:val="1"/>
          <w:iCs w:val="1"/>
          <w:color w:val="auto"/>
        </w:rPr>
        <w:t>Indemnification</w:t>
      </w:r>
      <w:r>
        <w:rPr>
          <w:rFonts w:ascii="Arial" w:cs="Arial" w:eastAsia="Arial" w:hAnsi="Arial"/>
          <w:sz w:val="19"/>
          <w:szCs w:val="19"/>
          <w:color w:val="auto"/>
        </w:rPr>
        <w:t xml:space="preserve">. (a) To the fullest extent permitted by the Marshall Islands Act but subject to the limitations expressly provided in this Agreement, all Indemnitees shall be indemnified and held harmless by the Partnership from and against any and all losses, claims, damages, liabilities, joint or several, expenses (including legal fees and expenses), judgments, fines, penalties, interest, settlements or other amounts arising from any and all claims, demands, actions, suits or proceedings, whether civil, criminal, administrative or investigative, in which any Indemnitee may be involved, or is threatened to be involved, as a party or otherwise, by reason of its status as an Indemnitee;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the Indemnitee shall not be indemnified and held harmless if there has been a final and non-appealable judgment entered by a court of competent jurisdiction determining that, in respect of the matter for which the Indemnitee is seeking indemnification pursuant to this </w:t>
      </w:r>
      <w:r>
        <w:rPr>
          <w:rFonts w:ascii="Arial" w:cs="Arial" w:eastAsia="Arial" w:hAnsi="Arial"/>
          <w:sz w:val="19"/>
          <w:szCs w:val="19"/>
          <w:u w:val="single" w:color="auto"/>
          <w:color w:val="auto"/>
        </w:rPr>
        <w:t>Section 7.15</w:t>
      </w:r>
      <w:r>
        <w:rPr>
          <w:rFonts w:ascii="Arial" w:cs="Arial" w:eastAsia="Arial" w:hAnsi="Arial"/>
          <w:sz w:val="19"/>
          <w:szCs w:val="19"/>
          <w:color w:val="auto"/>
        </w:rPr>
        <w:t xml:space="preserve">, the Indemnitee acted in bad faith or engaged in fraud or willful misconduct or, in the case of a criminal matter, acted with knowledge that the Indemnitee’s conduct was unlawful; and,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xml:space="preserve">, that no indemnification pursuant to this </w:t>
      </w:r>
      <w:r>
        <w:rPr>
          <w:rFonts w:ascii="Arial" w:cs="Arial" w:eastAsia="Arial" w:hAnsi="Arial"/>
          <w:sz w:val="19"/>
          <w:szCs w:val="19"/>
          <w:u w:val="single" w:color="auto"/>
          <w:color w:val="auto"/>
        </w:rPr>
        <w:t>Section 7.15</w:t>
      </w:r>
      <w:r>
        <w:rPr>
          <w:rFonts w:ascii="Arial" w:cs="Arial" w:eastAsia="Arial" w:hAnsi="Arial"/>
          <w:sz w:val="19"/>
          <w:szCs w:val="19"/>
          <w:color w:val="auto"/>
        </w:rPr>
        <w:t xml:space="preserve"> shall be available to the General Partner or its Affiliates (other than a Group Member) with respect to its or their obligations incurred pursuant to the Underwriting Agreement, the Omnibus Agreement or the Contribution Agreement (other than obligations incurred by the General Partner on behalf of the Partnership). Any indemnification pursuant to this </w:t>
      </w:r>
      <w:r>
        <w:rPr>
          <w:rFonts w:ascii="Arial" w:cs="Arial" w:eastAsia="Arial" w:hAnsi="Arial"/>
          <w:sz w:val="19"/>
          <w:szCs w:val="19"/>
          <w:u w:val="single" w:color="auto"/>
          <w:color w:val="auto"/>
        </w:rPr>
        <w:t>Section 7.15</w:t>
      </w:r>
      <w:r>
        <w:rPr>
          <w:rFonts w:ascii="Arial" w:cs="Arial" w:eastAsia="Arial" w:hAnsi="Arial"/>
          <w:sz w:val="19"/>
          <w:szCs w:val="19"/>
          <w:color w:val="auto"/>
        </w:rPr>
        <w:t xml:space="preserve"> shall be made only out of the assets of the Partnership, it being agreed that the General Partner shall not be personally liable for such indemnification and shall have no obligation to contribute or loan any monies or property to the Partnership to enable it to effectuate such indemnification.</w:t>
      </w:r>
    </w:p>
    <w:p>
      <w:pPr>
        <w:spacing w:after="0" w:line="200" w:lineRule="exact"/>
        <w:rPr>
          <w:sz w:val="20"/>
          <w:szCs w:val="20"/>
          <w:color w:val="auto"/>
        </w:rPr>
      </w:pPr>
    </w:p>
    <w:p>
      <w:pPr>
        <w:spacing w:after="0" w:line="232" w:lineRule="exact"/>
        <w:rPr>
          <w:sz w:val="20"/>
          <w:szCs w:val="20"/>
          <w:color w:val="auto"/>
        </w:rPr>
      </w:pPr>
    </w:p>
    <w:p>
      <w:pPr>
        <w:ind w:right="20" w:firstLine="1305"/>
        <w:spacing w:after="0" w:line="282" w:lineRule="auto"/>
        <w:tabs>
          <w:tab w:leader="none" w:pos="1815" w:val="left"/>
        </w:tabs>
        <w:numPr>
          <w:ilvl w:val="0"/>
          <w:numId w:val="54"/>
        </w:numPr>
        <w:rPr>
          <w:rFonts w:ascii="Arial" w:cs="Arial" w:eastAsia="Arial" w:hAnsi="Arial"/>
          <w:sz w:val="19"/>
          <w:szCs w:val="19"/>
          <w:color w:val="auto"/>
        </w:rPr>
      </w:pPr>
      <w:r>
        <w:rPr>
          <w:rFonts w:ascii="Arial" w:cs="Arial" w:eastAsia="Arial" w:hAnsi="Arial"/>
          <w:sz w:val="19"/>
          <w:szCs w:val="19"/>
          <w:color w:val="auto"/>
        </w:rPr>
        <w:t xml:space="preserve">To the fullest extent permitted by the Marshall Islands Act, expenses (including legal fees and expenses) incurred by an Indemnitee who is indemnified pursuant to </w:t>
      </w:r>
      <w:r>
        <w:rPr>
          <w:rFonts w:ascii="Arial" w:cs="Arial" w:eastAsia="Arial" w:hAnsi="Arial"/>
          <w:sz w:val="19"/>
          <w:szCs w:val="19"/>
          <w:u w:val="single" w:color="auto"/>
          <w:color w:val="auto"/>
        </w:rPr>
        <w:t>Section 7.15(a)</w:t>
      </w:r>
      <w:r>
        <w:rPr>
          <w:rFonts w:ascii="Arial" w:cs="Arial" w:eastAsia="Arial" w:hAnsi="Arial"/>
          <w:sz w:val="19"/>
          <w:szCs w:val="19"/>
          <w:color w:val="auto"/>
        </w:rPr>
        <w:t xml:space="preserve"> in defending any claim, demand, action, suit or proceeding shall, from time to time, be advanced by the Partnership prior to a determination that the Indemnitee is not entitled to be indemnified upon receipt by the Partnership of any undertaking by or on behalf of the Indemnitee to repay such amount if it shall be determined that the Indemnitee is not entitled to be indemnified as authorized in this </w:t>
      </w:r>
      <w:r>
        <w:rPr>
          <w:rFonts w:ascii="Arial" w:cs="Arial" w:eastAsia="Arial" w:hAnsi="Arial"/>
          <w:sz w:val="19"/>
          <w:szCs w:val="19"/>
          <w:u w:val="single" w:color="auto"/>
          <w:color w:val="auto"/>
        </w:rPr>
        <w:t>Section 7.15</w:t>
      </w:r>
      <w:r>
        <w:rPr>
          <w:rFonts w:ascii="Arial" w:cs="Arial" w:eastAsia="Arial" w:hAnsi="Arial"/>
          <w:sz w:val="19"/>
          <w:szCs w:val="19"/>
          <w:color w:val="auto"/>
        </w:rPr>
        <w:t>.</w:t>
      </w:r>
    </w:p>
    <w:p>
      <w:pPr>
        <w:spacing w:after="0" w:line="174" w:lineRule="exact"/>
        <w:rPr>
          <w:rFonts w:ascii="Arial" w:cs="Arial" w:eastAsia="Arial" w:hAnsi="Arial"/>
          <w:sz w:val="19"/>
          <w:szCs w:val="19"/>
          <w:color w:val="auto"/>
        </w:rPr>
      </w:pPr>
    </w:p>
    <w:p>
      <w:pPr>
        <w:ind w:firstLine="1305"/>
        <w:spacing w:after="0" w:line="282" w:lineRule="auto"/>
        <w:tabs>
          <w:tab w:leader="none" w:pos="1803" w:val="left"/>
        </w:tabs>
        <w:numPr>
          <w:ilvl w:val="0"/>
          <w:numId w:val="54"/>
        </w:numPr>
        <w:rPr>
          <w:rFonts w:ascii="Arial" w:cs="Arial" w:eastAsia="Arial" w:hAnsi="Arial"/>
          <w:sz w:val="19"/>
          <w:szCs w:val="19"/>
          <w:color w:val="auto"/>
        </w:rPr>
      </w:pPr>
      <w:r>
        <w:rPr>
          <w:rFonts w:ascii="Arial" w:cs="Arial" w:eastAsia="Arial" w:hAnsi="Arial"/>
          <w:sz w:val="19"/>
          <w:szCs w:val="19"/>
          <w:color w:val="auto"/>
        </w:rPr>
        <w:t xml:space="preserve">The indemnification provided by this </w:t>
      </w:r>
      <w:r>
        <w:rPr>
          <w:rFonts w:ascii="Arial" w:cs="Arial" w:eastAsia="Arial" w:hAnsi="Arial"/>
          <w:sz w:val="19"/>
          <w:szCs w:val="19"/>
          <w:u w:val="single" w:color="auto"/>
          <w:color w:val="auto"/>
        </w:rPr>
        <w:t>Section 7.15</w:t>
      </w:r>
      <w:r>
        <w:rPr>
          <w:rFonts w:ascii="Arial" w:cs="Arial" w:eastAsia="Arial" w:hAnsi="Arial"/>
          <w:sz w:val="19"/>
          <w:szCs w:val="19"/>
          <w:color w:val="auto"/>
        </w:rPr>
        <w:t xml:space="preserve"> shall be in addition to any other rights to which an Indemnitee may be entitled under any agreement, pursuant to any vote of the holders of Outstanding Limited Partner Interests, as a matter of law or otherwise, both as to actions in the Indemnitee’s capacity as an Indemnitee and as to actions in any other capacity (including any capacity under the Underwriting Agreement), and shall continue as to an Indemnitee who has ceased to serve in such capacity and shall inure to the benefit of the heirs, successors, assigns and administrators of the Indemnitee.</w:t>
      </w:r>
    </w:p>
    <w:p>
      <w:pPr>
        <w:spacing w:after="0" w:line="174" w:lineRule="exact"/>
        <w:rPr>
          <w:rFonts w:ascii="Arial" w:cs="Arial" w:eastAsia="Arial" w:hAnsi="Arial"/>
          <w:sz w:val="19"/>
          <w:szCs w:val="19"/>
          <w:color w:val="auto"/>
        </w:rPr>
      </w:pPr>
    </w:p>
    <w:p>
      <w:pPr>
        <w:ind w:right="160" w:firstLine="1305"/>
        <w:spacing w:after="0" w:line="251" w:lineRule="auto"/>
        <w:tabs>
          <w:tab w:leader="none" w:pos="1815" w:val="left"/>
        </w:tabs>
        <w:numPr>
          <w:ilvl w:val="0"/>
          <w:numId w:val="54"/>
        </w:numPr>
        <w:rPr>
          <w:rFonts w:ascii="Arial" w:cs="Arial" w:eastAsia="Arial" w:hAnsi="Arial"/>
          <w:sz w:val="22"/>
          <w:szCs w:val="22"/>
          <w:color w:val="auto"/>
        </w:rPr>
      </w:pPr>
      <w:r>
        <w:rPr>
          <w:rFonts w:ascii="Arial" w:cs="Arial" w:eastAsia="Arial" w:hAnsi="Arial"/>
          <w:sz w:val="22"/>
          <w:szCs w:val="22"/>
          <w:color w:val="auto"/>
        </w:rPr>
        <w:t>The Partnership may purchase and maintain (or reimburse the General Partner or its Affiliates for the cost of) insurance, on behalf of the Board of Directors and the</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59" w:name="page60"/>
    <w:bookmarkEnd w:id="59"/>
    <w:p>
      <w:pPr>
        <w:ind w:right="280"/>
        <w:spacing w:after="0" w:line="252" w:lineRule="auto"/>
        <w:rPr>
          <w:sz w:val="20"/>
          <w:szCs w:val="20"/>
          <w:color w:val="auto"/>
        </w:rPr>
      </w:pPr>
      <w:r>
        <w:rPr>
          <w:rFonts w:ascii="Arial" w:cs="Arial" w:eastAsia="Arial" w:hAnsi="Arial"/>
          <w:sz w:val="21"/>
          <w:szCs w:val="21"/>
          <w:color w:val="auto"/>
        </w:rPr>
        <w:t>General Partner, its Affiliates and such other Persons as the Board of Directors shall determine, against any liability that may be asserted against, or expense that may be incurred by, such Person in connection with the Partnership’s activities or such Person’s activities on behalf of the Partnership, regardless of whether the Partnership would have the power to indemnify such Person against such liability under the provisions of this Agreement or law.</w:t>
      </w:r>
    </w:p>
    <w:p>
      <w:pPr>
        <w:spacing w:after="0" w:line="201" w:lineRule="exact"/>
        <w:rPr>
          <w:sz w:val="20"/>
          <w:szCs w:val="20"/>
          <w:color w:val="auto"/>
        </w:rPr>
      </w:pPr>
    </w:p>
    <w:p>
      <w:pPr>
        <w:ind w:right="60" w:firstLine="1305"/>
        <w:spacing w:after="0" w:line="277" w:lineRule="auto"/>
        <w:tabs>
          <w:tab w:leader="none" w:pos="1807" w:val="left"/>
        </w:tabs>
        <w:numPr>
          <w:ilvl w:val="0"/>
          <w:numId w:val="55"/>
        </w:numPr>
        <w:rPr>
          <w:rFonts w:ascii="Arial" w:cs="Arial" w:eastAsia="Arial" w:hAnsi="Arial"/>
          <w:sz w:val="19"/>
          <w:szCs w:val="19"/>
          <w:color w:val="auto"/>
        </w:rPr>
      </w:pPr>
      <w:r>
        <w:rPr>
          <w:rFonts w:ascii="Arial" w:cs="Arial" w:eastAsia="Arial" w:hAnsi="Arial"/>
          <w:sz w:val="19"/>
          <w:szCs w:val="19"/>
          <w:color w:val="auto"/>
        </w:rPr>
        <w:t xml:space="preserve">For purposes of this </w:t>
      </w:r>
      <w:r>
        <w:rPr>
          <w:rFonts w:ascii="Arial" w:cs="Arial" w:eastAsia="Arial" w:hAnsi="Arial"/>
          <w:sz w:val="19"/>
          <w:szCs w:val="19"/>
          <w:u w:val="single" w:color="auto"/>
          <w:color w:val="auto"/>
        </w:rPr>
        <w:t>Section 7.15</w:t>
      </w:r>
      <w:r>
        <w:rPr>
          <w:rFonts w:ascii="Arial" w:cs="Arial" w:eastAsia="Arial" w:hAnsi="Arial"/>
          <w:sz w:val="19"/>
          <w:szCs w:val="19"/>
          <w:color w:val="auto"/>
        </w:rPr>
        <w:t xml:space="preserve">, the Partnership shall be deemed to have requested an Indemnitee to serve as fiduciary of an employee benefit plan whenever the performance by the Indemnitee of its duties to the Partnership also imposes duties on, or otherwise involves services by, it to the plan or participants or beneficiaries of the plan; excise taxes assessed on an Indemnitee with respect to an employee benefit plan pursuant to applicable law shall constitute “fines” within the meaning of </w:t>
      </w:r>
      <w:r>
        <w:rPr>
          <w:rFonts w:ascii="Arial" w:cs="Arial" w:eastAsia="Arial" w:hAnsi="Arial"/>
          <w:sz w:val="19"/>
          <w:szCs w:val="19"/>
          <w:u w:val="single" w:color="auto"/>
          <w:color w:val="auto"/>
        </w:rPr>
        <w:t>Section 7.15(a)</w:t>
      </w:r>
      <w:r>
        <w:rPr>
          <w:rFonts w:ascii="Arial" w:cs="Arial" w:eastAsia="Arial" w:hAnsi="Arial"/>
          <w:sz w:val="19"/>
          <w:szCs w:val="19"/>
          <w:color w:val="auto"/>
        </w:rPr>
        <w:t>; and action taken or omitted by the Indemnitee with respect to any employee benefit plan in the performance of its duties for a purpose reasonably believed by it to be in the best interest of the participants and beneficiaries of the plan shall be deemed to be for a purpose that is in the best interests of the Partnership.</w:t>
      </w:r>
    </w:p>
    <w:p>
      <w:pPr>
        <w:spacing w:after="0" w:line="179" w:lineRule="exact"/>
        <w:rPr>
          <w:rFonts w:ascii="Arial" w:cs="Arial" w:eastAsia="Arial" w:hAnsi="Arial"/>
          <w:sz w:val="19"/>
          <w:szCs w:val="19"/>
          <w:color w:val="auto"/>
        </w:rPr>
      </w:pPr>
    </w:p>
    <w:p>
      <w:pPr>
        <w:ind w:right="1260" w:firstLine="1305"/>
        <w:spacing w:after="0" w:line="251" w:lineRule="auto"/>
        <w:tabs>
          <w:tab w:leader="none" w:pos="1783" w:val="left"/>
        </w:tabs>
        <w:numPr>
          <w:ilvl w:val="0"/>
          <w:numId w:val="55"/>
        </w:numPr>
        <w:rPr>
          <w:rFonts w:ascii="Arial" w:cs="Arial" w:eastAsia="Arial" w:hAnsi="Arial"/>
          <w:sz w:val="22"/>
          <w:szCs w:val="22"/>
          <w:color w:val="auto"/>
        </w:rPr>
      </w:pPr>
      <w:r>
        <w:rPr>
          <w:rFonts w:ascii="Arial" w:cs="Arial" w:eastAsia="Arial" w:hAnsi="Arial"/>
          <w:sz w:val="22"/>
          <w:szCs w:val="22"/>
          <w:color w:val="auto"/>
        </w:rPr>
        <w:t>In no event may an Indemnitee subject the Limited Partners to personal liability by reason of the indemnification provisions set forth in this Agreement.</w:t>
      </w:r>
    </w:p>
    <w:p>
      <w:pPr>
        <w:spacing w:after="0" w:line="200" w:lineRule="exact"/>
        <w:rPr>
          <w:rFonts w:ascii="Arial" w:cs="Arial" w:eastAsia="Arial" w:hAnsi="Arial"/>
          <w:sz w:val="22"/>
          <w:szCs w:val="22"/>
          <w:color w:val="auto"/>
        </w:rPr>
      </w:pPr>
    </w:p>
    <w:p>
      <w:pPr>
        <w:jc w:val="both"/>
        <w:ind w:right="440" w:firstLine="1305"/>
        <w:spacing w:after="0"/>
        <w:tabs>
          <w:tab w:leader="none" w:pos="1807" w:val="left"/>
        </w:tabs>
        <w:numPr>
          <w:ilvl w:val="0"/>
          <w:numId w:val="55"/>
        </w:numPr>
        <w:rPr>
          <w:rFonts w:ascii="Arial" w:cs="Arial" w:eastAsia="Arial" w:hAnsi="Arial"/>
          <w:sz w:val="22"/>
          <w:szCs w:val="22"/>
          <w:color w:val="auto"/>
        </w:rPr>
      </w:pPr>
      <w:r>
        <w:rPr>
          <w:rFonts w:ascii="Arial" w:cs="Arial" w:eastAsia="Arial" w:hAnsi="Arial"/>
          <w:sz w:val="22"/>
          <w:szCs w:val="22"/>
          <w:color w:val="auto"/>
        </w:rPr>
        <w:t xml:space="preserve">An Indemnitee shall not be denied indemnification in whole or in part under this </w:t>
      </w:r>
      <w:r>
        <w:rPr>
          <w:rFonts w:ascii="Arial" w:cs="Arial" w:eastAsia="Arial" w:hAnsi="Arial"/>
          <w:sz w:val="22"/>
          <w:szCs w:val="22"/>
          <w:u w:val="single" w:color="auto"/>
          <w:color w:val="auto"/>
        </w:rPr>
        <w:t>Section 7.15</w:t>
      </w:r>
      <w:r>
        <w:rPr>
          <w:rFonts w:ascii="Arial" w:cs="Arial" w:eastAsia="Arial" w:hAnsi="Arial"/>
          <w:sz w:val="22"/>
          <w:szCs w:val="22"/>
          <w:color w:val="auto"/>
        </w:rPr>
        <w:t xml:space="preserve"> because the Indemnitee had an interest in the transaction with respect to which the indemnification applies if the transaction was otherwise permitted by the terms of this Agreement.</w:t>
      </w:r>
    </w:p>
    <w:p>
      <w:pPr>
        <w:spacing w:after="0" w:line="213" w:lineRule="exact"/>
        <w:rPr>
          <w:rFonts w:ascii="Arial" w:cs="Arial" w:eastAsia="Arial" w:hAnsi="Arial"/>
          <w:sz w:val="22"/>
          <w:szCs w:val="22"/>
          <w:color w:val="auto"/>
        </w:rPr>
      </w:pPr>
    </w:p>
    <w:p>
      <w:pPr>
        <w:ind w:right="200" w:firstLine="1305"/>
        <w:spacing w:after="0" w:line="274" w:lineRule="auto"/>
        <w:tabs>
          <w:tab w:leader="none" w:pos="1815" w:val="left"/>
        </w:tabs>
        <w:numPr>
          <w:ilvl w:val="0"/>
          <w:numId w:val="55"/>
        </w:numPr>
        <w:rPr>
          <w:rFonts w:ascii="Arial" w:cs="Arial" w:eastAsia="Arial" w:hAnsi="Arial"/>
          <w:sz w:val="21"/>
          <w:szCs w:val="21"/>
          <w:color w:val="auto"/>
        </w:rPr>
      </w:pPr>
      <w:r>
        <w:rPr>
          <w:rFonts w:ascii="Arial" w:cs="Arial" w:eastAsia="Arial" w:hAnsi="Arial"/>
          <w:sz w:val="21"/>
          <w:szCs w:val="21"/>
          <w:color w:val="auto"/>
        </w:rPr>
        <w:t xml:space="preserve">The provisions of this </w:t>
      </w:r>
      <w:r>
        <w:rPr>
          <w:rFonts w:ascii="Arial" w:cs="Arial" w:eastAsia="Arial" w:hAnsi="Arial"/>
          <w:sz w:val="21"/>
          <w:szCs w:val="21"/>
          <w:u w:val="single" w:color="auto"/>
          <w:color w:val="auto"/>
        </w:rPr>
        <w:t>Section 7.15</w:t>
      </w:r>
      <w:r>
        <w:rPr>
          <w:rFonts w:ascii="Arial" w:cs="Arial" w:eastAsia="Arial" w:hAnsi="Arial"/>
          <w:sz w:val="21"/>
          <w:szCs w:val="21"/>
          <w:color w:val="auto"/>
        </w:rPr>
        <w:t xml:space="preserve"> are for the benefit of the Indemnitees, their heirs, successors, assigns and administrators and shall not be deemed to create any rights for the benefit of any other Persons.</w:t>
      </w:r>
    </w:p>
    <w:p>
      <w:pPr>
        <w:spacing w:after="0" w:line="177" w:lineRule="exact"/>
        <w:rPr>
          <w:rFonts w:ascii="Arial" w:cs="Arial" w:eastAsia="Arial" w:hAnsi="Arial"/>
          <w:sz w:val="21"/>
          <w:szCs w:val="21"/>
          <w:color w:val="auto"/>
        </w:rPr>
      </w:pPr>
    </w:p>
    <w:p>
      <w:pPr>
        <w:ind w:firstLine="1305"/>
        <w:spacing w:after="0" w:line="235" w:lineRule="auto"/>
        <w:tabs>
          <w:tab w:leader="none" w:pos="1771" w:val="left"/>
        </w:tabs>
        <w:numPr>
          <w:ilvl w:val="0"/>
          <w:numId w:val="55"/>
        </w:numPr>
        <w:rPr>
          <w:rFonts w:ascii="Arial" w:cs="Arial" w:eastAsia="Arial" w:hAnsi="Arial"/>
          <w:sz w:val="22"/>
          <w:szCs w:val="22"/>
          <w:color w:val="auto"/>
        </w:rPr>
      </w:pPr>
      <w:r>
        <w:rPr>
          <w:rFonts w:ascii="Arial" w:cs="Arial" w:eastAsia="Arial" w:hAnsi="Arial"/>
          <w:sz w:val="22"/>
          <w:szCs w:val="22"/>
          <w:color w:val="auto"/>
        </w:rPr>
        <w:t xml:space="preserve">No amendment, modification or repeal of this </w:t>
      </w:r>
      <w:r>
        <w:rPr>
          <w:rFonts w:ascii="Arial" w:cs="Arial" w:eastAsia="Arial" w:hAnsi="Arial"/>
          <w:sz w:val="22"/>
          <w:szCs w:val="22"/>
          <w:u w:val="single" w:color="auto"/>
          <w:color w:val="auto"/>
        </w:rPr>
        <w:t>Section 7.15</w:t>
      </w:r>
      <w:r>
        <w:rPr>
          <w:rFonts w:ascii="Arial" w:cs="Arial" w:eastAsia="Arial" w:hAnsi="Arial"/>
          <w:sz w:val="22"/>
          <w:szCs w:val="22"/>
          <w:color w:val="auto"/>
        </w:rPr>
        <w:t xml:space="preserve"> or any provision hereof shall in any manner terminate, reduce or impair the right of any past, present or future Indemnitee to be indemnified by the Partnership, nor the obligations of the Partnership to indemnify any such Indemnitee under and in accordance with the provisions of this </w:t>
      </w:r>
      <w:r>
        <w:rPr>
          <w:rFonts w:ascii="Arial" w:cs="Arial" w:eastAsia="Arial" w:hAnsi="Arial"/>
          <w:sz w:val="22"/>
          <w:szCs w:val="22"/>
          <w:u w:val="single" w:color="auto"/>
          <w:color w:val="auto"/>
        </w:rPr>
        <w:t>Section 7.15</w:t>
      </w:r>
      <w:r>
        <w:rPr>
          <w:rFonts w:ascii="Arial" w:cs="Arial" w:eastAsia="Arial" w:hAnsi="Arial"/>
          <w:sz w:val="22"/>
          <w:szCs w:val="22"/>
          <w:color w:val="auto"/>
        </w:rPr>
        <w:t xml:space="preserve"> as in effect immediately prior to such amendment, modification or repeal with respect to claims arising from or relating to matters occurring, in whole or in part, prior to such amendment, modification or repeal, regardless of when such claims may arise or be asserted.</w:t>
      </w:r>
    </w:p>
    <w:p>
      <w:pPr>
        <w:spacing w:after="0" w:line="215" w:lineRule="exact"/>
        <w:rPr>
          <w:sz w:val="20"/>
          <w:szCs w:val="20"/>
          <w:color w:val="auto"/>
        </w:rPr>
      </w:pPr>
    </w:p>
    <w:p>
      <w:pPr>
        <w:ind w:right="240" w:firstLine="1297"/>
        <w:spacing w:after="0" w:line="279" w:lineRule="auto"/>
        <w:rPr>
          <w:sz w:val="20"/>
          <w:szCs w:val="20"/>
          <w:color w:val="auto"/>
        </w:rPr>
      </w:pPr>
      <w:r>
        <w:rPr>
          <w:rFonts w:ascii="Arial" w:cs="Arial" w:eastAsia="Arial" w:hAnsi="Arial"/>
          <w:sz w:val="19"/>
          <w:szCs w:val="19"/>
          <w:color w:val="auto"/>
        </w:rPr>
        <w:t xml:space="preserve">Section 7.16. </w:t>
      </w:r>
      <w:r>
        <w:rPr>
          <w:rFonts w:ascii="Arial" w:cs="Arial" w:eastAsia="Arial" w:hAnsi="Arial"/>
          <w:sz w:val="19"/>
          <w:szCs w:val="19"/>
          <w:i w:val="1"/>
          <w:iCs w:val="1"/>
          <w:color w:val="auto"/>
        </w:rPr>
        <w:t>Liability of Indemnitees</w:t>
      </w:r>
      <w:r>
        <w:rPr>
          <w:rFonts w:ascii="Arial" w:cs="Arial" w:eastAsia="Arial" w:hAnsi="Arial"/>
          <w:sz w:val="19"/>
          <w:szCs w:val="19"/>
          <w:color w:val="auto"/>
        </w:rPr>
        <w:t>. (a) Notwithstanding anything to the contrary set forth in this Agreement, no Indemnitee shall be liable for monetary damages to the Partnership, the Limited Partners or any other Persons who have acquired Partnership Interests or are otherwise bound by this Agreement, for losses sustained or liabilities incurred as a result of any act or omission of an Indemnitee unless there has been a final and non-appealable judgment entered by a court of competent jurisdiction determining that, in respect of the matter in question, the Indemnitee committed (i) acts of active and deliberate dishonesty, (ii) with actual dishonest purpose and intent, and (iii) which acts were material to the cause of action so adjudicated.</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402" w:right="259" w:bottom="1440" w:gutter="0" w:footer="0" w:header="0"/>
        </w:sectPr>
      </w:pPr>
    </w:p>
    <w:bookmarkStart w:id="60" w:name="page61"/>
    <w:bookmarkEnd w:id="60"/>
    <w:p>
      <w:pPr>
        <w:ind w:right="20" w:firstLine="1305"/>
        <w:spacing w:after="0" w:line="282" w:lineRule="auto"/>
        <w:tabs>
          <w:tab w:leader="none" w:pos="1819" w:val="left"/>
        </w:tabs>
        <w:numPr>
          <w:ilvl w:val="0"/>
          <w:numId w:val="56"/>
        </w:numPr>
        <w:rPr>
          <w:rFonts w:ascii="Arial" w:cs="Arial" w:eastAsia="Arial" w:hAnsi="Arial"/>
          <w:sz w:val="19"/>
          <w:szCs w:val="19"/>
          <w:color w:val="auto"/>
        </w:rPr>
      </w:pPr>
      <w:r>
        <w:rPr>
          <w:rFonts w:ascii="Arial" w:cs="Arial" w:eastAsia="Arial" w:hAnsi="Arial"/>
          <w:sz w:val="19"/>
          <w:szCs w:val="19"/>
          <w:color w:val="auto"/>
        </w:rPr>
        <w:t xml:space="preserve">Subject to their obligations and duties as members of the Board of Directors or as the General Partner, respectively, set forth in </w:t>
      </w:r>
      <w:r>
        <w:rPr>
          <w:rFonts w:ascii="Arial" w:cs="Arial" w:eastAsia="Arial" w:hAnsi="Arial"/>
          <w:sz w:val="19"/>
          <w:szCs w:val="19"/>
          <w:u w:val="single" w:color="auto"/>
          <w:color w:val="auto"/>
        </w:rPr>
        <w:t>Section 7.1(a)</w:t>
      </w:r>
      <w:r>
        <w:rPr>
          <w:rFonts w:ascii="Arial" w:cs="Arial" w:eastAsia="Arial" w:hAnsi="Arial"/>
          <w:sz w:val="19"/>
          <w:szCs w:val="19"/>
          <w:color w:val="auto"/>
        </w:rPr>
        <w:t>, members of the Board of Directors and the General Partner may exercise any of the powers granted to them and perform any of the duties imposed upon them hereunder either directly or by or through its agents, and the members of the Board of Directors and the General Partner shall not be responsible for any misconduct or negligence on the part of any such agent appointed by the Board of Directors or the General Partner in good faith.</w:t>
      </w:r>
    </w:p>
    <w:p>
      <w:pPr>
        <w:spacing w:after="0" w:line="174" w:lineRule="exact"/>
        <w:rPr>
          <w:rFonts w:ascii="Arial" w:cs="Arial" w:eastAsia="Arial" w:hAnsi="Arial"/>
          <w:sz w:val="19"/>
          <w:szCs w:val="19"/>
          <w:color w:val="auto"/>
        </w:rPr>
      </w:pPr>
    </w:p>
    <w:p>
      <w:pPr>
        <w:ind w:right="200" w:firstLine="1305"/>
        <w:spacing w:after="0" w:line="238" w:lineRule="auto"/>
        <w:tabs>
          <w:tab w:leader="none" w:pos="1803" w:val="left"/>
        </w:tabs>
        <w:numPr>
          <w:ilvl w:val="0"/>
          <w:numId w:val="56"/>
        </w:numPr>
        <w:rPr>
          <w:rFonts w:ascii="Arial" w:cs="Arial" w:eastAsia="Arial" w:hAnsi="Arial"/>
          <w:sz w:val="22"/>
          <w:szCs w:val="22"/>
          <w:color w:val="auto"/>
        </w:rPr>
      </w:pPr>
      <w:r>
        <w:rPr>
          <w:rFonts w:ascii="Arial" w:cs="Arial" w:eastAsia="Arial" w:hAnsi="Arial"/>
          <w:sz w:val="22"/>
          <w:szCs w:val="22"/>
          <w:color w:val="auto"/>
        </w:rPr>
        <w:t>To the extent that, at law or in equity, an Indemnitee has duties (including fiduciary duties) and liabilities relating thereto to the Partnership or to the Partners, the General Partner and any other Indemnitee acting in connection with the Partnership’s business or affairs shall not be liable to the Partnership or to any Partner for its good faith reliance on the provisions of this Agreement.</w:t>
      </w:r>
    </w:p>
    <w:p>
      <w:pPr>
        <w:spacing w:after="0" w:line="212" w:lineRule="exact"/>
        <w:rPr>
          <w:rFonts w:ascii="Arial" w:cs="Arial" w:eastAsia="Arial" w:hAnsi="Arial"/>
          <w:sz w:val="22"/>
          <w:szCs w:val="22"/>
          <w:color w:val="auto"/>
        </w:rPr>
      </w:pPr>
    </w:p>
    <w:p>
      <w:pPr>
        <w:ind w:right="100" w:firstLine="1305"/>
        <w:spacing w:after="0" w:line="287" w:lineRule="auto"/>
        <w:tabs>
          <w:tab w:leader="none" w:pos="1807" w:val="left"/>
        </w:tabs>
        <w:numPr>
          <w:ilvl w:val="0"/>
          <w:numId w:val="56"/>
        </w:numPr>
        <w:rPr>
          <w:rFonts w:ascii="Arial" w:cs="Arial" w:eastAsia="Arial" w:hAnsi="Arial"/>
          <w:sz w:val="19"/>
          <w:szCs w:val="19"/>
          <w:color w:val="auto"/>
        </w:rPr>
      </w:pPr>
      <w:r>
        <w:rPr>
          <w:rFonts w:ascii="Arial" w:cs="Arial" w:eastAsia="Arial" w:hAnsi="Arial"/>
          <w:sz w:val="19"/>
          <w:szCs w:val="19"/>
          <w:color w:val="auto"/>
        </w:rPr>
        <w:t xml:space="preserve">Any amendment, modification or repeal of this </w:t>
      </w:r>
      <w:r>
        <w:rPr>
          <w:rFonts w:ascii="Arial" w:cs="Arial" w:eastAsia="Arial" w:hAnsi="Arial"/>
          <w:sz w:val="19"/>
          <w:szCs w:val="19"/>
          <w:u w:val="single" w:color="auto"/>
          <w:color w:val="auto"/>
        </w:rPr>
        <w:t>Section 7.16</w:t>
      </w:r>
      <w:r>
        <w:rPr>
          <w:rFonts w:ascii="Arial" w:cs="Arial" w:eastAsia="Arial" w:hAnsi="Arial"/>
          <w:sz w:val="19"/>
          <w:szCs w:val="19"/>
          <w:color w:val="auto"/>
        </w:rPr>
        <w:t xml:space="preserve"> or any provision hereof shall be prospective only and shall not in any way affect the limitations on the liability of the Indemnitees under this </w:t>
      </w:r>
      <w:r>
        <w:rPr>
          <w:rFonts w:ascii="Arial" w:cs="Arial" w:eastAsia="Arial" w:hAnsi="Arial"/>
          <w:sz w:val="19"/>
          <w:szCs w:val="19"/>
          <w:u w:val="single" w:color="auto"/>
          <w:color w:val="auto"/>
        </w:rPr>
        <w:t>Section 7.16</w:t>
      </w:r>
      <w:r>
        <w:rPr>
          <w:rFonts w:ascii="Arial" w:cs="Arial" w:eastAsia="Arial" w:hAnsi="Arial"/>
          <w:sz w:val="19"/>
          <w:szCs w:val="19"/>
          <w:color w:val="auto"/>
        </w:rPr>
        <w:t xml:space="preserve"> as in effect immediately prior to such amendment, modification or repeal with respect to claims arising from or relating to matters occurring, in whole or in part, prior to such amendment, modification or repeal, regardless of when such claims may arise or be asserted.</w:t>
      </w:r>
    </w:p>
    <w:p>
      <w:pPr>
        <w:spacing w:after="0" w:line="170" w:lineRule="exact"/>
        <w:rPr>
          <w:sz w:val="20"/>
          <w:szCs w:val="20"/>
          <w:color w:val="auto"/>
        </w:rPr>
      </w:pPr>
    </w:p>
    <w:p>
      <w:pPr>
        <w:ind w:firstLine="1297"/>
        <w:spacing w:after="0" w:line="270" w:lineRule="auto"/>
        <w:rPr>
          <w:sz w:val="20"/>
          <w:szCs w:val="20"/>
          <w:color w:val="auto"/>
        </w:rPr>
      </w:pPr>
      <w:r>
        <w:rPr>
          <w:rFonts w:ascii="Arial" w:cs="Arial" w:eastAsia="Arial" w:hAnsi="Arial"/>
          <w:sz w:val="19"/>
          <w:szCs w:val="19"/>
          <w:color w:val="auto"/>
        </w:rPr>
        <w:t xml:space="preserve">Section 7.17. </w:t>
      </w:r>
      <w:r>
        <w:rPr>
          <w:rFonts w:ascii="Arial" w:cs="Arial" w:eastAsia="Arial" w:hAnsi="Arial"/>
          <w:sz w:val="19"/>
          <w:szCs w:val="19"/>
          <w:i w:val="1"/>
          <w:iCs w:val="1"/>
          <w:color w:val="auto"/>
        </w:rPr>
        <w:t>Resolution of Conflicts of Interest; Standards of Conduct and Modification of Duties</w:t>
      </w:r>
      <w:r>
        <w:rPr>
          <w:rFonts w:ascii="Arial" w:cs="Arial" w:eastAsia="Arial" w:hAnsi="Arial"/>
          <w:sz w:val="19"/>
          <w:szCs w:val="19"/>
          <w:color w:val="auto"/>
        </w:rPr>
        <w:t>. (a) Unless otherwise expressly provided in this Agreement or any Group Member Agreement, whenever a potential conflict of interest exists or arises between the General Partner or any of its Affiliates, or any member of the Board of Directors, on the one hand, and the Partnership, any Group Member or any Partner, on the other, any resolution or course of action in respect of such conflict of interest shall be permitted and deemed approved by all Partners, and shall not constitute a breach of this Agreement, of any Group Member Agreement, of any agreement contemplated herein or therein, or of any duty stated or implied by law or equity, if the resolution or course of action in respect of such conflict of interest is (i) approved by Special Approval, (ii) approved by the vote of a majority of the Outstanding Common Units (excluding Common Units owned by the General Partner and its Affiliates), (iii) on terms no less favorable to the Partnership than those generally being provided to or available from unrelated third parties or (iv) fair and reasonable to the Partnership, taking into account the totality of the relationships between the parties involved (including other transactions that may be particularly favorable or advantageous to the Partnership). The General Partner and the Board of Directors may but shall not be required in connection with the resolution of such conflict of interest to seek Special Approval of such resolution, and the General Partner or the Board of Directors, as the case may be, may also adopt a resolution or course of action that has not received Special Approval. If Special Approval is sought, then, notwithstanding any other provision of this Agreement or law that would otherwise apply, (x) the Conflicts Committee will be authorized in connection with its determination of whether to provide Special Approval to consider any and all factors as it determines to be relevant or appropriate under the circumstances and (y) it will be presumed that, in making its decision, the Conflicts Committee acted in good faith, and if Special Approval is not sought and the Board of Directors determines that the resolution or course of action taken with respect to a conflict of interest satisfies either of</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402" w:right="259" w:bottom="1440" w:gutter="0" w:footer="0" w:header="0"/>
        </w:sectPr>
      </w:pPr>
    </w:p>
    <w:bookmarkStart w:id="61" w:name="page62"/>
    <w:bookmarkEnd w:id="61"/>
    <w:p>
      <w:pPr>
        <w:ind w:right="140"/>
        <w:spacing w:after="0" w:line="247" w:lineRule="auto"/>
        <w:rPr>
          <w:sz w:val="20"/>
          <w:szCs w:val="20"/>
          <w:color w:val="auto"/>
        </w:rPr>
      </w:pPr>
      <w:r>
        <w:rPr>
          <w:rFonts w:ascii="Arial" w:cs="Arial" w:eastAsia="Arial" w:hAnsi="Arial"/>
          <w:sz w:val="21"/>
          <w:szCs w:val="21"/>
          <w:color w:val="auto"/>
        </w:rPr>
        <w:t xml:space="preserve">the standards set forth in </w:t>
      </w:r>
      <w:r>
        <w:rPr>
          <w:rFonts w:ascii="Arial" w:cs="Arial" w:eastAsia="Arial" w:hAnsi="Arial"/>
          <w:sz w:val="21"/>
          <w:szCs w:val="21"/>
          <w:u w:val="single" w:color="auto"/>
          <w:color w:val="auto"/>
        </w:rPr>
        <w:t>clauses (iii)</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(iv)</w:t>
      </w:r>
      <w:r>
        <w:rPr>
          <w:rFonts w:ascii="Arial" w:cs="Arial" w:eastAsia="Arial" w:hAnsi="Arial"/>
          <w:sz w:val="21"/>
          <w:szCs w:val="21"/>
          <w:color w:val="auto"/>
        </w:rPr>
        <w:t xml:space="preserve"> above, then it shall be presumed that, in making its decision the Board of Directors, acted in good faith, and, in either case, in any proceeding brought by any Limited Partner or by or on behalf of such Limited Partner or any other Limited Partner or the Partnership challenging such approval, the Person bringing or prosecuting such proceeding shall have the burden of overcoming such presumption. Notwithstanding anything to the contrary in this Agreement or any duty otherwise existing at law or equity, the existence of the conflicts of interest described in the Registration Statement are hereby approved by all Partners and shall not constitute a breach of this Agreement or of any duty hereunder or existing at law, in equity or otherwise.</w:t>
      </w:r>
    </w:p>
    <w:p>
      <w:pPr>
        <w:spacing w:after="0" w:line="205" w:lineRule="exact"/>
        <w:rPr>
          <w:sz w:val="20"/>
          <w:szCs w:val="20"/>
          <w:color w:val="auto"/>
        </w:rPr>
      </w:pPr>
    </w:p>
    <w:p>
      <w:pPr>
        <w:ind w:firstLine="1305"/>
        <w:spacing w:after="0" w:line="245" w:lineRule="auto"/>
        <w:tabs>
          <w:tab w:leader="none" w:pos="1815" w:val="left"/>
        </w:tabs>
        <w:numPr>
          <w:ilvl w:val="0"/>
          <w:numId w:val="57"/>
        </w:numPr>
        <w:rPr>
          <w:rFonts w:ascii="Arial" w:cs="Arial" w:eastAsia="Arial" w:hAnsi="Arial"/>
          <w:sz w:val="21"/>
          <w:szCs w:val="21"/>
          <w:color w:val="auto"/>
        </w:rPr>
      </w:pPr>
      <w:r>
        <w:rPr>
          <w:rFonts w:ascii="Arial" w:cs="Arial" w:eastAsia="Arial" w:hAnsi="Arial"/>
          <w:sz w:val="21"/>
          <w:szCs w:val="21"/>
          <w:color w:val="auto"/>
        </w:rPr>
        <w:t>Whenever the General Partner makes a determination or takes or declines to take any other action, or any of its Affiliates causes it to do so, in its capacity as the general partner of the Partnership as opposed to in its individual capacity, whether under this Agreement, any Group Member Agreement or any other agreement contemplated hereby or otherwise, then, unless another express standard is provided for in this Agreement, the General Partner, or such Affiliates causing it to do so, shall make such determination or take or decline to take such other action in good faith and shall not be subject to any other or different standards imposed by this Agreement, any Group Member Agreement, any other agreement contemplated hereby or under the Marshall Islands Act or any other law, rule or regulation or at equity. In order for a determination or other action to be in “good faith” for purposes of this Agreement, the Person or Persons making such determination or taking or declining to take such other action must reasonably believe that the determination or other action is in the best interests of the Partnership, unless the context otherwise requires.</w:t>
      </w:r>
    </w:p>
    <w:p>
      <w:pPr>
        <w:spacing w:after="0" w:line="208" w:lineRule="exact"/>
        <w:rPr>
          <w:rFonts w:ascii="Arial" w:cs="Arial" w:eastAsia="Arial" w:hAnsi="Arial"/>
          <w:sz w:val="21"/>
          <w:szCs w:val="21"/>
          <w:color w:val="auto"/>
        </w:rPr>
      </w:pPr>
    </w:p>
    <w:p>
      <w:pPr>
        <w:ind w:right="20" w:firstLine="1305"/>
        <w:spacing w:after="0" w:line="271" w:lineRule="auto"/>
        <w:tabs>
          <w:tab w:leader="none" w:pos="1803" w:val="left"/>
        </w:tabs>
        <w:numPr>
          <w:ilvl w:val="0"/>
          <w:numId w:val="57"/>
        </w:numPr>
        <w:rPr>
          <w:rFonts w:ascii="Arial" w:cs="Arial" w:eastAsia="Arial" w:hAnsi="Arial"/>
          <w:sz w:val="19"/>
          <w:szCs w:val="19"/>
          <w:color w:val="auto"/>
        </w:rPr>
      </w:pPr>
      <w:r>
        <w:rPr>
          <w:rFonts w:ascii="Arial" w:cs="Arial" w:eastAsia="Arial" w:hAnsi="Arial"/>
          <w:sz w:val="19"/>
          <w:szCs w:val="19"/>
          <w:color w:val="auto"/>
        </w:rPr>
        <w:t>Whenever the General Partner makes a determination or takes or declines to take any other action, or any of its Affiliates causes it to do so, in its individual capacity as opposed to in its capacity as the general partner of the Partnership, whether under this Agreement, any Group Member Agreement or any other agreement contemplated hereby or otherwise, then the General Partner, or such Affiliates causing it to do so, are entitled to make such determination or to take or decline to take such other action free of any duty (including any fiduciary duty) or obligation whatsoever to the Partnership or any Limited Partner, any Record Holder or any other Person bound by this Agreement, and, to the fullest extent permitted by law, the General Partner, or such Affiliates causing it to do so, shall not be required to act in good faith or pursuant to any other standard imposed by this Agreement, any Group Member Agreement, any other agreement contemplated hereby or under the Marshall Islands Act or any other law, rule or regulation or at equity. By way of illustration and not of limitation, whenever the phrase, “at the option of the General Partner,” or some variation of that phrase, is used in this Agreement, it indicates that the General Partner is acting in its individual capacity. For the avoidance of doubt, whenever the General Partner votes or transfers its Units, General Partner Interest or Incentive Distribution Rights, if any, to the extent permitted under this Agreement, or refrains from voting or transferring its Units, General Partner Units or Incentive Distribution Rights, as appropriate, it shall be acting in its individual capacity. The General Partner’s organizational documents may provide that determinations to take or decline to take any action in its individual, rather than representative, capacity may or shall be determined by its members, if the General Partner is a limited liability company, stockholders, if the General Partner is a</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62" w:name="page63"/>
    <w:bookmarkEnd w:id="62"/>
    <w:p>
      <w:pPr>
        <w:spacing w:after="0"/>
        <w:rPr>
          <w:sz w:val="20"/>
          <w:szCs w:val="20"/>
          <w:color w:val="auto"/>
        </w:rPr>
      </w:pPr>
      <w:r>
        <w:rPr>
          <w:rFonts w:ascii="Arial" w:cs="Arial" w:eastAsia="Arial" w:hAnsi="Arial"/>
          <w:sz w:val="19"/>
          <w:szCs w:val="19"/>
          <w:color w:val="auto"/>
        </w:rPr>
        <w:t>corporation, or the members or stockholders of the General Partner’s general partner, if the General Partner is a limited partnership.</w:t>
      </w:r>
    </w:p>
    <w:p>
      <w:pPr>
        <w:spacing w:after="0" w:line="268" w:lineRule="exact"/>
        <w:rPr>
          <w:sz w:val="20"/>
          <w:szCs w:val="20"/>
          <w:color w:val="auto"/>
        </w:rPr>
      </w:pPr>
    </w:p>
    <w:p>
      <w:pPr>
        <w:ind w:right="60" w:firstLine="1305"/>
        <w:spacing w:after="0" w:line="275" w:lineRule="auto"/>
        <w:tabs>
          <w:tab w:leader="none" w:pos="1815" w:val="left"/>
        </w:tabs>
        <w:numPr>
          <w:ilvl w:val="0"/>
          <w:numId w:val="58"/>
        </w:numPr>
        <w:rPr>
          <w:rFonts w:ascii="Arial" w:cs="Arial" w:eastAsia="Arial" w:hAnsi="Arial"/>
          <w:sz w:val="19"/>
          <w:szCs w:val="19"/>
          <w:color w:val="auto"/>
        </w:rPr>
      </w:pPr>
      <w:r>
        <w:rPr>
          <w:rFonts w:ascii="Arial" w:cs="Arial" w:eastAsia="Arial" w:hAnsi="Arial"/>
          <w:sz w:val="19"/>
          <w:szCs w:val="19"/>
          <w:color w:val="auto"/>
        </w:rPr>
        <w:t>Whenever the Board of Directors makes a determination or takes or declines to take any other action, whether under this Agreement, any Group Member Agreement or any other agreement contemplated hereby or otherwise, then, unless another express standard is provided for in this Agreement, the Board of Directors, shall make such determination or take or decline to take such other action in good faith and shall not be subject to any other or different standards imposed by this Agreement, any Group Member Agreement, any other agreement contemplated hereby or under the Marshall Islands Act or any other law, rule or regulation or at equity. In order for a determination or other action to be in “good faith” for purposes of this Agreement, the Person or Persons making such determination or taking or declining to take such other action must reasonably believe that the determination or other action is in the best interests of the Partnership, unless the context otherwise requires.</w:t>
      </w:r>
    </w:p>
    <w:p>
      <w:pPr>
        <w:spacing w:after="0" w:line="185" w:lineRule="exact"/>
        <w:rPr>
          <w:rFonts w:ascii="Arial" w:cs="Arial" w:eastAsia="Arial" w:hAnsi="Arial"/>
          <w:sz w:val="19"/>
          <w:szCs w:val="19"/>
          <w:color w:val="auto"/>
        </w:rPr>
      </w:pPr>
    </w:p>
    <w:p>
      <w:pPr>
        <w:ind w:right="120" w:firstLine="1305"/>
        <w:spacing w:after="0" w:line="282" w:lineRule="auto"/>
        <w:tabs>
          <w:tab w:leader="none" w:pos="1807" w:val="left"/>
        </w:tabs>
        <w:numPr>
          <w:ilvl w:val="0"/>
          <w:numId w:val="58"/>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in this Agreement, the General Partner and its Affiliates shall have no duty or obligation, express or implied, to (i) approve the sale or other disposition of any asset of the Partnership Group (if such approval is required pursuant to </w:t>
      </w:r>
      <w:r>
        <w:rPr>
          <w:rFonts w:ascii="Arial" w:cs="Arial" w:eastAsia="Arial" w:hAnsi="Arial"/>
          <w:sz w:val="19"/>
          <w:szCs w:val="19"/>
          <w:u w:val="single" w:color="auto"/>
          <w:color w:val="auto"/>
        </w:rPr>
        <w:t>Section 7.11(b)</w:t>
      </w:r>
      <w:r>
        <w:rPr>
          <w:rFonts w:ascii="Arial" w:cs="Arial" w:eastAsia="Arial" w:hAnsi="Arial"/>
          <w:sz w:val="19"/>
          <w:szCs w:val="19"/>
          <w:color w:val="auto"/>
        </w:rPr>
        <w:t>) or (ii) permit any Group Member to use any facilities or assets of the General Partner and its Affiliates, except as may be provided in contracts entered into from time to time specifically dealing with such use. Any determination by the General Partner or any of its Affiliates to enter into such contracts shall, in each case, be at their option.</w:t>
      </w:r>
    </w:p>
    <w:p>
      <w:pPr>
        <w:spacing w:after="0" w:line="174" w:lineRule="exact"/>
        <w:rPr>
          <w:rFonts w:ascii="Arial" w:cs="Arial" w:eastAsia="Arial" w:hAnsi="Arial"/>
          <w:sz w:val="19"/>
          <w:szCs w:val="19"/>
          <w:color w:val="auto"/>
        </w:rPr>
      </w:pPr>
    </w:p>
    <w:p>
      <w:pPr>
        <w:ind w:right="40" w:firstLine="1305"/>
        <w:spacing w:after="0" w:line="275" w:lineRule="auto"/>
        <w:tabs>
          <w:tab w:leader="none" w:pos="1783" w:val="left"/>
        </w:tabs>
        <w:numPr>
          <w:ilvl w:val="0"/>
          <w:numId w:val="58"/>
        </w:numPr>
        <w:rPr>
          <w:rFonts w:ascii="Arial" w:cs="Arial" w:eastAsia="Arial" w:hAnsi="Arial"/>
          <w:sz w:val="19"/>
          <w:szCs w:val="19"/>
          <w:color w:val="auto"/>
        </w:rPr>
      </w:pPr>
      <w:r>
        <w:rPr>
          <w:rFonts w:ascii="Arial" w:cs="Arial" w:eastAsia="Arial" w:hAnsi="Arial"/>
          <w:sz w:val="19"/>
          <w:szCs w:val="19"/>
          <w:color w:val="auto"/>
        </w:rPr>
        <w:t xml:space="preserve">Except as expressly set forth in this Agreement, neither the General Partner nor the Board of Directors or any other Indemnitee shall have any duties or liabilities, including fiduciary duties, to the Partnership or any Limited Partner and the provisions of this Agreement, to the extent that they restrict, eliminate or otherwise modify the duties and liabilities, including fiduciary duties, of the Board of Directors or the General Partner or any other Indemnitee otherwise existing at law or in equity, are agreed by the Partners to replace such other duties and liabilities of the Board of Directors or the General Partner or such other Indemnitee. Notwithstanding anything to the contrary, but subject to </w:t>
      </w:r>
      <w:r>
        <w:rPr>
          <w:rFonts w:ascii="Arial" w:cs="Arial" w:eastAsia="Arial" w:hAnsi="Arial"/>
          <w:sz w:val="19"/>
          <w:szCs w:val="19"/>
          <w:u w:val="single" w:color="auto"/>
          <w:color w:val="auto"/>
        </w:rPr>
        <w:t>Section 7.17(c)</w:t>
      </w:r>
      <w:r>
        <w:rPr>
          <w:rFonts w:ascii="Arial" w:cs="Arial" w:eastAsia="Arial" w:hAnsi="Arial"/>
          <w:sz w:val="19"/>
          <w:szCs w:val="19"/>
          <w:color w:val="auto"/>
        </w:rPr>
        <w:t xml:space="preserve"> and without reference to the definition of “good faith” in </w:t>
      </w:r>
      <w:r>
        <w:rPr>
          <w:rFonts w:ascii="Arial" w:cs="Arial" w:eastAsia="Arial" w:hAnsi="Arial"/>
          <w:sz w:val="19"/>
          <w:szCs w:val="19"/>
          <w:u w:val="single" w:color="auto"/>
          <w:color w:val="auto"/>
        </w:rPr>
        <w:t>Section 7.17(b)</w:t>
      </w:r>
      <w:r>
        <w:rPr>
          <w:rFonts w:ascii="Arial" w:cs="Arial" w:eastAsia="Arial" w:hAnsi="Arial"/>
          <w:sz w:val="19"/>
          <w:szCs w:val="19"/>
          <w:color w:val="auto"/>
        </w:rPr>
        <w:t>, neither the General Partner nor the Board of Directors nor any other Indemnitee shall owe any fiduciary duties to Preference Unit Holders other than the implied duty of good faith and fair dealing.</w:t>
      </w:r>
    </w:p>
    <w:p>
      <w:pPr>
        <w:spacing w:after="0" w:line="185" w:lineRule="exact"/>
        <w:rPr>
          <w:rFonts w:ascii="Arial" w:cs="Arial" w:eastAsia="Arial" w:hAnsi="Arial"/>
          <w:sz w:val="19"/>
          <w:szCs w:val="19"/>
          <w:color w:val="auto"/>
        </w:rPr>
      </w:pPr>
    </w:p>
    <w:p>
      <w:pPr>
        <w:ind w:right="100" w:firstLine="1305"/>
        <w:spacing w:after="0" w:line="258" w:lineRule="auto"/>
        <w:tabs>
          <w:tab w:leader="none" w:pos="1815" w:val="left"/>
        </w:tabs>
        <w:numPr>
          <w:ilvl w:val="0"/>
          <w:numId w:val="58"/>
        </w:numPr>
        <w:rPr>
          <w:rFonts w:ascii="Arial" w:cs="Arial" w:eastAsia="Arial" w:hAnsi="Arial"/>
          <w:sz w:val="21"/>
          <w:szCs w:val="21"/>
          <w:color w:val="auto"/>
        </w:rPr>
      </w:pPr>
      <w:r>
        <w:rPr>
          <w:rFonts w:ascii="Arial" w:cs="Arial" w:eastAsia="Arial" w:hAnsi="Arial"/>
          <w:sz w:val="21"/>
          <w:szCs w:val="21"/>
          <w:color w:val="auto"/>
        </w:rPr>
        <w:t xml:space="preserve">The Unitholders hereby authorize the Board of Directors, on behalf of the Partnership as a partner or member of a Group Member, to approve of actions by the general partner or managing member of such Group Member similar to those actions permitted to be taken by the Board of Directors pursuant to this </w:t>
      </w:r>
      <w:r>
        <w:rPr>
          <w:rFonts w:ascii="Arial" w:cs="Arial" w:eastAsia="Arial" w:hAnsi="Arial"/>
          <w:sz w:val="21"/>
          <w:szCs w:val="21"/>
          <w:u w:val="single" w:color="auto"/>
          <w:color w:val="auto"/>
        </w:rPr>
        <w:t>Section 7.17</w:t>
      </w:r>
      <w:r>
        <w:rPr>
          <w:rFonts w:ascii="Arial" w:cs="Arial" w:eastAsia="Arial" w:hAnsi="Arial"/>
          <w:sz w:val="21"/>
          <w:szCs w:val="21"/>
          <w:color w:val="auto"/>
        </w:rPr>
        <w:t>.</w:t>
      </w:r>
    </w:p>
    <w:p>
      <w:pPr>
        <w:spacing w:after="0" w:line="194" w:lineRule="exact"/>
        <w:rPr>
          <w:sz w:val="20"/>
          <w:szCs w:val="20"/>
          <w:color w:val="auto"/>
        </w:rPr>
      </w:pPr>
    </w:p>
    <w:p>
      <w:pPr>
        <w:ind w:right="20" w:firstLine="1297"/>
        <w:spacing w:after="0" w:line="252" w:lineRule="auto"/>
        <w:rPr>
          <w:sz w:val="20"/>
          <w:szCs w:val="20"/>
          <w:color w:val="auto"/>
        </w:rPr>
      </w:pPr>
      <w:r>
        <w:rPr>
          <w:rFonts w:ascii="Arial" w:cs="Arial" w:eastAsia="Arial" w:hAnsi="Arial"/>
          <w:sz w:val="21"/>
          <w:szCs w:val="21"/>
          <w:color w:val="auto"/>
        </w:rPr>
        <w:t xml:space="preserve">Section 7.18. </w:t>
      </w:r>
      <w:r>
        <w:rPr>
          <w:rFonts w:ascii="Arial" w:cs="Arial" w:eastAsia="Arial" w:hAnsi="Arial"/>
          <w:sz w:val="21"/>
          <w:szCs w:val="21"/>
          <w:i w:val="1"/>
          <w:iCs w:val="1"/>
          <w:color w:val="auto"/>
        </w:rPr>
        <w:t>Other Matters Concerning the General Partner and the Board of Directors</w:t>
      </w:r>
      <w:r>
        <w:rPr>
          <w:rFonts w:ascii="Arial" w:cs="Arial" w:eastAsia="Arial" w:hAnsi="Arial"/>
          <w:sz w:val="21"/>
          <w:szCs w:val="21"/>
          <w:color w:val="auto"/>
        </w:rPr>
        <w:t>. (a) The General Partner and the Board of Directors may rely and shall be protected in acting or refraining from acting upon any resolution, certificate, statement, instrument, opinion, report, notice, request, consent, order, bond, debenture or other paper or document believed by it to be genuine and to have been signed or presented by the proper party or parties.</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80"/>
          </w:cols>
          <w:pgMar w:left="240" w:top="402" w:right="279" w:bottom="1440" w:gutter="0" w:footer="0" w:header="0"/>
        </w:sectPr>
      </w:pPr>
    </w:p>
    <w:bookmarkStart w:id="63" w:name="page64"/>
    <w:bookmarkEnd w:id="63"/>
    <w:p>
      <w:pPr>
        <w:ind w:firstLine="1305"/>
        <w:spacing w:after="0" w:line="282" w:lineRule="auto"/>
        <w:tabs>
          <w:tab w:leader="none" w:pos="1815" w:val="left"/>
        </w:tabs>
        <w:numPr>
          <w:ilvl w:val="0"/>
          <w:numId w:val="59"/>
        </w:numPr>
        <w:rPr>
          <w:rFonts w:ascii="Arial" w:cs="Arial" w:eastAsia="Arial" w:hAnsi="Arial"/>
          <w:sz w:val="19"/>
          <w:szCs w:val="19"/>
          <w:color w:val="auto"/>
        </w:rPr>
      </w:pPr>
      <w:r>
        <w:rPr>
          <w:rFonts w:ascii="Arial" w:cs="Arial" w:eastAsia="Arial" w:hAnsi="Arial"/>
          <w:sz w:val="19"/>
          <w:szCs w:val="19"/>
          <w:color w:val="auto"/>
        </w:rPr>
        <w:t>The General Partner and the Board of Directors may consult with legal counsel, accountants, appraisers, management consultants, investment bankers and other consultants and advisers selected by either of them, and any act taken or omitted to be taken in reliance upon the advice or opinion (including an Opinion of Counsel) of such Persons as to matters that the General Partner or the Board of Directors reasonably believes to be within such Person’s professional or expert competence shall be conclusively presumed to have been done or omitted in good faith and in accordance with such advice or opinion.</w:t>
      </w:r>
    </w:p>
    <w:p>
      <w:pPr>
        <w:spacing w:after="0" w:line="174" w:lineRule="exact"/>
        <w:rPr>
          <w:rFonts w:ascii="Arial" w:cs="Arial" w:eastAsia="Arial" w:hAnsi="Arial"/>
          <w:sz w:val="19"/>
          <w:szCs w:val="19"/>
          <w:color w:val="auto"/>
        </w:rPr>
      </w:pPr>
    </w:p>
    <w:p>
      <w:pPr>
        <w:ind w:right="520" w:firstLine="1305"/>
        <w:spacing w:after="0"/>
        <w:tabs>
          <w:tab w:leader="none" w:pos="1803" w:val="left"/>
        </w:tabs>
        <w:numPr>
          <w:ilvl w:val="0"/>
          <w:numId w:val="59"/>
        </w:numPr>
        <w:rPr>
          <w:rFonts w:ascii="Arial" w:cs="Arial" w:eastAsia="Arial" w:hAnsi="Arial"/>
          <w:sz w:val="22"/>
          <w:szCs w:val="22"/>
          <w:color w:val="auto"/>
        </w:rPr>
      </w:pPr>
      <w:r>
        <w:rPr>
          <w:rFonts w:ascii="Arial" w:cs="Arial" w:eastAsia="Arial" w:hAnsi="Arial"/>
          <w:sz w:val="22"/>
          <w:szCs w:val="22"/>
          <w:color w:val="auto"/>
        </w:rPr>
        <w:t>The General Partner shall have the right, in respect of any of its powers or obligations hereunder, to act through any of its duly authorized officers, a duly appointed attorney or attorneys-in-fact or the duly authorized officers of the Partnership.</w:t>
      </w:r>
    </w:p>
    <w:p>
      <w:pPr>
        <w:spacing w:after="0" w:line="213" w:lineRule="exact"/>
        <w:rPr>
          <w:sz w:val="20"/>
          <w:szCs w:val="20"/>
          <w:color w:val="auto"/>
        </w:rPr>
      </w:pPr>
    </w:p>
    <w:p>
      <w:pPr>
        <w:ind w:right="140" w:firstLine="1297"/>
        <w:spacing w:after="0" w:line="279" w:lineRule="auto"/>
        <w:rPr>
          <w:sz w:val="20"/>
          <w:szCs w:val="20"/>
          <w:color w:val="auto"/>
        </w:rPr>
      </w:pPr>
      <w:r>
        <w:rPr>
          <w:rFonts w:ascii="Arial" w:cs="Arial" w:eastAsia="Arial" w:hAnsi="Arial"/>
          <w:sz w:val="19"/>
          <w:szCs w:val="19"/>
          <w:color w:val="auto"/>
        </w:rPr>
        <w:t xml:space="preserve">Section 7.19. </w:t>
      </w:r>
      <w:r>
        <w:rPr>
          <w:rFonts w:ascii="Arial" w:cs="Arial" w:eastAsia="Arial" w:hAnsi="Arial"/>
          <w:sz w:val="19"/>
          <w:szCs w:val="19"/>
          <w:i w:val="1"/>
          <w:iCs w:val="1"/>
          <w:color w:val="auto"/>
        </w:rPr>
        <w:t>Purchase or Sale of Partnership Interests</w:t>
      </w:r>
      <w:r>
        <w:rPr>
          <w:rFonts w:ascii="Arial" w:cs="Arial" w:eastAsia="Arial" w:hAnsi="Arial"/>
          <w:sz w:val="19"/>
          <w:szCs w:val="19"/>
          <w:color w:val="auto"/>
        </w:rPr>
        <w:t xml:space="preserve">. The Board of Directors may cause the Partnership to purchase or otherwise acquire Partnership Interests;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the Board of Directors may not cause any Group Member to purchase Subordinated Units during the Subordination Period. As long as Partnership Interests are held by any Group Member, such Partnership Interests shall not be considered Outstanding for any purpose, except as otherwise provided herein. The General Partner or any Affiliate of the General Partner may purchase or otherwise acquire and sell or otherwise dispose of Partnership Interests for its own account, subject to the provisions of </w:t>
      </w:r>
      <w:r>
        <w:rPr>
          <w:rFonts w:ascii="Arial" w:cs="Arial" w:eastAsia="Arial" w:hAnsi="Arial"/>
          <w:sz w:val="19"/>
          <w:szCs w:val="19"/>
          <w:u w:val="single" w:color="auto"/>
          <w:color w:val="auto"/>
        </w:rPr>
        <w:t>Articles IV</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X</w:t>
      </w:r>
      <w:r>
        <w:rPr>
          <w:rFonts w:ascii="Arial" w:cs="Arial" w:eastAsia="Arial" w:hAnsi="Arial"/>
          <w:sz w:val="19"/>
          <w:szCs w:val="19"/>
          <w:color w:val="auto"/>
        </w:rPr>
        <w:t>.</w:t>
      </w:r>
    </w:p>
    <w:p>
      <w:pPr>
        <w:spacing w:after="0" w:line="178" w:lineRule="exact"/>
        <w:rPr>
          <w:sz w:val="20"/>
          <w:szCs w:val="20"/>
          <w:color w:val="auto"/>
        </w:rPr>
      </w:pPr>
    </w:p>
    <w:p>
      <w:pPr>
        <w:ind w:firstLine="1297"/>
        <w:spacing w:after="0" w:line="270" w:lineRule="auto"/>
        <w:rPr>
          <w:sz w:val="20"/>
          <w:szCs w:val="20"/>
          <w:color w:val="auto"/>
        </w:rPr>
      </w:pPr>
      <w:r>
        <w:rPr>
          <w:rFonts w:ascii="Arial" w:cs="Arial" w:eastAsia="Arial" w:hAnsi="Arial"/>
          <w:sz w:val="19"/>
          <w:szCs w:val="19"/>
          <w:color w:val="auto"/>
        </w:rPr>
        <w:t xml:space="preserve">Section 7.20. </w:t>
      </w:r>
      <w:r>
        <w:rPr>
          <w:rFonts w:ascii="Arial" w:cs="Arial" w:eastAsia="Arial" w:hAnsi="Arial"/>
          <w:sz w:val="19"/>
          <w:szCs w:val="19"/>
          <w:i w:val="1"/>
          <w:iCs w:val="1"/>
          <w:color w:val="auto"/>
        </w:rPr>
        <w:t>Registration Rights of the General Partner and its Affiliates</w:t>
      </w:r>
      <w:r>
        <w:rPr>
          <w:rFonts w:ascii="Arial" w:cs="Arial" w:eastAsia="Arial" w:hAnsi="Arial"/>
          <w:sz w:val="19"/>
          <w:szCs w:val="19"/>
          <w:color w:val="auto"/>
        </w:rPr>
        <w:t xml:space="preserve">. (a) If (i) the General Partner or any Affiliate of the General Partner (including for purposes of this </w:t>
      </w:r>
      <w:r>
        <w:rPr>
          <w:rFonts w:ascii="Arial" w:cs="Arial" w:eastAsia="Arial" w:hAnsi="Arial"/>
          <w:sz w:val="19"/>
          <w:szCs w:val="19"/>
          <w:u w:val="single" w:color="auto"/>
          <w:color w:val="auto"/>
        </w:rPr>
        <w:t>Section 7.20</w:t>
      </w:r>
      <w:r>
        <w:rPr>
          <w:rFonts w:ascii="Arial" w:cs="Arial" w:eastAsia="Arial" w:hAnsi="Arial"/>
          <w:sz w:val="19"/>
          <w:szCs w:val="19"/>
          <w:color w:val="auto"/>
        </w:rPr>
        <w:t>, any Person that is an Affiliate of the General Partner at the date hereof notwithstanding that it may later cease to be an Affiliate of the General Partner) holds Partnership Interests that it desires to sell and (ii) Rule 144 of the Securities Act (or any successor rule or regulation to Rule 144) or another exemption from registration is not available to enable such holder of Partnership Interests (the “</w:t>
      </w:r>
      <w:r>
        <w:rPr>
          <w:rFonts w:ascii="Arial" w:cs="Arial" w:eastAsia="Arial" w:hAnsi="Arial"/>
          <w:sz w:val="19"/>
          <w:szCs w:val="19"/>
          <w:b w:val="1"/>
          <w:bCs w:val="1"/>
          <w:i w:val="1"/>
          <w:iCs w:val="1"/>
          <w:color w:val="auto"/>
        </w:rPr>
        <w:t>Holder</w:t>
      </w:r>
      <w:r>
        <w:rPr>
          <w:rFonts w:ascii="Arial" w:cs="Arial" w:eastAsia="Arial" w:hAnsi="Arial"/>
          <w:sz w:val="19"/>
          <w:szCs w:val="19"/>
          <w:color w:val="auto"/>
        </w:rPr>
        <w:t xml:space="preserve">”) to dispose of the number of Partnership Interests it desires to sell at the time it desires to do so without registration under the Securities Act, then at the option and upon the request of the Holder, the Partnership shall file with the Commission as promptly as practicable after receiving such request, and use its commercially reasonable efforts to cause to become effective and remain effective for a period of not less than six months following its effective date or such shorter period as shall terminate when all Partnership Interests covered by such registration statement have been sold, a registration statement under the Securities Act registering the offering and sale of the number of Partnership Interests specified by the Holder;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the Partnership shall not be required to effect more than three registrations in total pursuant to this </w:t>
      </w:r>
      <w:r>
        <w:rPr>
          <w:rFonts w:ascii="Arial" w:cs="Arial" w:eastAsia="Arial" w:hAnsi="Arial"/>
          <w:sz w:val="19"/>
          <w:szCs w:val="19"/>
          <w:u w:val="single" w:color="auto"/>
          <w:color w:val="auto"/>
        </w:rPr>
        <w:t>Section 7.20(a)</w:t>
      </w:r>
      <w:r>
        <w:rPr>
          <w:rFonts w:ascii="Arial" w:cs="Arial" w:eastAsia="Arial" w:hAnsi="Arial"/>
          <w:sz w:val="19"/>
          <w:szCs w:val="19"/>
          <w:color w:val="auto"/>
        </w:rPr>
        <w:t xml:space="preserve">, no more than one of which shall be required to be made at any time that the Partnership is not eligible to use Form F-3 (or a comparable form) for the registration under the Securities Act of its securities; and, </w:t>
      </w:r>
      <w:r>
        <w:rPr>
          <w:rFonts w:ascii="Arial" w:cs="Arial" w:eastAsia="Arial" w:hAnsi="Arial"/>
          <w:sz w:val="19"/>
          <w:szCs w:val="19"/>
          <w:i w:val="1"/>
          <w:iCs w:val="1"/>
          <w:color w:val="auto"/>
        </w:rPr>
        <w:t>provided</w:t>
      </w:r>
      <w:r>
        <w:rPr>
          <w:rFonts w:ascii="Arial" w:cs="Arial" w:eastAsia="Arial" w:hAnsi="Arial"/>
          <w:sz w:val="19"/>
          <w:szCs w:val="19"/>
          <w:color w:val="auto"/>
        </w:rPr>
        <w:t>,</w:t>
      </w:r>
      <w:r>
        <w:rPr>
          <w:rFonts w:ascii="Arial" w:cs="Arial" w:eastAsia="Arial" w:hAnsi="Arial"/>
          <w:sz w:val="19"/>
          <w:szCs w:val="19"/>
          <w:i w:val="1"/>
          <w:iCs w:val="1"/>
          <w:color w:val="auto"/>
        </w:rPr>
        <w:t xml:space="preserve"> further</w:t>
      </w:r>
      <w:r>
        <w:rPr>
          <w:rFonts w:ascii="Arial" w:cs="Arial" w:eastAsia="Arial" w:hAnsi="Arial"/>
          <w:sz w:val="19"/>
          <w:szCs w:val="19"/>
          <w:color w:val="auto"/>
        </w:rPr>
        <w:t>, that if the Conflicts Committee determines in good faith that the requested registration would be materially</w:t>
      </w:r>
      <w:r>
        <w:rPr>
          <w:rFonts w:ascii="Arial" w:cs="Arial" w:eastAsia="Arial" w:hAnsi="Arial"/>
          <w:sz w:val="19"/>
          <w:szCs w:val="19"/>
          <w:i w:val="1"/>
          <w:iCs w:val="1"/>
          <w:color w:val="auto"/>
        </w:rPr>
        <w:t xml:space="preserve"> </w:t>
      </w:r>
      <w:r>
        <w:rPr>
          <w:rFonts w:ascii="Arial" w:cs="Arial" w:eastAsia="Arial" w:hAnsi="Arial"/>
          <w:sz w:val="19"/>
          <w:szCs w:val="19"/>
          <w:color w:val="auto"/>
        </w:rPr>
        <w:t>detrimental to the Partnership and its Partners because such registration would (x) materially interfere with a significant acquisition, merger, disposition, corporate reorganization or other similar transaction involving the Partnership, (y) require premature disclosure of material information that the Partnership has a bona fide business purpose for preserving as confidential or (z) render the Partnership unable to comply with requirements under applicable securities laws, then the Partnership shall have the right to</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64" w:name="page65"/>
    <w:bookmarkEnd w:id="64"/>
    <w:p>
      <w:pPr>
        <w:spacing w:after="0" w:line="270" w:lineRule="auto"/>
        <w:rPr>
          <w:sz w:val="20"/>
          <w:szCs w:val="20"/>
          <w:color w:val="auto"/>
        </w:rPr>
      </w:pPr>
      <w:r>
        <w:rPr>
          <w:rFonts w:ascii="Arial" w:cs="Arial" w:eastAsia="Arial" w:hAnsi="Arial"/>
          <w:sz w:val="19"/>
          <w:szCs w:val="19"/>
          <w:color w:val="auto"/>
        </w:rPr>
        <w:t xml:space="preserve">postpone such requested registration for a period of not more than six months after receipt of the Holder’s request, such right pursuant to this </w:t>
      </w:r>
      <w:r>
        <w:rPr>
          <w:rFonts w:ascii="Arial" w:cs="Arial" w:eastAsia="Arial" w:hAnsi="Arial"/>
          <w:sz w:val="19"/>
          <w:szCs w:val="19"/>
          <w:u w:val="single" w:color="auto"/>
          <w:color w:val="auto"/>
        </w:rPr>
        <w:t>Section 7.20(a)</w:t>
      </w:r>
      <w:r>
        <w:rPr>
          <w:rFonts w:ascii="Arial" w:cs="Arial" w:eastAsia="Arial" w:hAnsi="Arial"/>
          <w:sz w:val="19"/>
          <w:szCs w:val="19"/>
          <w:color w:val="auto"/>
        </w:rPr>
        <w:t xml:space="preserve"> not to be utilized more than once in any 12-month period. The Partnership shall use its commercially reasonable efforts to resolve any deferral with respect to any such registration and/or filing. Except as provided in the first sentence of this </w:t>
      </w:r>
      <w:r>
        <w:rPr>
          <w:rFonts w:ascii="Arial" w:cs="Arial" w:eastAsia="Arial" w:hAnsi="Arial"/>
          <w:sz w:val="19"/>
          <w:szCs w:val="19"/>
          <w:u w:val="single" w:color="auto"/>
          <w:color w:val="auto"/>
        </w:rPr>
        <w:t>Section 7.20(a)</w:t>
      </w:r>
      <w:r>
        <w:rPr>
          <w:rFonts w:ascii="Arial" w:cs="Arial" w:eastAsia="Arial" w:hAnsi="Arial"/>
          <w:sz w:val="19"/>
          <w:szCs w:val="19"/>
          <w:color w:val="auto"/>
        </w:rPr>
        <w:t xml:space="preserve">, the Partnership shall be deemed not to have used all its commercially reasonable efforts to keep the registration statement effective during the applicable period if it voluntarily takes any action that would result in Holders of Partnership Interests covered thereby not being able to offer and sell such Partnership Interests at any time during such period, unless such action is required by applicable law or regulations. In connection with any registration pursuant to this </w:t>
      </w:r>
      <w:r>
        <w:rPr>
          <w:rFonts w:ascii="Arial" w:cs="Arial" w:eastAsia="Arial" w:hAnsi="Arial"/>
          <w:sz w:val="19"/>
          <w:szCs w:val="19"/>
          <w:u w:val="single" w:color="auto"/>
          <w:color w:val="auto"/>
        </w:rPr>
        <w:t>Section 7.20(a)</w:t>
      </w:r>
      <w:r>
        <w:rPr>
          <w:rFonts w:ascii="Arial" w:cs="Arial" w:eastAsia="Arial" w:hAnsi="Arial"/>
          <w:sz w:val="19"/>
          <w:szCs w:val="19"/>
          <w:color w:val="auto"/>
        </w:rPr>
        <w:t>, the Partnership shall (i) promptly prepare and file (A) such documents as may be necessary to register or qualify the securities subject to such registration under the securities laws of such states as the Holder shall reasonably request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no such qualification shall be required in any jurisdiction where, as a result thereof, the Partnership would become subject to general service of process or to taxation or qualification to do business as a foreign corporation or partnership doing business in such jurisdiction solely as a result of such registration), and (B) such documents as may be necessary to apply for listing or to list the Partnership Interests subject to such registration on such National Securities Exchange as the Holder shall reasonably request, and (ii) do any and all other acts and things that may be necessary or appropriate to enable the Holder to consummate a public sale of such Partnership Interests in such states. Except as set forth in </w:t>
      </w:r>
      <w:r>
        <w:rPr>
          <w:rFonts w:ascii="Arial" w:cs="Arial" w:eastAsia="Arial" w:hAnsi="Arial"/>
          <w:sz w:val="19"/>
          <w:szCs w:val="19"/>
          <w:u w:val="single" w:color="auto"/>
          <w:color w:val="auto"/>
        </w:rPr>
        <w:t>Section 7.20(c)</w:t>
      </w:r>
      <w:r>
        <w:rPr>
          <w:rFonts w:ascii="Arial" w:cs="Arial" w:eastAsia="Arial" w:hAnsi="Arial"/>
          <w:sz w:val="19"/>
          <w:szCs w:val="19"/>
          <w:color w:val="auto"/>
        </w:rPr>
        <w:t>, all costs and expenses of any such registration and offering (other than the underwriting discounts and commissions) shall be paid by the Partnership, without reimbursement by the Holder.</w:t>
      </w:r>
    </w:p>
    <w:p>
      <w:pPr>
        <w:spacing w:after="0" w:line="200" w:lineRule="exact"/>
        <w:rPr>
          <w:sz w:val="20"/>
          <w:szCs w:val="20"/>
          <w:color w:val="auto"/>
        </w:rPr>
      </w:pPr>
    </w:p>
    <w:p>
      <w:pPr>
        <w:spacing w:after="0" w:line="243" w:lineRule="exact"/>
        <w:rPr>
          <w:sz w:val="20"/>
          <w:szCs w:val="20"/>
          <w:color w:val="auto"/>
        </w:rPr>
      </w:pPr>
    </w:p>
    <w:p>
      <w:pPr>
        <w:ind w:right="40" w:firstLine="1305"/>
        <w:spacing w:after="0" w:line="271" w:lineRule="auto"/>
        <w:tabs>
          <w:tab w:leader="none" w:pos="1819" w:val="left"/>
        </w:tabs>
        <w:numPr>
          <w:ilvl w:val="0"/>
          <w:numId w:val="60"/>
        </w:numPr>
        <w:rPr>
          <w:rFonts w:ascii="Arial" w:cs="Arial" w:eastAsia="Arial" w:hAnsi="Arial"/>
          <w:sz w:val="19"/>
          <w:szCs w:val="19"/>
          <w:color w:val="auto"/>
        </w:rPr>
      </w:pPr>
      <w:r>
        <w:rPr>
          <w:rFonts w:ascii="Arial" w:cs="Arial" w:eastAsia="Arial" w:hAnsi="Arial"/>
          <w:sz w:val="19"/>
          <w:szCs w:val="19"/>
          <w:color w:val="auto"/>
        </w:rPr>
        <w:t xml:space="preserve">If the Partnership shall at any time propose to file a registration statement under the Securities Act for an offering of equity interests of the Partnership for cash (other than an offering relating solely to an employee benefit plan), the Partnership shall use its commercially reasonable efforts to include such number or amount of Partnership Interests held by any Holder in such registration statement as the Holder shall request;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the Partnership is not required to make any effort or take any action to so include the Partnership Interests of the Holder once the registration statement becomes or is declared effective by the Commission, including any registration statement providing for the offering from time to time of Partnership Interests pursuant to Rule 415 of the Securities Act. If the proposed offering pursuant to this </w:t>
      </w:r>
      <w:r>
        <w:rPr>
          <w:rFonts w:ascii="Arial" w:cs="Arial" w:eastAsia="Arial" w:hAnsi="Arial"/>
          <w:sz w:val="19"/>
          <w:szCs w:val="19"/>
          <w:u w:val="single" w:color="auto"/>
          <w:color w:val="auto"/>
        </w:rPr>
        <w:t>Section 7.20(b)</w:t>
      </w:r>
      <w:r>
        <w:rPr>
          <w:rFonts w:ascii="Arial" w:cs="Arial" w:eastAsia="Arial" w:hAnsi="Arial"/>
          <w:sz w:val="19"/>
          <w:szCs w:val="19"/>
          <w:color w:val="auto"/>
        </w:rPr>
        <w:t xml:space="preserve"> shall be an underwritten offering, then, in the event that the managing underwriter or managing underwriters of such offering advise the Partnership and the Holder in writing that in their opinion the inclusion of all or some of the Holder’s Partnership Interests would adversely and materially affect the success of the offering, the Partnership shall include in such offering only that number or amount, if any, of Partnership Interests held by the Holder that, in the opinion of the managing underwriter or managing underwriters, will not so adversely and materially affect the offering. Except as set forth in </w:t>
      </w:r>
      <w:r>
        <w:rPr>
          <w:rFonts w:ascii="Arial" w:cs="Arial" w:eastAsia="Arial" w:hAnsi="Arial"/>
          <w:sz w:val="19"/>
          <w:szCs w:val="19"/>
          <w:u w:val="single" w:color="auto"/>
          <w:color w:val="auto"/>
        </w:rPr>
        <w:t>Section 7.20(c)</w:t>
      </w:r>
      <w:r>
        <w:rPr>
          <w:rFonts w:ascii="Arial" w:cs="Arial" w:eastAsia="Arial" w:hAnsi="Arial"/>
          <w:sz w:val="19"/>
          <w:szCs w:val="19"/>
          <w:color w:val="auto"/>
        </w:rPr>
        <w:t>, all costs and expenses of any such registration and offering (other than the underwriting discounts and commissions) shall be paid by the Partnership, without reimbursement by the Holder.</w:t>
      </w:r>
    </w:p>
    <w:p>
      <w:pPr>
        <w:spacing w:after="0" w:line="200" w:lineRule="exact"/>
        <w:rPr>
          <w:rFonts w:ascii="Arial" w:cs="Arial" w:eastAsia="Arial" w:hAnsi="Arial"/>
          <w:sz w:val="19"/>
          <w:szCs w:val="19"/>
          <w:color w:val="auto"/>
        </w:rPr>
      </w:pPr>
    </w:p>
    <w:p>
      <w:pPr>
        <w:spacing w:after="0" w:line="239" w:lineRule="exact"/>
        <w:rPr>
          <w:rFonts w:ascii="Arial" w:cs="Arial" w:eastAsia="Arial" w:hAnsi="Arial"/>
          <w:sz w:val="19"/>
          <w:szCs w:val="19"/>
          <w:color w:val="auto"/>
        </w:rPr>
      </w:pPr>
    </w:p>
    <w:p>
      <w:pPr>
        <w:ind w:right="40" w:firstLine="1305"/>
        <w:spacing w:after="0" w:line="297" w:lineRule="auto"/>
        <w:tabs>
          <w:tab w:leader="none" w:pos="1807" w:val="left"/>
        </w:tabs>
        <w:numPr>
          <w:ilvl w:val="0"/>
          <w:numId w:val="60"/>
        </w:numPr>
        <w:rPr>
          <w:rFonts w:ascii="Arial" w:cs="Arial" w:eastAsia="Arial" w:hAnsi="Arial"/>
          <w:sz w:val="19"/>
          <w:szCs w:val="19"/>
          <w:color w:val="auto"/>
        </w:rPr>
      </w:pPr>
      <w:r>
        <w:rPr>
          <w:rFonts w:ascii="Arial" w:cs="Arial" w:eastAsia="Arial" w:hAnsi="Arial"/>
          <w:sz w:val="19"/>
          <w:szCs w:val="19"/>
          <w:color w:val="auto"/>
        </w:rPr>
        <w:t xml:space="preserve">If underwriters are engaged in connection with any registration referred to in this </w:t>
      </w:r>
      <w:r>
        <w:rPr>
          <w:rFonts w:ascii="Arial" w:cs="Arial" w:eastAsia="Arial" w:hAnsi="Arial"/>
          <w:sz w:val="19"/>
          <w:szCs w:val="19"/>
          <w:u w:val="single" w:color="auto"/>
          <w:color w:val="auto"/>
        </w:rPr>
        <w:t>Section 7.20</w:t>
      </w:r>
      <w:r>
        <w:rPr>
          <w:rFonts w:ascii="Arial" w:cs="Arial" w:eastAsia="Arial" w:hAnsi="Arial"/>
          <w:sz w:val="19"/>
          <w:szCs w:val="19"/>
          <w:color w:val="auto"/>
        </w:rPr>
        <w:t>, the Partnership shall provide indemnification, representations, covenants, opinions and other assurance to the underwriters in form and substance reasonably satisfactory to such underwriters. Further, in addition to and not in limitation of the Partnership’s obligation</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402" w:right="259" w:bottom="1440" w:gutter="0" w:footer="0" w:header="0"/>
        </w:sectPr>
      </w:pPr>
    </w:p>
    <w:bookmarkStart w:id="65" w:name="page66"/>
    <w:bookmarkEnd w:id="65"/>
    <w:p>
      <w:pPr>
        <w:spacing w:after="0" w:line="270" w:lineRule="auto"/>
        <w:rPr>
          <w:sz w:val="20"/>
          <w:szCs w:val="20"/>
          <w:color w:val="auto"/>
        </w:rPr>
      </w:pPr>
      <w:r>
        <w:rPr>
          <w:rFonts w:ascii="Arial" w:cs="Arial" w:eastAsia="Arial" w:hAnsi="Arial"/>
          <w:sz w:val="19"/>
          <w:szCs w:val="19"/>
          <w:color w:val="auto"/>
        </w:rPr>
        <w:t xml:space="preserve">under </w:t>
      </w:r>
      <w:r>
        <w:rPr>
          <w:rFonts w:ascii="Arial" w:cs="Arial" w:eastAsia="Arial" w:hAnsi="Arial"/>
          <w:sz w:val="19"/>
          <w:szCs w:val="19"/>
          <w:u w:val="single" w:color="auto"/>
          <w:color w:val="auto"/>
        </w:rPr>
        <w:t>Section 7.15</w:t>
      </w:r>
      <w:r>
        <w:rPr>
          <w:rFonts w:ascii="Arial" w:cs="Arial" w:eastAsia="Arial" w:hAnsi="Arial"/>
          <w:sz w:val="19"/>
          <w:szCs w:val="19"/>
          <w:color w:val="auto"/>
        </w:rPr>
        <w:t>, the Partnership shall, to the fullest extent permitted by law, indemnify and hold harmless the Holder, its officers, directors and each Person who controls the Holder (within the meaning of the Securities Act) and any agent thereof (collectively, “</w:t>
      </w:r>
      <w:r>
        <w:rPr>
          <w:rFonts w:ascii="Arial" w:cs="Arial" w:eastAsia="Arial" w:hAnsi="Arial"/>
          <w:sz w:val="19"/>
          <w:szCs w:val="19"/>
          <w:b w:val="1"/>
          <w:bCs w:val="1"/>
          <w:i w:val="1"/>
          <w:iCs w:val="1"/>
          <w:color w:val="auto"/>
        </w:rPr>
        <w:t>Indemnified Persons</w:t>
      </w:r>
      <w:r>
        <w:rPr>
          <w:rFonts w:ascii="Arial" w:cs="Arial" w:eastAsia="Arial" w:hAnsi="Arial"/>
          <w:sz w:val="19"/>
          <w:szCs w:val="19"/>
          <w:color w:val="auto"/>
        </w:rPr>
        <w:t xml:space="preserve">”) from and against any and all losses, claims, demands, actions, causes of action, assessments, damages, liabilities (joint or several), costs and expenses (including interest, penalties and reasonable attorneys’ fees and disbursements), resulting to, imposed upon, or incurred by the Indemnified Persons, directly or indirectly, under the Securities Act or otherwise (hereinafter referred to in this </w:t>
      </w:r>
      <w:r>
        <w:rPr>
          <w:rFonts w:ascii="Arial" w:cs="Arial" w:eastAsia="Arial" w:hAnsi="Arial"/>
          <w:sz w:val="19"/>
          <w:szCs w:val="19"/>
          <w:u w:val="single" w:color="auto"/>
          <w:color w:val="auto"/>
        </w:rPr>
        <w:t>Section 7.20(c)</w:t>
      </w:r>
      <w:r>
        <w:rPr>
          <w:rFonts w:ascii="Arial" w:cs="Arial" w:eastAsia="Arial" w:hAnsi="Arial"/>
          <w:sz w:val="19"/>
          <w:szCs w:val="19"/>
          <w:color w:val="auto"/>
        </w:rPr>
        <w:t xml:space="preserve"> as a “</w:t>
      </w:r>
      <w:r>
        <w:rPr>
          <w:rFonts w:ascii="Arial" w:cs="Arial" w:eastAsia="Arial" w:hAnsi="Arial"/>
          <w:sz w:val="19"/>
          <w:szCs w:val="19"/>
          <w:b w:val="1"/>
          <w:bCs w:val="1"/>
          <w:i w:val="1"/>
          <w:iCs w:val="1"/>
          <w:color w:val="auto"/>
        </w:rPr>
        <w:t>claim</w:t>
      </w:r>
      <w:r>
        <w:rPr>
          <w:rFonts w:ascii="Arial" w:cs="Arial" w:eastAsia="Arial" w:hAnsi="Arial"/>
          <w:sz w:val="19"/>
          <w:szCs w:val="19"/>
          <w:color w:val="auto"/>
        </w:rPr>
        <w:t>” and in the plural as “</w:t>
      </w:r>
      <w:r>
        <w:rPr>
          <w:rFonts w:ascii="Arial" w:cs="Arial" w:eastAsia="Arial" w:hAnsi="Arial"/>
          <w:sz w:val="19"/>
          <w:szCs w:val="19"/>
          <w:b w:val="1"/>
          <w:bCs w:val="1"/>
          <w:i w:val="1"/>
          <w:iCs w:val="1"/>
          <w:color w:val="auto"/>
        </w:rPr>
        <w:t>claims</w:t>
      </w:r>
      <w:r>
        <w:rPr>
          <w:rFonts w:ascii="Arial" w:cs="Arial" w:eastAsia="Arial" w:hAnsi="Arial"/>
          <w:sz w:val="19"/>
          <w:szCs w:val="19"/>
          <w:color w:val="auto"/>
        </w:rPr>
        <w:t xml:space="preserve">”) based upon, arising out of or resulting from any untrue statement or alleged untrue statement of any material fact contained in any registration statement under which any Partnership Interests were registered under the Securities Act or any state securities or Blue Sky laws, in any preliminary prospectus or issuer free writing prospectus as defined in Rule 433 of the Securities Act (if used prior to the effective date of such registration statement), or in any summary, free writing or final prospectus or in any amendment or supplement thereto (if used during the period the Partnership is required to keep the registration statement current), or arising out of, based upon or resulting from the omission or alleged omission to state therein a material fact required to be stated therein or necessary to make the statements made therein not misleading;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the Partnership shall not be liable to any Indemnified Person to the extent that any such claim arises out of, is based upon or results from an untrue statement or alleged untrue statement or omission or alleged omission made in such registration statement, such preliminary, summary, free writing or final prospectus or such amendment or supplement, in reliance upon and in conformity with written information furnished to the Partnership by or on behalf of such Indemnified Person specifically for use in the preparation thereof.</w:t>
      </w:r>
    </w:p>
    <w:p>
      <w:pPr>
        <w:spacing w:after="0" w:line="197" w:lineRule="exact"/>
        <w:rPr>
          <w:sz w:val="20"/>
          <w:szCs w:val="20"/>
          <w:color w:val="auto"/>
        </w:rPr>
      </w:pPr>
    </w:p>
    <w:p>
      <w:pPr>
        <w:ind w:right="120" w:firstLine="1305"/>
        <w:spacing w:after="0" w:line="277" w:lineRule="auto"/>
        <w:tabs>
          <w:tab w:leader="none" w:pos="1815" w:val="left"/>
        </w:tabs>
        <w:numPr>
          <w:ilvl w:val="0"/>
          <w:numId w:val="61"/>
        </w:numPr>
        <w:rPr>
          <w:rFonts w:ascii="Arial" w:cs="Arial" w:eastAsia="Arial" w:hAnsi="Arial"/>
          <w:sz w:val="19"/>
          <w:szCs w:val="19"/>
          <w:color w:val="auto"/>
        </w:rPr>
      </w:pPr>
      <w:r>
        <w:rPr>
          <w:rFonts w:ascii="Arial" w:cs="Arial" w:eastAsia="Arial" w:hAnsi="Arial"/>
          <w:sz w:val="19"/>
          <w:szCs w:val="19"/>
          <w:color w:val="auto"/>
        </w:rPr>
        <w:t xml:space="preserve">The provisions of </w:t>
      </w:r>
      <w:r>
        <w:rPr>
          <w:rFonts w:ascii="Arial" w:cs="Arial" w:eastAsia="Arial" w:hAnsi="Arial"/>
          <w:sz w:val="19"/>
          <w:szCs w:val="19"/>
          <w:u w:val="single" w:color="auto"/>
          <w:color w:val="auto"/>
        </w:rPr>
        <w:t>Section 7.20(a)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7.20(b)</w:t>
      </w:r>
      <w:r>
        <w:rPr>
          <w:rFonts w:ascii="Arial" w:cs="Arial" w:eastAsia="Arial" w:hAnsi="Arial"/>
          <w:sz w:val="19"/>
          <w:szCs w:val="19"/>
          <w:color w:val="auto"/>
        </w:rPr>
        <w:t xml:space="preserve"> shall continue to be applicable with respect to the General Partner (and any of the General Partner’s Affiliates) after it ceases to be a general partner of the Partnership, during a period of two years subsequent to the effective date of such cessation and for so long thereafter as is required for the Holder to sell all of the Partnership Interests with respect to which it has requested during such two-year period inclusion in a registration statement otherwise filed or that a registration statement be filed;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the Partnership shall not be required to file successive registration statements covering the same Partnership Interests for which registration was demanded during such two-year period. The provisions of </w:t>
      </w:r>
      <w:r>
        <w:rPr>
          <w:rFonts w:ascii="Arial" w:cs="Arial" w:eastAsia="Arial" w:hAnsi="Arial"/>
          <w:sz w:val="19"/>
          <w:szCs w:val="19"/>
          <w:u w:val="single" w:color="auto"/>
          <w:color w:val="auto"/>
        </w:rPr>
        <w:t>Section 7.20(c)</w:t>
      </w:r>
      <w:r>
        <w:rPr>
          <w:rFonts w:ascii="Arial" w:cs="Arial" w:eastAsia="Arial" w:hAnsi="Arial"/>
          <w:sz w:val="19"/>
          <w:szCs w:val="19"/>
          <w:color w:val="auto"/>
        </w:rPr>
        <w:t xml:space="preserve"> shall continue in effect thereafter.</w:t>
      </w:r>
    </w:p>
    <w:p>
      <w:pPr>
        <w:spacing w:after="0" w:line="179" w:lineRule="exact"/>
        <w:rPr>
          <w:rFonts w:ascii="Arial" w:cs="Arial" w:eastAsia="Arial" w:hAnsi="Arial"/>
          <w:sz w:val="19"/>
          <w:szCs w:val="19"/>
          <w:color w:val="auto"/>
        </w:rPr>
      </w:pPr>
    </w:p>
    <w:p>
      <w:pPr>
        <w:ind w:firstLine="1305"/>
        <w:spacing w:after="0" w:line="282" w:lineRule="auto"/>
        <w:tabs>
          <w:tab w:leader="none" w:pos="1803" w:val="left"/>
        </w:tabs>
        <w:numPr>
          <w:ilvl w:val="0"/>
          <w:numId w:val="61"/>
        </w:numPr>
        <w:rPr>
          <w:rFonts w:ascii="Arial" w:cs="Arial" w:eastAsia="Arial" w:hAnsi="Arial"/>
          <w:sz w:val="19"/>
          <w:szCs w:val="19"/>
          <w:color w:val="auto"/>
        </w:rPr>
      </w:pPr>
      <w:r>
        <w:rPr>
          <w:rFonts w:ascii="Arial" w:cs="Arial" w:eastAsia="Arial" w:hAnsi="Arial"/>
          <w:sz w:val="19"/>
          <w:szCs w:val="19"/>
          <w:color w:val="auto"/>
        </w:rPr>
        <w:t xml:space="preserve">The rights to cause the Partnership to register Partnership Interests pursuant to this </w:t>
      </w:r>
      <w:r>
        <w:rPr>
          <w:rFonts w:ascii="Arial" w:cs="Arial" w:eastAsia="Arial" w:hAnsi="Arial"/>
          <w:sz w:val="19"/>
          <w:szCs w:val="19"/>
          <w:u w:val="single" w:color="auto"/>
          <w:color w:val="auto"/>
        </w:rPr>
        <w:t>Section 7.20</w:t>
      </w:r>
      <w:r>
        <w:rPr>
          <w:rFonts w:ascii="Arial" w:cs="Arial" w:eastAsia="Arial" w:hAnsi="Arial"/>
          <w:sz w:val="19"/>
          <w:szCs w:val="19"/>
          <w:color w:val="auto"/>
        </w:rPr>
        <w:t xml:space="preserve"> may be assigned (but only with all related obligations) by a Holder to a transferee or assignee of such Partnership Interests,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(i) the Partnership is, within a reasonable time after such transfer, furnished with written notice of the name and address of such transferee or assignee and the Partnership Interests with respect to which such registration rights are being assigned, and (ii) such transferee or assignee agrees in writing to be bound by and subject to the terms set forth in this </w:t>
      </w:r>
      <w:r>
        <w:rPr>
          <w:rFonts w:ascii="Arial" w:cs="Arial" w:eastAsia="Arial" w:hAnsi="Arial"/>
          <w:sz w:val="19"/>
          <w:szCs w:val="19"/>
          <w:u w:val="single" w:color="auto"/>
          <w:color w:val="auto"/>
        </w:rPr>
        <w:t>Section 7.20</w:t>
      </w:r>
      <w:r>
        <w:rPr>
          <w:rFonts w:ascii="Arial" w:cs="Arial" w:eastAsia="Arial" w:hAnsi="Arial"/>
          <w:sz w:val="19"/>
          <w:szCs w:val="19"/>
          <w:color w:val="auto"/>
        </w:rPr>
        <w:t>.</w:t>
      </w:r>
    </w:p>
    <w:p>
      <w:pPr>
        <w:spacing w:after="0" w:line="174" w:lineRule="exact"/>
        <w:rPr>
          <w:rFonts w:ascii="Arial" w:cs="Arial" w:eastAsia="Arial" w:hAnsi="Arial"/>
          <w:sz w:val="19"/>
          <w:szCs w:val="19"/>
          <w:color w:val="auto"/>
        </w:rPr>
      </w:pPr>
    </w:p>
    <w:p>
      <w:pPr>
        <w:ind w:right="320" w:firstLine="1305"/>
        <w:spacing w:after="0" w:line="297" w:lineRule="auto"/>
        <w:tabs>
          <w:tab w:leader="none" w:pos="1771" w:val="left"/>
        </w:tabs>
        <w:numPr>
          <w:ilvl w:val="0"/>
          <w:numId w:val="61"/>
        </w:numPr>
        <w:rPr>
          <w:rFonts w:ascii="Arial" w:cs="Arial" w:eastAsia="Arial" w:hAnsi="Arial"/>
          <w:sz w:val="19"/>
          <w:szCs w:val="19"/>
          <w:color w:val="auto"/>
        </w:rPr>
      </w:pPr>
      <w:r>
        <w:rPr>
          <w:rFonts w:ascii="Arial" w:cs="Arial" w:eastAsia="Arial" w:hAnsi="Arial"/>
          <w:sz w:val="19"/>
          <w:szCs w:val="19"/>
          <w:color w:val="auto"/>
        </w:rPr>
        <w:t xml:space="preserve">Any request to register Partnership Interests pursuant to this </w:t>
      </w:r>
      <w:r>
        <w:rPr>
          <w:rFonts w:ascii="Arial" w:cs="Arial" w:eastAsia="Arial" w:hAnsi="Arial"/>
          <w:sz w:val="19"/>
          <w:szCs w:val="19"/>
          <w:u w:val="single" w:color="auto"/>
          <w:color w:val="auto"/>
        </w:rPr>
        <w:t>Section 7.20</w:t>
      </w:r>
      <w:r>
        <w:rPr>
          <w:rFonts w:ascii="Arial" w:cs="Arial" w:eastAsia="Arial" w:hAnsi="Arial"/>
          <w:sz w:val="19"/>
          <w:szCs w:val="19"/>
          <w:color w:val="auto"/>
        </w:rPr>
        <w:t xml:space="preserve"> shall (i) specify the Partnership Interests intended to be offered and sold by the Person making the request, (ii) express such Person’s present intent to offer such Partnership Interests for distribution, (iii) describe the nature or method of the proposed offer and sale of Partnership</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402" w:right="259" w:bottom="1440" w:gutter="0" w:footer="0" w:header="0"/>
        </w:sectPr>
      </w:pPr>
    </w:p>
    <w:bookmarkStart w:id="66" w:name="page67"/>
    <w:bookmarkEnd w:id="66"/>
    <w:p>
      <w:pPr>
        <w:ind w:right="20"/>
        <w:spacing w:after="0"/>
        <w:rPr>
          <w:sz w:val="20"/>
          <w:szCs w:val="20"/>
          <w:color w:val="auto"/>
        </w:rPr>
      </w:pPr>
      <w:r>
        <w:rPr>
          <w:rFonts w:ascii="Arial" w:cs="Arial" w:eastAsia="Arial" w:hAnsi="Arial"/>
          <w:sz w:val="22"/>
          <w:szCs w:val="22"/>
          <w:color w:val="auto"/>
        </w:rPr>
        <w:t>Interests, and (iv) contain the undertaking of such Person to provide all such information and materials and take all action as may be required in order to permit the Partnership to comply with all applicable requirements in connection with the registration of such Partnership Interests.</w:t>
      </w:r>
    </w:p>
    <w:p>
      <w:pPr>
        <w:spacing w:after="0" w:line="213" w:lineRule="exact"/>
        <w:rPr>
          <w:sz w:val="20"/>
          <w:szCs w:val="20"/>
          <w:color w:val="auto"/>
        </w:rPr>
      </w:pPr>
    </w:p>
    <w:p>
      <w:pPr>
        <w:ind w:right="40" w:firstLine="1297"/>
        <w:spacing w:after="0" w:line="270" w:lineRule="auto"/>
        <w:rPr>
          <w:sz w:val="20"/>
          <w:szCs w:val="20"/>
          <w:color w:val="auto"/>
        </w:rPr>
      </w:pPr>
      <w:r>
        <w:rPr>
          <w:rFonts w:ascii="Arial" w:cs="Arial" w:eastAsia="Arial" w:hAnsi="Arial"/>
          <w:sz w:val="19"/>
          <w:szCs w:val="19"/>
          <w:color w:val="auto"/>
        </w:rPr>
        <w:t xml:space="preserve">Section 7.21. </w:t>
      </w:r>
      <w:r>
        <w:rPr>
          <w:rFonts w:ascii="Arial" w:cs="Arial" w:eastAsia="Arial" w:hAnsi="Arial"/>
          <w:sz w:val="19"/>
          <w:szCs w:val="19"/>
          <w:i w:val="1"/>
          <w:iCs w:val="1"/>
          <w:color w:val="auto"/>
        </w:rPr>
        <w:t>Reliance by Third Parties</w:t>
      </w:r>
      <w:r>
        <w:rPr>
          <w:rFonts w:ascii="Arial" w:cs="Arial" w:eastAsia="Arial" w:hAnsi="Arial"/>
          <w:sz w:val="19"/>
          <w:szCs w:val="19"/>
          <w:color w:val="auto"/>
        </w:rPr>
        <w:t>. Notwithstanding anything to the contrary in this Agreement, any Person dealing with the Partnership shall be entitled to assume that the Board of Directors, the General Partner and any Officer authorized by the Board of Directors to act on behalf of and in the name of the Partnership has full power and authority to encumber, sell or otherwise use in any manner any and all assets of the Partnership and to enter into any authorized contracts on behalf of the Partnership, and such Person shall be entitled to deal with the Board of Directors, the General Partner or any such Officer as if it were the Partnership’s sole party in interest, both legally and beneficially. Each Limited Partner hereby waives any and all defenses or other remedies that may be available against such Person to contest, negate or disaffirm any action of the Board of Directors, the General Partner or any such Officer in connection with any such dealing. In no event shall any Person dealing with the Board of Directors, the General Partner or any such Officer or its representatives be obligated to ascertain that the terms of this Agreement have been complied with or to inquire into the necessity or expedience of any act or action of the Board of Directors, the General Partner or any such Officer or its representatives. Each and every certificate, document or other instrument executed on behalf of the Partnership by the Board of Directors, the General Partner, the Officers or representatives of the General Partner authorized by the General Partner or the Board of Directors shall be conclusive evidence in favor of any and every Person relying thereon or claiming thereunder that (a) at the time of the execution and delivery of such certificate, document or instrument, this Agreement was in full force and effect, (b) the Person executing and delivering such certificate, document or instrument was duly authorized and empowered to do so for and on behalf of the Partnership and (c) such certificate, document or instrument was duly executed and delivered in accordance with the terms and provisions of this Agreement and is binding upon the Partnership.</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VIII</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BOOKS, RECORDS, ACCOUNTING AND REPORTS</w:t>
      </w:r>
    </w:p>
    <w:p>
      <w:pPr>
        <w:spacing w:after="0" w:line="215" w:lineRule="exact"/>
        <w:rPr>
          <w:sz w:val="20"/>
          <w:szCs w:val="20"/>
          <w:color w:val="auto"/>
        </w:rPr>
      </w:pPr>
    </w:p>
    <w:p>
      <w:pPr>
        <w:ind w:firstLine="1297"/>
        <w:spacing w:after="0" w:line="274" w:lineRule="auto"/>
        <w:rPr>
          <w:sz w:val="20"/>
          <w:szCs w:val="20"/>
          <w:color w:val="auto"/>
        </w:rPr>
      </w:pPr>
      <w:r>
        <w:rPr>
          <w:rFonts w:ascii="Arial" w:cs="Arial" w:eastAsia="Arial" w:hAnsi="Arial"/>
          <w:sz w:val="19"/>
          <w:szCs w:val="19"/>
          <w:color w:val="auto"/>
        </w:rPr>
        <w:t xml:space="preserve">Section 8.1. </w:t>
      </w:r>
      <w:r>
        <w:rPr>
          <w:rFonts w:ascii="Arial" w:cs="Arial" w:eastAsia="Arial" w:hAnsi="Arial"/>
          <w:sz w:val="19"/>
          <w:szCs w:val="19"/>
          <w:i w:val="1"/>
          <w:iCs w:val="1"/>
          <w:color w:val="auto"/>
        </w:rPr>
        <w:t>Records and Accounting</w:t>
      </w:r>
      <w:r>
        <w:rPr>
          <w:rFonts w:ascii="Arial" w:cs="Arial" w:eastAsia="Arial" w:hAnsi="Arial"/>
          <w:sz w:val="19"/>
          <w:szCs w:val="19"/>
          <w:color w:val="auto"/>
        </w:rPr>
        <w:t xml:space="preserve">. The Partnership shall keep or cause to be kept at the principal office of the Partnership appropriate books and records with respect to the Partnership’s business, including all books and records necessary to provide to the Limited Partners any information required to be provided pursuant to </w:t>
      </w:r>
      <w:r>
        <w:rPr>
          <w:rFonts w:ascii="Arial" w:cs="Arial" w:eastAsia="Arial" w:hAnsi="Arial"/>
          <w:sz w:val="19"/>
          <w:szCs w:val="19"/>
          <w:u w:val="single" w:color="auto"/>
          <w:color w:val="auto"/>
        </w:rPr>
        <w:t>Section 3.4(a)</w:t>
      </w:r>
      <w:r>
        <w:rPr>
          <w:rFonts w:ascii="Arial" w:cs="Arial" w:eastAsia="Arial" w:hAnsi="Arial"/>
          <w:sz w:val="19"/>
          <w:szCs w:val="19"/>
          <w:color w:val="auto"/>
        </w:rPr>
        <w:t xml:space="preserve"> and as otherwise required by the Marshall Islands Act. Any books and records maintained by or on behalf of the Partnership in the regular course of its business, including the record of the Record Holders of Units or other Partnership Interests, books of account and records of Partnership proceedings, may be kept on, or be in the form of, computer disks, hard drives, punch cards, magnetic tape, photographs, micrographics or any other information storage device;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the books and records so maintained are convertible into clearly legible written form within a reasonable period of time. The books of the Partnership shall be maintained, for financial reporting purposes, on an accrual basis in accordance with IFRS.</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402" w:right="259" w:bottom="1440" w:gutter="0" w:footer="0" w:header="0"/>
        </w:sectPr>
      </w:pPr>
    </w:p>
    <w:bookmarkStart w:id="67" w:name="page68"/>
    <w:bookmarkEnd w:id="67"/>
    <w:p>
      <w:pPr>
        <w:ind w:left="1300"/>
        <w:spacing w:after="0"/>
        <w:tabs>
          <w:tab w:leader="none" w:pos="2580" w:val="left"/>
        </w:tabs>
        <w:rPr>
          <w:sz w:val="20"/>
          <w:szCs w:val="20"/>
          <w:color w:val="auto"/>
        </w:rPr>
      </w:pPr>
      <w:r>
        <w:rPr>
          <w:rFonts w:ascii="Arial" w:cs="Arial" w:eastAsia="Arial" w:hAnsi="Arial"/>
          <w:sz w:val="22"/>
          <w:szCs w:val="22"/>
          <w:color w:val="auto"/>
        </w:rPr>
        <w:t>Section 8.2.</w:t>
      </w:r>
      <w:r>
        <w:rPr>
          <w:sz w:val="20"/>
          <w:szCs w:val="20"/>
          <w:color w:val="auto"/>
        </w:rPr>
        <w:tab/>
      </w:r>
      <w:r>
        <w:rPr>
          <w:rFonts w:ascii="Arial" w:cs="Arial" w:eastAsia="Arial" w:hAnsi="Arial"/>
          <w:sz w:val="19"/>
          <w:szCs w:val="19"/>
          <w:i w:val="1"/>
          <w:iCs w:val="1"/>
          <w:color w:val="auto"/>
        </w:rPr>
        <w:t>Fiscal Year</w:t>
      </w:r>
      <w:r>
        <w:rPr>
          <w:rFonts w:ascii="Arial" w:cs="Arial" w:eastAsia="Arial" w:hAnsi="Arial"/>
          <w:sz w:val="19"/>
          <w:szCs w:val="19"/>
          <w:color w:val="auto"/>
        </w:rPr>
        <w:t>. The fiscal year of the Partnership shall be a fiscal year ending December 31.</w:t>
      </w:r>
    </w:p>
    <w:p>
      <w:pPr>
        <w:spacing w:after="0" w:line="233" w:lineRule="exact"/>
        <w:rPr>
          <w:sz w:val="20"/>
          <w:szCs w:val="20"/>
          <w:color w:val="auto"/>
        </w:rPr>
      </w:pPr>
    </w:p>
    <w:p>
      <w:pPr>
        <w:ind w:right="40" w:firstLine="1297"/>
        <w:spacing w:after="0" w:line="279" w:lineRule="auto"/>
        <w:rPr>
          <w:sz w:val="20"/>
          <w:szCs w:val="20"/>
          <w:color w:val="auto"/>
        </w:rPr>
      </w:pPr>
      <w:r>
        <w:rPr>
          <w:rFonts w:ascii="Arial" w:cs="Arial" w:eastAsia="Arial" w:hAnsi="Arial"/>
          <w:sz w:val="19"/>
          <w:szCs w:val="19"/>
          <w:color w:val="auto"/>
        </w:rPr>
        <w:t xml:space="preserve">Section 8.3. </w:t>
      </w:r>
      <w:r>
        <w:rPr>
          <w:rFonts w:ascii="Arial" w:cs="Arial" w:eastAsia="Arial" w:hAnsi="Arial"/>
          <w:sz w:val="19"/>
          <w:szCs w:val="19"/>
          <w:i w:val="1"/>
          <w:iCs w:val="1"/>
          <w:color w:val="auto"/>
        </w:rPr>
        <w:t>Reports</w:t>
      </w:r>
      <w:r>
        <w:rPr>
          <w:rFonts w:ascii="Arial" w:cs="Arial" w:eastAsia="Arial" w:hAnsi="Arial"/>
          <w:sz w:val="19"/>
          <w:szCs w:val="19"/>
          <w:color w:val="auto"/>
        </w:rPr>
        <w:t>. (a) As soon as practicable, but in no event later than 120 days after the close of each fiscal year of the Partnership, the Partnership shall cause to be mailed or made available, by any reasonable means (including posting on or accessible through the Partnership’s or the Commission’s website), to each Record Holder of a Unit as of a date selected by the Board of Directors, an annual report containing financial statements of the Partnership for such fiscal year of the Partnership, presented in accordance with IFRS, including a balance sheet and statements of operations, Partnership equity and cash flows, such statements to be audited by a firm of independent public accountants selected by the Board of Directors.</w:t>
      </w:r>
    </w:p>
    <w:p>
      <w:pPr>
        <w:spacing w:after="0" w:line="178" w:lineRule="exact"/>
        <w:rPr>
          <w:sz w:val="20"/>
          <w:szCs w:val="20"/>
          <w:color w:val="auto"/>
        </w:rPr>
      </w:pPr>
    </w:p>
    <w:p>
      <w:pPr>
        <w:ind w:firstLine="1305"/>
        <w:spacing w:after="0" w:line="279" w:lineRule="auto"/>
        <w:tabs>
          <w:tab w:leader="none" w:pos="1807" w:val="left"/>
        </w:tabs>
        <w:numPr>
          <w:ilvl w:val="0"/>
          <w:numId w:val="62"/>
        </w:numPr>
        <w:rPr>
          <w:rFonts w:ascii="Arial" w:cs="Arial" w:eastAsia="Arial" w:hAnsi="Arial"/>
          <w:sz w:val="19"/>
          <w:szCs w:val="19"/>
          <w:color w:val="auto"/>
        </w:rPr>
      </w:pPr>
      <w:r>
        <w:rPr>
          <w:rFonts w:ascii="Arial" w:cs="Arial" w:eastAsia="Arial" w:hAnsi="Arial"/>
          <w:sz w:val="19"/>
          <w:szCs w:val="19"/>
          <w:color w:val="auto"/>
        </w:rPr>
        <w:t>As soon as practicable, but in no event later than 90 days after the close of each Quarter except the last Quarter of each fiscal year, the Partnership shall cause to be mailed or made available, by any reasonable means (including posting on or accessible through the Partnership’s or the Commission’s website), to each Record Holder of a Unit, as of a date selected by the Board of Directors, a report containing unaudited financial statements of the Partnership and such other information as may be required by applicable law, regulation or rule of any National Securities Exchange on which the Units are listed or admitted to trading, or as the Board of Directors determines to be necessary or appropriate.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IX</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TAX MATTERS</w:t>
      </w:r>
    </w:p>
    <w:p>
      <w:pPr>
        <w:spacing w:after="0" w:line="215" w:lineRule="exact"/>
        <w:rPr>
          <w:sz w:val="20"/>
          <w:szCs w:val="20"/>
          <w:color w:val="auto"/>
        </w:rPr>
      </w:pPr>
    </w:p>
    <w:p>
      <w:pPr>
        <w:ind w:right="60" w:firstLine="1297"/>
        <w:spacing w:after="0" w:line="238" w:lineRule="auto"/>
        <w:rPr>
          <w:sz w:val="20"/>
          <w:szCs w:val="20"/>
          <w:color w:val="auto"/>
        </w:rPr>
      </w:pPr>
      <w:r>
        <w:rPr>
          <w:rFonts w:ascii="Arial" w:cs="Arial" w:eastAsia="Arial" w:hAnsi="Arial"/>
          <w:sz w:val="22"/>
          <w:szCs w:val="22"/>
          <w:color w:val="auto"/>
        </w:rPr>
        <w:t xml:space="preserve">Section 9.1. </w:t>
      </w:r>
      <w:r>
        <w:rPr>
          <w:rFonts w:ascii="Arial" w:cs="Arial" w:eastAsia="Arial" w:hAnsi="Arial"/>
          <w:sz w:val="22"/>
          <w:szCs w:val="22"/>
          <w:i w:val="1"/>
          <w:iCs w:val="1"/>
          <w:color w:val="auto"/>
        </w:rPr>
        <w:t>Tax Elections and Information</w:t>
      </w:r>
      <w:r>
        <w:rPr>
          <w:rFonts w:ascii="Arial" w:cs="Arial" w:eastAsia="Arial" w:hAnsi="Arial"/>
          <w:sz w:val="22"/>
          <w:szCs w:val="22"/>
          <w:color w:val="auto"/>
        </w:rPr>
        <w:t>. (a) The Partnership is authorized and has elected, effective as of January 23, 2014, to be treated as an association taxable as a corporation for U.S. federal income tax purposes. Except as otherwise provided herein, the Board of Directors shall determine whether the Partnership should make any other elections permitted by any applicable tax law.</w:t>
      </w:r>
    </w:p>
    <w:p>
      <w:pPr>
        <w:spacing w:after="0" w:line="212" w:lineRule="exact"/>
        <w:rPr>
          <w:sz w:val="20"/>
          <w:szCs w:val="20"/>
          <w:color w:val="auto"/>
        </w:rPr>
      </w:pPr>
    </w:p>
    <w:p>
      <w:pPr>
        <w:ind w:right="320" w:firstLine="1305"/>
        <w:spacing w:after="0" w:line="328" w:lineRule="auto"/>
        <w:tabs>
          <w:tab w:leader="none" w:pos="1815" w:val="left"/>
        </w:tabs>
        <w:numPr>
          <w:ilvl w:val="0"/>
          <w:numId w:val="63"/>
        </w:numPr>
        <w:rPr>
          <w:rFonts w:ascii="Arial" w:cs="Arial" w:eastAsia="Arial" w:hAnsi="Arial"/>
          <w:sz w:val="19"/>
          <w:szCs w:val="19"/>
          <w:color w:val="auto"/>
        </w:rPr>
      </w:pPr>
      <w:r>
        <w:rPr>
          <w:rFonts w:ascii="Arial" w:cs="Arial" w:eastAsia="Arial" w:hAnsi="Arial"/>
          <w:sz w:val="19"/>
          <w:szCs w:val="19"/>
          <w:color w:val="auto"/>
        </w:rPr>
        <w:t>The tax information reasonably required by Record Holders for U.S. federal income tax reporting purposes with respect to a calendar taxable year shall be furnished to them within 90 days of the close of each calendar year.</w:t>
      </w:r>
    </w:p>
    <w:p>
      <w:pPr>
        <w:spacing w:after="0" w:line="132" w:lineRule="exact"/>
        <w:rPr>
          <w:sz w:val="20"/>
          <w:szCs w:val="20"/>
          <w:color w:val="auto"/>
        </w:rPr>
      </w:pPr>
    </w:p>
    <w:p>
      <w:pPr>
        <w:ind w:right="120" w:firstLine="1297"/>
        <w:spacing w:after="0" w:line="248" w:lineRule="auto"/>
        <w:rPr>
          <w:sz w:val="20"/>
          <w:szCs w:val="20"/>
          <w:color w:val="auto"/>
        </w:rPr>
      </w:pPr>
      <w:r>
        <w:rPr>
          <w:rFonts w:ascii="Arial" w:cs="Arial" w:eastAsia="Arial" w:hAnsi="Arial"/>
          <w:sz w:val="21"/>
          <w:szCs w:val="21"/>
          <w:color w:val="auto"/>
        </w:rPr>
        <w:t xml:space="preserve">Section 9.2. </w:t>
      </w:r>
      <w:r>
        <w:rPr>
          <w:rFonts w:ascii="Arial" w:cs="Arial" w:eastAsia="Arial" w:hAnsi="Arial"/>
          <w:sz w:val="21"/>
          <w:szCs w:val="21"/>
          <w:i w:val="1"/>
          <w:iCs w:val="1"/>
          <w:color w:val="auto"/>
        </w:rPr>
        <w:t>Tax Withholding</w:t>
      </w:r>
      <w:r>
        <w:rPr>
          <w:rFonts w:ascii="Arial" w:cs="Arial" w:eastAsia="Arial" w:hAnsi="Arial"/>
          <w:sz w:val="21"/>
          <w:szCs w:val="21"/>
          <w:color w:val="auto"/>
        </w:rPr>
        <w:t>. Notwithstanding any other provision of this Agreement, the Board of Directors is authorized to take any action that may be required or advisable to cause the Partnership and other Group Members to comply with any withholding requirements with respect to any tax established under any U.S. federal, state or local or any non-U.S. law. To the extent that the Partnership is required or elects to withhold and pay over to any taxing authority any amount with respect to a distribution or payment to or for the benefit of any Partner, the Board of Directors may treat the amount withheld as a distribution of cash to such Partner in the amount of such withholding from such Partner.</w:t>
      </w:r>
    </w:p>
    <w:p>
      <w:pPr>
        <w:spacing w:after="0" w:line="204" w:lineRule="exact"/>
        <w:rPr>
          <w:sz w:val="20"/>
          <w:szCs w:val="20"/>
          <w:color w:val="auto"/>
        </w:rPr>
      </w:pPr>
    </w:p>
    <w:p>
      <w:pPr>
        <w:jc w:val="both"/>
        <w:ind w:right="40" w:firstLine="1297"/>
        <w:spacing w:after="0"/>
        <w:rPr>
          <w:sz w:val="20"/>
          <w:szCs w:val="20"/>
          <w:color w:val="auto"/>
        </w:rPr>
      </w:pPr>
      <w:r>
        <w:rPr>
          <w:rFonts w:ascii="Arial" w:cs="Arial" w:eastAsia="Arial" w:hAnsi="Arial"/>
          <w:sz w:val="22"/>
          <w:szCs w:val="22"/>
          <w:color w:val="auto"/>
        </w:rPr>
        <w:t xml:space="preserve">Section 9.3. </w:t>
      </w:r>
      <w:r>
        <w:rPr>
          <w:rFonts w:ascii="Arial" w:cs="Arial" w:eastAsia="Arial" w:hAnsi="Arial"/>
          <w:sz w:val="22"/>
          <w:szCs w:val="22"/>
          <w:i w:val="1"/>
          <w:iCs w:val="1"/>
          <w:color w:val="auto"/>
        </w:rPr>
        <w:t>Conduct of Operations</w:t>
      </w:r>
      <w:r>
        <w:rPr>
          <w:rFonts w:ascii="Arial" w:cs="Arial" w:eastAsia="Arial" w:hAnsi="Arial"/>
          <w:sz w:val="22"/>
          <w:szCs w:val="22"/>
          <w:color w:val="auto"/>
        </w:rPr>
        <w:t>. The Board of Directors shall use commercially reasonable efforts to conduct the business of the Partnership and its Affiliates in a manner that does not require a holder of Common Units or Preference Units to file a tax return in</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402" w:right="259" w:bottom="1440" w:gutter="0" w:footer="0" w:header="0"/>
        </w:sectPr>
      </w:pPr>
    </w:p>
    <w:bookmarkStart w:id="68" w:name="page69"/>
    <w:bookmarkEnd w:id="68"/>
    <w:p>
      <w:pPr>
        <w:spacing w:after="0"/>
        <w:rPr>
          <w:sz w:val="20"/>
          <w:szCs w:val="20"/>
          <w:color w:val="auto"/>
        </w:rPr>
      </w:pPr>
      <w:r>
        <w:rPr>
          <w:rFonts w:ascii="Arial" w:cs="Arial" w:eastAsia="Arial" w:hAnsi="Arial"/>
          <w:sz w:val="21"/>
          <w:szCs w:val="21"/>
          <w:color w:val="auto"/>
        </w:rPr>
        <w:t>any jurisdiction with which the holder has no contact other than through ownership of Common Units or Preference Units.</w:t>
      </w: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ARTICLE X</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ADMISSION OF PARTNERS</w:t>
      </w:r>
    </w:p>
    <w:p>
      <w:pPr>
        <w:spacing w:after="0" w:line="215" w:lineRule="exact"/>
        <w:rPr>
          <w:sz w:val="20"/>
          <w:szCs w:val="20"/>
          <w:color w:val="auto"/>
        </w:rPr>
      </w:pPr>
    </w:p>
    <w:p>
      <w:pPr>
        <w:ind w:right="120" w:firstLine="1297"/>
        <w:spacing w:after="0" w:line="252" w:lineRule="auto"/>
        <w:rPr>
          <w:sz w:val="20"/>
          <w:szCs w:val="20"/>
          <w:color w:val="auto"/>
        </w:rPr>
      </w:pPr>
      <w:r>
        <w:rPr>
          <w:rFonts w:ascii="Arial" w:cs="Arial" w:eastAsia="Arial" w:hAnsi="Arial"/>
          <w:sz w:val="21"/>
          <w:szCs w:val="21"/>
          <w:color w:val="auto"/>
        </w:rPr>
        <w:t xml:space="preserve">Section 10.1. </w:t>
      </w:r>
      <w:r>
        <w:rPr>
          <w:rFonts w:ascii="Arial" w:cs="Arial" w:eastAsia="Arial" w:hAnsi="Arial"/>
          <w:sz w:val="21"/>
          <w:szCs w:val="21"/>
          <w:i w:val="1"/>
          <w:iCs w:val="1"/>
          <w:color w:val="auto"/>
        </w:rPr>
        <w:t>Admission of Initial Limited Partners</w:t>
      </w:r>
      <w:r>
        <w:rPr>
          <w:rFonts w:ascii="Arial" w:cs="Arial" w:eastAsia="Arial" w:hAnsi="Arial"/>
          <w:sz w:val="21"/>
          <w:szCs w:val="21"/>
          <w:color w:val="auto"/>
        </w:rPr>
        <w:t xml:space="preserve">. Upon the issuance by the Partnership of Common Units, Subordinated Units and Incentive Distribution Rights to the General Partner, GasLog and the Underwriters as described in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5.1</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5.2</w:t>
      </w:r>
      <w:r>
        <w:rPr>
          <w:rFonts w:ascii="Arial" w:cs="Arial" w:eastAsia="Arial" w:hAnsi="Arial"/>
          <w:sz w:val="21"/>
          <w:szCs w:val="21"/>
          <w:color w:val="auto"/>
        </w:rPr>
        <w:t>, the Board of Directors shall admit such parties to the Partnership as Initial Limited Partners in respect of the Common Units, Subordinated Units or Incentive Distribution Rights issued to them.</w:t>
      </w:r>
    </w:p>
    <w:p>
      <w:pPr>
        <w:spacing w:after="0" w:line="201" w:lineRule="exact"/>
        <w:rPr>
          <w:sz w:val="20"/>
          <w:szCs w:val="20"/>
          <w:color w:val="auto"/>
        </w:rPr>
      </w:pPr>
    </w:p>
    <w:p>
      <w:pPr>
        <w:ind w:firstLine="1297"/>
        <w:spacing w:after="0" w:line="271" w:lineRule="auto"/>
        <w:rPr>
          <w:sz w:val="20"/>
          <w:szCs w:val="20"/>
          <w:color w:val="auto"/>
        </w:rPr>
      </w:pPr>
      <w:r>
        <w:rPr>
          <w:rFonts w:ascii="Arial" w:cs="Arial" w:eastAsia="Arial" w:hAnsi="Arial"/>
          <w:sz w:val="19"/>
          <w:szCs w:val="19"/>
          <w:color w:val="auto"/>
        </w:rPr>
        <w:t xml:space="preserve">Section 10.2. </w:t>
      </w:r>
      <w:r>
        <w:rPr>
          <w:rFonts w:ascii="Arial" w:cs="Arial" w:eastAsia="Arial" w:hAnsi="Arial"/>
          <w:sz w:val="19"/>
          <w:szCs w:val="19"/>
          <w:i w:val="1"/>
          <w:iCs w:val="1"/>
          <w:color w:val="auto"/>
        </w:rPr>
        <w:t>Admission of Additional Limited Partners</w:t>
      </w:r>
      <w:r>
        <w:rPr>
          <w:rFonts w:ascii="Arial" w:cs="Arial" w:eastAsia="Arial" w:hAnsi="Arial"/>
          <w:sz w:val="19"/>
          <w:szCs w:val="19"/>
          <w:color w:val="auto"/>
        </w:rPr>
        <w:t xml:space="preserve">. (a) From and after the Closing Date, by acceptance of the transfer of any Limited Partner Interests in accordance with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or the acceptance of any Limited Partner Interests issued pursuant to </w:t>
      </w:r>
      <w:r>
        <w:rPr>
          <w:rFonts w:ascii="Arial" w:cs="Arial" w:eastAsia="Arial" w:hAnsi="Arial"/>
          <w:sz w:val="19"/>
          <w:szCs w:val="19"/>
          <w:u w:val="single" w:color="auto"/>
          <w:color w:val="auto"/>
        </w:rPr>
        <w:t>Article V</w:t>
      </w:r>
      <w:r>
        <w:rPr>
          <w:rFonts w:ascii="Arial" w:cs="Arial" w:eastAsia="Arial" w:hAnsi="Arial"/>
          <w:sz w:val="19"/>
          <w:szCs w:val="19"/>
          <w:color w:val="auto"/>
        </w:rPr>
        <w:t xml:space="preserve"> or pursuant to a merger, consolidation or conversion pursuant to </w:t>
      </w:r>
      <w:r>
        <w:rPr>
          <w:rFonts w:ascii="Arial" w:cs="Arial" w:eastAsia="Arial" w:hAnsi="Arial"/>
          <w:sz w:val="19"/>
          <w:szCs w:val="19"/>
          <w:u w:val="single" w:color="auto"/>
          <w:color w:val="auto"/>
        </w:rPr>
        <w:t>Article XIV</w:t>
      </w:r>
      <w:r>
        <w:rPr>
          <w:rFonts w:ascii="Arial" w:cs="Arial" w:eastAsia="Arial" w:hAnsi="Arial"/>
          <w:sz w:val="19"/>
          <w:szCs w:val="19"/>
          <w:color w:val="auto"/>
        </w:rPr>
        <w:t>, each transferee of, or other such Person acquiring, a Limited Partner Interest (including any nominee holder or an agent or representative acquiring such Limited Partner Interests for the account of another Person) (i) shall be admitted to the Partnership as a Limited Partner with respect to the Limited Partner Interests so transferred or issued to such Person when any such transfer, issuance or admission is reflected in the books and records of the Partnership and such Limited Partner becomes the Record Holder of the Limited Partner Interests so transferred, (ii) shall become bound, and shall be deemed to have agreed to be bound, by the terms of this Agreement, (iii) represents that the transferee or other recipient has the capacity, power and authority to enter into this Agreement and (iv) makes the consents, acknowledgements and waivers contained in this Agreement, all with or without execution of this Agreement by such Person. The transfer of any Limited Partner Interests and the admission of any new Limited Partner shall not constitute an amendment to this Agreement. A Person may become a Limited Partner or Record Holder of a Limited Partner Interest without the consent or approval of any of the Partners. A Person may not become a Limited Partner until such Person acquires a Limited Partner Interest and until such Person is reflected in the books and records of the Partnership as the Record Holder of such Limited Partner Interest.</w:t>
      </w:r>
    </w:p>
    <w:p>
      <w:pPr>
        <w:spacing w:after="0" w:line="200" w:lineRule="exact"/>
        <w:rPr>
          <w:sz w:val="20"/>
          <w:szCs w:val="20"/>
          <w:color w:val="auto"/>
        </w:rPr>
      </w:pPr>
    </w:p>
    <w:p>
      <w:pPr>
        <w:spacing w:after="0" w:line="236" w:lineRule="exact"/>
        <w:rPr>
          <w:sz w:val="20"/>
          <w:szCs w:val="20"/>
          <w:color w:val="auto"/>
        </w:rPr>
      </w:pPr>
    </w:p>
    <w:p>
      <w:pPr>
        <w:ind w:right="160" w:firstLine="1305"/>
        <w:spacing w:after="0" w:line="287" w:lineRule="auto"/>
        <w:tabs>
          <w:tab w:leader="none" w:pos="1815" w:val="left"/>
        </w:tabs>
        <w:numPr>
          <w:ilvl w:val="0"/>
          <w:numId w:val="64"/>
        </w:numPr>
        <w:rPr>
          <w:rFonts w:ascii="Arial" w:cs="Arial" w:eastAsia="Arial" w:hAnsi="Arial"/>
          <w:sz w:val="19"/>
          <w:szCs w:val="19"/>
          <w:color w:val="auto"/>
        </w:rPr>
      </w:pPr>
      <w:r>
        <w:rPr>
          <w:rFonts w:ascii="Arial" w:cs="Arial" w:eastAsia="Arial" w:hAnsi="Arial"/>
          <w:sz w:val="19"/>
          <w:szCs w:val="19"/>
          <w:color w:val="auto"/>
        </w:rPr>
        <w:t xml:space="preserve">The name and mailing address of each Limited Partner shall be listed on the books and records of the Partnership maintained for such purpose by the Partnership or the Transfer Agent. The General Partner shall update the books and records of the Partnership from time to time as necessary to reflect accurately the information therein (or shall cause the Transfer Agent to do so, as applicable). A Limited Partner Interest may be represented by a Certificate, as provided in </w:t>
      </w:r>
      <w:r>
        <w:rPr>
          <w:rFonts w:ascii="Arial" w:cs="Arial" w:eastAsia="Arial" w:hAnsi="Arial"/>
          <w:sz w:val="19"/>
          <w:szCs w:val="19"/>
          <w:u w:val="single" w:color="auto"/>
          <w:color w:val="auto"/>
        </w:rPr>
        <w:t>Section 4.1</w:t>
      </w:r>
      <w:r>
        <w:rPr>
          <w:rFonts w:ascii="Arial" w:cs="Arial" w:eastAsia="Arial" w:hAnsi="Arial"/>
          <w:sz w:val="19"/>
          <w:szCs w:val="19"/>
          <w:color w:val="auto"/>
        </w:rPr>
        <w:t>.</w:t>
      </w:r>
    </w:p>
    <w:p>
      <w:pPr>
        <w:spacing w:after="0" w:line="170" w:lineRule="exact"/>
        <w:rPr>
          <w:rFonts w:ascii="Arial" w:cs="Arial" w:eastAsia="Arial" w:hAnsi="Arial"/>
          <w:sz w:val="19"/>
          <w:szCs w:val="19"/>
          <w:color w:val="auto"/>
        </w:rPr>
      </w:pPr>
    </w:p>
    <w:p>
      <w:pPr>
        <w:ind w:right="40" w:firstLine="1305"/>
        <w:spacing w:after="0" w:line="328" w:lineRule="auto"/>
        <w:tabs>
          <w:tab w:leader="none" w:pos="1795" w:val="left"/>
        </w:tabs>
        <w:numPr>
          <w:ilvl w:val="0"/>
          <w:numId w:val="64"/>
        </w:numPr>
        <w:rPr>
          <w:rFonts w:ascii="Arial" w:cs="Arial" w:eastAsia="Arial" w:hAnsi="Arial"/>
          <w:sz w:val="19"/>
          <w:szCs w:val="19"/>
          <w:color w:val="auto"/>
        </w:rPr>
      </w:pPr>
      <w:r>
        <w:rPr>
          <w:rFonts w:ascii="Arial" w:cs="Arial" w:eastAsia="Arial" w:hAnsi="Arial"/>
          <w:sz w:val="19"/>
          <w:szCs w:val="19"/>
          <w:color w:val="auto"/>
        </w:rPr>
        <w:t xml:space="preserve">Any transfer of a Limited Partner Interest shall not entitle the transferee to receive distributions or to any other rights to which the transferor was entitled until the transferee becomes a Limited Partner pursuant to </w:t>
      </w:r>
      <w:r>
        <w:rPr>
          <w:rFonts w:ascii="Arial" w:cs="Arial" w:eastAsia="Arial" w:hAnsi="Arial"/>
          <w:sz w:val="19"/>
          <w:szCs w:val="19"/>
          <w:u w:val="single" w:color="auto"/>
          <w:color w:val="auto"/>
        </w:rPr>
        <w:t>Section 10.2(a)</w:t>
      </w:r>
      <w:r>
        <w:rPr>
          <w:rFonts w:ascii="Arial" w:cs="Arial" w:eastAsia="Arial" w:hAnsi="Arial"/>
          <w:sz w:val="19"/>
          <w:szCs w:val="19"/>
          <w:color w:val="auto"/>
        </w:rPr>
        <w:t>.</w:t>
      </w:r>
    </w:p>
    <w:p>
      <w:pPr>
        <w:spacing w:after="0" w:line="7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402" w:right="259" w:bottom="1440" w:gutter="0" w:footer="0" w:header="0"/>
        </w:sectPr>
      </w:pPr>
    </w:p>
    <w:bookmarkStart w:id="69" w:name="page70"/>
    <w:bookmarkEnd w:id="69"/>
    <w:p>
      <w:pPr>
        <w:ind w:right="20" w:firstLine="1297"/>
        <w:spacing w:after="0" w:line="275" w:lineRule="auto"/>
        <w:rPr>
          <w:sz w:val="20"/>
          <w:szCs w:val="20"/>
          <w:color w:val="auto"/>
        </w:rPr>
      </w:pPr>
      <w:r>
        <w:rPr>
          <w:rFonts w:ascii="Arial" w:cs="Arial" w:eastAsia="Arial" w:hAnsi="Arial"/>
          <w:sz w:val="19"/>
          <w:szCs w:val="19"/>
          <w:color w:val="auto"/>
        </w:rPr>
        <w:t xml:space="preserve">Section 10.3. </w:t>
      </w:r>
      <w:r>
        <w:rPr>
          <w:rFonts w:ascii="Arial" w:cs="Arial" w:eastAsia="Arial" w:hAnsi="Arial"/>
          <w:sz w:val="19"/>
          <w:szCs w:val="19"/>
          <w:i w:val="1"/>
          <w:iCs w:val="1"/>
          <w:color w:val="auto"/>
        </w:rPr>
        <w:t>Admission of Successor General Partner</w:t>
      </w:r>
      <w:r>
        <w:rPr>
          <w:rFonts w:ascii="Arial" w:cs="Arial" w:eastAsia="Arial" w:hAnsi="Arial"/>
          <w:sz w:val="19"/>
          <w:szCs w:val="19"/>
          <w:color w:val="auto"/>
        </w:rPr>
        <w:t xml:space="preserve">. A successor General Partner approved pursuant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11.1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11.2</w:t>
      </w:r>
      <w:r>
        <w:rPr>
          <w:rFonts w:ascii="Arial" w:cs="Arial" w:eastAsia="Arial" w:hAnsi="Arial"/>
          <w:sz w:val="19"/>
          <w:szCs w:val="19"/>
          <w:color w:val="auto"/>
        </w:rPr>
        <w:t xml:space="preserve"> or the transferee of or successor to all or part of the General Partner Interest (represented by General Partner Units) pursuant to </w:t>
      </w:r>
      <w:r>
        <w:rPr>
          <w:rFonts w:ascii="Arial" w:cs="Arial" w:eastAsia="Arial" w:hAnsi="Arial"/>
          <w:sz w:val="19"/>
          <w:szCs w:val="19"/>
          <w:u w:val="single" w:color="auto"/>
          <w:color w:val="auto"/>
        </w:rPr>
        <w:t>Section 4.6</w:t>
      </w:r>
      <w:r>
        <w:rPr>
          <w:rFonts w:ascii="Arial" w:cs="Arial" w:eastAsia="Arial" w:hAnsi="Arial"/>
          <w:sz w:val="19"/>
          <w:szCs w:val="19"/>
          <w:color w:val="auto"/>
        </w:rPr>
        <w:t xml:space="preserve"> who is proposed to be admitted as a successor General Partner shall be admitted to the Partnership as the General Partner, effective immediately prior to the withdrawal or removal of the predecessor or transferring General Partner, pursuant to </w:t>
      </w:r>
      <w:r>
        <w:rPr>
          <w:rFonts w:ascii="Arial" w:cs="Arial" w:eastAsia="Arial" w:hAnsi="Arial"/>
          <w:sz w:val="19"/>
          <w:szCs w:val="19"/>
          <w:u w:val="single" w:color="auto"/>
          <w:color w:val="auto"/>
        </w:rPr>
        <w:t>Section 11.1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11.2</w:t>
      </w:r>
      <w:r>
        <w:rPr>
          <w:rFonts w:ascii="Arial" w:cs="Arial" w:eastAsia="Arial" w:hAnsi="Arial"/>
          <w:sz w:val="19"/>
          <w:szCs w:val="19"/>
          <w:color w:val="auto"/>
        </w:rPr>
        <w:t xml:space="preserve"> or the transfer of the General Partner Interest (represented by General Partner Units) pursuant to </w:t>
      </w:r>
      <w:r>
        <w:rPr>
          <w:rFonts w:ascii="Arial" w:cs="Arial" w:eastAsia="Arial" w:hAnsi="Arial"/>
          <w:sz w:val="19"/>
          <w:szCs w:val="19"/>
          <w:u w:val="single" w:color="auto"/>
          <w:color w:val="auto"/>
        </w:rPr>
        <w:t>Section 4.6</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no such Person shall be admitted to the Partnership as a successor or additional General Partner until compliance with the terms of </w:t>
      </w:r>
      <w:r>
        <w:rPr>
          <w:rFonts w:ascii="Arial" w:cs="Arial" w:eastAsia="Arial" w:hAnsi="Arial"/>
          <w:sz w:val="19"/>
          <w:szCs w:val="19"/>
          <w:u w:val="single" w:color="auto"/>
          <w:color w:val="auto"/>
        </w:rPr>
        <w:t>Section 4.6</w:t>
      </w:r>
      <w:r>
        <w:rPr>
          <w:rFonts w:ascii="Arial" w:cs="Arial" w:eastAsia="Arial" w:hAnsi="Arial"/>
          <w:sz w:val="19"/>
          <w:szCs w:val="19"/>
          <w:color w:val="auto"/>
        </w:rPr>
        <w:t xml:space="preserve"> has occurred and such Person has executed and delivered such other documents or instruments as may be required to effect such admission.</w:t>
      </w:r>
    </w:p>
    <w:p>
      <w:pPr>
        <w:spacing w:after="0" w:line="185" w:lineRule="exact"/>
        <w:rPr>
          <w:sz w:val="20"/>
          <w:szCs w:val="20"/>
          <w:color w:val="auto"/>
        </w:rPr>
      </w:pPr>
    </w:p>
    <w:p>
      <w:pPr>
        <w:ind w:right="20" w:firstLine="1297"/>
        <w:spacing w:after="0" w:line="251" w:lineRule="auto"/>
        <w:rPr>
          <w:sz w:val="20"/>
          <w:szCs w:val="20"/>
          <w:color w:val="auto"/>
        </w:rPr>
      </w:pPr>
      <w:r>
        <w:rPr>
          <w:rFonts w:ascii="Arial" w:cs="Arial" w:eastAsia="Arial" w:hAnsi="Arial"/>
          <w:sz w:val="22"/>
          <w:szCs w:val="22"/>
          <w:color w:val="auto"/>
        </w:rPr>
        <w:t>Any such successor or additional General Partner is hereby authorized to and shall, subject to the terms hereof, carry on the business of the members of the Partnership Group without dissolution.</w:t>
      </w:r>
    </w:p>
    <w:p>
      <w:pPr>
        <w:spacing w:after="0" w:line="200" w:lineRule="exact"/>
        <w:rPr>
          <w:sz w:val="20"/>
          <w:szCs w:val="20"/>
          <w:color w:val="auto"/>
        </w:rPr>
      </w:pPr>
    </w:p>
    <w:p>
      <w:pPr>
        <w:ind w:right="80" w:firstLine="1297"/>
        <w:spacing w:after="0" w:line="236" w:lineRule="auto"/>
        <w:rPr>
          <w:sz w:val="20"/>
          <w:szCs w:val="20"/>
          <w:color w:val="auto"/>
        </w:rPr>
      </w:pPr>
      <w:r>
        <w:rPr>
          <w:rFonts w:ascii="Arial" w:cs="Arial" w:eastAsia="Arial" w:hAnsi="Arial"/>
          <w:sz w:val="22"/>
          <w:szCs w:val="22"/>
          <w:color w:val="auto"/>
        </w:rPr>
        <w:t xml:space="preserve">Section 10.4. </w:t>
      </w:r>
      <w:r>
        <w:rPr>
          <w:rFonts w:ascii="Arial" w:cs="Arial" w:eastAsia="Arial" w:hAnsi="Arial"/>
          <w:sz w:val="22"/>
          <w:szCs w:val="22"/>
          <w:i w:val="1"/>
          <w:iCs w:val="1"/>
          <w:color w:val="auto"/>
        </w:rPr>
        <w:t>Amendment of Agreement and Certificate of Limited Partnership</w:t>
      </w:r>
      <w:r>
        <w:rPr>
          <w:rFonts w:ascii="Arial" w:cs="Arial" w:eastAsia="Arial" w:hAnsi="Arial"/>
          <w:sz w:val="22"/>
          <w:szCs w:val="22"/>
          <w:color w:val="auto"/>
        </w:rPr>
        <w:t>. To effect the admission to the Partnership of any Partner, the Board of Directors shall take all steps necessary or appropriate under the Marshall Islands Act to amend the records of the Partnership to reflect such admission and, if necessary, to prepare as soon as practicable an amendment to this Agreement and, if required by law, the Board of Directors shall prepare and file an amendment to the Certificate of Limited Partnership.</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XI</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WITHDRAWAL OR REMOVAL OF PARTNERS</w:t>
      </w:r>
    </w:p>
    <w:p>
      <w:pPr>
        <w:spacing w:after="0" w:line="215" w:lineRule="exact"/>
        <w:rPr>
          <w:sz w:val="20"/>
          <w:szCs w:val="20"/>
          <w:color w:val="auto"/>
        </w:rPr>
      </w:pPr>
    </w:p>
    <w:p>
      <w:pPr>
        <w:jc w:val="both"/>
        <w:ind w:right="360" w:firstLine="1297"/>
        <w:spacing w:after="0"/>
        <w:rPr>
          <w:sz w:val="20"/>
          <w:szCs w:val="20"/>
          <w:color w:val="auto"/>
        </w:rPr>
      </w:pPr>
      <w:r>
        <w:rPr>
          <w:rFonts w:ascii="Arial" w:cs="Arial" w:eastAsia="Arial" w:hAnsi="Arial"/>
          <w:sz w:val="22"/>
          <w:szCs w:val="22"/>
          <w:color w:val="auto"/>
        </w:rPr>
        <w:t xml:space="preserve">Section 11.1. </w:t>
      </w:r>
      <w:r>
        <w:rPr>
          <w:rFonts w:ascii="Arial" w:cs="Arial" w:eastAsia="Arial" w:hAnsi="Arial"/>
          <w:sz w:val="22"/>
          <w:szCs w:val="22"/>
          <w:i w:val="1"/>
          <w:iCs w:val="1"/>
          <w:color w:val="auto"/>
        </w:rPr>
        <w:t>Withdrawal of the General Partner</w:t>
      </w:r>
      <w:r>
        <w:rPr>
          <w:rFonts w:ascii="Arial" w:cs="Arial" w:eastAsia="Arial" w:hAnsi="Arial"/>
          <w:sz w:val="22"/>
          <w:szCs w:val="22"/>
          <w:color w:val="auto"/>
        </w:rPr>
        <w:t>. (a) The General Partner shall be deemed to have withdrawn from the Partnership upon the occurrence of any one of the following events (each such event herein referred to as an “</w:t>
      </w:r>
      <w:r>
        <w:rPr>
          <w:rFonts w:ascii="Arial" w:cs="Arial" w:eastAsia="Arial" w:hAnsi="Arial"/>
          <w:sz w:val="22"/>
          <w:szCs w:val="22"/>
          <w:b w:val="1"/>
          <w:bCs w:val="1"/>
          <w:i w:val="1"/>
          <w:iCs w:val="1"/>
          <w:color w:val="auto"/>
        </w:rPr>
        <w:t>Event of</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Withdrawal</w:t>
      </w:r>
      <w:r>
        <w:rPr>
          <w:rFonts w:ascii="Arial" w:cs="Arial" w:eastAsia="Arial" w:hAnsi="Arial"/>
          <w:sz w:val="22"/>
          <w:szCs w:val="22"/>
          <w:color w:val="auto"/>
        </w:rPr>
        <w:t>”):</w:t>
      </w:r>
    </w:p>
    <w:p>
      <w:pPr>
        <w:spacing w:after="0" w:line="213" w:lineRule="exact"/>
        <w:rPr>
          <w:sz w:val="20"/>
          <w:szCs w:val="20"/>
          <w:color w:val="auto"/>
        </w:rPr>
      </w:pPr>
    </w:p>
    <w:p>
      <w:pPr>
        <w:ind w:left="1880" w:hanging="575"/>
        <w:spacing w:after="0"/>
        <w:tabs>
          <w:tab w:leader="none" w:pos="1880" w:val="left"/>
        </w:tabs>
        <w:numPr>
          <w:ilvl w:val="0"/>
          <w:numId w:val="65"/>
        </w:numPr>
        <w:rPr>
          <w:rFonts w:ascii="Arial" w:cs="Arial" w:eastAsia="Arial" w:hAnsi="Arial"/>
          <w:sz w:val="19"/>
          <w:szCs w:val="19"/>
          <w:color w:val="auto"/>
        </w:rPr>
      </w:pPr>
      <w:r>
        <w:rPr>
          <w:rFonts w:ascii="Arial" w:cs="Arial" w:eastAsia="Arial" w:hAnsi="Arial"/>
          <w:sz w:val="19"/>
          <w:szCs w:val="19"/>
          <w:color w:val="auto"/>
        </w:rPr>
        <w:t>The General Partner voluntarily withdraws from the Partnership by giving written notice to the other Partners;</w:t>
      </w:r>
    </w:p>
    <w:p>
      <w:pPr>
        <w:spacing w:after="0" w:line="267" w:lineRule="exact"/>
        <w:rPr>
          <w:rFonts w:ascii="Arial" w:cs="Arial" w:eastAsia="Arial" w:hAnsi="Arial"/>
          <w:sz w:val="19"/>
          <w:szCs w:val="19"/>
          <w:color w:val="auto"/>
        </w:rPr>
      </w:pPr>
    </w:p>
    <w:p>
      <w:pPr>
        <w:ind w:left="1880" w:hanging="575"/>
        <w:spacing w:after="0"/>
        <w:tabs>
          <w:tab w:leader="none" w:pos="1880" w:val="left"/>
        </w:tabs>
        <w:numPr>
          <w:ilvl w:val="0"/>
          <w:numId w:val="65"/>
        </w:numPr>
        <w:rPr>
          <w:rFonts w:ascii="Arial" w:cs="Arial" w:eastAsia="Arial" w:hAnsi="Arial"/>
          <w:sz w:val="22"/>
          <w:szCs w:val="22"/>
          <w:color w:val="auto"/>
        </w:rPr>
      </w:pPr>
      <w:r>
        <w:rPr>
          <w:rFonts w:ascii="Arial" w:cs="Arial" w:eastAsia="Arial" w:hAnsi="Arial"/>
          <w:sz w:val="22"/>
          <w:szCs w:val="22"/>
          <w:color w:val="auto"/>
        </w:rPr>
        <w:t xml:space="preserve">The General Partner transfers all of its rights as General Partner pursuant to </w:t>
      </w:r>
      <w:r>
        <w:rPr>
          <w:rFonts w:ascii="Arial" w:cs="Arial" w:eastAsia="Arial" w:hAnsi="Arial"/>
          <w:sz w:val="22"/>
          <w:szCs w:val="22"/>
          <w:u w:val="single" w:color="auto"/>
          <w:color w:val="auto"/>
        </w:rPr>
        <w:t>Section 4.6</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1900" w:hanging="595"/>
        <w:spacing w:after="0"/>
        <w:tabs>
          <w:tab w:leader="none" w:pos="1900" w:val="left"/>
        </w:tabs>
        <w:numPr>
          <w:ilvl w:val="0"/>
          <w:numId w:val="65"/>
        </w:numPr>
        <w:rPr>
          <w:rFonts w:ascii="Arial" w:cs="Arial" w:eastAsia="Arial" w:hAnsi="Arial"/>
          <w:sz w:val="22"/>
          <w:szCs w:val="22"/>
          <w:color w:val="auto"/>
        </w:rPr>
      </w:pPr>
      <w:r>
        <w:rPr>
          <w:rFonts w:ascii="Arial" w:cs="Arial" w:eastAsia="Arial" w:hAnsi="Arial"/>
          <w:sz w:val="22"/>
          <w:szCs w:val="22"/>
          <w:color w:val="auto"/>
        </w:rPr>
        <w:t xml:space="preserve">The General Partner is removed pursuant to </w:t>
      </w:r>
      <w:r>
        <w:rPr>
          <w:rFonts w:ascii="Arial" w:cs="Arial" w:eastAsia="Arial" w:hAnsi="Arial"/>
          <w:sz w:val="22"/>
          <w:szCs w:val="22"/>
          <w:u w:val="single" w:color="auto"/>
          <w:color w:val="auto"/>
        </w:rPr>
        <w:t>Section 11.2</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660" w:right="40" w:firstLine="645"/>
        <w:spacing w:after="0" w:line="279" w:lineRule="auto"/>
        <w:tabs>
          <w:tab w:leader="none" w:pos="1887" w:val="left"/>
        </w:tabs>
        <w:numPr>
          <w:ilvl w:val="0"/>
          <w:numId w:val="65"/>
        </w:numPr>
        <w:rPr>
          <w:rFonts w:ascii="Arial" w:cs="Arial" w:eastAsia="Arial" w:hAnsi="Arial"/>
          <w:sz w:val="19"/>
          <w:szCs w:val="19"/>
          <w:color w:val="auto"/>
        </w:rPr>
      </w:pPr>
      <w:r>
        <w:rPr>
          <w:rFonts w:ascii="Arial" w:cs="Arial" w:eastAsia="Arial" w:hAnsi="Arial"/>
          <w:sz w:val="19"/>
          <w:szCs w:val="19"/>
          <w:color w:val="auto"/>
        </w:rPr>
        <w:t xml:space="preserve">The General Partner (A) makes a general assignment for the benefit of creditors; (B) files a voluntary petition in bankruptcy; (C) files a voluntary petition or answer seeking for itself a liquidation, dissolution or similar relief (but not a reorganization) under any law; (D) files an answer or other pleading admitting or failing to contest the material allegations of a petition filed against the General Partner in a proceeding of the type described in </w:t>
      </w:r>
      <w:r>
        <w:rPr>
          <w:rFonts w:ascii="Arial" w:cs="Arial" w:eastAsia="Arial" w:hAnsi="Arial"/>
          <w:sz w:val="19"/>
          <w:szCs w:val="19"/>
          <w:u w:val="single" w:color="auto"/>
          <w:color w:val="auto"/>
        </w:rPr>
        <w:t>clauses (A)</w:t>
      </w:r>
      <w:r>
        <w:rPr>
          <w:rFonts w:ascii="Arial" w:cs="Arial" w:eastAsia="Arial" w:hAnsi="Arial"/>
          <w:sz w:val="19"/>
          <w:szCs w:val="19"/>
          <w:color w:val="auto"/>
        </w:rPr>
        <w:t xml:space="preserve">, </w:t>
      </w:r>
      <w:r>
        <w:rPr>
          <w:rFonts w:ascii="Arial" w:cs="Arial" w:eastAsia="Arial" w:hAnsi="Arial"/>
          <w:sz w:val="19"/>
          <w:szCs w:val="19"/>
          <w:u w:val="single" w:color="auto"/>
          <w:color w:val="auto"/>
        </w:rPr>
        <w:t>(B)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(C)</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11.1(a)(iv)</w:t>
      </w:r>
      <w:r>
        <w:rPr>
          <w:rFonts w:ascii="Arial" w:cs="Arial" w:eastAsia="Arial" w:hAnsi="Arial"/>
          <w:sz w:val="19"/>
          <w:szCs w:val="19"/>
          <w:color w:val="auto"/>
        </w:rPr>
        <w:t>; or (E) seeks, consents to or acquiesces in the appointment of a trustee (but not a debtor in possession), receiver or liquidating trustee of the General Partner or of all or any substantial part of its properties;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402" w:right="259" w:bottom="1440" w:gutter="0" w:footer="0" w:header="0"/>
        </w:sectPr>
      </w:pPr>
    </w:p>
    <w:bookmarkStart w:id="70" w:name="page71"/>
    <w:bookmarkEnd w:id="70"/>
    <w:p>
      <w:pPr>
        <w:ind w:left="660" w:right="540" w:firstLine="645"/>
        <w:spacing w:after="0" w:line="251" w:lineRule="auto"/>
        <w:tabs>
          <w:tab w:leader="none" w:pos="1827" w:val="left"/>
        </w:tabs>
        <w:numPr>
          <w:ilvl w:val="0"/>
          <w:numId w:val="66"/>
        </w:numPr>
        <w:rPr>
          <w:rFonts w:ascii="Arial" w:cs="Arial" w:eastAsia="Arial" w:hAnsi="Arial"/>
          <w:sz w:val="22"/>
          <w:szCs w:val="22"/>
          <w:color w:val="auto"/>
        </w:rPr>
      </w:pPr>
      <w:r>
        <w:rPr>
          <w:rFonts w:ascii="Arial" w:cs="Arial" w:eastAsia="Arial" w:hAnsi="Arial"/>
          <w:sz w:val="22"/>
          <w:szCs w:val="22"/>
          <w:color w:val="auto"/>
        </w:rPr>
        <w:t>The General Partner is adjudged bankrupt or insolvent, or has entered against it an order for relief in any bankruptcy or insolvency proceeding;</w:t>
      </w:r>
    </w:p>
    <w:p>
      <w:pPr>
        <w:spacing w:after="0" w:line="200" w:lineRule="exact"/>
        <w:rPr>
          <w:rFonts w:ascii="Arial" w:cs="Arial" w:eastAsia="Arial" w:hAnsi="Arial"/>
          <w:sz w:val="22"/>
          <w:szCs w:val="22"/>
          <w:color w:val="auto"/>
        </w:rPr>
      </w:pPr>
    </w:p>
    <w:p>
      <w:pPr>
        <w:ind w:left="660" w:right="40" w:firstLine="645"/>
        <w:spacing w:after="0" w:line="234" w:lineRule="auto"/>
        <w:tabs>
          <w:tab w:leader="none" w:pos="1890" w:val="left"/>
        </w:tabs>
        <w:numPr>
          <w:ilvl w:val="0"/>
          <w:numId w:val="66"/>
        </w:numPr>
        <w:rPr>
          <w:rFonts w:ascii="Arial" w:cs="Arial" w:eastAsia="Arial" w:hAnsi="Arial"/>
          <w:sz w:val="22"/>
          <w:szCs w:val="22"/>
          <w:color w:val="auto"/>
        </w:rPr>
      </w:pPr>
      <w:r>
        <w:rPr>
          <w:rFonts w:ascii="Arial" w:cs="Arial" w:eastAsia="Arial" w:hAnsi="Arial"/>
          <w:sz w:val="22"/>
          <w:szCs w:val="22"/>
          <w:color w:val="auto"/>
        </w:rPr>
        <w:t>(A) in the event the General Partner is a corporation, the filing of a certificate of dissolution, or its equivalent, for the corporation or the revocation of its charter and the expiration of 90 days after the date of notice to the General Partner of revocation without a reinstatement of its charter; (B) in the event the General Partner is a partnership or a limited liability company, the dissolution and commencement of winding up of the General Partner; (C) in the event the General Partner is acting in such capacity by virtue of being a trustee of a trust, the termination of the trust; (D) in the event the General Partner is a natural person, his death or adjudication of incompetency; and (E) otherwise in the event of the termination of the General Partner.</w:t>
      </w:r>
    </w:p>
    <w:p>
      <w:pPr>
        <w:spacing w:after="0" w:line="218"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If an Event of Withdrawal specified in </w:t>
      </w:r>
      <w:r>
        <w:rPr>
          <w:rFonts w:ascii="Arial" w:cs="Arial" w:eastAsia="Arial" w:hAnsi="Arial"/>
          <w:sz w:val="19"/>
          <w:szCs w:val="19"/>
          <w:u w:val="single" w:color="auto"/>
          <w:color w:val="auto"/>
        </w:rPr>
        <w:t>Section 11.1(a)(iv)</w:t>
      </w:r>
      <w:r>
        <w:rPr>
          <w:rFonts w:ascii="Arial" w:cs="Arial" w:eastAsia="Arial" w:hAnsi="Arial"/>
          <w:sz w:val="19"/>
          <w:szCs w:val="19"/>
          <w:color w:val="auto"/>
        </w:rPr>
        <w:t xml:space="preserve">, </w:t>
      </w:r>
      <w:r>
        <w:rPr>
          <w:rFonts w:ascii="Arial" w:cs="Arial" w:eastAsia="Arial" w:hAnsi="Arial"/>
          <w:sz w:val="19"/>
          <w:szCs w:val="19"/>
          <w:u w:val="single" w:color="auto"/>
          <w:color w:val="auto"/>
        </w:rPr>
        <w:t>11.1(a)(v)</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11.1(a)(vi)(A)</w:t>
      </w:r>
      <w:r>
        <w:rPr>
          <w:rFonts w:ascii="Arial" w:cs="Arial" w:eastAsia="Arial" w:hAnsi="Arial"/>
          <w:sz w:val="19"/>
          <w:szCs w:val="19"/>
          <w:color w:val="auto"/>
        </w:rPr>
        <w:t xml:space="preserve">, </w:t>
      </w:r>
      <w:r>
        <w:rPr>
          <w:rFonts w:ascii="Arial" w:cs="Arial" w:eastAsia="Arial" w:hAnsi="Arial"/>
          <w:sz w:val="19"/>
          <w:szCs w:val="19"/>
          <w:u w:val="single" w:color="auto"/>
          <w:color w:val="auto"/>
        </w:rPr>
        <w:t>11.1(a)(vi)(B)</w:t>
      </w:r>
      <w:r>
        <w:rPr>
          <w:rFonts w:ascii="Arial" w:cs="Arial" w:eastAsia="Arial" w:hAnsi="Arial"/>
          <w:sz w:val="19"/>
          <w:szCs w:val="19"/>
          <w:color w:val="auto"/>
        </w:rPr>
        <w:t xml:space="preserve">, </w:t>
      </w:r>
      <w:r>
        <w:rPr>
          <w:rFonts w:ascii="Arial" w:cs="Arial" w:eastAsia="Arial" w:hAnsi="Arial"/>
          <w:sz w:val="19"/>
          <w:szCs w:val="19"/>
          <w:u w:val="single" w:color="auto"/>
          <w:color w:val="auto"/>
        </w:rPr>
        <w:t>11.1(a)(vi)(C)</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11.1(a)(vi)</w:t>
      </w:r>
    </w:p>
    <w:p>
      <w:pPr>
        <w:spacing w:after="0" w:line="43" w:lineRule="exact"/>
        <w:rPr>
          <w:sz w:val="20"/>
          <w:szCs w:val="20"/>
          <w:color w:val="auto"/>
        </w:rPr>
      </w:pPr>
    </w:p>
    <w:p>
      <w:pPr>
        <w:ind w:firstLine="8"/>
        <w:spacing w:after="0" w:line="234" w:lineRule="auto"/>
        <w:tabs>
          <w:tab w:leader="none" w:pos="330" w:val="left"/>
        </w:tabs>
        <w:numPr>
          <w:ilvl w:val="0"/>
          <w:numId w:val="67"/>
        </w:numPr>
        <w:rPr>
          <w:rFonts w:ascii="Arial" w:cs="Arial" w:eastAsia="Arial" w:hAnsi="Arial"/>
          <w:sz w:val="22"/>
          <w:szCs w:val="22"/>
          <w:u w:val="single" w:color="auto"/>
          <w:color w:val="auto"/>
        </w:rPr>
      </w:pPr>
      <w:r>
        <w:rPr>
          <w:rFonts w:ascii="Arial" w:cs="Arial" w:eastAsia="Arial" w:hAnsi="Arial"/>
          <w:sz w:val="22"/>
          <w:szCs w:val="22"/>
          <w:color w:val="auto"/>
        </w:rPr>
        <w:t xml:space="preserve">occurs, the withdrawing General Partner shall give notice to the Limited Partners within 30 days after such occurrence. The Partners hereby agree that only the Events of Withdrawal described in this </w:t>
      </w:r>
      <w:r>
        <w:rPr>
          <w:rFonts w:ascii="Arial" w:cs="Arial" w:eastAsia="Arial" w:hAnsi="Arial"/>
          <w:sz w:val="22"/>
          <w:szCs w:val="22"/>
          <w:u w:val="single" w:color="auto"/>
          <w:color w:val="auto"/>
        </w:rPr>
        <w:t>Section 11.1</w:t>
      </w:r>
      <w:r>
        <w:rPr>
          <w:rFonts w:ascii="Arial" w:cs="Arial" w:eastAsia="Arial" w:hAnsi="Arial"/>
          <w:sz w:val="22"/>
          <w:szCs w:val="22"/>
          <w:color w:val="auto"/>
        </w:rPr>
        <w:t xml:space="preserve"> shall result in the withdrawal of the General Partner from the Partnership.</w:t>
      </w:r>
    </w:p>
    <w:p>
      <w:pPr>
        <w:spacing w:after="0" w:line="214" w:lineRule="exact"/>
        <w:rPr>
          <w:rFonts w:ascii="Arial" w:cs="Arial" w:eastAsia="Arial" w:hAnsi="Arial"/>
          <w:sz w:val="22"/>
          <w:szCs w:val="22"/>
          <w:u w:val="single" w:color="auto"/>
          <w:color w:val="auto"/>
        </w:rPr>
      </w:pPr>
    </w:p>
    <w:p>
      <w:pPr>
        <w:ind w:right="160" w:firstLine="1305"/>
        <w:spacing w:after="0" w:line="251" w:lineRule="auto"/>
        <w:tabs>
          <w:tab w:leader="none" w:pos="1815" w:val="left"/>
        </w:tabs>
        <w:numPr>
          <w:ilvl w:val="1"/>
          <w:numId w:val="67"/>
        </w:numPr>
        <w:rPr>
          <w:rFonts w:ascii="Arial" w:cs="Arial" w:eastAsia="Arial" w:hAnsi="Arial"/>
          <w:sz w:val="22"/>
          <w:szCs w:val="22"/>
          <w:color w:val="auto"/>
        </w:rPr>
      </w:pPr>
      <w:r>
        <w:rPr>
          <w:rFonts w:ascii="Arial" w:cs="Arial" w:eastAsia="Arial" w:hAnsi="Arial"/>
          <w:sz w:val="22"/>
          <w:szCs w:val="22"/>
          <w:color w:val="auto"/>
        </w:rPr>
        <w:t>Withdrawal of the General Partner from the Partnership upon the occurrence of an Event of Withdrawal shall not constitute a breach of this Agreement under the following circumstances:</w:t>
      </w:r>
    </w:p>
    <w:p>
      <w:pPr>
        <w:spacing w:after="0" w:line="200" w:lineRule="exact"/>
        <w:rPr>
          <w:sz w:val="20"/>
          <w:szCs w:val="20"/>
          <w:color w:val="auto"/>
        </w:rPr>
      </w:pPr>
    </w:p>
    <w:p>
      <w:pPr>
        <w:ind w:left="660" w:right="140" w:firstLine="645"/>
        <w:spacing w:after="0" w:line="246" w:lineRule="auto"/>
        <w:tabs>
          <w:tab w:leader="none" w:pos="1782" w:val="left"/>
        </w:tabs>
        <w:numPr>
          <w:ilvl w:val="0"/>
          <w:numId w:val="68"/>
        </w:numPr>
        <w:rPr>
          <w:rFonts w:ascii="Arial" w:cs="Arial" w:eastAsia="Arial" w:hAnsi="Arial"/>
          <w:sz w:val="21"/>
          <w:szCs w:val="21"/>
          <w:color w:val="auto"/>
        </w:rPr>
      </w:pPr>
      <w:r>
        <w:rPr>
          <w:rFonts w:ascii="Arial" w:cs="Arial" w:eastAsia="Arial" w:hAnsi="Arial"/>
          <w:sz w:val="21"/>
          <w:szCs w:val="21"/>
          <w:color w:val="auto"/>
        </w:rPr>
        <w:t xml:space="preserve">at any time during the period beginning on the Closing Date and ending at 12:00 midnight, prevailing Eastern Time, on March 31, 2024, the General Partner voluntarily withdraws by giving at least 90 days’ advance notice of its intention to withdraw to the Limited Partners, such withdrawal to take effect on the date specified in the notice;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prior to the effective date of such withdrawal, the withdrawal is approved by Unitholders holding at least a</w:t>
      </w:r>
      <w:r>
        <w:rPr>
          <w:rFonts w:ascii="Arial" w:cs="Arial" w:eastAsia="Arial" w:hAnsi="Arial"/>
          <w:sz w:val="21"/>
          <w:szCs w:val="21"/>
          <w:i w:val="1"/>
          <w:iCs w:val="1"/>
          <w:color w:val="auto"/>
        </w:rPr>
        <w:t xml:space="preserve"> </w:t>
      </w:r>
      <w:r>
        <w:rPr>
          <w:rFonts w:ascii="Arial" w:cs="Arial" w:eastAsia="Arial" w:hAnsi="Arial"/>
          <w:sz w:val="21"/>
          <w:szCs w:val="21"/>
          <w:color w:val="auto"/>
        </w:rPr>
        <w:t>majority of the Outstanding Common Units (excluding Common Units held by the General Partner and its Affiliates) and the General Partner delivers to the Partnership an Opinion of Counsel (“</w:t>
      </w:r>
      <w:r>
        <w:rPr>
          <w:rFonts w:ascii="Arial" w:cs="Arial" w:eastAsia="Arial" w:hAnsi="Arial"/>
          <w:sz w:val="21"/>
          <w:szCs w:val="21"/>
          <w:b w:val="1"/>
          <w:bCs w:val="1"/>
          <w:i w:val="1"/>
          <w:iCs w:val="1"/>
          <w:color w:val="auto"/>
        </w:rPr>
        <w:t>Withdrawal Opinion of Counsel</w:t>
      </w:r>
      <w:r>
        <w:rPr>
          <w:rFonts w:ascii="Arial" w:cs="Arial" w:eastAsia="Arial" w:hAnsi="Arial"/>
          <w:sz w:val="21"/>
          <w:szCs w:val="21"/>
          <w:color w:val="auto"/>
        </w:rPr>
        <w:t>”) that such withdrawal (following the selection of the successor General Partner) would not result in the loss of the limited liability of any Limited Partner or any Group Member;</w:t>
      </w:r>
    </w:p>
    <w:p>
      <w:pPr>
        <w:spacing w:after="0" w:line="207" w:lineRule="exact"/>
        <w:rPr>
          <w:rFonts w:ascii="Arial" w:cs="Arial" w:eastAsia="Arial" w:hAnsi="Arial"/>
          <w:sz w:val="21"/>
          <w:szCs w:val="21"/>
          <w:color w:val="auto"/>
        </w:rPr>
      </w:pPr>
    </w:p>
    <w:p>
      <w:pPr>
        <w:jc w:val="both"/>
        <w:ind w:left="660" w:right="20" w:firstLine="645"/>
        <w:spacing w:after="0" w:line="238" w:lineRule="auto"/>
        <w:tabs>
          <w:tab w:leader="none" w:pos="1843" w:val="left"/>
        </w:tabs>
        <w:numPr>
          <w:ilvl w:val="0"/>
          <w:numId w:val="68"/>
        </w:numPr>
        <w:rPr>
          <w:rFonts w:ascii="Arial" w:cs="Arial" w:eastAsia="Arial" w:hAnsi="Arial"/>
          <w:sz w:val="22"/>
          <w:szCs w:val="22"/>
          <w:color w:val="auto"/>
        </w:rPr>
      </w:pPr>
      <w:r>
        <w:rPr>
          <w:rFonts w:ascii="Arial" w:cs="Arial" w:eastAsia="Arial" w:hAnsi="Arial"/>
          <w:sz w:val="22"/>
          <w:szCs w:val="22"/>
          <w:color w:val="auto"/>
        </w:rPr>
        <w:t>at any time after 12:00 midnight, prevailing Eastern Time, on March 31, 2024, the General Partner voluntarily withdraws by giving at least 90 days’ advance notice to the Unitholders, such withdrawal to take effect on the date specified in such notice (</w:t>
      </w:r>
      <w:r>
        <w:rPr>
          <w:rFonts w:ascii="Arial" w:cs="Arial" w:eastAsia="Arial" w:hAnsi="Arial"/>
          <w:sz w:val="22"/>
          <w:szCs w:val="22"/>
          <w:i w:val="1"/>
          <w:iCs w:val="1"/>
          <w:color w:val="auto"/>
        </w:rPr>
        <w:t>provided</w:t>
      </w:r>
      <w:r>
        <w:rPr>
          <w:rFonts w:ascii="Arial" w:cs="Arial" w:eastAsia="Arial" w:hAnsi="Arial"/>
          <w:sz w:val="22"/>
          <w:szCs w:val="22"/>
          <w:color w:val="auto"/>
        </w:rPr>
        <w:t>, that, prior to the effective date of such withdrawal, the General Partner delivers to the Partnership a Withdrawal Opinion of Counsel);</w:t>
      </w:r>
    </w:p>
    <w:p>
      <w:pPr>
        <w:spacing w:after="0" w:line="212" w:lineRule="exact"/>
        <w:rPr>
          <w:rFonts w:ascii="Arial" w:cs="Arial" w:eastAsia="Arial" w:hAnsi="Arial"/>
          <w:sz w:val="22"/>
          <w:szCs w:val="22"/>
          <w:color w:val="auto"/>
        </w:rPr>
      </w:pPr>
    </w:p>
    <w:p>
      <w:pPr>
        <w:ind w:left="660" w:right="520" w:firstLine="645"/>
        <w:spacing w:after="0" w:line="251" w:lineRule="auto"/>
        <w:tabs>
          <w:tab w:leader="none" w:pos="1903" w:val="left"/>
        </w:tabs>
        <w:numPr>
          <w:ilvl w:val="0"/>
          <w:numId w:val="68"/>
        </w:numPr>
        <w:rPr>
          <w:rFonts w:ascii="Arial" w:cs="Arial" w:eastAsia="Arial" w:hAnsi="Arial"/>
          <w:sz w:val="22"/>
          <w:szCs w:val="22"/>
          <w:color w:val="auto"/>
        </w:rPr>
      </w:pPr>
      <w:r>
        <w:rPr>
          <w:rFonts w:ascii="Arial" w:cs="Arial" w:eastAsia="Arial" w:hAnsi="Arial"/>
          <w:sz w:val="22"/>
          <w:szCs w:val="22"/>
          <w:color w:val="auto"/>
        </w:rPr>
        <w:t xml:space="preserve">at any time that the General Partner ceases to be the General Partner pursuant to </w:t>
      </w:r>
      <w:r>
        <w:rPr>
          <w:rFonts w:ascii="Arial" w:cs="Arial" w:eastAsia="Arial" w:hAnsi="Arial"/>
          <w:sz w:val="22"/>
          <w:szCs w:val="22"/>
          <w:u w:val="single" w:color="auto"/>
          <w:color w:val="auto"/>
        </w:rPr>
        <w:t>Section 11.1(a)(ii)</w:t>
      </w:r>
      <w:r>
        <w:rPr>
          <w:rFonts w:ascii="Arial" w:cs="Arial" w:eastAsia="Arial" w:hAnsi="Arial"/>
          <w:sz w:val="22"/>
          <w:szCs w:val="22"/>
          <w:color w:val="auto"/>
        </w:rPr>
        <w:t xml:space="preserve"> or is removed pursuant to </w:t>
      </w:r>
      <w:r>
        <w:rPr>
          <w:rFonts w:ascii="Arial" w:cs="Arial" w:eastAsia="Arial" w:hAnsi="Arial"/>
          <w:sz w:val="22"/>
          <w:szCs w:val="22"/>
          <w:u w:val="single" w:color="auto"/>
          <w:color w:val="auto"/>
        </w:rPr>
        <w:t>Section 11.2</w:t>
      </w:r>
      <w:r>
        <w:rPr>
          <w:rFonts w:ascii="Arial" w:cs="Arial" w:eastAsia="Arial" w:hAnsi="Arial"/>
          <w:sz w:val="22"/>
          <w:szCs w:val="22"/>
          <w:color w:val="auto"/>
        </w:rPr>
        <w:t>; or</w:t>
      </w:r>
    </w:p>
    <w:p>
      <w:pPr>
        <w:spacing w:after="0" w:line="200" w:lineRule="exact"/>
        <w:rPr>
          <w:rFonts w:ascii="Arial" w:cs="Arial" w:eastAsia="Arial" w:hAnsi="Arial"/>
          <w:sz w:val="22"/>
          <w:szCs w:val="22"/>
          <w:color w:val="auto"/>
        </w:rPr>
      </w:pPr>
    </w:p>
    <w:p>
      <w:pPr>
        <w:ind w:left="660" w:right="160" w:firstLine="645"/>
        <w:spacing w:after="0" w:line="251" w:lineRule="auto"/>
        <w:tabs>
          <w:tab w:leader="none" w:pos="1890" w:val="left"/>
        </w:tabs>
        <w:numPr>
          <w:ilvl w:val="0"/>
          <w:numId w:val="68"/>
        </w:numPr>
        <w:rPr>
          <w:rFonts w:ascii="Arial" w:cs="Arial" w:eastAsia="Arial" w:hAnsi="Arial"/>
          <w:sz w:val="22"/>
          <w:szCs w:val="22"/>
          <w:color w:val="auto"/>
        </w:rPr>
      </w:pPr>
      <w:r>
        <w:rPr>
          <w:rFonts w:ascii="Arial" w:cs="Arial" w:eastAsia="Arial" w:hAnsi="Arial"/>
          <w:sz w:val="22"/>
          <w:szCs w:val="22"/>
          <w:color w:val="auto"/>
        </w:rPr>
        <w:t xml:space="preserve">notwithstanding </w:t>
      </w:r>
      <w:r>
        <w:rPr>
          <w:rFonts w:ascii="Arial" w:cs="Arial" w:eastAsia="Arial" w:hAnsi="Arial"/>
          <w:sz w:val="22"/>
          <w:szCs w:val="22"/>
          <w:u w:val="single" w:color="auto"/>
          <w:color w:val="auto"/>
        </w:rPr>
        <w:t>clause (i)</w:t>
      </w:r>
      <w:r>
        <w:rPr>
          <w:rFonts w:ascii="Arial" w:cs="Arial" w:eastAsia="Arial" w:hAnsi="Arial"/>
          <w:sz w:val="22"/>
          <w:szCs w:val="22"/>
          <w:color w:val="auto"/>
        </w:rPr>
        <w:t xml:space="preserve"> of this </w:t>
      </w:r>
      <w:r>
        <w:rPr>
          <w:rFonts w:ascii="Arial" w:cs="Arial" w:eastAsia="Arial" w:hAnsi="Arial"/>
          <w:sz w:val="22"/>
          <w:szCs w:val="22"/>
          <w:u w:val="single" w:color="auto"/>
          <w:color w:val="auto"/>
        </w:rPr>
        <w:t>Section 11.1(b)</w:t>
      </w:r>
      <w:r>
        <w:rPr>
          <w:rFonts w:ascii="Arial" w:cs="Arial" w:eastAsia="Arial" w:hAnsi="Arial"/>
          <w:sz w:val="22"/>
          <w:szCs w:val="22"/>
          <w:color w:val="auto"/>
        </w:rPr>
        <w:t>, at any time that the General Partner voluntarily withdraws by giving at least 90 days’ advance notice of its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402" w:right="259" w:bottom="1440" w:gutter="0" w:footer="0" w:header="0"/>
        </w:sectPr>
      </w:pPr>
    </w:p>
    <w:bookmarkStart w:id="71" w:name="page72"/>
    <w:bookmarkEnd w:id="71"/>
    <w:p>
      <w:pPr>
        <w:ind w:left="660"/>
        <w:spacing w:after="0" w:line="272" w:lineRule="auto"/>
        <w:rPr>
          <w:sz w:val="20"/>
          <w:szCs w:val="20"/>
          <w:color w:val="auto"/>
        </w:rPr>
      </w:pPr>
      <w:r>
        <w:rPr>
          <w:rFonts w:ascii="Arial" w:cs="Arial" w:eastAsia="Arial" w:hAnsi="Arial"/>
          <w:sz w:val="19"/>
          <w:szCs w:val="19"/>
          <w:color w:val="auto"/>
        </w:rPr>
        <w:t xml:space="preserve">intention to withdraw to the Limited Partners, such withdrawal to take effect on the date specified in the notice, if at the time such notice is given one Person and its Affiliates (other than the General Partner and its Affiliates) own beneficially or of record or control at least 50% of the Outstanding Units. The withdrawal of the General Partner from the Partnership upon the occurrence of an Event of Withdrawal shall also constitute the withdrawal of the General Partner as general partner or managing member, if any, to the extent applicable, of the other Group Members. If the General Partner gives a notice of withdrawal pursuant to </w:t>
      </w:r>
      <w:r>
        <w:rPr>
          <w:rFonts w:ascii="Arial" w:cs="Arial" w:eastAsia="Arial" w:hAnsi="Arial"/>
          <w:sz w:val="19"/>
          <w:szCs w:val="19"/>
          <w:u w:val="single" w:color="auto"/>
          <w:color w:val="auto"/>
        </w:rPr>
        <w:t>Section 11.1(a)(i)</w:t>
      </w:r>
      <w:r>
        <w:rPr>
          <w:rFonts w:ascii="Arial" w:cs="Arial" w:eastAsia="Arial" w:hAnsi="Arial"/>
          <w:sz w:val="19"/>
          <w:szCs w:val="19"/>
          <w:color w:val="auto"/>
        </w:rPr>
        <w:t xml:space="preserve">, the holders of a Unit Majority, may, prior to the effective date of such withdrawal, elect a successor General Partner. The Person so elected as successor General Partner shall automatically become the successor general partner or managing member, to the extent applicable, of the other Group Members of which the General Partner is a general partner or a managing member. If, prior to the effective date of the General Partner’s withdrawal, a successor is not selected by the Unitholders as provided herein or, if applicable, the Partnership does not receive a Withdrawal Opinion of Counsel, the Partnership shall be dissolved in accordance with </w:t>
      </w:r>
      <w:r>
        <w:rPr>
          <w:rFonts w:ascii="Arial" w:cs="Arial" w:eastAsia="Arial" w:hAnsi="Arial"/>
          <w:sz w:val="19"/>
          <w:szCs w:val="19"/>
          <w:u w:val="single" w:color="auto"/>
          <w:color w:val="auto"/>
        </w:rPr>
        <w:t>Section 12.1.</w:t>
      </w:r>
      <w:r>
        <w:rPr>
          <w:rFonts w:ascii="Arial" w:cs="Arial" w:eastAsia="Arial" w:hAnsi="Arial"/>
          <w:sz w:val="19"/>
          <w:szCs w:val="19"/>
          <w:color w:val="auto"/>
        </w:rPr>
        <w:t xml:space="preserve"> Any successor General Partner elected in accordance with the terms of this </w:t>
      </w:r>
      <w:r>
        <w:rPr>
          <w:rFonts w:ascii="Arial" w:cs="Arial" w:eastAsia="Arial" w:hAnsi="Arial"/>
          <w:sz w:val="19"/>
          <w:szCs w:val="19"/>
          <w:u w:val="single" w:color="auto"/>
          <w:color w:val="auto"/>
        </w:rPr>
        <w:t>Section 11.1</w:t>
      </w:r>
      <w:r>
        <w:rPr>
          <w:rFonts w:ascii="Arial" w:cs="Arial" w:eastAsia="Arial" w:hAnsi="Arial"/>
          <w:sz w:val="19"/>
          <w:szCs w:val="19"/>
          <w:color w:val="auto"/>
        </w:rPr>
        <w:t xml:space="preserve"> shall be subject to the provisions of </w:t>
      </w:r>
      <w:r>
        <w:rPr>
          <w:rFonts w:ascii="Arial" w:cs="Arial" w:eastAsia="Arial" w:hAnsi="Arial"/>
          <w:sz w:val="19"/>
          <w:szCs w:val="19"/>
          <w:u w:val="single" w:color="auto"/>
          <w:color w:val="auto"/>
        </w:rPr>
        <w:t>Section 10.3.</w:t>
      </w:r>
    </w:p>
    <w:p>
      <w:pPr>
        <w:spacing w:after="0" w:line="189" w:lineRule="exact"/>
        <w:rPr>
          <w:sz w:val="20"/>
          <w:szCs w:val="20"/>
          <w:color w:val="auto"/>
        </w:rPr>
      </w:pPr>
    </w:p>
    <w:p>
      <w:pPr>
        <w:ind w:right="120" w:firstLine="1297"/>
        <w:spacing w:after="0" w:line="282" w:lineRule="auto"/>
        <w:rPr>
          <w:sz w:val="20"/>
          <w:szCs w:val="20"/>
          <w:color w:val="auto"/>
        </w:rPr>
      </w:pPr>
      <w:r>
        <w:rPr>
          <w:rFonts w:ascii="Arial" w:cs="Arial" w:eastAsia="Arial" w:hAnsi="Arial"/>
          <w:sz w:val="19"/>
          <w:szCs w:val="19"/>
          <w:color w:val="auto"/>
        </w:rPr>
        <w:t xml:space="preserve">Section 11.2. </w:t>
      </w:r>
      <w:r>
        <w:rPr>
          <w:rFonts w:ascii="Arial" w:cs="Arial" w:eastAsia="Arial" w:hAnsi="Arial"/>
          <w:sz w:val="19"/>
          <w:szCs w:val="19"/>
          <w:i w:val="1"/>
          <w:iCs w:val="1"/>
          <w:color w:val="auto"/>
        </w:rPr>
        <w:t>Removal of the General Partner</w:t>
      </w:r>
      <w:r>
        <w:rPr>
          <w:rFonts w:ascii="Arial" w:cs="Arial" w:eastAsia="Arial" w:hAnsi="Arial"/>
          <w:sz w:val="19"/>
          <w:szCs w:val="19"/>
          <w:color w:val="auto"/>
        </w:rPr>
        <w:t>. The General Partner may be removed if such removal is approved by the Unitholders holding at least 66 2 /3 % of the Outstanding Common and Subordinated Units (including Common and Subordinated Units held by the General Partner and its Affiliates), voting as a single class. Any such action by such holders or the Board of Directors for removal of the General Partner must also provide for the election of a successor General Partner by the majority vote of the Outstanding Common Units and Subordinated Units, voting together as a single class.</w:t>
      </w:r>
    </w:p>
    <w:p>
      <w:pPr>
        <w:spacing w:after="0" w:line="175" w:lineRule="exact"/>
        <w:rPr>
          <w:sz w:val="20"/>
          <w:szCs w:val="20"/>
          <w:color w:val="auto"/>
        </w:rPr>
      </w:pPr>
    </w:p>
    <w:p>
      <w:pPr>
        <w:ind w:right="80" w:firstLine="1297"/>
        <w:spacing w:after="0" w:line="245" w:lineRule="auto"/>
        <w:rPr>
          <w:sz w:val="20"/>
          <w:szCs w:val="20"/>
          <w:color w:val="auto"/>
        </w:rPr>
      </w:pPr>
      <w:r>
        <w:rPr>
          <w:rFonts w:ascii="Arial" w:cs="Arial" w:eastAsia="Arial" w:hAnsi="Arial"/>
          <w:sz w:val="21"/>
          <w:szCs w:val="21"/>
          <w:color w:val="auto"/>
        </w:rPr>
        <w:t xml:space="preserve">Such removal shall be effective immediately following the admission of a successor General Partner pursuant to </w:t>
      </w:r>
      <w:r>
        <w:rPr>
          <w:rFonts w:ascii="Arial" w:cs="Arial" w:eastAsia="Arial" w:hAnsi="Arial"/>
          <w:sz w:val="21"/>
          <w:szCs w:val="21"/>
          <w:u w:val="single" w:color="auto"/>
          <w:color w:val="auto"/>
        </w:rPr>
        <w:t>Section 10.3</w:t>
      </w:r>
      <w:r>
        <w:rPr>
          <w:rFonts w:ascii="Arial" w:cs="Arial" w:eastAsia="Arial" w:hAnsi="Arial"/>
          <w:sz w:val="21"/>
          <w:szCs w:val="21"/>
          <w:color w:val="auto"/>
        </w:rPr>
        <w:t xml:space="preserve">. The removal of the General Partner shall also automatically constitute the removal of the General Partner as general partner or managing member, to the extent applicable, of the other Group Members of which the General Partner is a general partner or a managing member. If a Person is elected as a successor General Partner in accordance with the terms of this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11.2</w:t>
      </w:r>
      <w:r>
        <w:rPr>
          <w:rFonts w:ascii="Arial" w:cs="Arial" w:eastAsia="Arial" w:hAnsi="Arial"/>
          <w:sz w:val="21"/>
          <w:szCs w:val="21"/>
          <w:color w:val="auto"/>
        </w:rPr>
        <w:t xml:space="preserve">, such Person shall, upon admission pursuant to </w:t>
      </w:r>
      <w:r>
        <w:rPr>
          <w:rFonts w:ascii="Arial" w:cs="Arial" w:eastAsia="Arial" w:hAnsi="Arial"/>
          <w:sz w:val="21"/>
          <w:szCs w:val="21"/>
          <w:u w:val="single" w:color="auto"/>
          <w:color w:val="auto"/>
        </w:rPr>
        <w:t>Section 10.3</w:t>
      </w:r>
      <w:r>
        <w:rPr>
          <w:rFonts w:ascii="Arial" w:cs="Arial" w:eastAsia="Arial" w:hAnsi="Arial"/>
          <w:sz w:val="21"/>
          <w:szCs w:val="21"/>
          <w:color w:val="auto"/>
        </w:rPr>
        <w:t xml:space="preserve">, automatically become a successor general partner or managing member, to the extent applicable, of the other Group Members of which the General Partner is a general partner or a managing member. The right of the holders of Outstanding Common and Subordinated Units to remove the General Partner shall not exist or be exercised unless the Partnership has received an Opinion of Counsel opining as to the matters covered by a Withdrawal Opinion of Counsel. Any successor General Partner elected in accordance with the terms of this </w:t>
      </w:r>
      <w:r>
        <w:rPr>
          <w:rFonts w:ascii="Arial" w:cs="Arial" w:eastAsia="Arial" w:hAnsi="Arial"/>
          <w:sz w:val="21"/>
          <w:szCs w:val="21"/>
          <w:u w:val="single" w:color="auto"/>
          <w:color w:val="auto"/>
        </w:rPr>
        <w:t>Section 11.2</w:t>
      </w:r>
      <w:r>
        <w:rPr>
          <w:rFonts w:ascii="Arial" w:cs="Arial" w:eastAsia="Arial" w:hAnsi="Arial"/>
          <w:sz w:val="21"/>
          <w:szCs w:val="21"/>
          <w:color w:val="auto"/>
        </w:rPr>
        <w:t xml:space="preserve"> shall be subject to the provisions of </w:t>
      </w:r>
      <w:r>
        <w:rPr>
          <w:rFonts w:ascii="Arial" w:cs="Arial" w:eastAsia="Arial" w:hAnsi="Arial"/>
          <w:sz w:val="21"/>
          <w:szCs w:val="21"/>
          <w:u w:val="single" w:color="auto"/>
          <w:color w:val="auto"/>
        </w:rPr>
        <w:t>Section 10.3</w:t>
      </w:r>
      <w:r>
        <w:rPr>
          <w:rFonts w:ascii="Arial" w:cs="Arial" w:eastAsia="Arial" w:hAnsi="Arial"/>
          <w:sz w:val="21"/>
          <w:szCs w:val="21"/>
          <w:color w:val="auto"/>
        </w:rPr>
        <w:t>.</w:t>
      </w:r>
    </w:p>
    <w:p>
      <w:pPr>
        <w:spacing w:after="0" w:line="209" w:lineRule="exact"/>
        <w:rPr>
          <w:sz w:val="20"/>
          <w:szCs w:val="20"/>
          <w:color w:val="auto"/>
        </w:rPr>
      </w:pPr>
    </w:p>
    <w:p>
      <w:pPr>
        <w:ind w:right="240" w:firstLine="1297"/>
        <w:spacing w:after="0" w:line="249" w:lineRule="auto"/>
        <w:rPr>
          <w:sz w:val="20"/>
          <w:szCs w:val="20"/>
          <w:color w:val="auto"/>
        </w:rPr>
      </w:pPr>
      <w:r>
        <w:rPr>
          <w:rFonts w:ascii="Arial" w:cs="Arial" w:eastAsia="Arial" w:hAnsi="Arial"/>
          <w:sz w:val="21"/>
          <w:szCs w:val="21"/>
          <w:color w:val="auto"/>
        </w:rPr>
        <w:t xml:space="preserve">Section 11.3. </w:t>
      </w:r>
      <w:r>
        <w:rPr>
          <w:rFonts w:ascii="Arial" w:cs="Arial" w:eastAsia="Arial" w:hAnsi="Arial"/>
          <w:sz w:val="21"/>
          <w:szCs w:val="21"/>
          <w:i w:val="1"/>
          <w:iCs w:val="1"/>
          <w:color w:val="auto"/>
        </w:rPr>
        <w:t>Interest of Departing General Partner and Successor General Partner</w:t>
      </w:r>
      <w:r>
        <w:rPr>
          <w:rFonts w:ascii="Arial" w:cs="Arial" w:eastAsia="Arial" w:hAnsi="Arial"/>
          <w:sz w:val="21"/>
          <w:szCs w:val="21"/>
          <w:color w:val="auto"/>
        </w:rPr>
        <w:t xml:space="preserve">. (a) In the event of (i) withdrawal of the General Partner under circumstances where such withdrawal does not violate this Agreement or (ii) removal of the General Partner by the holders of Outstanding Common and Subordinated Units under circumstances where Cause does not exist, if the successor General Partner is elected in accordance with the terms of </w:t>
      </w:r>
      <w:r>
        <w:rPr>
          <w:rFonts w:ascii="Arial" w:cs="Arial" w:eastAsia="Arial" w:hAnsi="Arial"/>
          <w:sz w:val="21"/>
          <w:szCs w:val="21"/>
          <w:u w:val="single" w:color="auto"/>
          <w:color w:val="auto"/>
        </w:rPr>
        <w:t>Section 11.1</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 11.2</w:t>
      </w:r>
      <w:r>
        <w:rPr>
          <w:rFonts w:ascii="Arial" w:cs="Arial" w:eastAsia="Arial" w:hAnsi="Arial"/>
          <w:sz w:val="21"/>
          <w:szCs w:val="21"/>
          <w:color w:val="auto"/>
        </w:rPr>
        <w:t>, (A) the Departing General Partner shall have the option, exercisable prior to the</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72" w:name="page73"/>
    <w:bookmarkEnd w:id="72"/>
    <w:p>
      <w:pPr>
        <w:ind w:right="60"/>
        <w:spacing w:after="0" w:line="271" w:lineRule="auto"/>
        <w:rPr>
          <w:sz w:val="20"/>
          <w:szCs w:val="20"/>
          <w:color w:val="auto"/>
        </w:rPr>
      </w:pPr>
      <w:r>
        <w:rPr>
          <w:rFonts w:ascii="Arial" w:cs="Arial" w:eastAsia="Arial" w:hAnsi="Arial"/>
          <w:sz w:val="19"/>
          <w:szCs w:val="19"/>
          <w:color w:val="auto"/>
        </w:rPr>
        <w:t>effective date of the departure of such Departing General Partner, to require its successor to purchase its General Partner Interest (represented by General Partner Units) and its general partner interest (or equivalent interest), if any, in the other Group Members and its Incentive Distribution Rights, if any (collectively, the “</w:t>
      </w:r>
      <w:r>
        <w:rPr>
          <w:rFonts w:ascii="Arial" w:cs="Arial" w:eastAsia="Arial" w:hAnsi="Arial"/>
          <w:sz w:val="19"/>
          <w:szCs w:val="19"/>
          <w:b w:val="1"/>
          <w:bCs w:val="1"/>
          <w:i w:val="1"/>
          <w:iCs w:val="1"/>
          <w:color w:val="auto"/>
        </w:rPr>
        <w:t>Combined Interest</w:t>
      </w:r>
      <w:r>
        <w:rPr>
          <w:rFonts w:ascii="Arial" w:cs="Arial" w:eastAsia="Arial" w:hAnsi="Arial"/>
          <w:sz w:val="19"/>
          <w:szCs w:val="19"/>
          <w:color w:val="auto"/>
        </w:rPr>
        <w:t>”), in exchange for an amount in cash equal to the fair market value of such Combined Interest, such amount to be determined and payable as of the effective date of its departure and</w:t>
      </w:r>
    </w:p>
    <w:p>
      <w:pPr>
        <w:spacing w:after="0" w:line="4" w:lineRule="exact"/>
        <w:rPr>
          <w:sz w:val="20"/>
          <w:szCs w:val="20"/>
          <w:color w:val="auto"/>
        </w:rPr>
      </w:pPr>
    </w:p>
    <w:p>
      <w:pPr>
        <w:ind w:right="40" w:firstLine="8"/>
        <w:spacing w:after="0" w:line="270" w:lineRule="auto"/>
        <w:tabs>
          <w:tab w:leader="none" w:pos="342" w:val="left"/>
        </w:tabs>
        <w:numPr>
          <w:ilvl w:val="0"/>
          <w:numId w:val="69"/>
        </w:numPr>
        <w:rPr>
          <w:rFonts w:ascii="Arial" w:cs="Arial" w:eastAsia="Arial" w:hAnsi="Arial"/>
          <w:sz w:val="19"/>
          <w:szCs w:val="19"/>
          <w:color w:val="auto"/>
        </w:rPr>
      </w:pPr>
      <w:r>
        <w:rPr>
          <w:rFonts w:ascii="Arial" w:cs="Arial" w:eastAsia="Arial" w:hAnsi="Arial"/>
          <w:sz w:val="19"/>
          <w:szCs w:val="19"/>
          <w:color w:val="auto"/>
        </w:rPr>
        <w:t xml:space="preserve">the other holders of the Incentive Distribution Rights shall have the option, exercisable prior to the effective date of the departure of such Departing General Partner, to require such successor to purchase such holders’ Incentive Distribution Rights in exchange for an amount in cash equal to the fair market value of such Incentive Distribution Rights, such amount to be determined and payable as of the effective date of the Departing General Partner’s departure. If the General Partner is removed by the holders of Outstanding Common and Subordinated Units under circumstances where Cause exists or if the General Partner withdraws under circumstances where such withdrawal violates this Agreement, and if a successor General Partner is elected in accordance with the terms of </w:t>
      </w:r>
      <w:r>
        <w:rPr>
          <w:rFonts w:ascii="Arial" w:cs="Arial" w:eastAsia="Arial" w:hAnsi="Arial"/>
          <w:sz w:val="19"/>
          <w:szCs w:val="19"/>
          <w:u w:val="single" w:color="auto"/>
          <w:color w:val="auto"/>
        </w:rPr>
        <w:t>Section 11.1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11.2</w:t>
      </w:r>
      <w:r>
        <w:rPr>
          <w:rFonts w:ascii="Arial" w:cs="Arial" w:eastAsia="Arial" w:hAnsi="Arial"/>
          <w:sz w:val="19"/>
          <w:szCs w:val="19"/>
          <w:color w:val="auto"/>
        </w:rPr>
        <w:t xml:space="preserve"> (or if the business of the Partnership is continued pursuant to </w:t>
      </w:r>
      <w:r>
        <w:rPr>
          <w:rFonts w:ascii="Arial" w:cs="Arial" w:eastAsia="Arial" w:hAnsi="Arial"/>
          <w:sz w:val="19"/>
          <w:szCs w:val="19"/>
          <w:u w:val="single" w:color="auto"/>
          <w:color w:val="auto"/>
        </w:rPr>
        <w:t>Section 12.2</w:t>
      </w:r>
      <w:r>
        <w:rPr>
          <w:rFonts w:ascii="Arial" w:cs="Arial" w:eastAsia="Arial" w:hAnsi="Arial"/>
          <w:sz w:val="19"/>
          <w:szCs w:val="19"/>
          <w:color w:val="auto"/>
        </w:rPr>
        <w:t xml:space="preserve"> and the successor General Partner is not the former General Partner), such successor shall have the option, exercisable prior to the effective date of the departure of such Departing General Partner (or, in the event the business of the Partnership is continued, prior to the date the business of the Partnership is continued), to purchase the Combined Interest in exchange for an amount in cash equal to such fair market value of such Combined Interest of the Departing General Partner. In either event, the Departing General Partner shall be entitled to receive all reimbursements due such Departing General Partner pursuant to </w:t>
      </w:r>
      <w:r>
        <w:rPr>
          <w:rFonts w:ascii="Arial" w:cs="Arial" w:eastAsia="Arial" w:hAnsi="Arial"/>
          <w:sz w:val="19"/>
          <w:szCs w:val="19"/>
          <w:u w:val="single" w:color="auto"/>
          <w:color w:val="auto"/>
        </w:rPr>
        <w:t>Section 7.12</w:t>
      </w:r>
      <w:r>
        <w:rPr>
          <w:rFonts w:ascii="Arial" w:cs="Arial" w:eastAsia="Arial" w:hAnsi="Arial"/>
          <w:sz w:val="19"/>
          <w:szCs w:val="19"/>
          <w:color w:val="auto"/>
        </w:rPr>
        <w:t>, including any employee related liabilities (including severance liabilities), incurred in connection with the termination of any employees employed by the Departing General Partner or its Affiliates (other than any Group Member) for the benefit of the Partnership or the other Group Members.</w:t>
      </w:r>
    </w:p>
    <w:p>
      <w:pPr>
        <w:spacing w:after="0" w:line="200" w:lineRule="exact"/>
        <w:rPr>
          <w:sz w:val="20"/>
          <w:szCs w:val="20"/>
          <w:color w:val="auto"/>
        </w:rPr>
      </w:pPr>
    </w:p>
    <w:p>
      <w:pPr>
        <w:spacing w:after="0" w:line="230" w:lineRule="exact"/>
        <w:rPr>
          <w:sz w:val="20"/>
          <w:szCs w:val="20"/>
          <w:color w:val="auto"/>
        </w:rPr>
      </w:pPr>
    </w:p>
    <w:p>
      <w:pPr>
        <w:ind w:firstLine="1297"/>
        <w:spacing w:after="0" w:line="271" w:lineRule="auto"/>
        <w:rPr>
          <w:sz w:val="20"/>
          <w:szCs w:val="20"/>
          <w:color w:val="auto"/>
        </w:rPr>
      </w:pPr>
      <w:r>
        <w:rPr>
          <w:rFonts w:ascii="Arial" w:cs="Arial" w:eastAsia="Arial" w:hAnsi="Arial"/>
          <w:sz w:val="19"/>
          <w:szCs w:val="19"/>
          <w:color w:val="auto"/>
        </w:rPr>
        <w:t xml:space="preserve">For purposes of this </w:t>
      </w:r>
      <w:r>
        <w:rPr>
          <w:rFonts w:ascii="Arial" w:cs="Arial" w:eastAsia="Arial" w:hAnsi="Arial"/>
          <w:sz w:val="19"/>
          <w:szCs w:val="19"/>
          <w:u w:val="single" w:color="auto"/>
          <w:color w:val="auto"/>
        </w:rPr>
        <w:t>Section 11.3(a)</w:t>
      </w:r>
      <w:r>
        <w:rPr>
          <w:rFonts w:ascii="Arial" w:cs="Arial" w:eastAsia="Arial" w:hAnsi="Arial"/>
          <w:sz w:val="19"/>
          <w:szCs w:val="19"/>
          <w:color w:val="auto"/>
        </w:rPr>
        <w:t>, the fair market value of the Departing General Partner’s Combined Interest and the value of the Incentive Distribution Rights held by holders other than the Departing General Partner shall be determined by agreement between the Departing General Partner and its successor or, failing agreement within 30 days after the effective date of such Departing General Partner’s departure, by an independent investment banking firm or other independent expert selected by the Departing General Partner and its successor, which, in turn, may rely on other experts, and the determination of which shall be conclusive as to such matter. If such parties cannot agree upon one independent investment banking firm or other independent expert within 45 days after the effective date of such departure, then the Departing General Partner shall designate an independent investment banking firm or other independent expert, the Departing General Partner’s successor shall designate an independent investment banking firm or other independent expert, and such firms or experts shall mutually select a third independent investment banking firm or independent expert, which third independent investment banking firm or other independent expert shall determine the fair market value of the Combined Interest of the Departing General Partner and the value of the Incentive Distribution Rights held by holders other than the Departing General Partner. In making its determination, such third independent investment banking firm or other independent expert may consider the then current trading price of Common Units on any National Securities Exchange on which Common Units are then listed or admitted to trading, the value of the Partnership’s assets,</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73" w:name="page74"/>
    <w:bookmarkEnd w:id="73"/>
    <w:p>
      <w:pPr>
        <w:spacing w:after="0"/>
        <w:rPr>
          <w:sz w:val="20"/>
          <w:szCs w:val="20"/>
          <w:color w:val="auto"/>
        </w:rPr>
      </w:pPr>
      <w:r>
        <w:rPr>
          <w:rFonts w:ascii="Arial" w:cs="Arial" w:eastAsia="Arial" w:hAnsi="Arial"/>
          <w:sz w:val="22"/>
          <w:szCs w:val="22"/>
          <w:color w:val="auto"/>
        </w:rPr>
        <w:t>the rights and obligations of the Departing General Partner and other factors it may deem relevant.</w:t>
      </w:r>
    </w:p>
    <w:p>
      <w:pPr>
        <w:spacing w:after="0" w:line="233" w:lineRule="exact"/>
        <w:rPr>
          <w:sz w:val="20"/>
          <w:szCs w:val="20"/>
          <w:color w:val="auto"/>
        </w:rPr>
      </w:pPr>
    </w:p>
    <w:p>
      <w:pPr>
        <w:ind w:firstLine="1305"/>
        <w:spacing w:after="0" w:line="245" w:lineRule="auto"/>
        <w:tabs>
          <w:tab w:leader="none" w:pos="1819" w:val="left"/>
        </w:tabs>
        <w:numPr>
          <w:ilvl w:val="0"/>
          <w:numId w:val="70"/>
        </w:numPr>
        <w:rPr>
          <w:rFonts w:ascii="Arial" w:cs="Arial" w:eastAsia="Arial" w:hAnsi="Arial"/>
          <w:sz w:val="21"/>
          <w:szCs w:val="21"/>
          <w:color w:val="auto"/>
        </w:rPr>
      </w:pPr>
      <w:r>
        <w:rPr>
          <w:rFonts w:ascii="Arial" w:cs="Arial" w:eastAsia="Arial" w:hAnsi="Arial"/>
          <w:sz w:val="21"/>
          <w:szCs w:val="21"/>
          <w:color w:val="auto"/>
        </w:rPr>
        <w:t xml:space="preserve">If the Combined Interest is not purchased in the manner set forth in </w:t>
      </w:r>
      <w:r>
        <w:rPr>
          <w:rFonts w:ascii="Arial" w:cs="Arial" w:eastAsia="Arial" w:hAnsi="Arial"/>
          <w:sz w:val="21"/>
          <w:szCs w:val="21"/>
          <w:u w:val="single" w:color="auto"/>
          <w:color w:val="auto"/>
        </w:rPr>
        <w:t>Section 11.3(a)</w:t>
      </w:r>
      <w:r>
        <w:rPr>
          <w:rFonts w:ascii="Arial" w:cs="Arial" w:eastAsia="Arial" w:hAnsi="Arial"/>
          <w:sz w:val="21"/>
          <w:szCs w:val="21"/>
          <w:color w:val="auto"/>
        </w:rPr>
        <w:t xml:space="preserve">, the Departing General Partner (or its transferee) shall become a Limited Partner and its Combined Interest shall be converted into Common Units pursuant to a valuation made by an investment banking firm or other independent expert selected pursuant to </w:t>
      </w:r>
      <w:r>
        <w:rPr>
          <w:rFonts w:ascii="Arial" w:cs="Arial" w:eastAsia="Arial" w:hAnsi="Arial"/>
          <w:sz w:val="21"/>
          <w:szCs w:val="21"/>
          <w:u w:val="single" w:color="auto"/>
          <w:color w:val="auto"/>
        </w:rPr>
        <w:t>Section 11.3(a)</w:t>
      </w:r>
      <w:r>
        <w:rPr>
          <w:rFonts w:ascii="Arial" w:cs="Arial" w:eastAsia="Arial" w:hAnsi="Arial"/>
          <w:sz w:val="21"/>
          <w:szCs w:val="21"/>
          <w:color w:val="auto"/>
        </w:rPr>
        <w:t>, without reduction in such Partnership Interest (but subject to proportionate dilution by reason of the admission of its successor). Any successor General Partner shall indemnify the Departing General Partner (or its transferee) as to all debts and liabilities of the Partnership arising on or after the date on which the Departing General Partner (or its transferee) becomes a Limited Partner. For purposes of this Agreement, conversion of the Combined Interest of the Departing General Partner to Common Units will be characterized as if the Departing General Partner (or its transferee) contributed its Combined Interest to the Partnership in exchange for the newly issued Common Units.</w:t>
      </w:r>
    </w:p>
    <w:p>
      <w:pPr>
        <w:spacing w:after="0" w:line="212" w:lineRule="exact"/>
        <w:rPr>
          <w:rFonts w:ascii="Arial" w:cs="Arial" w:eastAsia="Arial" w:hAnsi="Arial"/>
          <w:sz w:val="21"/>
          <w:szCs w:val="21"/>
          <w:color w:val="auto"/>
        </w:rPr>
      </w:pPr>
    </w:p>
    <w:p>
      <w:pPr>
        <w:ind w:right="60" w:firstLine="1305"/>
        <w:spacing w:after="0" w:line="273" w:lineRule="auto"/>
        <w:tabs>
          <w:tab w:leader="none" w:pos="1807" w:val="left"/>
        </w:tabs>
        <w:numPr>
          <w:ilvl w:val="0"/>
          <w:numId w:val="70"/>
        </w:numPr>
        <w:rPr>
          <w:rFonts w:ascii="Arial" w:cs="Arial" w:eastAsia="Arial" w:hAnsi="Arial"/>
          <w:sz w:val="19"/>
          <w:szCs w:val="19"/>
          <w:color w:val="auto"/>
        </w:rPr>
      </w:pPr>
      <w:r>
        <w:rPr>
          <w:rFonts w:ascii="Arial" w:cs="Arial" w:eastAsia="Arial" w:hAnsi="Arial"/>
          <w:sz w:val="19"/>
          <w:szCs w:val="19"/>
          <w:color w:val="auto"/>
        </w:rPr>
        <w:t xml:space="preserve">If a successor General Partner is elected in accordance with the terms of </w:t>
      </w:r>
      <w:r>
        <w:rPr>
          <w:rFonts w:ascii="Arial" w:cs="Arial" w:eastAsia="Arial" w:hAnsi="Arial"/>
          <w:sz w:val="19"/>
          <w:szCs w:val="19"/>
          <w:u w:val="single" w:color="auto"/>
          <w:color w:val="auto"/>
        </w:rPr>
        <w:t>Section 11.1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11.2</w:t>
      </w:r>
      <w:r>
        <w:rPr>
          <w:rFonts w:ascii="Arial" w:cs="Arial" w:eastAsia="Arial" w:hAnsi="Arial"/>
          <w:sz w:val="19"/>
          <w:szCs w:val="19"/>
          <w:color w:val="auto"/>
        </w:rPr>
        <w:t xml:space="preserve"> (or if the Partnership is continued pursuant to </w:t>
      </w:r>
      <w:r>
        <w:rPr>
          <w:rFonts w:ascii="Arial" w:cs="Arial" w:eastAsia="Arial" w:hAnsi="Arial"/>
          <w:sz w:val="19"/>
          <w:szCs w:val="19"/>
          <w:u w:val="single" w:color="auto"/>
          <w:color w:val="auto"/>
        </w:rPr>
        <w:t>Section 12.2</w:t>
      </w:r>
      <w:r>
        <w:rPr>
          <w:rFonts w:ascii="Arial" w:cs="Arial" w:eastAsia="Arial" w:hAnsi="Arial"/>
          <w:sz w:val="19"/>
          <w:szCs w:val="19"/>
          <w:color w:val="auto"/>
        </w:rPr>
        <w:t xml:space="preserve"> and the successor General Partner is not the former General Partner) and the option described in </w:t>
      </w:r>
      <w:r>
        <w:rPr>
          <w:rFonts w:ascii="Arial" w:cs="Arial" w:eastAsia="Arial" w:hAnsi="Arial"/>
          <w:sz w:val="19"/>
          <w:szCs w:val="19"/>
          <w:u w:val="single" w:color="auto"/>
          <w:color w:val="auto"/>
        </w:rPr>
        <w:t>Section 11.3(a)</w:t>
      </w:r>
      <w:r>
        <w:rPr>
          <w:rFonts w:ascii="Arial" w:cs="Arial" w:eastAsia="Arial" w:hAnsi="Arial"/>
          <w:sz w:val="19"/>
          <w:szCs w:val="19"/>
          <w:color w:val="auto"/>
        </w:rPr>
        <w:t xml:space="preserve"> is not exercised by the party entitled to do so, the successor General Partner shall, at the effective date of its admission to the Partnership, contribute to the Partnership cash in the amount equal to the product of (i) the quotient obtained by dividing (A) the Percentage Interest of the General Partner Interest of the Departing General Partner by (B) a percentage equal to 100% less the Percentage Interest of the General Partner Interest of the Departing General Partner and (ii) the Net Agreed Value of the Partnership’s assets on such date. In such event, such successor General Partner shall, subject to the following sentence, be entitled to its Percentage Interest of all Partnership allocations and distributions to which the Departing General Partner was entitled. In addition, the successor General Partner shall cause this Agreement to be amended to reflect that, from and after the date of such successor General Partner’s admission, the successor General Partner’s interest in all Partnership distributions and allocations shall be its Percentage Interest.</w:t>
      </w:r>
    </w:p>
    <w:p>
      <w:pPr>
        <w:spacing w:after="0" w:line="183" w:lineRule="exact"/>
        <w:rPr>
          <w:sz w:val="20"/>
          <w:szCs w:val="20"/>
          <w:color w:val="auto"/>
        </w:rPr>
      </w:pPr>
    </w:p>
    <w:p>
      <w:pPr>
        <w:ind w:right="60" w:firstLine="1297"/>
        <w:spacing w:after="0" w:line="274" w:lineRule="auto"/>
        <w:rPr>
          <w:sz w:val="20"/>
          <w:szCs w:val="20"/>
          <w:color w:val="auto"/>
        </w:rPr>
      </w:pPr>
      <w:r>
        <w:rPr>
          <w:rFonts w:ascii="Arial" w:cs="Arial" w:eastAsia="Arial" w:hAnsi="Arial"/>
          <w:sz w:val="19"/>
          <w:szCs w:val="19"/>
          <w:color w:val="auto"/>
        </w:rPr>
        <w:t xml:space="preserve">Section 11.4. </w:t>
      </w:r>
      <w:r>
        <w:rPr>
          <w:rFonts w:ascii="Arial" w:cs="Arial" w:eastAsia="Arial" w:hAnsi="Arial"/>
          <w:sz w:val="19"/>
          <w:szCs w:val="19"/>
          <w:i w:val="1"/>
          <w:iCs w:val="1"/>
          <w:color w:val="auto"/>
        </w:rPr>
        <w:t>Termination of Subordination Period, Conversion of Subordinated Units and Extinguishment of</w:t>
      </w:r>
      <w:r>
        <w:rPr>
          <w:rFonts w:ascii="Arial" w:cs="Arial" w:eastAsia="Arial" w:hAnsi="Arial"/>
          <w:sz w:val="19"/>
          <w:szCs w:val="19"/>
          <w:color w:val="auto"/>
        </w:rPr>
        <w:t xml:space="preserve"> </w:t>
      </w:r>
      <w:r>
        <w:rPr>
          <w:rFonts w:ascii="Arial" w:cs="Arial" w:eastAsia="Arial" w:hAnsi="Arial"/>
          <w:sz w:val="19"/>
          <w:szCs w:val="19"/>
          <w:i w:val="1"/>
          <w:iCs w:val="1"/>
          <w:color w:val="auto"/>
        </w:rPr>
        <w:t>Cumulative Common Unit Arrearages</w:t>
      </w:r>
      <w:r>
        <w:rPr>
          <w:rFonts w:ascii="Arial" w:cs="Arial" w:eastAsia="Arial" w:hAnsi="Arial"/>
          <w:sz w:val="19"/>
          <w:szCs w:val="19"/>
          <w:color w:val="auto"/>
        </w:rPr>
        <w:t>. Notwithstanding any provision of this Agreement, if the General Partner is removed as</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general partner of the Partnership under circumstances where Cause does not exist and no Units held by the General Partner and its Affiliates are voted in favor of such removal, (a) the Subordination Period will end and all Subordinated Units will immediately and automatically convert into Common Units on a one-for-one basis, (b) all Cumulative Common Unit Arrearages on the Common Units will be extinguished, (c) the General Partner will have the right to convert its General Partner Interest (represented by General Partner Units) and its Incentive Distribution Rights into Common Units or to receive cash in exchange therefor, as provided in </w:t>
      </w:r>
      <w:r>
        <w:rPr>
          <w:rFonts w:ascii="Arial" w:cs="Arial" w:eastAsia="Arial" w:hAnsi="Arial"/>
          <w:sz w:val="19"/>
          <w:szCs w:val="19"/>
          <w:u w:val="single" w:color="auto"/>
          <w:color w:val="auto"/>
        </w:rPr>
        <w:t>Section 11.3</w:t>
      </w:r>
      <w:r>
        <w:rPr>
          <w:rFonts w:ascii="Arial" w:cs="Arial" w:eastAsia="Arial" w:hAnsi="Arial"/>
          <w:sz w:val="19"/>
          <w:szCs w:val="19"/>
          <w:color w:val="auto"/>
        </w:rPr>
        <w:t xml:space="preserve"> and (d) the other holders of the Incentive Distribution Rights will have the right to convert their Incentive Distribution Rights into Common Units or to receive cash in exchange therefor, as provided in </w:t>
      </w:r>
      <w:r>
        <w:rPr>
          <w:rFonts w:ascii="Arial" w:cs="Arial" w:eastAsia="Arial" w:hAnsi="Arial"/>
          <w:sz w:val="19"/>
          <w:szCs w:val="19"/>
          <w:u w:val="single" w:color="auto"/>
          <w:color w:val="auto"/>
        </w:rPr>
        <w:t>Section 11.3</w:t>
      </w:r>
      <w:r>
        <w:rPr>
          <w:rFonts w:ascii="Arial" w:cs="Arial" w:eastAsia="Arial" w:hAnsi="Arial"/>
          <w:sz w:val="19"/>
          <w:szCs w:val="19"/>
          <w:color w:val="auto"/>
        </w:rPr>
        <w:t>.</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402" w:right="259" w:bottom="1440" w:gutter="0" w:footer="0" w:header="0"/>
        </w:sectPr>
      </w:pPr>
    </w:p>
    <w:bookmarkStart w:id="74" w:name="page75"/>
    <w:bookmarkEnd w:id="74"/>
    <w:p>
      <w:pPr>
        <w:ind w:right="40" w:firstLine="1297"/>
        <w:spacing w:after="0" w:line="238" w:lineRule="auto"/>
        <w:rPr>
          <w:sz w:val="20"/>
          <w:szCs w:val="20"/>
          <w:color w:val="auto"/>
        </w:rPr>
      </w:pPr>
      <w:r>
        <w:rPr>
          <w:rFonts w:ascii="Arial" w:cs="Arial" w:eastAsia="Arial" w:hAnsi="Arial"/>
          <w:sz w:val="22"/>
          <w:szCs w:val="22"/>
          <w:color w:val="auto"/>
        </w:rPr>
        <w:t xml:space="preserve">Section 11.5. </w:t>
      </w:r>
      <w:r>
        <w:rPr>
          <w:rFonts w:ascii="Arial" w:cs="Arial" w:eastAsia="Arial" w:hAnsi="Arial"/>
          <w:sz w:val="22"/>
          <w:szCs w:val="22"/>
          <w:i w:val="1"/>
          <w:iCs w:val="1"/>
          <w:color w:val="auto"/>
        </w:rPr>
        <w:t>Withdrawal of Limited Partners</w:t>
      </w:r>
      <w:r>
        <w:rPr>
          <w:rFonts w:ascii="Arial" w:cs="Arial" w:eastAsia="Arial" w:hAnsi="Arial"/>
          <w:sz w:val="22"/>
          <w:szCs w:val="22"/>
          <w:color w:val="auto"/>
        </w:rPr>
        <w:t xml:space="preserve">. No Limited Partner shall have any right to withdraw from the Partnership;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when a transferee of a Limited Partner’s Limited Partner Interest becomes a Record Holder of the Limited Partner Interest so transferred, such transferring Limited Partner shall cease to be a Limited Partner with respect to the Limited Partner Interest so transferred.</w:t>
      </w: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ARTICLE XII</w:t>
      </w:r>
    </w:p>
    <w:p>
      <w:pPr>
        <w:spacing w:after="0" w:line="14"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DISSOLUTION AND LIQUIDATION</w:t>
      </w:r>
    </w:p>
    <w:p>
      <w:pPr>
        <w:spacing w:after="0" w:line="215" w:lineRule="exact"/>
        <w:rPr>
          <w:sz w:val="20"/>
          <w:szCs w:val="20"/>
          <w:color w:val="auto"/>
        </w:rPr>
      </w:pPr>
    </w:p>
    <w:p>
      <w:pPr>
        <w:ind w:firstLine="1297"/>
        <w:spacing w:after="0" w:line="249" w:lineRule="auto"/>
        <w:rPr>
          <w:sz w:val="20"/>
          <w:szCs w:val="20"/>
          <w:color w:val="auto"/>
        </w:rPr>
      </w:pPr>
      <w:r>
        <w:rPr>
          <w:rFonts w:ascii="Arial" w:cs="Arial" w:eastAsia="Arial" w:hAnsi="Arial"/>
          <w:sz w:val="21"/>
          <w:szCs w:val="21"/>
          <w:color w:val="auto"/>
        </w:rPr>
        <w:t xml:space="preserve">Section 12.1. </w:t>
      </w:r>
      <w:r>
        <w:rPr>
          <w:rFonts w:ascii="Arial" w:cs="Arial" w:eastAsia="Arial" w:hAnsi="Arial"/>
          <w:sz w:val="21"/>
          <w:szCs w:val="21"/>
          <w:i w:val="1"/>
          <w:iCs w:val="1"/>
          <w:color w:val="auto"/>
        </w:rPr>
        <w:t>Dissolution</w:t>
      </w:r>
      <w:r>
        <w:rPr>
          <w:rFonts w:ascii="Arial" w:cs="Arial" w:eastAsia="Arial" w:hAnsi="Arial"/>
          <w:sz w:val="21"/>
          <w:szCs w:val="21"/>
          <w:color w:val="auto"/>
        </w:rPr>
        <w:t xml:space="preserve">. The Partnership shall not be dissolved by the admission of additional Limited Partners or by the admission of a successor or additional General Partner in accordance with the terms of this Agreement. Upon the removal or withdrawal of the General Partner, if a successor General Partner is elected pursuant to </w:t>
      </w:r>
      <w:r>
        <w:rPr>
          <w:rFonts w:ascii="Arial" w:cs="Arial" w:eastAsia="Arial" w:hAnsi="Arial"/>
          <w:sz w:val="21"/>
          <w:szCs w:val="21"/>
          <w:u w:val="single" w:color="auto"/>
          <w:color w:val="auto"/>
        </w:rPr>
        <w:t>Section 11.1</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 11.2</w:t>
      </w:r>
      <w:r>
        <w:rPr>
          <w:rFonts w:ascii="Arial" w:cs="Arial" w:eastAsia="Arial" w:hAnsi="Arial"/>
          <w:sz w:val="21"/>
          <w:szCs w:val="21"/>
          <w:color w:val="auto"/>
        </w:rPr>
        <w:t xml:space="preserve">, the Partnership shall not be dissolved and the Board of Directors shall continue the business of the Partnership. The Partnership shall dissolve, and (subject to </w:t>
      </w:r>
      <w:r>
        <w:rPr>
          <w:rFonts w:ascii="Arial" w:cs="Arial" w:eastAsia="Arial" w:hAnsi="Arial"/>
          <w:sz w:val="21"/>
          <w:szCs w:val="21"/>
          <w:u w:val="single" w:color="auto"/>
          <w:color w:val="auto"/>
        </w:rPr>
        <w:t>Section 12.2</w:t>
      </w:r>
      <w:r>
        <w:rPr>
          <w:rFonts w:ascii="Arial" w:cs="Arial" w:eastAsia="Arial" w:hAnsi="Arial"/>
          <w:sz w:val="21"/>
          <w:szCs w:val="21"/>
          <w:color w:val="auto"/>
        </w:rPr>
        <w:t>) its affairs shall be wound up, upon:</w:t>
      </w:r>
    </w:p>
    <w:p>
      <w:pPr>
        <w:spacing w:after="0" w:line="206" w:lineRule="exact"/>
        <w:rPr>
          <w:sz w:val="20"/>
          <w:szCs w:val="20"/>
          <w:color w:val="auto"/>
        </w:rPr>
      </w:pPr>
    </w:p>
    <w:p>
      <w:pPr>
        <w:ind w:left="660" w:right="180" w:firstLine="645"/>
        <w:spacing w:after="0" w:line="251" w:lineRule="auto"/>
        <w:tabs>
          <w:tab w:leader="none" w:pos="1818" w:val="left"/>
        </w:tabs>
        <w:numPr>
          <w:ilvl w:val="0"/>
          <w:numId w:val="71"/>
        </w:numPr>
        <w:rPr>
          <w:rFonts w:ascii="Arial" w:cs="Arial" w:eastAsia="Arial" w:hAnsi="Arial"/>
          <w:sz w:val="22"/>
          <w:szCs w:val="22"/>
          <w:color w:val="auto"/>
        </w:rPr>
      </w:pPr>
      <w:r>
        <w:rPr>
          <w:rFonts w:ascii="Arial" w:cs="Arial" w:eastAsia="Arial" w:hAnsi="Arial"/>
          <w:sz w:val="22"/>
          <w:szCs w:val="22"/>
          <w:color w:val="auto"/>
        </w:rPr>
        <w:t>an election to dissolve the Partnership by the General Partner and our Board of Directors that is approved by the holders of a Unit Majority;</w:t>
      </w:r>
    </w:p>
    <w:p>
      <w:pPr>
        <w:spacing w:after="0" w:line="200" w:lineRule="exact"/>
        <w:rPr>
          <w:rFonts w:ascii="Arial" w:cs="Arial" w:eastAsia="Arial" w:hAnsi="Arial"/>
          <w:sz w:val="22"/>
          <w:szCs w:val="22"/>
          <w:color w:val="auto"/>
        </w:rPr>
      </w:pPr>
    </w:p>
    <w:p>
      <w:pPr>
        <w:ind w:left="660" w:right="960" w:firstLine="645"/>
        <w:spacing w:after="0" w:line="251" w:lineRule="auto"/>
        <w:tabs>
          <w:tab w:leader="none" w:pos="1830" w:val="left"/>
        </w:tabs>
        <w:numPr>
          <w:ilvl w:val="0"/>
          <w:numId w:val="71"/>
        </w:numPr>
        <w:rPr>
          <w:rFonts w:ascii="Arial" w:cs="Arial" w:eastAsia="Arial" w:hAnsi="Arial"/>
          <w:sz w:val="22"/>
          <w:szCs w:val="22"/>
          <w:color w:val="auto"/>
        </w:rPr>
      </w:pPr>
      <w:r>
        <w:rPr>
          <w:rFonts w:ascii="Arial" w:cs="Arial" w:eastAsia="Arial" w:hAnsi="Arial"/>
          <w:sz w:val="22"/>
          <w:szCs w:val="22"/>
          <w:color w:val="auto"/>
        </w:rPr>
        <w:t>at any time there are no Limited Partners, unless the Partnership is continued without dissolution in accordance with the Marshall Islands Act;</w:t>
      </w:r>
    </w:p>
    <w:p>
      <w:pPr>
        <w:spacing w:after="0" w:line="200" w:lineRule="exact"/>
        <w:rPr>
          <w:rFonts w:ascii="Arial" w:cs="Arial" w:eastAsia="Arial" w:hAnsi="Arial"/>
          <w:sz w:val="22"/>
          <w:szCs w:val="22"/>
          <w:color w:val="auto"/>
        </w:rPr>
      </w:pPr>
    </w:p>
    <w:p>
      <w:pPr>
        <w:ind w:left="660" w:right="580" w:firstLine="645"/>
        <w:spacing w:after="0" w:line="251" w:lineRule="auto"/>
        <w:tabs>
          <w:tab w:leader="none" w:pos="1818" w:val="left"/>
        </w:tabs>
        <w:numPr>
          <w:ilvl w:val="0"/>
          <w:numId w:val="71"/>
        </w:numPr>
        <w:rPr>
          <w:rFonts w:ascii="Arial" w:cs="Arial" w:eastAsia="Arial" w:hAnsi="Arial"/>
          <w:sz w:val="22"/>
          <w:szCs w:val="22"/>
          <w:color w:val="auto"/>
        </w:rPr>
      </w:pPr>
      <w:r>
        <w:rPr>
          <w:rFonts w:ascii="Arial" w:cs="Arial" w:eastAsia="Arial" w:hAnsi="Arial"/>
          <w:sz w:val="22"/>
          <w:szCs w:val="22"/>
          <w:color w:val="auto"/>
        </w:rPr>
        <w:t>the entry of a decree of judicial dissolution of the Partnership pursuant to the provisions of the Marshall Islands Act; or</w:t>
      </w:r>
    </w:p>
    <w:p>
      <w:pPr>
        <w:spacing w:after="0" w:line="200" w:lineRule="exact"/>
        <w:rPr>
          <w:rFonts w:ascii="Arial" w:cs="Arial" w:eastAsia="Arial" w:hAnsi="Arial"/>
          <w:sz w:val="22"/>
          <w:szCs w:val="22"/>
          <w:color w:val="auto"/>
        </w:rPr>
      </w:pPr>
    </w:p>
    <w:p>
      <w:pPr>
        <w:jc w:val="both"/>
        <w:ind w:left="660" w:right="60" w:firstLine="645"/>
        <w:spacing w:after="0"/>
        <w:tabs>
          <w:tab w:leader="none" w:pos="1830" w:val="left"/>
        </w:tabs>
        <w:numPr>
          <w:ilvl w:val="0"/>
          <w:numId w:val="71"/>
        </w:numPr>
        <w:rPr>
          <w:rFonts w:ascii="Arial" w:cs="Arial" w:eastAsia="Arial" w:hAnsi="Arial"/>
          <w:sz w:val="22"/>
          <w:szCs w:val="22"/>
          <w:color w:val="auto"/>
        </w:rPr>
      </w:pPr>
      <w:r>
        <w:rPr>
          <w:rFonts w:ascii="Arial" w:cs="Arial" w:eastAsia="Arial" w:hAnsi="Arial"/>
          <w:sz w:val="22"/>
          <w:szCs w:val="22"/>
          <w:color w:val="auto"/>
        </w:rPr>
        <w:t xml:space="preserve">an Event of Withdrawal of the General Partner as provided in </w:t>
      </w:r>
      <w:r>
        <w:rPr>
          <w:rFonts w:ascii="Arial" w:cs="Arial" w:eastAsia="Arial" w:hAnsi="Arial"/>
          <w:sz w:val="22"/>
          <w:szCs w:val="22"/>
          <w:u w:val="single" w:color="auto"/>
          <w:color w:val="auto"/>
        </w:rPr>
        <w:t>Section 11.1(a)</w:t>
      </w:r>
      <w:r>
        <w:rPr>
          <w:rFonts w:ascii="Arial" w:cs="Arial" w:eastAsia="Arial" w:hAnsi="Arial"/>
          <w:sz w:val="22"/>
          <w:szCs w:val="22"/>
          <w:color w:val="auto"/>
        </w:rPr>
        <w:t xml:space="preserve"> (other than </w:t>
      </w:r>
      <w:r>
        <w:rPr>
          <w:rFonts w:ascii="Arial" w:cs="Arial" w:eastAsia="Arial" w:hAnsi="Arial"/>
          <w:sz w:val="22"/>
          <w:szCs w:val="22"/>
          <w:u w:val="single" w:color="auto"/>
          <w:color w:val="auto"/>
        </w:rPr>
        <w:t>Section 11.1(a)(ii))</w:t>
      </w:r>
      <w:r>
        <w:rPr>
          <w:rFonts w:ascii="Arial" w:cs="Arial" w:eastAsia="Arial" w:hAnsi="Arial"/>
          <w:sz w:val="22"/>
          <w:szCs w:val="22"/>
          <w:color w:val="auto"/>
        </w:rPr>
        <w:t xml:space="preserve">, unless a successor is elected and an Opinion of Counsel is received as provided in </w:t>
      </w:r>
      <w:r>
        <w:rPr>
          <w:rFonts w:ascii="Arial" w:cs="Arial" w:eastAsia="Arial" w:hAnsi="Arial"/>
          <w:sz w:val="22"/>
          <w:szCs w:val="22"/>
          <w:u w:val="single" w:color="auto"/>
          <w:color w:val="auto"/>
        </w:rPr>
        <w:t>Section 11.1(b)</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11.2</w:t>
      </w:r>
      <w:r>
        <w:rPr>
          <w:rFonts w:ascii="Arial" w:cs="Arial" w:eastAsia="Arial" w:hAnsi="Arial"/>
          <w:sz w:val="22"/>
          <w:szCs w:val="22"/>
          <w:color w:val="auto"/>
        </w:rPr>
        <w:t xml:space="preserve"> and such successor is admitted to the Partnership pursuant to </w:t>
      </w:r>
      <w:r>
        <w:rPr>
          <w:rFonts w:ascii="Arial" w:cs="Arial" w:eastAsia="Arial" w:hAnsi="Arial"/>
          <w:sz w:val="22"/>
          <w:szCs w:val="22"/>
          <w:u w:val="single" w:color="auto"/>
          <w:color w:val="auto"/>
        </w:rPr>
        <w:t>Section 10.3</w:t>
      </w:r>
      <w:r>
        <w:rPr>
          <w:rFonts w:ascii="Arial" w:cs="Arial" w:eastAsia="Arial" w:hAnsi="Arial"/>
          <w:sz w:val="22"/>
          <w:szCs w:val="22"/>
          <w:color w:val="auto"/>
        </w:rPr>
        <w:t>.</w:t>
      </w:r>
    </w:p>
    <w:p>
      <w:pPr>
        <w:spacing w:after="0" w:line="213" w:lineRule="exact"/>
        <w:rPr>
          <w:sz w:val="20"/>
          <w:szCs w:val="20"/>
          <w:color w:val="auto"/>
        </w:rPr>
      </w:pPr>
    </w:p>
    <w:p>
      <w:pPr>
        <w:ind w:right="160" w:firstLine="1297"/>
        <w:spacing w:after="0" w:line="273" w:lineRule="auto"/>
        <w:rPr>
          <w:sz w:val="20"/>
          <w:szCs w:val="20"/>
          <w:color w:val="auto"/>
        </w:rPr>
      </w:pPr>
      <w:r>
        <w:rPr>
          <w:rFonts w:ascii="Arial" w:cs="Arial" w:eastAsia="Arial" w:hAnsi="Arial"/>
          <w:sz w:val="19"/>
          <w:szCs w:val="19"/>
          <w:color w:val="auto"/>
        </w:rPr>
        <w:t xml:space="preserve">Section 12.2. </w:t>
      </w:r>
      <w:r>
        <w:rPr>
          <w:rFonts w:ascii="Arial" w:cs="Arial" w:eastAsia="Arial" w:hAnsi="Arial"/>
          <w:sz w:val="19"/>
          <w:szCs w:val="19"/>
          <w:i w:val="1"/>
          <w:iCs w:val="1"/>
          <w:color w:val="auto"/>
        </w:rPr>
        <w:t>Continuation of the Business of the Partnership After Dissolution</w:t>
      </w:r>
      <w:r>
        <w:rPr>
          <w:rFonts w:ascii="Arial" w:cs="Arial" w:eastAsia="Arial" w:hAnsi="Arial"/>
          <w:sz w:val="19"/>
          <w:szCs w:val="19"/>
          <w:color w:val="auto"/>
        </w:rPr>
        <w:t xml:space="preserve">. Upon (a) dissolution of the Partnership following an Event of Withdrawal caused by the withdrawal or removal of the General Partner as provided in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11.1(a)(i)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11.1(a)(iii)</w:t>
      </w:r>
      <w:r>
        <w:rPr>
          <w:rFonts w:ascii="Arial" w:cs="Arial" w:eastAsia="Arial" w:hAnsi="Arial"/>
          <w:sz w:val="19"/>
          <w:szCs w:val="19"/>
          <w:color w:val="auto"/>
        </w:rPr>
        <w:t xml:space="preserve"> and the failure of the Partners to select a successor to such Departing General Partner pursuant to </w:t>
      </w:r>
      <w:r>
        <w:rPr>
          <w:rFonts w:ascii="Arial" w:cs="Arial" w:eastAsia="Arial" w:hAnsi="Arial"/>
          <w:sz w:val="19"/>
          <w:szCs w:val="19"/>
          <w:u w:val="single" w:color="auto"/>
          <w:color w:val="auto"/>
        </w:rPr>
        <w:t>Section</w:t>
      </w:r>
    </w:p>
    <w:p>
      <w:pPr>
        <w:spacing w:after="0" w:line="2" w:lineRule="exact"/>
        <w:rPr>
          <w:sz w:val="20"/>
          <w:szCs w:val="20"/>
          <w:color w:val="auto"/>
        </w:rPr>
      </w:pPr>
    </w:p>
    <w:p>
      <w:pPr>
        <w:ind w:right="40"/>
        <w:spacing w:after="0" w:line="244" w:lineRule="auto"/>
        <w:rPr>
          <w:sz w:val="20"/>
          <w:szCs w:val="20"/>
          <w:color w:val="auto"/>
        </w:rPr>
      </w:pPr>
      <w:r>
        <w:rPr>
          <w:rFonts w:ascii="Arial" w:cs="Arial" w:eastAsia="Arial" w:hAnsi="Arial"/>
          <w:sz w:val="21"/>
          <w:szCs w:val="21"/>
          <w:u w:val="single" w:color="auto"/>
          <w:color w:val="auto"/>
        </w:rPr>
        <w:t>11.1</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 11.2</w:t>
      </w:r>
      <w:r>
        <w:rPr>
          <w:rFonts w:ascii="Arial" w:cs="Arial" w:eastAsia="Arial" w:hAnsi="Arial"/>
          <w:sz w:val="21"/>
          <w:szCs w:val="21"/>
          <w:color w:val="auto"/>
        </w:rPr>
        <w:t xml:space="preserve">, then within 90 days thereafter, or (b) dissolution of the Partnership upon an event constituting an Event of Withdrawal as defined in </w:t>
      </w:r>
      <w:r>
        <w:rPr>
          <w:rFonts w:ascii="Arial" w:cs="Arial" w:eastAsia="Arial" w:hAnsi="Arial"/>
          <w:sz w:val="21"/>
          <w:szCs w:val="21"/>
          <w:u w:val="single" w:color="auto"/>
          <w:color w:val="auto"/>
        </w:rPr>
        <w:t>Section 11.1(a)(iv)</w:t>
      </w:r>
      <w:r>
        <w:rPr>
          <w:rFonts w:ascii="Arial" w:cs="Arial" w:eastAsia="Arial" w:hAnsi="Arial"/>
          <w:sz w:val="21"/>
          <w:szCs w:val="21"/>
          <w:color w:val="auto"/>
        </w:rPr>
        <w:t xml:space="preserve">, </w:t>
      </w:r>
      <w:r>
        <w:rPr>
          <w:rFonts w:ascii="Arial" w:cs="Arial" w:eastAsia="Arial" w:hAnsi="Arial"/>
          <w:sz w:val="21"/>
          <w:szCs w:val="21"/>
          <w:u w:val="single" w:color="auto"/>
          <w:color w:val="auto"/>
        </w:rPr>
        <w:t>11.1(a)(v)</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11.1(a)(vi)</w:t>
      </w:r>
      <w:r>
        <w:rPr>
          <w:rFonts w:ascii="Arial" w:cs="Arial" w:eastAsia="Arial" w:hAnsi="Arial"/>
          <w:sz w:val="21"/>
          <w:szCs w:val="21"/>
          <w:color w:val="auto"/>
        </w:rPr>
        <w:t>, then, to the maximum extent permitted by the Marshall Islands Act, within 180 days thereafter, the holders of a Unit Majority may elect in writing to continue the business of the Partnership on the same terms and conditions set forth in this Agreement by appointing, effective as of the date of the Event of Withdrawal, as a successor General Partner a Person approved by the holders of a Unit Majority. Unless such an election is made within the applicable time period as set forth above, the Partnership shall dissolve and conduct only activities necessary to wind up its affairs. If such an election is so made, then:</w:t>
      </w:r>
    </w:p>
    <w:p>
      <w:pPr>
        <w:spacing w:after="0" w:line="208" w:lineRule="exact"/>
        <w:rPr>
          <w:sz w:val="20"/>
          <w:szCs w:val="20"/>
          <w:color w:val="auto"/>
        </w:rPr>
      </w:pPr>
    </w:p>
    <w:p>
      <w:pPr>
        <w:ind w:left="5600" w:right="120" w:hanging="4295"/>
        <w:spacing w:after="0" w:line="430" w:lineRule="auto"/>
        <w:tabs>
          <w:tab w:leader="none" w:pos="1773" w:val="left"/>
        </w:tabs>
        <w:numPr>
          <w:ilvl w:val="0"/>
          <w:numId w:val="72"/>
        </w:numPr>
        <w:rPr>
          <w:rFonts w:ascii="Arial" w:cs="Arial" w:eastAsia="Arial" w:hAnsi="Arial"/>
          <w:sz w:val="22"/>
          <w:szCs w:val="22"/>
          <w:color w:val="auto"/>
        </w:rPr>
      </w:pPr>
      <w:r>
        <w:rPr>
          <w:rFonts w:ascii="Arial" w:cs="Arial" w:eastAsia="Arial" w:hAnsi="Arial"/>
          <w:sz w:val="22"/>
          <w:szCs w:val="22"/>
          <w:color w:val="auto"/>
        </w:rPr>
        <w:t xml:space="preserve">the Partnership shall continue without dissolution unless earlier dissolved in accordance with this </w:t>
      </w:r>
      <w:r>
        <w:rPr>
          <w:rFonts w:ascii="Arial" w:cs="Arial" w:eastAsia="Arial" w:hAnsi="Arial"/>
          <w:sz w:val="22"/>
          <w:szCs w:val="22"/>
          <w:u w:val="single" w:color="auto"/>
          <w:color w:val="auto"/>
        </w:rPr>
        <w:t>Article XII</w:t>
      </w:r>
      <w:r>
        <w:rPr>
          <w:rFonts w:ascii="Arial" w:cs="Arial" w:eastAsia="Arial" w:hAnsi="Arial"/>
          <w:sz w:val="22"/>
          <w:szCs w:val="22"/>
          <w:color w:val="auto"/>
        </w:rPr>
        <w:t>;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342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60"/>
          </w:cols>
          <w:pgMar w:left="240" w:top="402" w:right="299" w:bottom="1440" w:gutter="0" w:footer="0" w:header="0"/>
        </w:sectPr>
      </w:pPr>
    </w:p>
    <w:bookmarkStart w:id="75" w:name="page76"/>
    <w:bookmarkEnd w:id="75"/>
    <w:p>
      <w:pPr>
        <w:ind w:left="660" w:right="520" w:firstLine="645"/>
        <w:spacing w:after="0" w:line="251" w:lineRule="auto"/>
        <w:tabs>
          <w:tab w:leader="none" w:pos="1843" w:val="left"/>
        </w:tabs>
        <w:numPr>
          <w:ilvl w:val="0"/>
          <w:numId w:val="73"/>
        </w:numPr>
        <w:rPr>
          <w:rFonts w:ascii="Arial" w:cs="Arial" w:eastAsia="Arial" w:hAnsi="Arial"/>
          <w:sz w:val="22"/>
          <w:szCs w:val="22"/>
          <w:color w:val="auto"/>
        </w:rPr>
      </w:pPr>
      <w:r>
        <w:rPr>
          <w:rFonts w:ascii="Arial" w:cs="Arial" w:eastAsia="Arial" w:hAnsi="Arial"/>
          <w:sz w:val="22"/>
          <w:szCs w:val="22"/>
          <w:color w:val="auto"/>
        </w:rPr>
        <w:t xml:space="preserve">if the successor General Partner is not the former General Partner, then the interest of the former General Partner shall be treated in the manner provided in </w:t>
      </w:r>
      <w:r>
        <w:rPr>
          <w:rFonts w:ascii="Arial" w:cs="Arial" w:eastAsia="Arial" w:hAnsi="Arial"/>
          <w:sz w:val="22"/>
          <w:szCs w:val="22"/>
          <w:u w:val="single" w:color="auto"/>
          <w:color w:val="auto"/>
        </w:rPr>
        <w:t>Section 11.3</w:t>
      </w:r>
      <w:r>
        <w:rPr>
          <w:rFonts w:ascii="Arial" w:cs="Arial" w:eastAsia="Arial" w:hAnsi="Arial"/>
          <w:sz w:val="22"/>
          <w:szCs w:val="22"/>
          <w:color w:val="auto"/>
        </w:rPr>
        <w:t>; and</w:t>
      </w:r>
    </w:p>
    <w:p>
      <w:pPr>
        <w:spacing w:after="0" w:line="200" w:lineRule="exact"/>
        <w:rPr>
          <w:rFonts w:ascii="Arial" w:cs="Arial" w:eastAsia="Arial" w:hAnsi="Arial"/>
          <w:sz w:val="22"/>
          <w:szCs w:val="22"/>
          <w:color w:val="auto"/>
        </w:rPr>
      </w:pPr>
    </w:p>
    <w:p>
      <w:pPr>
        <w:ind w:left="660" w:firstLine="645"/>
        <w:spacing w:after="0" w:line="249" w:lineRule="auto"/>
        <w:tabs>
          <w:tab w:leader="none" w:pos="1903" w:val="left"/>
        </w:tabs>
        <w:numPr>
          <w:ilvl w:val="0"/>
          <w:numId w:val="73"/>
        </w:numPr>
        <w:rPr>
          <w:rFonts w:ascii="Arial" w:cs="Arial" w:eastAsia="Arial" w:hAnsi="Arial"/>
          <w:sz w:val="21"/>
          <w:szCs w:val="21"/>
          <w:color w:val="auto"/>
        </w:rPr>
      </w:pPr>
      <w:r>
        <w:rPr>
          <w:rFonts w:ascii="Arial" w:cs="Arial" w:eastAsia="Arial" w:hAnsi="Arial"/>
          <w:sz w:val="21"/>
          <w:szCs w:val="21"/>
          <w:color w:val="auto"/>
        </w:rPr>
        <w:t xml:space="preserve">the successor General Partner shall be admitted to the Partnership as General Partner, effective as of the Event of Withdrawal, by agreeing in writing to be bound by this Agreement;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the right of the holders of a Unit Majority to approve a successor General Partner and to reconstitute and to continue the business of the Partnership shall not exist and may not be exercised unless the Partnership has received an Opinion of Counsel that the exercise of the right would not result in the loss of limited liability of any Limited Partner.</w:t>
      </w:r>
    </w:p>
    <w:p>
      <w:pPr>
        <w:spacing w:after="0" w:line="206" w:lineRule="exact"/>
        <w:rPr>
          <w:sz w:val="20"/>
          <w:szCs w:val="20"/>
          <w:color w:val="auto"/>
        </w:rPr>
      </w:pPr>
    </w:p>
    <w:p>
      <w:pPr>
        <w:ind w:right="20" w:firstLine="1297"/>
        <w:spacing w:after="0" w:line="268" w:lineRule="auto"/>
        <w:rPr>
          <w:sz w:val="20"/>
          <w:szCs w:val="20"/>
          <w:color w:val="auto"/>
        </w:rPr>
      </w:pPr>
      <w:r>
        <w:rPr>
          <w:rFonts w:ascii="Arial" w:cs="Arial" w:eastAsia="Arial" w:hAnsi="Arial"/>
          <w:sz w:val="19"/>
          <w:szCs w:val="19"/>
          <w:color w:val="auto"/>
        </w:rPr>
        <w:t xml:space="preserve">Section 12.3. </w:t>
      </w:r>
      <w:r>
        <w:rPr>
          <w:rFonts w:ascii="Arial" w:cs="Arial" w:eastAsia="Arial" w:hAnsi="Arial"/>
          <w:sz w:val="19"/>
          <w:szCs w:val="19"/>
          <w:i w:val="1"/>
          <w:iCs w:val="1"/>
          <w:color w:val="auto"/>
        </w:rPr>
        <w:t>Liquidating Trustee</w:t>
      </w:r>
      <w:r>
        <w:rPr>
          <w:rFonts w:ascii="Arial" w:cs="Arial" w:eastAsia="Arial" w:hAnsi="Arial"/>
          <w:sz w:val="19"/>
          <w:szCs w:val="19"/>
          <w:color w:val="auto"/>
        </w:rPr>
        <w:t xml:space="preserve">. Upon dissolution of the Partnership, unless the business of the Partnership is continued pursuant to </w:t>
      </w:r>
      <w:r>
        <w:rPr>
          <w:rFonts w:ascii="Arial" w:cs="Arial" w:eastAsia="Arial" w:hAnsi="Arial"/>
          <w:sz w:val="19"/>
          <w:szCs w:val="19"/>
          <w:u w:val="single" w:color="auto"/>
          <w:color w:val="auto"/>
        </w:rPr>
        <w:t>Section 12.2</w:t>
      </w:r>
      <w:r>
        <w:rPr>
          <w:rFonts w:ascii="Arial" w:cs="Arial" w:eastAsia="Arial" w:hAnsi="Arial"/>
          <w:sz w:val="19"/>
          <w:szCs w:val="19"/>
          <w:color w:val="auto"/>
        </w:rPr>
        <w:t xml:space="preserve">, the Board of Directors shall select one or more Persons to act as Liquidating Trustee. The Liquidating Trustee (if other than the General Partner) shall be entitled to receive such compensation for its services as may be approved by holders of at least a majority of the Outstanding Common Units and Subordinated Units, voting as a single class. The Liquidating Trustee (if other than the General Partner) shall agree not to resign at any time without 15 days’ prior notice and may be removed at any time, with or without cause, by notice of removal approved by holders of at least a majority of the Outstanding Common Units and Subordinated Units, voting as a single class. Upon dissolution, removal or resignation of the Liquidating Trustee, a successor and substitute Liquidating Trustee (who shall have and succeed to all rights, powers and duties of the original Liquidating Trustee) shall within 30 days thereafter be approved by the holders of at least a majority of the Outstanding Common Units and Subordinated Units, voting as a single class. The right to approve a successor or substitute Liquidating Trustee in the manner provided herein shall be deemed to refer also to any such successor or substitute Liquidating Trustee approved in the manner herein provided. Except as expressly provided in this </w:t>
      </w:r>
      <w:r>
        <w:rPr>
          <w:rFonts w:ascii="Arial" w:cs="Arial" w:eastAsia="Arial" w:hAnsi="Arial"/>
          <w:sz w:val="19"/>
          <w:szCs w:val="19"/>
          <w:u w:val="single" w:color="auto"/>
          <w:color w:val="auto"/>
        </w:rPr>
        <w:t>Article XII</w:t>
      </w:r>
      <w:r>
        <w:rPr>
          <w:rFonts w:ascii="Arial" w:cs="Arial" w:eastAsia="Arial" w:hAnsi="Arial"/>
          <w:sz w:val="19"/>
          <w:szCs w:val="19"/>
          <w:color w:val="auto"/>
        </w:rPr>
        <w:t xml:space="preserve">, the Liquidating Trustee approved in the manner provided herein shall have and may exercise, without further authorization or consent of any of the parties hereto, all of the powers conferred upon the Board of Directors and the General Partner under the terms of this Agreement (but subject to all of the applicable limitations, contractual and otherwise, upon the exercise of such powers, other than the limitation on sale set forth in </w:t>
      </w:r>
      <w:r>
        <w:rPr>
          <w:rFonts w:ascii="Arial" w:cs="Arial" w:eastAsia="Arial" w:hAnsi="Arial"/>
          <w:sz w:val="19"/>
          <w:szCs w:val="19"/>
          <w:u w:val="single" w:color="auto"/>
          <w:color w:val="auto"/>
        </w:rPr>
        <w:t>Section</w:t>
      </w:r>
    </w:p>
    <w:p>
      <w:pPr>
        <w:spacing w:after="0" w:line="5" w:lineRule="exact"/>
        <w:rPr>
          <w:sz w:val="20"/>
          <w:szCs w:val="20"/>
          <w:color w:val="auto"/>
        </w:rPr>
      </w:pPr>
    </w:p>
    <w:p>
      <w:pPr>
        <w:ind w:right="560"/>
        <w:spacing w:after="0" w:line="308" w:lineRule="auto"/>
        <w:rPr>
          <w:sz w:val="20"/>
          <w:szCs w:val="20"/>
          <w:color w:val="auto"/>
        </w:rPr>
      </w:pPr>
      <w:r>
        <w:rPr>
          <w:rFonts w:ascii="Arial" w:cs="Arial" w:eastAsia="Arial" w:hAnsi="Arial"/>
          <w:sz w:val="19"/>
          <w:szCs w:val="19"/>
          <w:u w:val="single" w:color="auto"/>
          <w:color w:val="auto"/>
        </w:rPr>
        <w:t>7.11(b)</w:t>
      </w:r>
      <w:r>
        <w:rPr>
          <w:rFonts w:ascii="Arial" w:cs="Arial" w:eastAsia="Arial" w:hAnsi="Arial"/>
          <w:sz w:val="19"/>
          <w:szCs w:val="19"/>
          <w:color w:val="auto"/>
        </w:rPr>
        <w:t>) necessary or appropriate to carry out the duties and functions of the Liquidating Trustee hereunder for and during the period of time required to complete the winding up and liquidation of the Partnership as provided for herein.</w:t>
      </w:r>
    </w:p>
    <w:p>
      <w:pPr>
        <w:spacing w:after="0" w:line="150" w:lineRule="exact"/>
        <w:rPr>
          <w:sz w:val="20"/>
          <w:szCs w:val="20"/>
          <w:color w:val="auto"/>
        </w:rPr>
      </w:pPr>
    </w:p>
    <w:p>
      <w:pPr>
        <w:ind w:right="400" w:firstLine="1297"/>
        <w:spacing w:after="0"/>
        <w:rPr>
          <w:sz w:val="20"/>
          <w:szCs w:val="20"/>
          <w:color w:val="auto"/>
        </w:rPr>
      </w:pPr>
      <w:r>
        <w:rPr>
          <w:rFonts w:ascii="Arial" w:cs="Arial" w:eastAsia="Arial" w:hAnsi="Arial"/>
          <w:sz w:val="22"/>
          <w:szCs w:val="22"/>
          <w:color w:val="auto"/>
        </w:rPr>
        <w:t xml:space="preserve">Section 12.4. </w:t>
      </w:r>
      <w:r>
        <w:rPr>
          <w:rFonts w:ascii="Arial" w:cs="Arial" w:eastAsia="Arial" w:hAnsi="Arial"/>
          <w:sz w:val="22"/>
          <w:szCs w:val="22"/>
          <w:i w:val="1"/>
          <w:iCs w:val="1"/>
          <w:color w:val="auto"/>
        </w:rPr>
        <w:t>Liquidation</w:t>
      </w:r>
      <w:r>
        <w:rPr>
          <w:rFonts w:ascii="Arial" w:cs="Arial" w:eastAsia="Arial" w:hAnsi="Arial"/>
          <w:sz w:val="22"/>
          <w:szCs w:val="22"/>
          <w:color w:val="auto"/>
        </w:rPr>
        <w:t>. The Liquidating Trustee shall proceed to dispose of the assets of the Partnership, discharge its liabilities, and otherwise wind up its affairs in such manner and over such period as determined by the Liquidating Trustee, subject to the Marshall Islands Act and the following:</w:t>
      </w:r>
    </w:p>
    <w:p>
      <w:pPr>
        <w:spacing w:after="0" w:line="213" w:lineRule="exact"/>
        <w:rPr>
          <w:sz w:val="20"/>
          <w:szCs w:val="20"/>
          <w:color w:val="auto"/>
        </w:rPr>
      </w:pPr>
    </w:p>
    <w:p>
      <w:pPr>
        <w:ind w:right="280" w:firstLine="1305"/>
        <w:spacing w:after="0" w:line="287" w:lineRule="auto"/>
        <w:tabs>
          <w:tab w:leader="none" w:pos="1803" w:val="left"/>
        </w:tabs>
        <w:numPr>
          <w:ilvl w:val="0"/>
          <w:numId w:val="74"/>
        </w:numPr>
        <w:rPr>
          <w:rFonts w:ascii="Arial" w:cs="Arial" w:eastAsia="Arial" w:hAnsi="Arial"/>
          <w:sz w:val="19"/>
          <w:szCs w:val="19"/>
          <w:color w:val="auto"/>
        </w:rPr>
      </w:pPr>
      <w:r>
        <w:rPr>
          <w:rFonts w:ascii="Arial" w:cs="Arial" w:eastAsia="Arial" w:hAnsi="Arial"/>
          <w:sz w:val="19"/>
          <w:szCs w:val="19"/>
          <w:color w:val="auto"/>
        </w:rPr>
        <w:t xml:space="preserve">The assets may be disposed of by public or private sale or by distribution in kind to one or more Partners on such terms as the Liquidating Trustee and such Partner or Partners may agree. If any property is distributed in kind, the Partner receiving the property shall be deemed for purposes of </w:t>
      </w:r>
      <w:r>
        <w:rPr>
          <w:rFonts w:ascii="Arial" w:cs="Arial" w:eastAsia="Arial" w:hAnsi="Arial"/>
          <w:sz w:val="19"/>
          <w:szCs w:val="19"/>
          <w:u w:val="single" w:color="auto"/>
          <w:color w:val="auto"/>
        </w:rPr>
        <w:t>Section 12.4(c)</w:t>
      </w:r>
      <w:r>
        <w:rPr>
          <w:rFonts w:ascii="Arial" w:cs="Arial" w:eastAsia="Arial" w:hAnsi="Arial"/>
          <w:sz w:val="19"/>
          <w:szCs w:val="19"/>
          <w:color w:val="auto"/>
        </w:rPr>
        <w:t xml:space="preserve"> to have received cash equal to its fair market value, and contemporaneously therewith, appropriate cash distributions must be made to the other</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76" w:name="page77"/>
    <w:bookmarkEnd w:id="76"/>
    <w:p>
      <w:pPr>
        <w:ind w:right="340"/>
        <w:spacing w:after="0" w:line="252" w:lineRule="auto"/>
        <w:rPr>
          <w:sz w:val="20"/>
          <w:szCs w:val="20"/>
          <w:color w:val="auto"/>
        </w:rPr>
      </w:pPr>
      <w:r>
        <w:rPr>
          <w:rFonts w:ascii="Arial" w:cs="Arial" w:eastAsia="Arial" w:hAnsi="Arial"/>
          <w:sz w:val="21"/>
          <w:szCs w:val="21"/>
          <w:color w:val="auto"/>
        </w:rPr>
        <w:t>Partners. The Liquidating Trustee may defer liquidation or distribution of the Partnership’s assets for a reasonable time if it determines that an immediate sale or distribution of all or some of the Partnership’s assets would be impractical or would cause undue loss to the Partners. The Liquidating Trustee may distribute the Partnership’s assets, in whole or in part, in kind if it determines that a sale would be impractical or would cause undue loss to the Partners.</w:t>
      </w:r>
    </w:p>
    <w:p>
      <w:pPr>
        <w:spacing w:after="0" w:line="201" w:lineRule="exact"/>
        <w:rPr>
          <w:sz w:val="20"/>
          <w:szCs w:val="20"/>
          <w:color w:val="auto"/>
        </w:rPr>
      </w:pPr>
    </w:p>
    <w:p>
      <w:pPr>
        <w:ind w:right="440" w:firstLine="1305"/>
        <w:spacing w:after="0" w:line="276" w:lineRule="auto"/>
        <w:tabs>
          <w:tab w:leader="none" w:pos="1815" w:val="left"/>
        </w:tabs>
        <w:numPr>
          <w:ilvl w:val="0"/>
          <w:numId w:val="75"/>
        </w:numPr>
        <w:rPr>
          <w:rFonts w:ascii="Arial" w:cs="Arial" w:eastAsia="Arial" w:hAnsi="Arial"/>
          <w:sz w:val="19"/>
          <w:szCs w:val="19"/>
          <w:color w:val="auto"/>
        </w:rPr>
      </w:pPr>
      <w:r>
        <w:rPr>
          <w:rFonts w:ascii="Arial" w:cs="Arial" w:eastAsia="Arial" w:hAnsi="Arial"/>
          <w:sz w:val="19"/>
          <w:szCs w:val="19"/>
          <w:color w:val="auto"/>
        </w:rPr>
        <w:t xml:space="preserve">The Liquidating Trustee shall first satisfy the liabilities of the Partnership. Liabilities of the Partnership include amounts owed to the Liquidating Trustee as compensation for serving in such capacity (subject to the terms of </w:t>
      </w:r>
      <w:r>
        <w:rPr>
          <w:rFonts w:ascii="Arial" w:cs="Arial" w:eastAsia="Arial" w:hAnsi="Arial"/>
          <w:sz w:val="19"/>
          <w:szCs w:val="19"/>
          <w:u w:val="single" w:color="auto"/>
          <w:color w:val="auto"/>
        </w:rPr>
        <w:t>Section</w:t>
      </w:r>
    </w:p>
    <w:p>
      <w:pPr>
        <w:spacing w:after="0" w:line="1" w:lineRule="exact"/>
        <w:rPr>
          <w:rFonts w:ascii="Arial" w:cs="Arial" w:eastAsia="Arial" w:hAnsi="Arial"/>
          <w:sz w:val="19"/>
          <w:szCs w:val="19"/>
          <w:color w:val="auto"/>
        </w:rPr>
      </w:pPr>
    </w:p>
    <w:p>
      <w:pPr>
        <w:ind w:right="40"/>
        <w:spacing w:after="0" w:line="246" w:lineRule="auto"/>
        <w:rPr>
          <w:rFonts w:ascii="Arial" w:cs="Arial" w:eastAsia="Arial" w:hAnsi="Arial"/>
          <w:sz w:val="19"/>
          <w:szCs w:val="19"/>
          <w:color w:val="auto"/>
        </w:rPr>
      </w:pPr>
      <w:r>
        <w:rPr>
          <w:rFonts w:ascii="Arial" w:cs="Arial" w:eastAsia="Arial" w:hAnsi="Arial"/>
          <w:sz w:val="21"/>
          <w:szCs w:val="21"/>
          <w:u w:val="single" w:color="auto"/>
          <w:color w:val="auto"/>
        </w:rPr>
        <w:t>12.3</w:t>
      </w:r>
      <w:r>
        <w:rPr>
          <w:rFonts w:ascii="Arial" w:cs="Arial" w:eastAsia="Arial" w:hAnsi="Arial"/>
          <w:sz w:val="21"/>
          <w:szCs w:val="21"/>
          <w:color w:val="auto"/>
        </w:rPr>
        <w:t xml:space="preserve">) and amounts to Partners otherwise than in respect of their distribution rights under </w:t>
      </w:r>
      <w:r>
        <w:rPr>
          <w:rFonts w:ascii="Arial" w:cs="Arial" w:eastAsia="Arial" w:hAnsi="Arial"/>
          <w:sz w:val="21"/>
          <w:szCs w:val="21"/>
          <w:u w:val="single" w:color="auto"/>
          <w:color w:val="auto"/>
        </w:rPr>
        <w:t>Article VI</w:t>
      </w:r>
      <w:r>
        <w:rPr>
          <w:rFonts w:ascii="Arial" w:cs="Arial" w:eastAsia="Arial" w:hAnsi="Arial"/>
          <w:sz w:val="21"/>
          <w:szCs w:val="21"/>
          <w:color w:val="auto"/>
        </w:rPr>
        <w:t>. With respect to any liability that is contingent, conditional or unmatured or is otherwise not yet due and payable, the Liquidating Trustee shall either settle such claim for such amount as it deems appropriate or establish a reserve of cash or other assets to provide for its payment. When paid, any unused portion of the reserve shall be distributed as additional liquidation proceeds.</w:t>
      </w:r>
    </w:p>
    <w:p>
      <w:pPr>
        <w:spacing w:after="0" w:line="207" w:lineRule="exact"/>
        <w:rPr>
          <w:rFonts w:ascii="Arial" w:cs="Arial" w:eastAsia="Arial" w:hAnsi="Arial"/>
          <w:sz w:val="19"/>
          <w:szCs w:val="19"/>
          <w:color w:val="auto"/>
        </w:rPr>
      </w:pPr>
    </w:p>
    <w:p>
      <w:pPr>
        <w:ind w:firstLine="1305"/>
        <w:spacing w:after="0" w:line="251" w:lineRule="auto"/>
        <w:tabs>
          <w:tab w:leader="none" w:pos="1795" w:val="left"/>
        </w:tabs>
        <w:numPr>
          <w:ilvl w:val="0"/>
          <w:numId w:val="75"/>
        </w:numPr>
        <w:rPr>
          <w:rFonts w:ascii="Arial" w:cs="Arial" w:eastAsia="Arial" w:hAnsi="Arial"/>
          <w:sz w:val="22"/>
          <w:szCs w:val="22"/>
          <w:color w:val="auto"/>
        </w:rPr>
      </w:pPr>
      <w:r>
        <w:rPr>
          <w:rFonts w:ascii="Arial" w:cs="Arial" w:eastAsia="Arial" w:hAnsi="Arial"/>
          <w:sz w:val="22"/>
          <w:szCs w:val="22"/>
          <w:color w:val="auto"/>
        </w:rPr>
        <w:t xml:space="preserve">All property and all cash in excess of that required to discharge liabilities as provided in this </w:t>
      </w:r>
      <w:r>
        <w:rPr>
          <w:rFonts w:ascii="Arial" w:cs="Arial" w:eastAsia="Arial" w:hAnsi="Arial"/>
          <w:sz w:val="22"/>
          <w:szCs w:val="22"/>
          <w:u w:val="single" w:color="auto"/>
          <w:color w:val="auto"/>
        </w:rPr>
        <w:t>Section 12.4</w:t>
      </w:r>
      <w:r>
        <w:rPr>
          <w:rFonts w:ascii="Arial" w:cs="Arial" w:eastAsia="Arial" w:hAnsi="Arial"/>
          <w:sz w:val="22"/>
          <w:szCs w:val="22"/>
          <w:color w:val="auto"/>
        </w:rPr>
        <w:t xml:space="preserve"> shall be distributed, subject to </w:t>
      </w:r>
      <w:r>
        <w:rPr>
          <w:rFonts w:ascii="Arial" w:cs="Arial" w:eastAsia="Arial" w:hAnsi="Arial"/>
          <w:sz w:val="22"/>
          <w:szCs w:val="22"/>
          <w:u w:val="single" w:color="auto"/>
          <w:color w:val="auto"/>
        </w:rPr>
        <w:t>Section 16.4</w:t>
      </w:r>
      <w:r>
        <w:rPr>
          <w:rFonts w:ascii="Arial" w:cs="Arial" w:eastAsia="Arial" w:hAnsi="Arial"/>
          <w:sz w:val="22"/>
          <w:szCs w:val="22"/>
          <w:color w:val="auto"/>
        </w:rPr>
        <w:t xml:space="preserve"> in respect of Series A Preference Units, as follows:</w:t>
      </w:r>
    </w:p>
    <w:p>
      <w:pPr>
        <w:spacing w:after="0" w:line="200" w:lineRule="exact"/>
        <w:rPr>
          <w:sz w:val="20"/>
          <w:szCs w:val="20"/>
          <w:color w:val="auto"/>
        </w:rPr>
      </w:pPr>
    </w:p>
    <w:p>
      <w:pPr>
        <w:ind w:left="660" w:right="160" w:firstLine="645"/>
        <w:spacing w:after="0"/>
        <w:tabs>
          <w:tab w:leader="none" w:pos="1782" w:val="left"/>
        </w:tabs>
        <w:numPr>
          <w:ilvl w:val="0"/>
          <w:numId w:val="76"/>
        </w:numPr>
        <w:rPr>
          <w:rFonts w:ascii="Arial" w:cs="Arial" w:eastAsia="Arial" w:hAnsi="Arial"/>
          <w:sz w:val="22"/>
          <w:szCs w:val="22"/>
          <w:color w:val="auto"/>
        </w:rPr>
      </w:pPr>
      <w:r>
        <w:rPr>
          <w:rFonts w:ascii="Arial" w:cs="Arial" w:eastAsia="Arial" w:hAnsi="Arial"/>
          <w:sz w:val="22"/>
          <w:szCs w:val="22"/>
          <w:color w:val="auto"/>
        </w:rPr>
        <w:t>If the Current Market Price of the Common Units as of the date three trading days prior to the announcement of the proposed liquidation exceeds the Unrecovered Capital for a Common Unit plus the Cumulative Common Unit Arrearage:</w:t>
      </w:r>
    </w:p>
    <w:p>
      <w:pPr>
        <w:spacing w:after="0" w:line="213" w:lineRule="exact"/>
        <w:rPr>
          <w:rFonts w:ascii="Arial" w:cs="Arial" w:eastAsia="Arial" w:hAnsi="Arial"/>
          <w:sz w:val="22"/>
          <w:szCs w:val="22"/>
          <w:color w:val="auto"/>
        </w:rPr>
      </w:pPr>
    </w:p>
    <w:p>
      <w:pPr>
        <w:ind w:left="1300" w:right="80" w:firstLine="653"/>
        <w:spacing w:after="0" w:line="238" w:lineRule="auto"/>
        <w:tabs>
          <w:tab w:leader="none" w:pos="2518" w:val="left"/>
        </w:tabs>
        <w:numPr>
          <w:ilvl w:val="1"/>
          <w:numId w:val="76"/>
        </w:numPr>
        <w:rPr>
          <w:rFonts w:ascii="Arial" w:cs="Arial" w:eastAsia="Arial" w:hAnsi="Arial"/>
          <w:sz w:val="22"/>
          <w:szCs w:val="22"/>
          <w:color w:val="auto"/>
        </w:rPr>
      </w:pPr>
      <w:r>
        <w:rPr>
          <w:rFonts w:ascii="Arial" w:cs="Arial" w:eastAsia="Arial" w:hAnsi="Arial"/>
          <w:sz w:val="22"/>
          <w:szCs w:val="22"/>
          <w:color w:val="auto"/>
        </w:rPr>
        <w:t>First, (x) to the General Partner in accordance with its Percentage Interest and (y) to all the Unitholders holding Common Units, Pro Rata, a percentage equal to 100% less the General Partner’s Percentage Interest, until there has been distributed in respect of each Common Unit then Outstanding an amount equal to such Current Market Price of a Common Unit;</w:t>
      </w:r>
    </w:p>
    <w:p>
      <w:pPr>
        <w:spacing w:after="0" w:line="212" w:lineRule="exact"/>
        <w:rPr>
          <w:rFonts w:ascii="Arial" w:cs="Arial" w:eastAsia="Arial" w:hAnsi="Arial"/>
          <w:sz w:val="22"/>
          <w:szCs w:val="22"/>
          <w:color w:val="auto"/>
        </w:rPr>
      </w:pPr>
    </w:p>
    <w:p>
      <w:pPr>
        <w:ind w:left="1300" w:right="60" w:firstLine="653"/>
        <w:spacing w:after="0" w:line="238" w:lineRule="auto"/>
        <w:tabs>
          <w:tab w:leader="none" w:pos="2506" w:val="left"/>
        </w:tabs>
        <w:numPr>
          <w:ilvl w:val="1"/>
          <w:numId w:val="76"/>
        </w:numPr>
        <w:rPr>
          <w:rFonts w:ascii="Arial" w:cs="Arial" w:eastAsia="Arial" w:hAnsi="Arial"/>
          <w:sz w:val="22"/>
          <w:szCs w:val="22"/>
          <w:color w:val="auto"/>
        </w:rPr>
      </w:pPr>
      <w:r>
        <w:rPr>
          <w:rFonts w:ascii="Arial" w:cs="Arial" w:eastAsia="Arial" w:hAnsi="Arial"/>
          <w:sz w:val="22"/>
          <w:szCs w:val="22"/>
          <w:color w:val="auto"/>
        </w:rPr>
        <w:t>Second (x) to the General Partner in accordance with its Percentage Interest and (y) to all Unitholders holding Subordinated Units, Pro Rata, a percentage equal to 100% less the General Partner’s Percentage Interest, until there has been distributed in respect of each Subordinated Unit then Outstanding an amount equal to such Current Market Price of a Common Unit; and</w:t>
      </w:r>
    </w:p>
    <w:p>
      <w:pPr>
        <w:spacing w:after="0" w:line="212" w:lineRule="exact"/>
        <w:rPr>
          <w:rFonts w:ascii="Arial" w:cs="Arial" w:eastAsia="Arial" w:hAnsi="Arial"/>
          <w:sz w:val="22"/>
          <w:szCs w:val="22"/>
          <w:color w:val="auto"/>
        </w:rPr>
      </w:pPr>
    </w:p>
    <w:p>
      <w:pPr>
        <w:ind w:left="1300" w:firstLine="653"/>
        <w:spacing w:after="0" w:line="258" w:lineRule="auto"/>
        <w:tabs>
          <w:tab w:leader="none" w:pos="2502" w:val="left"/>
        </w:tabs>
        <w:numPr>
          <w:ilvl w:val="1"/>
          <w:numId w:val="76"/>
        </w:numPr>
        <w:rPr>
          <w:rFonts w:ascii="Arial" w:cs="Arial" w:eastAsia="Arial" w:hAnsi="Arial"/>
          <w:sz w:val="21"/>
          <w:szCs w:val="21"/>
          <w:color w:val="auto"/>
        </w:rPr>
      </w:pPr>
      <w:r>
        <w:rPr>
          <w:rFonts w:ascii="Arial" w:cs="Arial" w:eastAsia="Arial" w:hAnsi="Arial"/>
          <w:sz w:val="21"/>
          <w:szCs w:val="21"/>
          <w:color w:val="auto"/>
        </w:rPr>
        <w:t xml:space="preserve">Thereafter (x) to the General Partner in accordance with its Percentage Interest; (y) 48% to the holders of the Incentive Distribution Rights, Pro Rata; and (z) to all Unitholders, Pro Rata, a percentage equal to 100% less the sum of the percentages applicable to </w:t>
      </w:r>
      <w:r>
        <w:rPr>
          <w:rFonts w:ascii="Arial" w:cs="Arial" w:eastAsia="Arial" w:hAnsi="Arial"/>
          <w:sz w:val="21"/>
          <w:szCs w:val="21"/>
          <w:u w:val="single" w:color="auto"/>
          <w:color w:val="auto"/>
        </w:rPr>
        <w:t>subclauses (x)</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(y)</w:t>
      </w:r>
      <w:r>
        <w:rPr>
          <w:rFonts w:ascii="Arial" w:cs="Arial" w:eastAsia="Arial" w:hAnsi="Arial"/>
          <w:sz w:val="21"/>
          <w:szCs w:val="21"/>
          <w:color w:val="auto"/>
        </w:rPr>
        <w:t xml:space="preserve"> of this </w:t>
      </w:r>
      <w:r>
        <w:rPr>
          <w:rFonts w:ascii="Arial" w:cs="Arial" w:eastAsia="Arial" w:hAnsi="Arial"/>
          <w:sz w:val="21"/>
          <w:szCs w:val="21"/>
          <w:u w:val="single" w:color="auto"/>
          <w:color w:val="auto"/>
        </w:rPr>
        <w:t>clause (i)(C)</w:t>
      </w:r>
      <w:r>
        <w:rPr>
          <w:rFonts w:ascii="Arial" w:cs="Arial" w:eastAsia="Arial" w:hAnsi="Arial"/>
          <w:sz w:val="21"/>
          <w:szCs w:val="21"/>
          <w:color w:val="auto"/>
        </w:rPr>
        <w:t>;</w:t>
      </w:r>
    </w:p>
    <w:p>
      <w:pPr>
        <w:spacing w:after="0" w:line="193" w:lineRule="exact"/>
        <w:rPr>
          <w:rFonts w:ascii="Arial" w:cs="Arial" w:eastAsia="Arial" w:hAnsi="Arial"/>
          <w:sz w:val="21"/>
          <w:szCs w:val="21"/>
          <w:color w:val="auto"/>
        </w:rPr>
      </w:pPr>
    </w:p>
    <w:p>
      <w:pPr>
        <w:ind w:left="660" w:right="100" w:firstLine="645"/>
        <w:spacing w:after="0"/>
        <w:tabs>
          <w:tab w:leader="none" w:pos="1843" w:val="left"/>
        </w:tabs>
        <w:numPr>
          <w:ilvl w:val="0"/>
          <w:numId w:val="76"/>
        </w:numPr>
        <w:rPr>
          <w:rFonts w:ascii="Arial" w:cs="Arial" w:eastAsia="Arial" w:hAnsi="Arial"/>
          <w:sz w:val="22"/>
          <w:szCs w:val="22"/>
          <w:color w:val="auto"/>
        </w:rPr>
      </w:pPr>
      <w:r>
        <w:rPr>
          <w:rFonts w:ascii="Arial" w:cs="Arial" w:eastAsia="Arial" w:hAnsi="Arial"/>
          <w:sz w:val="22"/>
          <w:szCs w:val="22"/>
          <w:color w:val="auto"/>
        </w:rPr>
        <w:t>If the Current Market Price of the Common Units as of the date three trading days prior to the announcement of the proposed liquidation is equal to or less than the Unrecovered Capital for a Common Unit plus the Cumulative Common Unit Arrearage:</w:t>
      </w:r>
    </w:p>
    <w:p>
      <w:pPr>
        <w:spacing w:after="0" w:line="15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60"/>
          </w:cols>
          <w:pgMar w:left="240" w:top="401" w:right="299" w:bottom="1440" w:gutter="0" w:footer="0" w:header="0"/>
        </w:sectPr>
      </w:pPr>
    </w:p>
    <w:bookmarkStart w:id="77" w:name="page78"/>
    <w:bookmarkEnd w:id="77"/>
    <w:p>
      <w:pPr>
        <w:ind w:left="1300" w:right="260" w:firstLine="653"/>
        <w:spacing w:after="0" w:line="238" w:lineRule="auto"/>
        <w:tabs>
          <w:tab w:leader="none" w:pos="2518" w:val="left"/>
        </w:tabs>
        <w:numPr>
          <w:ilvl w:val="0"/>
          <w:numId w:val="77"/>
        </w:numPr>
        <w:rPr>
          <w:rFonts w:ascii="Arial" w:cs="Arial" w:eastAsia="Arial" w:hAnsi="Arial"/>
          <w:sz w:val="22"/>
          <w:szCs w:val="22"/>
          <w:color w:val="auto"/>
        </w:rPr>
      </w:pPr>
      <w:r>
        <w:rPr>
          <w:rFonts w:ascii="Arial" w:cs="Arial" w:eastAsia="Arial" w:hAnsi="Arial"/>
          <w:sz w:val="22"/>
          <w:szCs w:val="22"/>
          <w:color w:val="auto"/>
        </w:rPr>
        <w:t>First, (x) to the General Partner in accordance with its Percentage Interest and (y) to all the Unitholders holding Common Units, Pro Rata, a percentage equal to 100% less the General Partner’s Percentage Interest, until there has been distributed in respect of each Common Unit then Outstanding an amount equal to the Unrecovered Capital for a Common Unit;</w:t>
      </w:r>
    </w:p>
    <w:p>
      <w:pPr>
        <w:spacing w:after="0" w:line="212" w:lineRule="exact"/>
        <w:rPr>
          <w:rFonts w:ascii="Arial" w:cs="Arial" w:eastAsia="Arial" w:hAnsi="Arial"/>
          <w:sz w:val="22"/>
          <w:szCs w:val="22"/>
          <w:color w:val="auto"/>
        </w:rPr>
      </w:pPr>
    </w:p>
    <w:p>
      <w:pPr>
        <w:ind w:left="1300" w:right="60" w:firstLine="653"/>
        <w:spacing w:after="0" w:line="238" w:lineRule="auto"/>
        <w:tabs>
          <w:tab w:leader="none" w:pos="2506" w:val="left"/>
        </w:tabs>
        <w:numPr>
          <w:ilvl w:val="0"/>
          <w:numId w:val="77"/>
        </w:numPr>
        <w:rPr>
          <w:rFonts w:ascii="Arial" w:cs="Arial" w:eastAsia="Arial" w:hAnsi="Arial"/>
          <w:sz w:val="22"/>
          <w:szCs w:val="22"/>
          <w:color w:val="auto"/>
        </w:rPr>
      </w:pPr>
      <w:r>
        <w:rPr>
          <w:rFonts w:ascii="Arial" w:cs="Arial" w:eastAsia="Arial" w:hAnsi="Arial"/>
          <w:sz w:val="22"/>
          <w:szCs w:val="22"/>
          <w:color w:val="auto"/>
        </w:rPr>
        <w:t>Second, (x) to the General Partner in accordance with its Percentage Interest and (y) to all Unitholders holding Common Units, Pro Rata, a percentage equal to 100% less the General Partner’s Percentage Interest, until there has been distributed in respect of each Common Unit then Outstanding an amount equal to the Cumulative Common Unit Arrearage;</w:t>
      </w:r>
    </w:p>
    <w:p>
      <w:pPr>
        <w:spacing w:after="0" w:line="212" w:lineRule="exact"/>
        <w:rPr>
          <w:rFonts w:ascii="Arial" w:cs="Arial" w:eastAsia="Arial" w:hAnsi="Arial"/>
          <w:sz w:val="22"/>
          <w:szCs w:val="22"/>
          <w:color w:val="auto"/>
        </w:rPr>
      </w:pPr>
    </w:p>
    <w:p>
      <w:pPr>
        <w:ind w:left="1300" w:right="220" w:firstLine="653"/>
        <w:spacing w:after="0" w:line="236" w:lineRule="auto"/>
        <w:tabs>
          <w:tab w:leader="none" w:pos="2502" w:val="left"/>
        </w:tabs>
        <w:numPr>
          <w:ilvl w:val="0"/>
          <w:numId w:val="77"/>
        </w:numPr>
        <w:rPr>
          <w:rFonts w:ascii="Arial" w:cs="Arial" w:eastAsia="Arial" w:hAnsi="Arial"/>
          <w:sz w:val="22"/>
          <w:szCs w:val="22"/>
          <w:color w:val="auto"/>
        </w:rPr>
      </w:pPr>
      <w:r>
        <w:rPr>
          <w:rFonts w:ascii="Arial" w:cs="Arial" w:eastAsia="Arial" w:hAnsi="Arial"/>
          <w:sz w:val="22"/>
          <w:szCs w:val="22"/>
          <w:color w:val="auto"/>
        </w:rPr>
        <w:t xml:space="preserve">Third, (x) to the General Partner in accordance with its Percentage Interest and (y) to all Unitholders holding Subordinated Units, Pro Rata, a percentage equal to 100% less the General Partner’s Percentage Interest, until there has been distributed in respect of each Subordinated Unit then Outstanding an amount equal to the Unrecovered Capital for a Common Unit (as calculated prior to the distribution specified in </w:t>
      </w:r>
      <w:r>
        <w:rPr>
          <w:rFonts w:ascii="Arial" w:cs="Arial" w:eastAsia="Arial" w:hAnsi="Arial"/>
          <w:sz w:val="22"/>
          <w:szCs w:val="22"/>
          <w:u w:val="single" w:color="auto"/>
          <w:color w:val="auto"/>
        </w:rPr>
        <w:t>clause (ii)(A)</w:t>
      </w:r>
      <w:r>
        <w:rPr>
          <w:rFonts w:ascii="Arial" w:cs="Arial" w:eastAsia="Arial" w:hAnsi="Arial"/>
          <w:sz w:val="22"/>
          <w:szCs w:val="22"/>
          <w:color w:val="auto"/>
        </w:rPr>
        <w:t xml:space="preserve"> above); and</w:t>
      </w:r>
    </w:p>
    <w:p>
      <w:pPr>
        <w:spacing w:after="0" w:line="214" w:lineRule="exact"/>
        <w:rPr>
          <w:rFonts w:ascii="Arial" w:cs="Arial" w:eastAsia="Arial" w:hAnsi="Arial"/>
          <w:sz w:val="22"/>
          <w:szCs w:val="22"/>
          <w:color w:val="auto"/>
        </w:rPr>
      </w:pPr>
    </w:p>
    <w:p>
      <w:pPr>
        <w:ind w:left="1300" w:firstLine="653"/>
        <w:spacing w:after="0" w:line="258" w:lineRule="auto"/>
        <w:tabs>
          <w:tab w:leader="none" w:pos="2514" w:val="left"/>
        </w:tabs>
        <w:numPr>
          <w:ilvl w:val="0"/>
          <w:numId w:val="77"/>
        </w:numPr>
        <w:rPr>
          <w:rFonts w:ascii="Arial" w:cs="Arial" w:eastAsia="Arial" w:hAnsi="Arial"/>
          <w:sz w:val="21"/>
          <w:szCs w:val="21"/>
          <w:color w:val="auto"/>
        </w:rPr>
      </w:pPr>
      <w:r>
        <w:rPr>
          <w:rFonts w:ascii="Arial" w:cs="Arial" w:eastAsia="Arial" w:hAnsi="Arial"/>
          <w:sz w:val="21"/>
          <w:szCs w:val="21"/>
          <w:color w:val="auto"/>
        </w:rPr>
        <w:t xml:space="preserve">Thereafter, (x) to the General Partner in accordance with its Percentage Interest; (y) 48% to the holders of the Incentive Distribution Rights, Pro Rata; and (z) to all Unitholders, Pro Rata, a percentage equal to 100% less the sum of the percentages applicable to </w:t>
      </w:r>
      <w:r>
        <w:rPr>
          <w:rFonts w:ascii="Arial" w:cs="Arial" w:eastAsia="Arial" w:hAnsi="Arial"/>
          <w:sz w:val="21"/>
          <w:szCs w:val="21"/>
          <w:u w:val="single" w:color="auto"/>
          <w:color w:val="auto"/>
        </w:rPr>
        <w:t>subclauses (x)</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(y)</w:t>
      </w:r>
      <w:r>
        <w:rPr>
          <w:rFonts w:ascii="Arial" w:cs="Arial" w:eastAsia="Arial" w:hAnsi="Arial"/>
          <w:sz w:val="21"/>
          <w:szCs w:val="21"/>
          <w:color w:val="auto"/>
        </w:rPr>
        <w:t xml:space="preserve"> of this </w:t>
      </w:r>
      <w:r>
        <w:rPr>
          <w:rFonts w:ascii="Arial" w:cs="Arial" w:eastAsia="Arial" w:hAnsi="Arial"/>
          <w:sz w:val="21"/>
          <w:szCs w:val="21"/>
          <w:u w:val="single" w:color="auto"/>
          <w:color w:val="auto"/>
        </w:rPr>
        <w:t>clause (ii)(D)</w:t>
      </w:r>
      <w:r>
        <w:rPr>
          <w:rFonts w:ascii="Arial" w:cs="Arial" w:eastAsia="Arial" w:hAnsi="Arial"/>
          <w:sz w:val="21"/>
          <w:szCs w:val="21"/>
          <w:color w:val="auto"/>
        </w:rPr>
        <w:t>;</w:t>
      </w:r>
    </w:p>
    <w:p>
      <w:pPr>
        <w:spacing w:after="0" w:line="194" w:lineRule="exact"/>
        <w:rPr>
          <w:sz w:val="20"/>
          <w:szCs w:val="20"/>
          <w:color w:val="auto"/>
        </w:rPr>
      </w:pPr>
    </w:p>
    <w:p>
      <w:pPr>
        <w:ind w:right="140" w:firstLine="1297"/>
        <w:spacing w:after="0"/>
        <w:rPr>
          <w:sz w:val="20"/>
          <w:szCs w:val="20"/>
          <w:color w:val="auto"/>
        </w:rPr>
      </w:pPr>
      <w:r>
        <w:rPr>
          <w:rFonts w:ascii="Arial" w:cs="Arial" w:eastAsia="Arial" w:hAnsi="Arial"/>
          <w:sz w:val="22"/>
          <w:szCs w:val="22"/>
          <w:color w:val="auto"/>
        </w:rPr>
        <w:t xml:space="preserve">Distributions with respect to Series A Preference Units described in </w:t>
      </w:r>
      <w:r>
        <w:rPr>
          <w:rFonts w:ascii="Arial" w:cs="Arial" w:eastAsia="Arial" w:hAnsi="Arial"/>
          <w:sz w:val="22"/>
          <w:szCs w:val="22"/>
          <w:u w:val="single" w:color="auto"/>
          <w:color w:val="auto"/>
        </w:rPr>
        <w:t>Article XVI</w:t>
      </w:r>
      <w:r>
        <w:rPr>
          <w:rFonts w:ascii="Arial" w:cs="Arial" w:eastAsia="Arial" w:hAnsi="Arial"/>
          <w:sz w:val="22"/>
          <w:szCs w:val="22"/>
          <w:color w:val="auto"/>
        </w:rPr>
        <w:t xml:space="preserve"> in connection with a liquidation or dissolution of the Partnership shall be made pursuant to </w:t>
      </w:r>
      <w:r>
        <w:rPr>
          <w:rFonts w:ascii="Arial" w:cs="Arial" w:eastAsia="Arial" w:hAnsi="Arial"/>
          <w:sz w:val="22"/>
          <w:szCs w:val="22"/>
          <w:u w:val="single" w:color="auto"/>
          <w:color w:val="auto"/>
        </w:rPr>
        <w:t>Section 16.4</w:t>
      </w:r>
      <w:r>
        <w:rPr>
          <w:rFonts w:ascii="Arial" w:cs="Arial" w:eastAsia="Arial" w:hAnsi="Arial"/>
          <w:sz w:val="22"/>
          <w:szCs w:val="22"/>
          <w:color w:val="auto"/>
        </w:rPr>
        <w:t xml:space="preserve">, rather than pursuant to </w:t>
      </w:r>
      <w:r>
        <w:rPr>
          <w:rFonts w:ascii="Arial" w:cs="Arial" w:eastAsia="Arial" w:hAnsi="Arial"/>
          <w:sz w:val="22"/>
          <w:szCs w:val="22"/>
          <w:u w:val="single" w:color="auto"/>
          <w:color w:val="auto"/>
        </w:rPr>
        <w:t>clause (i)</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(ii)</w:t>
      </w:r>
      <w:r>
        <w:rPr>
          <w:rFonts w:ascii="Arial" w:cs="Arial" w:eastAsia="Arial" w:hAnsi="Arial"/>
          <w:sz w:val="22"/>
          <w:szCs w:val="22"/>
          <w:color w:val="auto"/>
        </w:rPr>
        <w:t xml:space="preserve"> of this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12.4(c)</w:t>
      </w:r>
      <w:r>
        <w:rPr>
          <w:rFonts w:ascii="Arial" w:cs="Arial" w:eastAsia="Arial" w:hAnsi="Arial"/>
          <w:sz w:val="22"/>
          <w:szCs w:val="22"/>
          <w:color w:val="auto"/>
        </w:rPr>
        <w:t>.</w:t>
      </w:r>
    </w:p>
    <w:p>
      <w:pPr>
        <w:spacing w:after="0" w:line="213" w:lineRule="exact"/>
        <w:rPr>
          <w:sz w:val="20"/>
          <w:szCs w:val="20"/>
          <w:color w:val="auto"/>
        </w:rPr>
      </w:pPr>
    </w:p>
    <w:p>
      <w:pPr>
        <w:ind w:right="60" w:firstLine="1297"/>
        <w:spacing w:after="0" w:line="287" w:lineRule="auto"/>
        <w:rPr>
          <w:sz w:val="20"/>
          <w:szCs w:val="20"/>
          <w:color w:val="auto"/>
        </w:rPr>
      </w:pPr>
      <w:r>
        <w:rPr>
          <w:rFonts w:ascii="Arial" w:cs="Arial" w:eastAsia="Arial" w:hAnsi="Arial"/>
          <w:sz w:val="19"/>
          <w:szCs w:val="19"/>
          <w:color w:val="auto"/>
        </w:rPr>
        <w:t xml:space="preserve">Section 12.5. </w:t>
      </w:r>
      <w:r>
        <w:rPr>
          <w:rFonts w:ascii="Arial" w:cs="Arial" w:eastAsia="Arial" w:hAnsi="Arial"/>
          <w:sz w:val="19"/>
          <w:szCs w:val="19"/>
          <w:i w:val="1"/>
          <w:iCs w:val="1"/>
          <w:color w:val="auto"/>
        </w:rPr>
        <w:t>Cancellation of Certificate of Limited Partnership</w:t>
      </w:r>
      <w:r>
        <w:rPr>
          <w:rFonts w:ascii="Arial" w:cs="Arial" w:eastAsia="Arial" w:hAnsi="Arial"/>
          <w:sz w:val="19"/>
          <w:szCs w:val="19"/>
          <w:color w:val="auto"/>
        </w:rPr>
        <w:t xml:space="preserve">. Upon the completion of the distribution of Partnership cash and property as provided in </w:t>
      </w:r>
      <w:r>
        <w:rPr>
          <w:rFonts w:ascii="Arial" w:cs="Arial" w:eastAsia="Arial" w:hAnsi="Arial"/>
          <w:sz w:val="19"/>
          <w:szCs w:val="19"/>
          <w:u w:val="single" w:color="auto"/>
          <w:color w:val="auto"/>
        </w:rPr>
        <w:t>Section 12.4</w:t>
      </w:r>
      <w:r>
        <w:rPr>
          <w:rFonts w:ascii="Arial" w:cs="Arial" w:eastAsia="Arial" w:hAnsi="Arial"/>
          <w:sz w:val="19"/>
          <w:szCs w:val="19"/>
          <w:color w:val="auto"/>
        </w:rPr>
        <w:t xml:space="preserve"> in connection with the liquidation of the Partnership, the Certificate of Limited Partnership and all qualifications of the Partnership as a foreign limited partnership in jurisdictions other than the Marshall Islands shall be canceled and such other actions as may be necessary to terminate the Partnership shall be taken.</w:t>
      </w:r>
    </w:p>
    <w:p>
      <w:pPr>
        <w:spacing w:after="0" w:line="170" w:lineRule="exact"/>
        <w:rPr>
          <w:sz w:val="20"/>
          <w:szCs w:val="20"/>
          <w:color w:val="auto"/>
        </w:rPr>
      </w:pPr>
    </w:p>
    <w:p>
      <w:pPr>
        <w:ind w:right="340" w:firstLine="1297"/>
        <w:spacing w:after="0" w:line="238" w:lineRule="auto"/>
        <w:rPr>
          <w:sz w:val="20"/>
          <w:szCs w:val="20"/>
          <w:color w:val="auto"/>
        </w:rPr>
      </w:pPr>
      <w:r>
        <w:rPr>
          <w:rFonts w:ascii="Arial" w:cs="Arial" w:eastAsia="Arial" w:hAnsi="Arial"/>
          <w:sz w:val="22"/>
          <w:szCs w:val="22"/>
          <w:color w:val="auto"/>
        </w:rPr>
        <w:t xml:space="preserve">Section 12.6. </w:t>
      </w:r>
      <w:r>
        <w:rPr>
          <w:rFonts w:ascii="Arial" w:cs="Arial" w:eastAsia="Arial" w:hAnsi="Arial"/>
          <w:sz w:val="22"/>
          <w:szCs w:val="22"/>
          <w:i w:val="1"/>
          <w:iCs w:val="1"/>
          <w:color w:val="auto"/>
        </w:rPr>
        <w:t>Return of Contributions</w:t>
      </w:r>
      <w:r>
        <w:rPr>
          <w:rFonts w:ascii="Arial" w:cs="Arial" w:eastAsia="Arial" w:hAnsi="Arial"/>
          <w:sz w:val="22"/>
          <w:szCs w:val="22"/>
          <w:color w:val="auto"/>
        </w:rPr>
        <w:t>. The General Partner shall not be personally liable for, and shall have no obligation to contribute or loan any monies or property to the Partnership to enable it to effectuate, the return of the Capital Contributions of the Limited Partners or Unitholders, or any portion thereof, it being expressly understood that any such return shall be made solely from Partnership assets.</w:t>
      </w:r>
    </w:p>
    <w:p>
      <w:pPr>
        <w:spacing w:after="0" w:line="212" w:lineRule="exact"/>
        <w:rPr>
          <w:sz w:val="20"/>
          <w:szCs w:val="20"/>
          <w:color w:val="auto"/>
        </w:rPr>
      </w:pPr>
    </w:p>
    <w:p>
      <w:pPr>
        <w:ind w:right="80" w:firstLine="1297"/>
        <w:spacing w:after="0" w:line="251" w:lineRule="auto"/>
        <w:rPr>
          <w:sz w:val="20"/>
          <w:szCs w:val="20"/>
          <w:color w:val="auto"/>
        </w:rPr>
      </w:pPr>
      <w:r>
        <w:rPr>
          <w:rFonts w:ascii="Arial" w:cs="Arial" w:eastAsia="Arial" w:hAnsi="Arial"/>
          <w:sz w:val="22"/>
          <w:szCs w:val="22"/>
          <w:color w:val="auto"/>
        </w:rPr>
        <w:t xml:space="preserve">Section 12.7. </w:t>
      </w:r>
      <w:r>
        <w:rPr>
          <w:rFonts w:ascii="Arial" w:cs="Arial" w:eastAsia="Arial" w:hAnsi="Arial"/>
          <w:sz w:val="22"/>
          <w:szCs w:val="22"/>
          <w:i w:val="1"/>
          <w:iCs w:val="1"/>
          <w:color w:val="auto"/>
        </w:rPr>
        <w:t>Waiver of Partition</w:t>
      </w:r>
      <w:r>
        <w:rPr>
          <w:rFonts w:ascii="Arial" w:cs="Arial" w:eastAsia="Arial" w:hAnsi="Arial"/>
          <w:sz w:val="22"/>
          <w:szCs w:val="22"/>
          <w:color w:val="auto"/>
        </w:rPr>
        <w:t>. To the maximum extent permitted by law, each Partner hereby waives any right to partition of the Partnership property.</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78" w:name="page79"/>
    <w:bookmarkEnd w:id="78"/>
    <w:p>
      <w:pPr>
        <w:jc w:val="center"/>
        <w:ind w:right="-19"/>
        <w:spacing w:after="0"/>
        <w:rPr>
          <w:sz w:val="20"/>
          <w:szCs w:val="20"/>
          <w:color w:val="auto"/>
        </w:rPr>
      </w:pPr>
      <w:r>
        <w:rPr>
          <w:rFonts w:ascii="Arial" w:cs="Arial" w:eastAsia="Arial" w:hAnsi="Arial"/>
          <w:sz w:val="22"/>
          <w:szCs w:val="22"/>
          <w:b w:val="1"/>
          <w:bCs w:val="1"/>
          <w:color w:val="auto"/>
        </w:rPr>
        <w:t>ARTICLE XIII</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AMENDMENT OF PARTNERSHIP AGREEMENT; MEETINGS; RECORD DATE</w:t>
      </w:r>
    </w:p>
    <w:p>
      <w:pPr>
        <w:spacing w:after="0" w:line="215" w:lineRule="exact"/>
        <w:rPr>
          <w:sz w:val="20"/>
          <w:szCs w:val="20"/>
          <w:color w:val="auto"/>
        </w:rPr>
      </w:pPr>
    </w:p>
    <w:p>
      <w:pPr>
        <w:ind w:right="40" w:firstLine="1297"/>
        <w:spacing w:after="0" w:line="252" w:lineRule="auto"/>
        <w:rPr>
          <w:sz w:val="20"/>
          <w:szCs w:val="20"/>
          <w:color w:val="auto"/>
        </w:rPr>
      </w:pPr>
      <w:r>
        <w:rPr>
          <w:rFonts w:ascii="Arial" w:cs="Arial" w:eastAsia="Arial" w:hAnsi="Arial"/>
          <w:sz w:val="21"/>
          <w:szCs w:val="21"/>
          <w:color w:val="auto"/>
        </w:rPr>
        <w:t xml:space="preserve">Section 13.1. </w:t>
      </w:r>
      <w:r>
        <w:rPr>
          <w:rFonts w:ascii="Arial" w:cs="Arial" w:eastAsia="Arial" w:hAnsi="Arial"/>
          <w:sz w:val="21"/>
          <w:szCs w:val="21"/>
          <w:i w:val="1"/>
          <w:iCs w:val="1"/>
          <w:color w:val="auto"/>
        </w:rPr>
        <w:t>Amendments to be Adopted Without Approval of the Limited Partners or the General Partner</w:t>
      </w:r>
      <w:r>
        <w:rPr>
          <w:rFonts w:ascii="Arial" w:cs="Arial" w:eastAsia="Arial" w:hAnsi="Arial"/>
          <w:sz w:val="21"/>
          <w:szCs w:val="21"/>
          <w:color w:val="auto"/>
        </w:rPr>
        <w:t xml:space="preserve">. The General Partner and each Limited Partner agree that the Board of Directors, without the approval of any Limited Partner or, subject to </w:t>
      </w:r>
      <w:r>
        <w:rPr>
          <w:rFonts w:ascii="Arial" w:cs="Arial" w:eastAsia="Arial" w:hAnsi="Arial"/>
          <w:sz w:val="21"/>
          <w:szCs w:val="21"/>
          <w:u w:val="single" w:color="auto"/>
          <w:color w:val="auto"/>
        </w:rPr>
        <w:t>Section 5.5</w:t>
      </w:r>
      <w:r>
        <w:rPr>
          <w:rFonts w:ascii="Arial" w:cs="Arial" w:eastAsia="Arial" w:hAnsi="Arial"/>
          <w:sz w:val="21"/>
          <w:szCs w:val="21"/>
          <w:color w:val="auto"/>
        </w:rPr>
        <w:t>, the General Partner, may amend any provision of this Agreement and execute, swear to, acknowledge, deliver, file and record whatever documents may be required in connection therewith, to reflect:</w:t>
      </w:r>
    </w:p>
    <w:p>
      <w:pPr>
        <w:spacing w:after="0" w:line="201" w:lineRule="exact"/>
        <w:rPr>
          <w:sz w:val="20"/>
          <w:szCs w:val="20"/>
          <w:color w:val="auto"/>
        </w:rPr>
      </w:pPr>
    </w:p>
    <w:p>
      <w:pPr>
        <w:ind w:left="660" w:right="180" w:firstLine="645"/>
        <w:spacing w:after="0" w:line="251" w:lineRule="auto"/>
        <w:tabs>
          <w:tab w:leader="none" w:pos="1818" w:val="left"/>
        </w:tabs>
        <w:numPr>
          <w:ilvl w:val="0"/>
          <w:numId w:val="78"/>
        </w:numPr>
        <w:rPr>
          <w:rFonts w:ascii="Arial" w:cs="Arial" w:eastAsia="Arial" w:hAnsi="Arial"/>
          <w:sz w:val="22"/>
          <w:szCs w:val="22"/>
          <w:color w:val="auto"/>
        </w:rPr>
      </w:pPr>
      <w:r>
        <w:rPr>
          <w:rFonts w:ascii="Arial" w:cs="Arial" w:eastAsia="Arial" w:hAnsi="Arial"/>
          <w:sz w:val="22"/>
          <w:szCs w:val="22"/>
          <w:color w:val="auto"/>
        </w:rPr>
        <w:t>a change in the name of the Partnership, the location of the principal place of business of the Partnership, the registered agent of the Partnership or the registered office of the Partnership;</w:t>
      </w:r>
    </w:p>
    <w:p>
      <w:pPr>
        <w:spacing w:after="0" w:line="200" w:lineRule="exact"/>
        <w:rPr>
          <w:rFonts w:ascii="Arial" w:cs="Arial" w:eastAsia="Arial" w:hAnsi="Arial"/>
          <w:sz w:val="22"/>
          <w:szCs w:val="22"/>
          <w:color w:val="auto"/>
        </w:rPr>
      </w:pPr>
    </w:p>
    <w:p>
      <w:pPr>
        <w:ind w:left="1820" w:hanging="515"/>
        <w:spacing w:after="0"/>
        <w:tabs>
          <w:tab w:leader="none" w:pos="1820" w:val="left"/>
        </w:tabs>
        <w:numPr>
          <w:ilvl w:val="0"/>
          <w:numId w:val="78"/>
        </w:numPr>
        <w:rPr>
          <w:rFonts w:ascii="Arial" w:cs="Arial" w:eastAsia="Arial" w:hAnsi="Arial"/>
          <w:sz w:val="22"/>
          <w:szCs w:val="22"/>
          <w:color w:val="auto"/>
        </w:rPr>
      </w:pPr>
      <w:r>
        <w:rPr>
          <w:rFonts w:ascii="Arial" w:cs="Arial" w:eastAsia="Arial" w:hAnsi="Arial"/>
          <w:sz w:val="22"/>
          <w:szCs w:val="22"/>
          <w:color w:val="auto"/>
        </w:rPr>
        <w:t>admission, substitution, withdrawal or removal of Partners in accordance with this Agreement;</w:t>
      </w:r>
    </w:p>
    <w:p>
      <w:pPr>
        <w:spacing w:after="0" w:line="233" w:lineRule="exact"/>
        <w:rPr>
          <w:rFonts w:ascii="Arial" w:cs="Arial" w:eastAsia="Arial" w:hAnsi="Arial"/>
          <w:sz w:val="22"/>
          <w:szCs w:val="22"/>
          <w:color w:val="auto"/>
        </w:rPr>
      </w:pPr>
    </w:p>
    <w:p>
      <w:pPr>
        <w:ind w:left="660" w:right="100" w:firstLine="645"/>
        <w:spacing w:after="0"/>
        <w:tabs>
          <w:tab w:leader="none" w:pos="1818" w:val="left"/>
        </w:tabs>
        <w:numPr>
          <w:ilvl w:val="0"/>
          <w:numId w:val="78"/>
        </w:numPr>
        <w:rPr>
          <w:rFonts w:ascii="Arial" w:cs="Arial" w:eastAsia="Arial" w:hAnsi="Arial"/>
          <w:sz w:val="22"/>
          <w:szCs w:val="22"/>
          <w:color w:val="auto"/>
        </w:rPr>
      </w:pPr>
      <w:r>
        <w:rPr>
          <w:rFonts w:ascii="Arial" w:cs="Arial" w:eastAsia="Arial" w:hAnsi="Arial"/>
          <w:sz w:val="22"/>
          <w:szCs w:val="22"/>
          <w:color w:val="auto"/>
        </w:rPr>
        <w:t>a change that the Board of Directors determines to be necessary or appropriate to qualify or continue the qualification of the Partnership as a limited partnership or a partnership in which the Limited Partners have limited liability under the Marshall Islands Act;</w:t>
      </w:r>
    </w:p>
    <w:p>
      <w:pPr>
        <w:spacing w:after="0" w:line="213" w:lineRule="exact"/>
        <w:rPr>
          <w:rFonts w:ascii="Arial" w:cs="Arial" w:eastAsia="Arial" w:hAnsi="Arial"/>
          <w:sz w:val="22"/>
          <w:szCs w:val="22"/>
          <w:color w:val="auto"/>
        </w:rPr>
      </w:pPr>
    </w:p>
    <w:p>
      <w:pPr>
        <w:ind w:left="660" w:firstLine="645"/>
        <w:spacing w:after="0" w:line="274" w:lineRule="auto"/>
        <w:tabs>
          <w:tab w:leader="none" w:pos="1830" w:val="left"/>
        </w:tabs>
        <w:numPr>
          <w:ilvl w:val="0"/>
          <w:numId w:val="78"/>
        </w:numPr>
        <w:rPr>
          <w:rFonts w:ascii="Arial" w:cs="Arial" w:eastAsia="Arial" w:hAnsi="Arial"/>
          <w:sz w:val="19"/>
          <w:szCs w:val="19"/>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Section 16.5</w:t>
      </w:r>
      <w:r>
        <w:rPr>
          <w:rFonts w:ascii="Arial" w:cs="Arial" w:eastAsia="Arial" w:hAnsi="Arial"/>
          <w:sz w:val="19"/>
          <w:szCs w:val="19"/>
          <w:color w:val="auto"/>
        </w:rPr>
        <w:t xml:space="preserve">, to the extent applicable, a change that the Board of Directors determines (i) does not adversely affect the rights of the Limited Partners (including any particular class or series of Partnership Interests as compared to other classes or series of Partnership Interests) in any material respect, (ii) to be necessary or appropriate to (A) satisfy any requirements, conditions or guidelines contained in any opinion, directive, order, ruling or regulation of any Marshall Islands authority (including the Marshall Islands Act) or (B) facilitate the trading of the Units or comply with any rule, regulation, guideline or requirement of any National Securities Exchange on which the Units are or will be listed, or admitted to trading, (iii) to be necessary or appropriate in connection with action taken by the Board of Directors pursuant to </w:t>
      </w:r>
      <w:r>
        <w:rPr>
          <w:rFonts w:ascii="Arial" w:cs="Arial" w:eastAsia="Arial" w:hAnsi="Arial"/>
          <w:sz w:val="19"/>
          <w:szCs w:val="19"/>
          <w:u w:val="single" w:color="auto"/>
          <w:color w:val="auto"/>
        </w:rPr>
        <w:t>Section 5.8</w:t>
      </w:r>
      <w:r>
        <w:rPr>
          <w:rFonts w:ascii="Arial" w:cs="Arial" w:eastAsia="Arial" w:hAnsi="Arial"/>
          <w:sz w:val="19"/>
          <w:szCs w:val="19"/>
          <w:color w:val="auto"/>
        </w:rPr>
        <w:t xml:space="preserve"> or (iv) is required to effect the intent expressed in the Registration Statement or the intent of the provisions of this Agreement or is otherwise contemplated by this Agreement;</w:t>
      </w:r>
    </w:p>
    <w:p>
      <w:pPr>
        <w:spacing w:after="0" w:line="185" w:lineRule="exact"/>
        <w:rPr>
          <w:rFonts w:ascii="Arial" w:cs="Arial" w:eastAsia="Arial" w:hAnsi="Arial"/>
          <w:sz w:val="19"/>
          <w:szCs w:val="19"/>
          <w:color w:val="auto"/>
        </w:rPr>
      </w:pPr>
    </w:p>
    <w:p>
      <w:pPr>
        <w:ind w:left="660" w:right="60" w:firstLine="645"/>
        <w:spacing w:after="0" w:line="252" w:lineRule="auto"/>
        <w:tabs>
          <w:tab w:leader="none" w:pos="1818" w:val="left"/>
        </w:tabs>
        <w:numPr>
          <w:ilvl w:val="0"/>
          <w:numId w:val="78"/>
        </w:numPr>
        <w:rPr>
          <w:rFonts w:ascii="Arial" w:cs="Arial" w:eastAsia="Arial" w:hAnsi="Arial"/>
          <w:sz w:val="21"/>
          <w:szCs w:val="21"/>
          <w:color w:val="auto"/>
        </w:rPr>
      </w:pPr>
      <w:r>
        <w:rPr>
          <w:rFonts w:ascii="Arial" w:cs="Arial" w:eastAsia="Arial" w:hAnsi="Arial"/>
          <w:sz w:val="21"/>
          <w:szCs w:val="21"/>
          <w:color w:val="auto"/>
        </w:rPr>
        <w:t>a change in the fiscal year or taxable year of the Partnership and any other changes that the Board of Directors determines to be necessary or appropriate as a result of a change in the fiscal year or taxable year of the Partnership including, if the Board of Directors shall so determine, a change in the definition of “Quarter” and the dates on which distributions (other than Series A Distributions) are to be made by the Partnership;</w:t>
      </w:r>
    </w:p>
    <w:p>
      <w:pPr>
        <w:spacing w:after="0" w:line="201" w:lineRule="exact"/>
        <w:rPr>
          <w:rFonts w:ascii="Arial" w:cs="Arial" w:eastAsia="Arial" w:hAnsi="Arial"/>
          <w:sz w:val="21"/>
          <w:szCs w:val="21"/>
          <w:color w:val="auto"/>
        </w:rPr>
      </w:pPr>
    </w:p>
    <w:p>
      <w:pPr>
        <w:jc w:val="both"/>
        <w:ind w:left="660" w:right="100" w:firstLine="645"/>
        <w:spacing w:after="0" w:line="238" w:lineRule="auto"/>
        <w:tabs>
          <w:tab w:leader="none" w:pos="1794" w:val="left"/>
        </w:tabs>
        <w:numPr>
          <w:ilvl w:val="0"/>
          <w:numId w:val="78"/>
        </w:numPr>
        <w:rPr>
          <w:rFonts w:ascii="Arial" w:cs="Arial" w:eastAsia="Arial" w:hAnsi="Arial"/>
          <w:sz w:val="22"/>
          <w:szCs w:val="22"/>
          <w:color w:val="auto"/>
        </w:rPr>
      </w:pPr>
      <w:r>
        <w:rPr>
          <w:rFonts w:ascii="Arial" w:cs="Arial" w:eastAsia="Arial" w:hAnsi="Arial"/>
          <w:sz w:val="22"/>
          <w:szCs w:val="22"/>
          <w:color w:val="auto"/>
        </w:rPr>
        <w:t>an amendment that is necessary, in the Opinion of Counsel, to prevent the Partnership, the members of the Board of Directors, or the General Partner or its or their directors, officers, trustees or agents from in any manner being subjected to the provisions of the U.S. Investment Company Act of 1940, as amended, the U.S. Investment Advisers Act of 1940, as amended, or “plan asset” regulations adopted under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396" w:right="259" w:bottom="1440" w:gutter="0" w:footer="0" w:header="0"/>
        </w:sectPr>
      </w:pPr>
    </w:p>
    <w:bookmarkStart w:id="79" w:name="page80"/>
    <w:bookmarkEnd w:id="79"/>
    <w:p>
      <w:pPr>
        <w:ind w:left="660" w:right="440"/>
        <w:spacing w:after="0" w:line="328" w:lineRule="auto"/>
        <w:rPr>
          <w:sz w:val="20"/>
          <w:szCs w:val="20"/>
          <w:color w:val="auto"/>
        </w:rPr>
      </w:pPr>
      <w:r>
        <w:rPr>
          <w:rFonts w:ascii="Arial" w:cs="Arial" w:eastAsia="Arial" w:hAnsi="Arial"/>
          <w:sz w:val="19"/>
          <w:szCs w:val="19"/>
          <w:color w:val="auto"/>
        </w:rPr>
        <w:t>the U.S. Employee Retirement Income Security Act of 1974, as amended, regardless of whether such regulations are substantially similar to plan asset regulations currently applied or proposed by the United States Department of Labor;</w:t>
      </w:r>
    </w:p>
    <w:p>
      <w:pPr>
        <w:spacing w:after="0" w:line="132" w:lineRule="exact"/>
        <w:rPr>
          <w:sz w:val="20"/>
          <w:szCs w:val="20"/>
          <w:color w:val="auto"/>
        </w:rPr>
      </w:pPr>
    </w:p>
    <w:p>
      <w:pPr>
        <w:jc w:val="both"/>
        <w:ind w:left="660" w:firstLine="645"/>
        <w:spacing w:after="0"/>
        <w:tabs>
          <w:tab w:leader="none" w:pos="1830" w:val="left"/>
        </w:tabs>
        <w:numPr>
          <w:ilvl w:val="0"/>
          <w:numId w:val="79"/>
        </w:numPr>
        <w:rPr>
          <w:rFonts w:ascii="Arial" w:cs="Arial" w:eastAsia="Arial" w:hAnsi="Arial"/>
          <w:sz w:val="22"/>
          <w:szCs w:val="22"/>
          <w:color w:val="auto"/>
        </w:rPr>
      </w:pPr>
      <w:r>
        <w:rPr>
          <w:rFonts w:ascii="Arial" w:cs="Arial" w:eastAsia="Arial" w:hAnsi="Arial"/>
          <w:sz w:val="22"/>
          <w:szCs w:val="22"/>
          <w:color w:val="auto"/>
        </w:rPr>
        <w:t xml:space="preserve">subject to </w:t>
      </w:r>
      <w:r>
        <w:rPr>
          <w:rFonts w:ascii="Arial" w:cs="Arial" w:eastAsia="Arial" w:hAnsi="Arial"/>
          <w:sz w:val="22"/>
          <w:szCs w:val="22"/>
          <w:u w:val="single" w:color="auto"/>
          <w:color w:val="auto"/>
        </w:rPr>
        <w:t>Section 16.5</w:t>
      </w:r>
      <w:r>
        <w:rPr>
          <w:rFonts w:ascii="Arial" w:cs="Arial" w:eastAsia="Arial" w:hAnsi="Arial"/>
          <w:sz w:val="22"/>
          <w:szCs w:val="22"/>
          <w:color w:val="auto"/>
        </w:rPr>
        <w:t xml:space="preserve">, an amendment that the Board of Directors, and if required by </w:t>
      </w:r>
      <w:r>
        <w:rPr>
          <w:rFonts w:ascii="Arial" w:cs="Arial" w:eastAsia="Arial" w:hAnsi="Arial"/>
          <w:sz w:val="22"/>
          <w:szCs w:val="22"/>
          <w:u w:val="single" w:color="auto"/>
          <w:color w:val="auto"/>
        </w:rPr>
        <w:t>Section 5.5</w:t>
      </w:r>
      <w:r>
        <w:rPr>
          <w:rFonts w:ascii="Arial" w:cs="Arial" w:eastAsia="Arial" w:hAnsi="Arial"/>
          <w:sz w:val="22"/>
          <w:szCs w:val="22"/>
          <w:color w:val="auto"/>
        </w:rPr>
        <w:t xml:space="preserve">, the General Partner, determines to be necessary or appropriate in connection with the authorization of issuance of any class or series of Partnership Interests pursuant to </w:t>
      </w:r>
      <w:r>
        <w:rPr>
          <w:rFonts w:ascii="Arial" w:cs="Arial" w:eastAsia="Arial" w:hAnsi="Arial"/>
          <w:sz w:val="22"/>
          <w:szCs w:val="22"/>
          <w:u w:val="single" w:color="auto"/>
          <w:color w:val="auto"/>
        </w:rPr>
        <w:t>Section 5.4</w:t>
      </w:r>
      <w:r>
        <w:rPr>
          <w:rFonts w:ascii="Arial" w:cs="Arial" w:eastAsia="Arial" w:hAnsi="Arial"/>
          <w:sz w:val="22"/>
          <w:szCs w:val="22"/>
          <w:color w:val="auto"/>
        </w:rPr>
        <w:t>;</w:t>
      </w:r>
    </w:p>
    <w:p>
      <w:pPr>
        <w:spacing w:after="0" w:line="213" w:lineRule="exact"/>
        <w:rPr>
          <w:rFonts w:ascii="Arial" w:cs="Arial" w:eastAsia="Arial" w:hAnsi="Arial"/>
          <w:sz w:val="22"/>
          <w:szCs w:val="22"/>
          <w:color w:val="auto"/>
        </w:rPr>
      </w:pPr>
    </w:p>
    <w:p>
      <w:pPr>
        <w:ind w:left="660" w:right="160" w:firstLine="645"/>
        <w:spacing w:after="0"/>
        <w:tabs>
          <w:tab w:leader="none" w:pos="1830" w:val="left"/>
        </w:tabs>
        <w:numPr>
          <w:ilvl w:val="0"/>
          <w:numId w:val="79"/>
        </w:numPr>
        <w:rPr>
          <w:rFonts w:ascii="Arial" w:cs="Arial" w:eastAsia="Arial" w:hAnsi="Arial"/>
          <w:sz w:val="22"/>
          <w:szCs w:val="22"/>
          <w:color w:val="auto"/>
        </w:rPr>
      </w:pPr>
      <w:r>
        <w:rPr>
          <w:rFonts w:ascii="Arial" w:cs="Arial" w:eastAsia="Arial" w:hAnsi="Arial"/>
          <w:sz w:val="22"/>
          <w:szCs w:val="22"/>
          <w:color w:val="auto"/>
        </w:rPr>
        <w:t>an amendment that the Board of Directors determines to be necessary or appropriate for the authorization of additional Partnership Interests or rights to acquire Partnership Interests, including any amendment that the Board of Directors determines is necessary or appropriate in connection with:</w:t>
      </w:r>
    </w:p>
    <w:p>
      <w:pPr>
        <w:spacing w:after="0" w:line="213" w:lineRule="exact"/>
        <w:rPr>
          <w:rFonts w:ascii="Arial" w:cs="Arial" w:eastAsia="Arial" w:hAnsi="Arial"/>
          <w:sz w:val="22"/>
          <w:szCs w:val="22"/>
          <w:color w:val="auto"/>
        </w:rPr>
      </w:pPr>
    </w:p>
    <w:p>
      <w:pPr>
        <w:ind w:left="1300" w:right="280" w:firstLine="653"/>
        <w:spacing w:after="0"/>
        <w:tabs>
          <w:tab w:leader="none" w:pos="2422" w:val="left"/>
        </w:tabs>
        <w:numPr>
          <w:ilvl w:val="1"/>
          <w:numId w:val="79"/>
        </w:numPr>
        <w:rPr>
          <w:rFonts w:ascii="Arial" w:cs="Arial" w:eastAsia="Arial" w:hAnsi="Arial"/>
          <w:sz w:val="22"/>
          <w:szCs w:val="22"/>
          <w:color w:val="auto"/>
        </w:rPr>
      </w:pPr>
      <w:r>
        <w:rPr>
          <w:rFonts w:ascii="Arial" w:cs="Arial" w:eastAsia="Arial" w:hAnsi="Arial"/>
          <w:sz w:val="22"/>
          <w:szCs w:val="22"/>
          <w:color w:val="auto"/>
        </w:rPr>
        <w:t xml:space="preserve">the adjustments of the Minimum Quarterly Distribution, First Target Distribution, Second Target Distribution and Third Target Distribution in connection with the IDR Reset Election in accordance with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5.10</w:t>
      </w:r>
      <w:r>
        <w:rPr>
          <w:rFonts w:ascii="Arial" w:cs="Arial" w:eastAsia="Arial" w:hAnsi="Arial"/>
          <w:sz w:val="22"/>
          <w:szCs w:val="22"/>
          <w:color w:val="auto"/>
        </w:rPr>
        <w:t>;</w:t>
      </w:r>
    </w:p>
    <w:p>
      <w:pPr>
        <w:spacing w:after="0" w:line="213" w:lineRule="exact"/>
        <w:rPr>
          <w:rFonts w:ascii="Arial" w:cs="Arial" w:eastAsia="Arial" w:hAnsi="Arial"/>
          <w:sz w:val="22"/>
          <w:szCs w:val="22"/>
          <w:color w:val="auto"/>
        </w:rPr>
      </w:pPr>
    </w:p>
    <w:p>
      <w:pPr>
        <w:ind w:left="1300" w:right="480" w:firstLine="653"/>
        <w:spacing w:after="0" w:line="251" w:lineRule="auto"/>
        <w:tabs>
          <w:tab w:leader="none" w:pos="2482" w:val="left"/>
        </w:tabs>
        <w:numPr>
          <w:ilvl w:val="1"/>
          <w:numId w:val="79"/>
        </w:numPr>
        <w:rPr>
          <w:rFonts w:ascii="Arial" w:cs="Arial" w:eastAsia="Arial" w:hAnsi="Arial"/>
          <w:sz w:val="22"/>
          <w:szCs w:val="22"/>
          <w:color w:val="auto"/>
        </w:rPr>
      </w:pPr>
      <w:r>
        <w:rPr>
          <w:rFonts w:ascii="Arial" w:cs="Arial" w:eastAsia="Arial" w:hAnsi="Arial"/>
          <w:sz w:val="22"/>
          <w:szCs w:val="22"/>
          <w:color w:val="auto"/>
        </w:rPr>
        <w:t>the implementation of the provisions relating to GasLog’s right to reset its Incentive Distribution Rights in exchange for Common Units;</w:t>
      </w:r>
    </w:p>
    <w:p>
      <w:pPr>
        <w:spacing w:after="0" w:line="200" w:lineRule="exact"/>
        <w:rPr>
          <w:rFonts w:ascii="Arial" w:cs="Arial" w:eastAsia="Arial" w:hAnsi="Arial"/>
          <w:sz w:val="22"/>
          <w:szCs w:val="22"/>
          <w:color w:val="auto"/>
        </w:rPr>
      </w:pPr>
    </w:p>
    <w:p>
      <w:pPr>
        <w:ind w:left="1300" w:right="180" w:firstLine="653"/>
        <w:spacing w:after="0" w:line="238" w:lineRule="auto"/>
        <w:tabs>
          <w:tab w:leader="none" w:pos="2542" w:val="left"/>
        </w:tabs>
        <w:numPr>
          <w:ilvl w:val="1"/>
          <w:numId w:val="79"/>
        </w:numPr>
        <w:rPr>
          <w:rFonts w:ascii="Arial" w:cs="Arial" w:eastAsia="Arial" w:hAnsi="Arial"/>
          <w:sz w:val="22"/>
          <w:szCs w:val="22"/>
          <w:color w:val="auto"/>
        </w:rPr>
      </w:pPr>
      <w:r>
        <w:rPr>
          <w:rFonts w:ascii="Arial" w:cs="Arial" w:eastAsia="Arial" w:hAnsi="Arial"/>
          <w:sz w:val="22"/>
          <w:szCs w:val="22"/>
          <w:color w:val="auto"/>
        </w:rPr>
        <w:t xml:space="preserve">any modification of the Incentive Distribution Rights made in connection with the issuance of additional Partnership Interests or rights to acquire Partnership Interests,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with respect to this </w:t>
      </w:r>
      <w:r>
        <w:rPr>
          <w:rFonts w:ascii="Arial" w:cs="Arial" w:eastAsia="Arial" w:hAnsi="Arial"/>
          <w:sz w:val="22"/>
          <w:szCs w:val="22"/>
          <w:u w:val="single" w:color="auto"/>
          <w:color w:val="auto"/>
        </w:rPr>
        <w:t>clause</w:t>
      </w:r>
      <w:r>
        <w:rPr>
          <w:rFonts w:ascii="Arial" w:cs="Arial" w:eastAsia="Arial" w:hAnsi="Arial"/>
          <w:sz w:val="22"/>
          <w:szCs w:val="22"/>
          <w:color w:val="auto"/>
        </w:rPr>
        <w:t xml:space="preserve"> </w:t>
      </w:r>
      <w:r>
        <w:rPr>
          <w:rFonts w:ascii="Arial" w:cs="Arial" w:eastAsia="Arial" w:hAnsi="Arial"/>
          <w:sz w:val="22"/>
          <w:szCs w:val="22"/>
          <w:u w:val="single" w:color="auto"/>
          <w:color w:val="auto"/>
        </w:rPr>
        <w:t>(iii)</w:t>
      </w:r>
      <w:r>
        <w:rPr>
          <w:rFonts w:ascii="Arial" w:cs="Arial" w:eastAsia="Arial" w:hAnsi="Arial"/>
          <w:sz w:val="22"/>
          <w:szCs w:val="22"/>
          <w:color w:val="auto"/>
        </w:rPr>
        <w:t>, any such modifications to the Incentive Distribution Rights and the related issuance of Partnership Interests have received Special Approval; or</w:t>
      </w:r>
    </w:p>
    <w:p>
      <w:pPr>
        <w:spacing w:after="0" w:line="212" w:lineRule="exact"/>
        <w:rPr>
          <w:rFonts w:ascii="Arial" w:cs="Arial" w:eastAsia="Arial" w:hAnsi="Arial"/>
          <w:sz w:val="22"/>
          <w:szCs w:val="22"/>
          <w:color w:val="auto"/>
        </w:rPr>
      </w:pPr>
    </w:p>
    <w:p>
      <w:pPr>
        <w:ind w:left="2540" w:hanging="587"/>
        <w:spacing w:after="0"/>
        <w:tabs>
          <w:tab w:leader="none" w:pos="2540" w:val="left"/>
        </w:tabs>
        <w:numPr>
          <w:ilvl w:val="1"/>
          <w:numId w:val="79"/>
        </w:numPr>
        <w:rPr>
          <w:rFonts w:ascii="Arial" w:cs="Arial" w:eastAsia="Arial" w:hAnsi="Arial"/>
          <w:sz w:val="19"/>
          <w:szCs w:val="19"/>
          <w:color w:val="auto"/>
        </w:rPr>
      </w:pPr>
      <w:r>
        <w:rPr>
          <w:rFonts w:ascii="Arial" w:cs="Arial" w:eastAsia="Arial" w:hAnsi="Arial"/>
          <w:sz w:val="19"/>
          <w:szCs w:val="19"/>
          <w:color w:val="auto"/>
        </w:rPr>
        <w:t>any amendment expressly permitted in this Agreement to be made by the Board of Directors acting</w:t>
      </w:r>
    </w:p>
    <w:p>
      <w:pPr>
        <w:spacing w:after="0" w:line="42" w:lineRule="exact"/>
        <w:rPr>
          <w:rFonts w:ascii="Arial" w:cs="Arial" w:eastAsia="Arial" w:hAnsi="Arial"/>
          <w:sz w:val="19"/>
          <w:szCs w:val="19"/>
          <w:color w:val="auto"/>
        </w:rPr>
      </w:pPr>
    </w:p>
    <w:p>
      <w:pPr>
        <w:ind w:left="1300"/>
        <w:spacing w:after="0"/>
        <w:rPr>
          <w:rFonts w:ascii="Arial" w:cs="Arial" w:eastAsia="Arial" w:hAnsi="Arial"/>
          <w:sz w:val="19"/>
          <w:szCs w:val="19"/>
          <w:color w:val="auto"/>
        </w:rPr>
      </w:pPr>
      <w:r>
        <w:rPr>
          <w:rFonts w:ascii="Arial" w:cs="Arial" w:eastAsia="Arial" w:hAnsi="Arial"/>
          <w:sz w:val="22"/>
          <w:szCs w:val="22"/>
          <w:color w:val="auto"/>
        </w:rPr>
        <w:t>alone;</w:t>
      </w:r>
    </w:p>
    <w:p>
      <w:pPr>
        <w:spacing w:after="0" w:line="215" w:lineRule="exact"/>
        <w:rPr>
          <w:rFonts w:ascii="Arial" w:cs="Arial" w:eastAsia="Arial" w:hAnsi="Arial"/>
          <w:sz w:val="19"/>
          <w:szCs w:val="19"/>
          <w:color w:val="auto"/>
        </w:rPr>
      </w:pPr>
    </w:p>
    <w:p>
      <w:pPr>
        <w:ind w:left="660" w:right="260" w:firstLine="645"/>
        <w:spacing w:after="0" w:line="251" w:lineRule="auto"/>
        <w:tabs>
          <w:tab w:leader="none" w:pos="1782" w:val="left"/>
        </w:tabs>
        <w:numPr>
          <w:ilvl w:val="0"/>
          <w:numId w:val="79"/>
        </w:numPr>
        <w:rPr>
          <w:rFonts w:ascii="Arial" w:cs="Arial" w:eastAsia="Arial" w:hAnsi="Arial"/>
          <w:sz w:val="22"/>
          <w:szCs w:val="22"/>
          <w:color w:val="auto"/>
        </w:rPr>
      </w:pPr>
      <w:r>
        <w:rPr>
          <w:rFonts w:ascii="Arial" w:cs="Arial" w:eastAsia="Arial" w:hAnsi="Arial"/>
          <w:sz w:val="22"/>
          <w:szCs w:val="22"/>
          <w:color w:val="auto"/>
        </w:rPr>
        <w:t xml:space="preserve">an amendment effected, necessitated or contemplated by a Merger Agreement approved in accordance with </w:t>
      </w:r>
      <w:r>
        <w:rPr>
          <w:rFonts w:ascii="Arial" w:cs="Arial" w:eastAsia="Arial" w:hAnsi="Arial"/>
          <w:sz w:val="22"/>
          <w:szCs w:val="22"/>
          <w:u w:val="single" w:color="auto"/>
          <w:color w:val="auto"/>
        </w:rPr>
        <w:t>Section 14.3</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jc w:val="both"/>
        <w:ind w:left="660" w:right="20" w:firstLine="645"/>
        <w:spacing w:after="0" w:line="238" w:lineRule="auto"/>
        <w:tabs>
          <w:tab w:leader="none" w:pos="1782" w:val="left"/>
        </w:tabs>
        <w:numPr>
          <w:ilvl w:val="0"/>
          <w:numId w:val="79"/>
        </w:numPr>
        <w:rPr>
          <w:rFonts w:ascii="Arial" w:cs="Arial" w:eastAsia="Arial" w:hAnsi="Arial"/>
          <w:sz w:val="22"/>
          <w:szCs w:val="22"/>
          <w:color w:val="auto"/>
        </w:rPr>
      </w:pPr>
      <w:r>
        <w:rPr>
          <w:rFonts w:ascii="Arial" w:cs="Arial" w:eastAsia="Arial" w:hAnsi="Arial"/>
          <w:sz w:val="22"/>
          <w:szCs w:val="22"/>
          <w:color w:val="auto"/>
        </w:rPr>
        <w:t xml:space="preserve">an amendment that the Board of Directors determines to be necessary or appropriate to reflect and account for the formation by the Partnership of, or investment by the Partnership in, any corporation, partnership, joint venture, limited liability company or other Person, in connection with the conduct by the Partnership of activities permitted by the terms of </w:t>
      </w:r>
      <w:r>
        <w:rPr>
          <w:rFonts w:ascii="Arial" w:cs="Arial" w:eastAsia="Arial" w:hAnsi="Arial"/>
          <w:sz w:val="22"/>
          <w:szCs w:val="22"/>
          <w:u w:val="single" w:color="auto"/>
          <w:color w:val="auto"/>
        </w:rPr>
        <w:t>Section 2.4</w:t>
      </w:r>
      <w:r>
        <w:rPr>
          <w:rFonts w:ascii="Arial" w:cs="Arial" w:eastAsia="Arial" w:hAnsi="Arial"/>
          <w:sz w:val="22"/>
          <w:szCs w:val="22"/>
          <w:color w:val="auto"/>
        </w:rPr>
        <w:t>;</w:t>
      </w:r>
    </w:p>
    <w:p>
      <w:pPr>
        <w:spacing w:after="0" w:line="212" w:lineRule="exact"/>
        <w:rPr>
          <w:rFonts w:ascii="Arial" w:cs="Arial" w:eastAsia="Arial" w:hAnsi="Arial"/>
          <w:sz w:val="22"/>
          <w:szCs w:val="22"/>
          <w:color w:val="auto"/>
        </w:rPr>
      </w:pPr>
    </w:p>
    <w:p>
      <w:pPr>
        <w:ind w:left="1820" w:hanging="515"/>
        <w:spacing w:after="0"/>
        <w:tabs>
          <w:tab w:leader="none" w:pos="1820" w:val="left"/>
        </w:tabs>
        <w:numPr>
          <w:ilvl w:val="0"/>
          <w:numId w:val="79"/>
        </w:numPr>
        <w:rPr>
          <w:rFonts w:ascii="Arial" w:cs="Arial" w:eastAsia="Arial" w:hAnsi="Arial"/>
          <w:sz w:val="22"/>
          <w:szCs w:val="22"/>
          <w:color w:val="auto"/>
        </w:rPr>
      </w:pPr>
      <w:r>
        <w:rPr>
          <w:rFonts w:ascii="Arial" w:cs="Arial" w:eastAsia="Arial" w:hAnsi="Arial"/>
          <w:sz w:val="22"/>
          <w:szCs w:val="22"/>
          <w:color w:val="auto"/>
        </w:rPr>
        <w:t xml:space="preserve">a conversion, merger or conveyance pursuant to </w:t>
      </w:r>
      <w:r>
        <w:rPr>
          <w:rFonts w:ascii="Arial" w:cs="Arial" w:eastAsia="Arial" w:hAnsi="Arial"/>
          <w:sz w:val="22"/>
          <w:szCs w:val="22"/>
          <w:u w:val="single" w:color="auto"/>
          <w:color w:val="auto"/>
        </w:rPr>
        <w:t>Section 14.3(d)</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1840" w:hanging="535"/>
        <w:spacing w:after="0"/>
        <w:tabs>
          <w:tab w:leader="none" w:pos="1840" w:val="left"/>
        </w:tabs>
        <w:numPr>
          <w:ilvl w:val="0"/>
          <w:numId w:val="79"/>
        </w:numPr>
        <w:rPr>
          <w:rFonts w:ascii="Arial" w:cs="Arial" w:eastAsia="Arial" w:hAnsi="Arial"/>
          <w:sz w:val="22"/>
          <w:szCs w:val="22"/>
          <w:color w:val="auto"/>
        </w:rPr>
      </w:pPr>
      <w:r>
        <w:rPr>
          <w:rFonts w:ascii="Arial" w:cs="Arial" w:eastAsia="Arial" w:hAnsi="Arial"/>
          <w:sz w:val="22"/>
          <w:szCs w:val="22"/>
          <w:color w:val="auto"/>
        </w:rPr>
        <w:t>an amendment to cure any ambiguity, defect or inconsistency; or</w:t>
      </w:r>
    </w:p>
    <w:p>
      <w:pPr>
        <w:spacing w:after="0" w:line="233" w:lineRule="exact"/>
        <w:rPr>
          <w:rFonts w:ascii="Arial" w:cs="Arial" w:eastAsia="Arial" w:hAnsi="Arial"/>
          <w:sz w:val="22"/>
          <w:szCs w:val="22"/>
          <w:color w:val="auto"/>
        </w:rPr>
      </w:pPr>
    </w:p>
    <w:p>
      <w:pPr>
        <w:ind w:left="1840" w:hanging="535"/>
        <w:spacing w:after="0"/>
        <w:tabs>
          <w:tab w:leader="none" w:pos="1840" w:val="left"/>
        </w:tabs>
        <w:numPr>
          <w:ilvl w:val="0"/>
          <w:numId w:val="79"/>
        </w:numPr>
        <w:rPr>
          <w:rFonts w:ascii="Arial" w:cs="Arial" w:eastAsia="Arial" w:hAnsi="Arial"/>
          <w:sz w:val="22"/>
          <w:szCs w:val="22"/>
          <w:color w:val="auto"/>
        </w:rPr>
      </w:pPr>
      <w:r>
        <w:rPr>
          <w:rFonts w:ascii="Arial" w:cs="Arial" w:eastAsia="Arial" w:hAnsi="Arial"/>
          <w:sz w:val="22"/>
          <w:szCs w:val="22"/>
          <w:color w:val="auto"/>
        </w:rPr>
        <w:t>any other amendments substantially similar to the foregoing.</w:t>
      </w:r>
    </w:p>
    <w:p>
      <w:pPr>
        <w:spacing w:after="0" w:line="233" w:lineRule="exact"/>
        <w:rPr>
          <w:sz w:val="20"/>
          <w:szCs w:val="20"/>
          <w:color w:val="auto"/>
        </w:rPr>
      </w:pPr>
    </w:p>
    <w:p>
      <w:pPr>
        <w:ind w:right="240" w:firstLine="1297"/>
        <w:spacing w:after="0" w:line="251" w:lineRule="auto"/>
        <w:rPr>
          <w:sz w:val="20"/>
          <w:szCs w:val="20"/>
          <w:color w:val="auto"/>
        </w:rPr>
      </w:pPr>
      <w:r>
        <w:rPr>
          <w:rFonts w:ascii="Arial" w:cs="Arial" w:eastAsia="Arial" w:hAnsi="Arial"/>
          <w:sz w:val="22"/>
          <w:szCs w:val="22"/>
          <w:color w:val="auto"/>
        </w:rPr>
        <w:t xml:space="preserve">Section 13.2. </w:t>
      </w:r>
      <w:r>
        <w:rPr>
          <w:rFonts w:ascii="Arial" w:cs="Arial" w:eastAsia="Arial" w:hAnsi="Arial"/>
          <w:sz w:val="22"/>
          <w:szCs w:val="22"/>
          <w:i w:val="1"/>
          <w:iCs w:val="1"/>
          <w:color w:val="auto"/>
        </w:rPr>
        <w:t>Amendment Procedures</w:t>
      </w:r>
      <w:r>
        <w:rPr>
          <w:rFonts w:ascii="Arial" w:cs="Arial" w:eastAsia="Arial" w:hAnsi="Arial"/>
          <w:sz w:val="22"/>
          <w:szCs w:val="22"/>
          <w:color w:val="auto"/>
        </w:rPr>
        <w:t xml:space="preserve">. Except as provided in </w:t>
      </w:r>
      <w:r>
        <w:rPr>
          <w:rFonts w:ascii="Arial" w:cs="Arial" w:eastAsia="Arial" w:hAnsi="Arial"/>
          <w:sz w:val="22"/>
          <w:szCs w:val="22"/>
          <w:u w:val="single" w:color="auto"/>
          <w:color w:val="auto"/>
        </w:rPr>
        <w:t>Section 13.1</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13.3</w:t>
      </w:r>
      <w:r>
        <w:rPr>
          <w:rFonts w:ascii="Arial" w:cs="Arial" w:eastAsia="Arial" w:hAnsi="Arial"/>
          <w:sz w:val="22"/>
          <w:szCs w:val="22"/>
          <w:color w:val="auto"/>
        </w:rPr>
        <w:t>, all amendments to this Agreement shall be made in accordance with the following</w:t>
      </w:r>
    </w:p>
    <w:p>
      <w:pPr>
        <w:spacing w:after="0" w:line="146"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20"/>
          </w:cols>
          <w:pgMar w:left="240" w:top="402" w:right="339" w:bottom="1440" w:gutter="0" w:footer="0" w:header="0"/>
        </w:sectPr>
      </w:pPr>
    </w:p>
    <w:bookmarkStart w:id="80" w:name="page81"/>
    <w:bookmarkEnd w:id="80"/>
    <w:p>
      <w:pPr>
        <w:spacing w:after="0" w:line="272" w:lineRule="auto"/>
        <w:rPr>
          <w:sz w:val="20"/>
          <w:szCs w:val="20"/>
          <w:color w:val="auto"/>
        </w:rPr>
      </w:pPr>
      <w:r>
        <w:rPr>
          <w:rFonts w:ascii="Arial" w:cs="Arial" w:eastAsia="Arial" w:hAnsi="Arial"/>
          <w:sz w:val="19"/>
          <w:szCs w:val="19"/>
          <w:color w:val="auto"/>
        </w:rPr>
        <w:t xml:space="preserve">requirements. Amendments to this Agreement may be proposed only by, or with the written consent of, the Board of Directors; </w:t>
      </w:r>
      <w:r>
        <w:rPr>
          <w:rFonts w:ascii="Arial" w:cs="Arial" w:eastAsia="Arial" w:hAnsi="Arial"/>
          <w:sz w:val="19"/>
          <w:szCs w:val="19"/>
          <w:i w:val="1"/>
          <w:iCs w:val="1"/>
          <w:color w:val="auto"/>
        </w:rPr>
        <w:t>provided</w:t>
      </w:r>
      <w:r>
        <w:rPr>
          <w:rFonts w:ascii="Arial" w:cs="Arial" w:eastAsia="Arial" w:hAnsi="Arial"/>
          <w:sz w:val="19"/>
          <w:szCs w:val="19"/>
          <w:color w:val="auto"/>
        </w:rPr>
        <w:t>,</w:t>
      </w:r>
      <w:r>
        <w:rPr>
          <w:rFonts w:ascii="Arial" w:cs="Arial" w:eastAsia="Arial" w:hAnsi="Arial"/>
          <w:sz w:val="19"/>
          <w:szCs w:val="19"/>
          <w:i w:val="1"/>
          <w:iCs w:val="1"/>
          <w:color w:val="auto"/>
        </w:rPr>
        <w:t xml:space="preserve"> however</w:t>
      </w:r>
      <w:r>
        <w:rPr>
          <w:rFonts w:ascii="Arial" w:cs="Arial" w:eastAsia="Arial" w:hAnsi="Arial"/>
          <w:sz w:val="19"/>
          <w:szCs w:val="19"/>
          <w:color w:val="auto"/>
        </w:rPr>
        <w:t>, that the Board of Directors shall have no duty or obligation to propose any amendment to this Agreement and</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may decline to do so free of any fiduciary duty or obligation whatsoever to the Partnership or any Limited Partner, any Record Holder or any other Person and, in declining to propose an amendment, to the fullest extent permitted by applicable law shall not be required to act in good faith or pursuant to any other standard imposed by this Agreement, any Group Member Agreement, any other agreement contemplated hereby or under the Marshall Islands Act or any other law, rule or regulation. Subject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16.5</w:t>
      </w:r>
      <w:r>
        <w:rPr>
          <w:rFonts w:ascii="Arial" w:cs="Arial" w:eastAsia="Arial" w:hAnsi="Arial"/>
          <w:sz w:val="19"/>
          <w:szCs w:val="19"/>
          <w:color w:val="auto"/>
        </w:rPr>
        <w:t>, to the extent applicable, a proposed amendment shall be effective upon its approval by the Board of Directors and, if applicable, the holders of a Unit Majority, unless a greater or different percentage is required under this Agreement or by the Marshall Islands Act. Each proposed amendment that requires the approval of the holders of a specified percentage of Outstanding Units shall be set forth in a writing that contains the text of the proposed amendment. If such an amendment is proposed, the Board of Directors shall seek the written approval of the requisite percentage of Outstanding Units or call a meeting of the Unitholders to consider and vote on such proposed amendment. The Board of Directors shall notify all Record Holders upon final adoption of any such proposed amendments.</w:t>
      </w:r>
    </w:p>
    <w:p>
      <w:pPr>
        <w:spacing w:after="0" w:line="200" w:lineRule="exact"/>
        <w:rPr>
          <w:sz w:val="20"/>
          <w:szCs w:val="20"/>
          <w:color w:val="auto"/>
        </w:rPr>
      </w:pPr>
    </w:p>
    <w:p>
      <w:pPr>
        <w:spacing w:after="0" w:line="232" w:lineRule="exact"/>
        <w:rPr>
          <w:sz w:val="20"/>
          <w:szCs w:val="20"/>
          <w:color w:val="auto"/>
        </w:rPr>
      </w:pPr>
    </w:p>
    <w:p>
      <w:pPr>
        <w:ind w:right="140" w:firstLine="1297"/>
        <w:spacing w:after="0" w:line="247" w:lineRule="auto"/>
        <w:rPr>
          <w:sz w:val="20"/>
          <w:szCs w:val="20"/>
          <w:color w:val="auto"/>
        </w:rPr>
      </w:pPr>
      <w:r>
        <w:rPr>
          <w:rFonts w:ascii="Arial" w:cs="Arial" w:eastAsia="Arial" w:hAnsi="Arial"/>
          <w:sz w:val="21"/>
          <w:szCs w:val="21"/>
          <w:color w:val="auto"/>
        </w:rPr>
        <w:t xml:space="preserve">Section 13.3. </w:t>
      </w:r>
      <w:r>
        <w:rPr>
          <w:rFonts w:ascii="Arial" w:cs="Arial" w:eastAsia="Arial" w:hAnsi="Arial"/>
          <w:sz w:val="21"/>
          <w:szCs w:val="21"/>
          <w:i w:val="1"/>
          <w:iCs w:val="1"/>
          <w:color w:val="auto"/>
        </w:rPr>
        <w:t>Amendment Requirements</w:t>
      </w:r>
      <w:r>
        <w:rPr>
          <w:rFonts w:ascii="Arial" w:cs="Arial" w:eastAsia="Arial" w:hAnsi="Arial"/>
          <w:sz w:val="21"/>
          <w:szCs w:val="21"/>
          <w:color w:val="auto"/>
        </w:rPr>
        <w:t xml:space="preserve">. (a) Notwithstanding the provisions of </w:t>
      </w:r>
      <w:r>
        <w:rPr>
          <w:rFonts w:ascii="Arial" w:cs="Arial" w:eastAsia="Arial" w:hAnsi="Arial"/>
          <w:sz w:val="21"/>
          <w:szCs w:val="21"/>
          <w:u w:val="single" w:color="auto"/>
          <w:color w:val="auto"/>
        </w:rPr>
        <w:t>Section 13.1</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13.2</w:t>
      </w:r>
      <w:r>
        <w:rPr>
          <w:rFonts w:ascii="Arial" w:cs="Arial" w:eastAsia="Arial" w:hAnsi="Arial"/>
          <w:sz w:val="21"/>
          <w:szCs w:val="21"/>
          <w:color w:val="auto"/>
        </w:rPr>
        <w:t xml:space="preserve">, no provision of this Agreement that establishes a percentage of Outstanding Units (including Units deemed owned by the General Partner and its Affiliates) required to take any action shall be amended, altered, changed, repealed or rescinded in any respect that would have the effect of (i) in the case of any provision of this Agreement other than </w:t>
      </w:r>
      <w:r>
        <w:rPr>
          <w:rFonts w:ascii="Arial" w:cs="Arial" w:eastAsia="Arial" w:hAnsi="Arial"/>
          <w:sz w:val="21"/>
          <w:szCs w:val="21"/>
          <w:u w:val="single" w:color="auto"/>
          <w:color w:val="auto"/>
        </w:rPr>
        <w:t>Section 11.2</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 13.4</w:t>
      </w:r>
      <w:r>
        <w:rPr>
          <w:rFonts w:ascii="Arial" w:cs="Arial" w:eastAsia="Arial" w:hAnsi="Arial"/>
          <w:sz w:val="21"/>
          <w:szCs w:val="21"/>
          <w:color w:val="auto"/>
        </w:rPr>
        <w:t xml:space="preserve">, reducing such percentage or (ii) in the case of </w:t>
      </w:r>
      <w:r>
        <w:rPr>
          <w:rFonts w:ascii="Arial" w:cs="Arial" w:eastAsia="Arial" w:hAnsi="Arial"/>
          <w:sz w:val="21"/>
          <w:szCs w:val="21"/>
          <w:u w:val="single" w:color="auto"/>
          <w:color w:val="auto"/>
        </w:rPr>
        <w:t>Section 11.2</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 13.4</w:t>
      </w:r>
      <w:r>
        <w:rPr>
          <w:rFonts w:ascii="Arial" w:cs="Arial" w:eastAsia="Arial" w:hAnsi="Arial"/>
          <w:sz w:val="21"/>
          <w:szCs w:val="21"/>
          <w:color w:val="auto"/>
        </w:rPr>
        <w:t>, increasing such percentage, unless such amendment is approved by the written consent or the affirmative vote of holders of Outstanding Units whose aggregate Outstanding Units constitute not less than the voting requirement sought to be reduced.</w:t>
      </w:r>
    </w:p>
    <w:p>
      <w:pPr>
        <w:spacing w:after="0" w:line="205" w:lineRule="exact"/>
        <w:rPr>
          <w:sz w:val="20"/>
          <w:szCs w:val="20"/>
          <w:color w:val="auto"/>
        </w:rPr>
      </w:pPr>
    </w:p>
    <w:p>
      <w:pPr>
        <w:ind w:right="160" w:firstLine="1305"/>
        <w:spacing w:after="0" w:line="282" w:lineRule="auto"/>
        <w:tabs>
          <w:tab w:leader="none" w:pos="1819" w:val="left"/>
        </w:tabs>
        <w:numPr>
          <w:ilvl w:val="0"/>
          <w:numId w:val="80"/>
        </w:numPr>
        <w:rPr>
          <w:rFonts w:ascii="Arial" w:cs="Arial" w:eastAsia="Arial" w:hAnsi="Arial"/>
          <w:sz w:val="19"/>
          <w:szCs w:val="19"/>
          <w:color w:val="auto"/>
        </w:rPr>
      </w:pPr>
      <w:r>
        <w:rPr>
          <w:rFonts w:ascii="Arial" w:cs="Arial" w:eastAsia="Arial" w:hAnsi="Arial"/>
          <w:sz w:val="19"/>
          <w:szCs w:val="19"/>
          <w:color w:val="auto"/>
        </w:rPr>
        <w:t xml:space="preserve">Notwithstanding the provisions of </w:t>
      </w:r>
      <w:r>
        <w:rPr>
          <w:rFonts w:ascii="Arial" w:cs="Arial" w:eastAsia="Arial" w:hAnsi="Arial"/>
          <w:sz w:val="19"/>
          <w:szCs w:val="19"/>
          <w:u w:val="single" w:color="auto"/>
          <w:color w:val="auto"/>
        </w:rPr>
        <w:t>Section 13.1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13.2</w:t>
      </w:r>
      <w:r>
        <w:rPr>
          <w:rFonts w:ascii="Arial" w:cs="Arial" w:eastAsia="Arial" w:hAnsi="Arial"/>
          <w:sz w:val="19"/>
          <w:szCs w:val="19"/>
          <w:color w:val="auto"/>
        </w:rPr>
        <w:t xml:space="preserve">, no amendment to this Agreement may (i) enlarge the obligations of any Limited Partner without its consent, unless such enlargement shall be deemed to have occurred as a result of an amendment approved pursuant to </w:t>
      </w:r>
      <w:r>
        <w:rPr>
          <w:rFonts w:ascii="Arial" w:cs="Arial" w:eastAsia="Arial" w:hAnsi="Arial"/>
          <w:sz w:val="19"/>
          <w:szCs w:val="19"/>
          <w:u w:val="single" w:color="auto"/>
          <w:color w:val="auto"/>
        </w:rPr>
        <w:t>Section 13.3(c)</w:t>
      </w:r>
      <w:r>
        <w:rPr>
          <w:rFonts w:ascii="Arial" w:cs="Arial" w:eastAsia="Arial" w:hAnsi="Arial"/>
          <w:sz w:val="19"/>
          <w:szCs w:val="19"/>
          <w:color w:val="auto"/>
        </w:rPr>
        <w:t xml:space="preserve"> or (ii) enlarge the obligations of, restrict in any way any action by or rights of, or reduce in any way the amounts distributable, reimbursable or otherwise payable to, the General Partner or any of its Affiliates without its consent, which consent may be given or withheld at the General Partner’s option.</w:t>
      </w:r>
    </w:p>
    <w:p>
      <w:pPr>
        <w:spacing w:after="0" w:line="174" w:lineRule="exact"/>
        <w:rPr>
          <w:rFonts w:ascii="Arial" w:cs="Arial" w:eastAsia="Arial" w:hAnsi="Arial"/>
          <w:sz w:val="19"/>
          <w:szCs w:val="19"/>
          <w:color w:val="auto"/>
        </w:rPr>
      </w:pPr>
    </w:p>
    <w:p>
      <w:pPr>
        <w:ind w:right="20" w:firstLine="1305"/>
        <w:spacing w:after="0" w:line="277" w:lineRule="auto"/>
        <w:tabs>
          <w:tab w:leader="none" w:pos="1807" w:val="left"/>
        </w:tabs>
        <w:numPr>
          <w:ilvl w:val="0"/>
          <w:numId w:val="80"/>
        </w:numPr>
        <w:rPr>
          <w:rFonts w:ascii="Arial" w:cs="Arial" w:eastAsia="Arial" w:hAnsi="Arial"/>
          <w:sz w:val="19"/>
          <w:szCs w:val="19"/>
          <w:color w:val="auto"/>
        </w:rPr>
      </w:pPr>
      <w:r>
        <w:rPr>
          <w:rFonts w:ascii="Arial" w:cs="Arial" w:eastAsia="Arial" w:hAnsi="Arial"/>
          <w:sz w:val="19"/>
          <w:szCs w:val="19"/>
          <w:color w:val="auto"/>
        </w:rPr>
        <w:t xml:space="preserve">Except as provided in </w:t>
      </w:r>
      <w:r>
        <w:rPr>
          <w:rFonts w:ascii="Arial" w:cs="Arial" w:eastAsia="Arial" w:hAnsi="Arial"/>
          <w:sz w:val="19"/>
          <w:szCs w:val="19"/>
          <w:u w:val="single" w:color="auto"/>
          <w:color w:val="auto"/>
        </w:rPr>
        <w:t>Section 14.3</w:t>
      </w:r>
      <w:r>
        <w:rPr>
          <w:rFonts w:ascii="Arial" w:cs="Arial" w:eastAsia="Arial" w:hAnsi="Arial"/>
          <w:sz w:val="19"/>
          <w:szCs w:val="19"/>
          <w:color w:val="auto"/>
        </w:rPr>
        <w:t xml:space="preserve"> and subject to </w:t>
      </w:r>
      <w:r>
        <w:rPr>
          <w:rFonts w:ascii="Arial" w:cs="Arial" w:eastAsia="Arial" w:hAnsi="Arial"/>
          <w:sz w:val="19"/>
          <w:szCs w:val="19"/>
          <w:u w:val="single" w:color="auto"/>
          <w:color w:val="auto"/>
        </w:rPr>
        <w:t>Section 16.5(c)(i)</w:t>
      </w:r>
      <w:r>
        <w:rPr>
          <w:rFonts w:ascii="Arial" w:cs="Arial" w:eastAsia="Arial" w:hAnsi="Arial"/>
          <w:sz w:val="19"/>
          <w:szCs w:val="19"/>
          <w:color w:val="auto"/>
        </w:rPr>
        <w:t xml:space="preserve"> with respect to Series A Preference Units, and without limitation of the Board of Directors’ authority to adopt amendments to this Agreement without the approval of any Partners as contemplated in </w:t>
      </w:r>
      <w:r>
        <w:rPr>
          <w:rFonts w:ascii="Arial" w:cs="Arial" w:eastAsia="Arial" w:hAnsi="Arial"/>
          <w:sz w:val="19"/>
          <w:szCs w:val="19"/>
          <w:u w:val="single" w:color="auto"/>
          <w:color w:val="auto"/>
        </w:rPr>
        <w:t>Section 13.1</w:t>
      </w:r>
      <w:r>
        <w:rPr>
          <w:rFonts w:ascii="Arial" w:cs="Arial" w:eastAsia="Arial" w:hAnsi="Arial"/>
          <w:sz w:val="19"/>
          <w:szCs w:val="19"/>
          <w:color w:val="auto"/>
        </w:rPr>
        <w:t xml:space="preserve">, any amendment that would have a material adverse effect on the rights or preferences of any class or series of Partnership Interests in relation to other classes or series of Partnership Interests must be approved by the holders of not less than a majority of the Outstanding Partnership Interests of the class or series affected. If the General Partner determines an amendment does not satisfy the requirements of </w:t>
      </w:r>
      <w:r>
        <w:rPr>
          <w:rFonts w:ascii="Arial" w:cs="Arial" w:eastAsia="Arial" w:hAnsi="Arial"/>
          <w:sz w:val="19"/>
          <w:szCs w:val="19"/>
          <w:u w:val="single" w:color="auto"/>
          <w:color w:val="auto"/>
        </w:rPr>
        <w:t>Section 13.1(d)(i)</w:t>
      </w:r>
      <w:r>
        <w:rPr>
          <w:rFonts w:ascii="Arial" w:cs="Arial" w:eastAsia="Arial" w:hAnsi="Arial"/>
          <w:sz w:val="19"/>
          <w:szCs w:val="19"/>
          <w:color w:val="auto"/>
        </w:rPr>
        <w:t xml:space="preserve"> because it adversely affects one or more classes of Partnership Interests, as compared to other classes of</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81" w:name="page82"/>
    <w:bookmarkEnd w:id="81"/>
    <w:p>
      <w:pPr>
        <w:ind w:right="40"/>
        <w:spacing w:after="0" w:line="251" w:lineRule="auto"/>
        <w:rPr>
          <w:sz w:val="20"/>
          <w:szCs w:val="20"/>
          <w:color w:val="auto"/>
        </w:rPr>
      </w:pPr>
      <w:r>
        <w:rPr>
          <w:rFonts w:ascii="Arial" w:cs="Arial" w:eastAsia="Arial" w:hAnsi="Arial"/>
          <w:sz w:val="22"/>
          <w:szCs w:val="22"/>
          <w:color w:val="auto"/>
        </w:rPr>
        <w:t>Partnership Interests, in any material respect, such amendment shall only be required to be approved by the adversely affected class or classes.</w:t>
      </w:r>
    </w:p>
    <w:p>
      <w:pPr>
        <w:spacing w:after="0" w:line="200" w:lineRule="exact"/>
        <w:rPr>
          <w:sz w:val="20"/>
          <w:szCs w:val="20"/>
          <w:color w:val="auto"/>
        </w:rPr>
      </w:pPr>
    </w:p>
    <w:p>
      <w:pPr>
        <w:ind w:right="160" w:firstLine="1305"/>
        <w:spacing w:after="0" w:line="287" w:lineRule="auto"/>
        <w:tabs>
          <w:tab w:leader="none" w:pos="1819" w:val="left"/>
        </w:tabs>
        <w:numPr>
          <w:ilvl w:val="0"/>
          <w:numId w:val="81"/>
        </w:numPr>
        <w:rPr>
          <w:rFonts w:ascii="Arial" w:cs="Arial" w:eastAsia="Arial" w:hAnsi="Arial"/>
          <w:sz w:val="19"/>
          <w:szCs w:val="19"/>
          <w:color w:val="auto"/>
        </w:rPr>
      </w:pPr>
      <w:r>
        <w:rPr>
          <w:rFonts w:ascii="Arial" w:cs="Arial" w:eastAsia="Arial" w:hAnsi="Arial"/>
          <w:sz w:val="19"/>
          <w:szCs w:val="19"/>
          <w:color w:val="auto"/>
        </w:rPr>
        <w:t xml:space="preserve">Notwithstanding any other provision of this Agreement, except for amendments pursuant to </w:t>
      </w:r>
      <w:r>
        <w:rPr>
          <w:rFonts w:ascii="Arial" w:cs="Arial" w:eastAsia="Arial" w:hAnsi="Arial"/>
          <w:sz w:val="19"/>
          <w:szCs w:val="19"/>
          <w:u w:val="single" w:color="auto"/>
          <w:color w:val="auto"/>
        </w:rPr>
        <w:t>Section 13.1</w:t>
      </w:r>
      <w:r>
        <w:rPr>
          <w:rFonts w:ascii="Arial" w:cs="Arial" w:eastAsia="Arial" w:hAnsi="Arial"/>
          <w:sz w:val="19"/>
          <w:szCs w:val="19"/>
          <w:color w:val="auto"/>
        </w:rPr>
        <w:t xml:space="preserve"> and except as otherwise provided by </w:t>
      </w:r>
      <w:r>
        <w:rPr>
          <w:rFonts w:ascii="Arial" w:cs="Arial" w:eastAsia="Arial" w:hAnsi="Arial"/>
          <w:sz w:val="19"/>
          <w:szCs w:val="19"/>
          <w:u w:val="single" w:color="auto"/>
          <w:color w:val="auto"/>
        </w:rPr>
        <w:t>Section 14.3(b)</w:t>
      </w:r>
      <w:r>
        <w:rPr>
          <w:rFonts w:ascii="Arial" w:cs="Arial" w:eastAsia="Arial" w:hAnsi="Arial"/>
          <w:sz w:val="19"/>
          <w:szCs w:val="19"/>
          <w:color w:val="auto"/>
        </w:rPr>
        <w:t>, no amendments shall become effective without the approval of the holders of at least 90% of the Outstanding Units voting as a single class unless the Partnership obtains an Opinion of Counsel to the effect that such amendment will not affect the limited liability of any Limited Partner under applicable law.</w:t>
      </w:r>
    </w:p>
    <w:p>
      <w:pPr>
        <w:spacing w:after="0" w:line="170" w:lineRule="exact"/>
        <w:rPr>
          <w:rFonts w:ascii="Arial" w:cs="Arial" w:eastAsia="Arial" w:hAnsi="Arial"/>
          <w:sz w:val="19"/>
          <w:szCs w:val="19"/>
          <w:color w:val="auto"/>
        </w:rPr>
      </w:pPr>
    </w:p>
    <w:p>
      <w:pPr>
        <w:ind w:firstLine="1305"/>
        <w:spacing w:after="0" w:line="251" w:lineRule="auto"/>
        <w:tabs>
          <w:tab w:leader="none" w:pos="1807" w:val="left"/>
        </w:tabs>
        <w:numPr>
          <w:ilvl w:val="0"/>
          <w:numId w:val="81"/>
        </w:numPr>
        <w:rPr>
          <w:rFonts w:ascii="Arial" w:cs="Arial" w:eastAsia="Arial" w:hAnsi="Arial"/>
          <w:sz w:val="22"/>
          <w:szCs w:val="22"/>
          <w:color w:val="auto"/>
        </w:rPr>
      </w:pPr>
      <w:r>
        <w:rPr>
          <w:rFonts w:ascii="Arial" w:cs="Arial" w:eastAsia="Arial" w:hAnsi="Arial"/>
          <w:sz w:val="22"/>
          <w:szCs w:val="22"/>
          <w:color w:val="auto"/>
        </w:rPr>
        <w:t xml:space="preserve">Except as provided in </w:t>
      </w:r>
      <w:r>
        <w:rPr>
          <w:rFonts w:ascii="Arial" w:cs="Arial" w:eastAsia="Arial" w:hAnsi="Arial"/>
          <w:sz w:val="22"/>
          <w:szCs w:val="22"/>
          <w:u w:val="single" w:color="auto"/>
          <w:color w:val="auto"/>
        </w:rPr>
        <w:t>Section 13.1</w:t>
      </w:r>
      <w:r>
        <w:rPr>
          <w:rFonts w:ascii="Arial" w:cs="Arial" w:eastAsia="Arial" w:hAnsi="Arial"/>
          <w:sz w:val="22"/>
          <w:szCs w:val="22"/>
          <w:color w:val="auto"/>
        </w:rPr>
        <w:t xml:space="preserve">, this </w:t>
      </w:r>
      <w:r>
        <w:rPr>
          <w:rFonts w:ascii="Arial" w:cs="Arial" w:eastAsia="Arial" w:hAnsi="Arial"/>
          <w:sz w:val="22"/>
          <w:szCs w:val="22"/>
          <w:u w:val="single" w:color="auto"/>
          <w:color w:val="auto"/>
        </w:rPr>
        <w:t>Section 13.3</w:t>
      </w:r>
      <w:r>
        <w:rPr>
          <w:rFonts w:ascii="Arial" w:cs="Arial" w:eastAsia="Arial" w:hAnsi="Arial"/>
          <w:sz w:val="22"/>
          <w:szCs w:val="22"/>
          <w:color w:val="auto"/>
        </w:rPr>
        <w:t xml:space="preserve"> shall only be amended with the approval of the holders of at least 90% of the Outstanding Units.</w:t>
      </w:r>
    </w:p>
    <w:p>
      <w:pPr>
        <w:spacing w:after="0" w:line="200" w:lineRule="exact"/>
        <w:rPr>
          <w:sz w:val="20"/>
          <w:szCs w:val="20"/>
          <w:color w:val="auto"/>
        </w:rPr>
      </w:pPr>
    </w:p>
    <w:p>
      <w:pPr>
        <w:ind w:right="20" w:firstLine="1297"/>
        <w:spacing w:after="0" w:line="271" w:lineRule="auto"/>
        <w:rPr>
          <w:sz w:val="20"/>
          <w:szCs w:val="20"/>
          <w:color w:val="auto"/>
        </w:rPr>
      </w:pPr>
      <w:r>
        <w:rPr>
          <w:rFonts w:ascii="Arial" w:cs="Arial" w:eastAsia="Arial" w:hAnsi="Arial"/>
          <w:sz w:val="19"/>
          <w:szCs w:val="19"/>
          <w:color w:val="auto"/>
        </w:rPr>
        <w:t xml:space="preserve">Section 13.4. </w:t>
      </w:r>
      <w:r>
        <w:rPr>
          <w:rFonts w:ascii="Arial" w:cs="Arial" w:eastAsia="Arial" w:hAnsi="Arial"/>
          <w:sz w:val="19"/>
          <w:szCs w:val="19"/>
          <w:i w:val="1"/>
          <w:iCs w:val="1"/>
          <w:color w:val="auto"/>
        </w:rPr>
        <w:t>Special Meetings</w:t>
      </w:r>
      <w:r>
        <w:rPr>
          <w:rFonts w:ascii="Arial" w:cs="Arial" w:eastAsia="Arial" w:hAnsi="Arial"/>
          <w:sz w:val="19"/>
          <w:szCs w:val="19"/>
          <w:color w:val="auto"/>
        </w:rPr>
        <w:t xml:space="preserve">. All acts of Limited Partners to be taken pursuant to this Agreement shall be taken in the manner provided in this </w:t>
      </w:r>
      <w:r>
        <w:rPr>
          <w:rFonts w:ascii="Arial" w:cs="Arial" w:eastAsia="Arial" w:hAnsi="Arial"/>
          <w:sz w:val="19"/>
          <w:szCs w:val="19"/>
          <w:u w:val="single" w:color="auto"/>
          <w:color w:val="auto"/>
        </w:rPr>
        <w:t>Article XIII</w:t>
      </w:r>
      <w:r>
        <w:rPr>
          <w:rFonts w:ascii="Arial" w:cs="Arial" w:eastAsia="Arial" w:hAnsi="Arial"/>
          <w:sz w:val="19"/>
          <w:szCs w:val="19"/>
          <w:color w:val="auto"/>
        </w:rPr>
        <w:t>. Special meetings of the Limited Partners may be called by the General Partner, the Board of Directors or by Limited Partners owning 20% or more of the Outstanding Units of the class or classes or series for which a meeting is proposed. Limited Partners shall call a special meeting by delivering to the Board of Directors one or more requests in writing stating that the signing Limited Partners wish to call a special meeting and indicating the general or specific purposes for which the special meeting is to be called, it being understood that the purposes of such special meeting may only be to vote on matters that require the vote of the Unitholders pursuant to this Agreement. Within 60 days after receipt of such a call from Limited Partners or within such greater time as may be reasonably necessary for the Partnership to comply with any statutes, rules, regulations, listing agreements or similar requirements governing the holding of a meeting or the solicitation of proxies for use at such a meeting, the Board of Directors shall send a notice of the meeting to the Limited Partners either directly or indirectly through the Transfer Agent. A meeting shall be held at a time and place determined by the Board of Directors on a date not less than 10 days nor more than 60 days after the mailing of notice of the meeting. Limited Partners shall not vote on matters that would cause the Limited Partners to be deemed to be taking part in the management and control of the business and affairs of the Partnership so as to jeopardize the Limited Partners’ limited liability under the Marshall Islands Act or the law of any other jurisdiction in which the Partnership is qualified to do business.</w:t>
      </w:r>
    </w:p>
    <w:p>
      <w:pPr>
        <w:spacing w:after="0" w:line="200" w:lineRule="exact"/>
        <w:rPr>
          <w:sz w:val="20"/>
          <w:szCs w:val="20"/>
          <w:color w:val="auto"/>
        </w:rPr>
      </w:pPr>
    </w:p>
    <w:p>
      <w:pPr>
        <w:spacing w:after="0" w:line="236" w:lineRule="exact"/>
        <w:rPr>
          <w:sz w:val="20"/>
          <w:szCs w:val="20"/>
          <w:color w:val="auto"/>
        </w:rPr>
      </w:pPr>
    </w:p>
    <w:p>
      <w:pPr>
        <w:ind w:right="100" w:firstLine="1297"/>
        <w:spacing w:after="0" w:line="252" w:lineRule="auto"/>
        <w:rPr>
          <w:sz w:val="20"/>
          <w:szCs w:val="20"/>
          <w:color w:val="auto"/>
        </w:rPr>
      </w:pPr>
      <w:r>
        <w:rPr>
          <w:rFonts w:ascii="Arial" w:cs="Arial" w:eastAsia="Arial" w:hAnsi="Arial"/>
          <w:sz w:val="21"/>
          <w:szCs w:val="21"/>
          <w:color w:val="auto"/>
        </w:rPr>
        <w:t xml:space="preserve">Section 13.5. </w:t>
      </w:r>
      <w:r>
        <w:rPr>
          <w:rFonts w:ascii="Arial" w:cs="Arial" w:eastAsia="Arial" w:hAnsi="Arial"/>
          <w:sz w:val="21"/>
          <w:szCs w:val="21"/>
          <w:i w:val="1"/>
          <w:iCs w:val="1"/>
          <w:color w:val="auto"/>
        </w:rPr>
        <w:t>Notice of a Meeting</w:t>
      </w:r>
      <w:r>
        <w:rPr>
          <w:rFonts w:ascii="Arial" w:cs="Arial" w:eastAsia="Arial" w:hAnsi="Arial"/>
          <w:sz w:val="21"/>
          <w:szCs w:val="21"/>
          <w:color w:val="auto"/>
        </w:rPr>
        <w:t xml:space="preserve">. Notice of a meeting called pursuant to </w:t>
      </w:r>
      <w:r>
        <w:rPr>
          <w:rFonts w:ascii="Arial" w:cs="Arial" w:eastAsia="Arial" w:hAnsi="Arial"/>
          <w:sz w:val="21"/>
          <w:szCs w:val="21"/>
          <w:u w:val="single" w:color="auto"/>
          <w:color w:val="auto"/>
        </w:rPr>
        <w:t>Section 13.4</w:t>
      </w:r>
      <w:r>
        <w:rPr>
          <w:rFonts w:ascii="Arial" w:cs="Arial" w:eastAsia="Arial" w:hAnsi="Arial"/>
          <w:sz w:val="21"/>
          <w:szCs w:val="21"/>
          <w:color w:val="auto"/>
        </w:rPr>
        <w:t xml:space="preserve"> shall be given to the Record Holders of the class, classes or series of Units for which a meeting is proposed in writing by mail or other means of written communication in accordance with </w:t>
      </w:r>
      <w:r>
        <w:rPr>
          <w:rFonts w:ascii="Arial" w:cs="Arial" w:eastAsia="Arial" w:hAnsi="Arial"/>
          <w:sz w:val="21"/>
          <w:szCs w:val="21"/>
          <w:u w:val="single" w:color="auto"/>
          <w:color w:val="auto"/>
        </w:rPr>
        <w:t>Section 17.1</w:t>
      </w:r>
      <w:r>
        <w:rPr>
          <w:rFonts w:ascii="Arial" w:cs="Arial" w:eastAsia="Arial" w:hAnsi="Arial"/>
          <w:sz w:val="21"/>
          <w:szCs w:val="21"/>
          <w:color w:val="auto"/>
        </w:rPr>
        <w:t xml:space="preserve"> at least 10 days in advance of such meeting. The notice shall be deemed to have been given at the time when deposited in the mail or sent by other means of written communication.</w:t>
      </w:r>
    </w:p>
    <w:p>
      <w:pPr>
        <w:spacing w:after="0" w:line="201" w:lineRule="exact"/>
        <w:rPr>
          <w:sz w:val="20"/>
          <w:szCs w:val="20"/>
          <w:color w:val="auto"/>
        </w:rPr>
      </w:pPr>
    </w:p>
    <w:p>
      <w:pPr>
        <w:ind w:right="260" w:firstLine="1297"/>
        <w:spacing w:after="0" w:line="252" w:lineRule="auto"/>
        <w:rPr>
          <w:sz w:val="20"/>
          <w:szCs w:val="20"/>
          <w:color w:val="auto"/>
        </w:rPr>
      </w:pPr>
      <w:r>
        <w:rPr>
          <w:rFonts w:ascii="Arial" w:cs="Arial" w:eastAsia="Arial" w:hAnsi="Arial"/>
          <w:sz w:val="21"/>
          <w:szCs w:val="21"/>
          <w:color w:val="auto"/>
        </w:rPr>
        <w:t xml:space="preserve">Section 13.6. </w:t>
      </w:r>
      <w:r>
        <w:rPr>
          <w:rFonts w:ascii="Arial" w:cs="Arial" w:eastAsia="Arial" w:hAnsi="Arial"/>
          <w:sz w:val="21"/>
          <w:szCs w:val="21"/>
          <w:i w:val="1"/>
          <w:iCs w:val="1"/>
          <w:color w:val="auto"/>
        </w:rPr>
        <w:t>Record Date</w:t>
      </w:r>
      <w:r>
        <w:rPr>
          <w:rFonts w:ascii="Arial" w:cs="Arial" w:eastAsia="Arial" w:hAnsi="Arial"/>
          <w:sz w:val="21"/>
          <w:szCs w:val="21"/>
          <w:color w:val="auto"/>
        </w:rPr>
        <w:t xml:space="preserve">. For purposes of determining the Limited Partners entitled to notice of or to vote at a meeting of the Limited Partners or to give approvals without a meeting as provided in </w:t>
      </w:r>
      <w:r>
        <w:rPr>
          <w:rFonts w:ascii="Arial" w:cs="Arial" w:eastAsia="Arial" w:hAnsi="Arial"/>
          <w:sz w:val="21"/>
          <w:szCs w:val="21"/>
          <w:u w:val="single" w:color="auto"/>
          <w:color w:val="auto"/>
        </w:rPr>
        <w:t>Section 13.11</w:t>
      </w:r>
      <w:r>
        <w:rPr>
          <w:rFonts w:ascii="Arial" w:cs="Arial" w:eastAsia="Arial" w:hAnsi="Arial"/>
          <w:sz w:val="21"/>
          <w:szCs w:val="21"/>
          <w:color w:val="auto"/>
        </w:rPr>
        <w:t>, the Board of Directors may set a Record Date, which shall not be less than 10 nor more than 60 days before (a) the date of the meeting (unless such requirement conflicts with any rule, regulation, guideline or requirement of any National</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82" w:name="page83"/>
    <w:bookmarkEnd w:id="82"/>
    <w:p>
      <w:pPr>
        <w:ind w:right="80"/>
        <w:spacing w:after="0" w:line="277" w:lineRule="auto"/>
        <w:rPr>
          <w:sz w:val="20"/>
          <w:szCs w:val="20"/>
          <w:color w:val="auto"/>
        </w:rPr>
      </w:pPr>
      <w:r>
        <w:rPr>
          <w:rFonts w:ascii="Arial" w:cs="Arial" w:eastAsia="Arial" w:hAnsi="Arial"/>
          <w:sz w:val="19"/>
          <w:szCs w:val="19"/>
          <w:color w:val="auto"/>
        </w:rPr>
        <w:t xml:space="preserve">Securities Exchange on which the Units are listed or admitted to trading, in which case the rule, regulation, guideline or requirement of such National Securities Exchange shall govern) or (b) in the event that approvals are sought without a meeting, the date by which Limited Partners are requested in writing by the Board of Directors to give such approvals. If the Board of Directors does not set a Record Date, then (a) the Record Date for determining the Limited Partners entitled to notice of or to vote at a meeting of the Limited Partners shall be the close of business on the day next preceding the day on which notice is given, and (b) the Record Date for determining the Limited Partners entitled to give approvals without a meeting shall be the date the first written approval is deposited with the Partnership in care of the Board of Directors in accordance with </w:t>
      </w:r>
      <w:r>
        <w:rPr>
          <w:rFonts w:ascii="Arial" w:cs="Arial" w:eastAsia="Arial" w:hAnsi="Arial"/>
          <w:sz w:val="19"/>
          <w:szCs w:val="19"/>
          <w:u w:val="single" w:color="auto"/>
          <w:color w:val="auto"/>
        </w:rPr>
        <w:t>Section 13.11</w:t>
      </w:r>
      <w:r>
        <w:rPr>
          <w:rFonts w:ascii="Arial" w:cs="Arial" w:eastAsia="Arial" w:hAnsi="Arial"/>
          <w:sz w:val="19"/>
          <w:szCs w:val="19"/>
          <w:color w:val="auto"/>
        </w:rPr>
        <w:t>.</w:t>
      </w:r>
    </w:p>
    <w:p>
      <w:pPr>
        <w:spacing w:after="0" w:line="180" w:lineRule="exact"/>
        <w:rPr>
          <w:sz w:val="20"/>
          <w:szCs w:val="20"/>
          <w:color w:val="auto"/>
        </w:rPr>
      </w:pPr>
    </w:p>
    <w:p>
      <w:pPr>
        <w:ind w:right="60" w:firstLine="1297"/>
        <w:spacing w:after="0" w:line="235" w:lineRule="auto"/>
        <w:rPr>
          <w:sz w:val="20"/>
          <w:szCs w:val="20"/>
          <w:color w:val="auto"/>
        </w:rPr>
      </w:pPr>
      <w:r>
        <w:rPr>
          <w:rFonts w:ascii="Arial" w:cs="Arial" w:eastAsia="Arial" w:hAnsi="Arial"/>
          <w:sz w:val="22"/>
          <w:szCs w:val="22"/>
          <w:color w:val="auto"/>
        </w:rPr>
        <w:t xml:space="preserve">Section 13.7. </w:t>
      </w:r>
      <w:r>
        <w:rPr>
          <w:rFonts w:ascii="Arial" w:cs="Arial" w:eastAsia="Arial" w:hAnsi="Arial"/>
          <w:sz w:val="22"/>
          <w:szCs w:val="22"/>
          <w:i w:val="1"/>
          <w:iCs w:val="1"/>
          <w:color w:val="auto"/>
        </w:rPr>
        <w:t>Adjournment</w:t>
      </w:r>
      <w:r>
        <w:rPr>
          <w:rFonts w:ascii="Arial" w:cs="Arial" w:eastAsia="Arial" w:hAnsi="Arial"/>
          <w:sz w:val="22"/>
          <w:szCs w:val="22"/>
          <w:color w:val="auto"/>
        </w:rPr>
        <w:t xml:space="preserve">. When a meeting is adjourned to another time or place, notice need not be given of the adjourned meeting and a new Record Date need not be fixed, if the time and place thereof are announced at the meeting at which the adjournment is taken, unless such adjournment shall be for more than 45 days. At the adjourned meeting, the Partnership may transact any business which might have been transacted at the original meeting. If the adjournment is for more than 45 days or if a new Record Date is fixed for the adjourned meeting, a notice of the adjourned meeting shall be given in accordance with this </w:t>
      </w:r>
      <w:r>
        <w:rPr>
          <w:rFonts w:ascii="Arial" w:cs="Arial" w:eastAsia="Arial" w:hAnsi="Arial"/>
          <w:sz w:val="22"/>
          <w:szCs w:val="22"/>
          <w:u w:val="single" w:color="auto"/>
          <w:color w:val="auto"/>
        </w:rPr>
        <w:t>Article XIII</w:t>
      </w:r>
      <w:r>
        <w:rPr>
          <w:rFonts w:ascii="Arial" w:cs="Arial" w:eastAsia="Arial" w:hAnsi="Arial"/>
          <w:sz w:val="22"/>
          <w:szCs w:val="22"/>
          <w:color w:val="auto"/>
        </w:rPr>
        <w:t>.</w:t>
      </w:r>
    </w:p>
    <w:p>
      <w:pPr>
        <w:spacing w:after="0" w:line="215" w:lineRule="exact"/>
        <w:rPr>
          <w:sz w:val="20"/>
          <w:szCs w:val="20"/>
          <w:color w:val="auto"/>
        </w:rPr>
      </w:pPr>
    </w:p>
    <w:p>
      <w:pPr>
        <w:ind w:firstLine="1297"/>
        <w:spacing w:after="0" w:line="277" w:lineRule="auto"/>
        <w:rPr>
          <w:sz w:val="20"/>
          <w:szCs w:val="20"/>
          <w:color w:val="auto"/>
        </w:rPr>
      </w:pPr>
      <w:r>
        <w:rPr>
          <w:rFonts w:ascii="Arial" w:cs="Arial" w:eastAsia="Arial" w:hAnsi="Arial"/>
          <w:sz w:val="19"/>
          <w:szCs w:val="19"/>
          <w:color w:val="auto"/>
        </w:rPr>
        <w:t xml:space="preserve">Section 13.8. </w:t>
      </w:r>
      <w:r>
        <w:rPr>
          <w:rFonts w:ascii="Arial" w:cs="Arial" w:eastAsia="Arial" w:hAnsi="Arial"/>
          <w:sz w:val="19"/>
          <w:szCs w:val="19"/>
          <w:i w:val="1"/>
          <w:iCs w:val="1"/>
          <w:color w:val="auto"/>
        </w:rPr>
        <w:t>Waiver of Notice; Approval of Meeting; Approval of Minutes</w:t>
      </w:r>
      <w:r>
        <w:rPr>
          <w:rFonts w:ascii="Arial" w:cs="Arial" w:eastAsia="Arial" w:hAnsi="Arial"/>
          <w:sz w:val="19"/>
          <w:szCs w:val="19"/>
          <w:color w:val="auto"/>
        </w:rPr>
        <w:t>. The transactions of any meeting of Limited Partners, however called and noticed, and whenever held, shall be as valid as if it had occurred at a meeting duly held after regular call and notice, if a quorum is present either in person or by proxy. Attendance of a Limited Partner at a meeting shall constitute a waiver of notice of the meeting, except when the Limited Partner attends the meeting for the express purpose of objecting, at the beginning of the meeting, to the transaction of any business because the meeting is not lawfully called or convened; and except that attendance at a meeting is not a waiver of any right to disapprove the consideration of matters required to be included in the notice of the meeting, but not so included, if the disapproval is expressly made at the meeting.</w:t>
      </w:r>
    </w:p>
    <w:p>
      <w:pPr>
        <w:spacing w:after="0" w:line="153" w:lineRule="exact"/>
        <w:rPr>
          <w:sz w:val="20"/>
          <w:szCs w:val="20"/>
          <w:color w:val="auto"/>
        </w:rPr>
      </w:pPr>
    </w:p>
    <w:p>
      <w:pPr>
        <w:ind w:right="180" w:firstLine="1297"/>
        <w:spacing w:after="0" w:line="276" w:lineRule="auto"/>
        <w:rPr>
          <w:sz w:val="20"/>
          <w:szCs w:val="20"/>
          <w:color w:val="auto"/>
        </w:rPr>
      </w:pPr>
      <w:r>
        <w:rPr>
          <w:rFonts w:ascii="Arial" w:cs="Arial" w:eastAsia="Arial" w:hAnsi="Arial"/>
          <w:sz w:val="19"/>
          <w:szCs w:val="19"/>
          <w:color w:val="auto"/>
        </w:rPr>
        <w:t xml:space="preserve">Section 13.9. </w:t>
      </w:r>
      <w:r>
        <w:rPr>
          <w:rFonts w:ascii="Arial" w:cs="Arial" w:eastAsia="Arial" w:hAnsi="Arial"/>
          <w:sz w:val="19"/>
          <w:szCs w:val="19"/>
          <w:i w:val="1"/>
          <w:iCs w:val="1"/>
          <w:color w:val="auto"/>
        </w:rPr>
        <w:t>Quorum and Voting</w:t>
      </w:r>
      <w:r>
        <w:rPr>
          <w:rFonts w:ascii="Arial" w:cs="Arial" w:eastAsia="Arial" w:hAnsi="Arial"/>
          <w:sz w:val="19"/>
          <w:szCs w:val="19"/>
          <w:color w:val="auto"/>
        </w:rPr>
        <w:t>. The holders of 33⅓% of the Outstanding Units of the class, classes or series for which a meeting has been called (including Outstanding Units deemed owned by the General Partner and its Affiliates) represented in person or by proxy shall constitute a quorum at a meeting of Limited Partners of such class, classes or series unless any such action by the Limited Partners requires approval by holders of a greater percentage of such Units, in which case the quorum shall be such greater percentage. At any meeting of the Limited Partners duly called and held in accordance with this Agreement at which a quorum is present, the act of Limited Partners holding Outstanding Units that in the aggregate represent a majority of the Outstanding Units entitled to vote and be present in person or by proxy at such meeting shall be deemed to constitute the act of all Limited Partners, unless a greater or different percentage is required with respect to such action under the provisions of this Agreement, in which case the act of the Limited Partners holding Outstanding Units that in the aggregate represent at least such greater or different percentage shall be required. The Limited Partners present at a duly called or held meeting at which a quorum is present may continue to transact business until adjournment, notwithstanding the withdrawal of enough Limited Partners to leave less than a quorum, if any action taken (other than adjournment) is approved by the required</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83" w:name="page84"/>
    <w:bookmarkEnd w:id="83"/>
    <w:p>
      <w:pPr>
        <w:ind w:right="200"/>
        <w:spacing w:after="0" w:line="249" w:lineRule="auto"/>
        <w:rPr>
          <w:sz w:val="20"/>
          <w:szCs w:val="20"/>
          <w:color w:val="auto"/>
        </w:rPr>
      </w:pPr>
      <w:r>
        <w:rPr>
          <w:rFonts w:ascii="Arial" w:cs="Arial" w:eastAsia="Arial" w:hAnsi="Arial"/>
          <w:sz w:val="21"/>
          <w:szCs w:val="21"/>
          <w:color w:val="auto"/>
        </w:rPr>
        <w:t xml:space="preserve">percentage of Outstanding Units specified in this Agreement (including Outstanding Units deemed owned by the General Partner and its Affiliates). In the absence of a quorum, any meeting of Limited Partners may be adjourned from time to time by the affirmative vote of holders of at least a majority of the Outstanding Units entitled to vote at such meeting (including Outstanding Units deemed owned by the General Partner and its Affiliates) and represented either in person or by proxy, but no other business may be transacted, except as provided in </w:t>
      </w:r>
      <w:r>
        <w:rPr>
          <w:rFonts w:ascii="Arial" w:cs="Arial" w:eastAsia="Arial" w:hAnsi="Arial"/>
          <w:sz w:val="21"/>
          <w:szCs w:val="21"/>
          <w:u w:val="single" w:color="auto"/>
          <w:color w:val="auto"/>
        </w:rPr>
        <w:t>Section 13.7</w:t>
      </w:r>
      <w:r>
        <w:rPr>
          <w:rFonts w:ascii="Arial" w:cs="Arial" w:eastAsia="Arial" w:hAnsi="Arial"/>
          <w:sz w:val="21"/>
          <w:szCs w:val="21"/>
          <w:color w:val="auto"/>
        </w:rPr>
        <w:t>.</w:t>
      </w:r>
    </w:p>
    <w:p>
      <w:pPr>
        <w:spacing w:after="0" w:line="206" w:lineRule="exact"/>
        <w:rPr>
          <w:sz w:val="20"/>
          <w:szCs w:val="20"/>
          <w:color w:val="auto"/>
        </w:rPr>
      </w:pPr>
    </w:p>
    <w:p>
      <w:pPr>
        <w:ind w:firstLine="1297"/>
        <w:spacing w:after="0" w:line="273" w:lineRule="auto"/>
        <w:rPr>
          <w:sz w:val="20"/>
          <w:szCs w:val="20"/>
          <w:color w:val="auto"/>
        </w:rPr>
      </w:pPr>
      <w:r>
        <w:rPr>
          <w:rFonts w:ascii="Arial" w:cs="Arial" w:eastAsia="Arial" w:hAnsi="Arial"/>
          <w:sz w:val="19"/>
          <w:szCs w:val="19"/>
          <w:color w:val="auto"/>
        </w:rPr>
        <w:t xml:space="preserve">Section 13.10. </w:t>
      </w:r>
      <w:r>
        <w:rPr>
          <w:rFonts w:ascii="Arial" w:cs="Arial" w:eastAsia="Arial" w:hAnsi="Arial"/>
          <w:sz w:val="19"/>
          <w:szCs w:val="19"/>
          <w:i w:val="1"/>
          <w:iCs w:val="1"/>
          <w:color w:val="auto"/>
        </w:rPr>
        <w:t>Conduct of a Meeting</w:t>
      </w:r>
      <w:r>
        <w:rPr>
          <w:rFonts w:ascii="Arial" w:cs="Arial" w:eastAsia="Arial" w:hAnsi="Arial"/>
          <w:sz w:val="19"/>
          <w:szCs w:val="19"/>
          <w:color w:val="auto"/>
        </w:rPr>
        <w:t xml:space="preserve">. The Board of Directors shall have full power and authority concerning the manner of conducting any meeting of the Limited Partners or solicitation of approvals in writing, including the determination of Persons entitled to vote, the existence of a quorum, the satisfaction of the requirements of </w:t>
      </w:r>
      <w:r>
        <w:rPr>
          <w:rFonts w:ascii="Arial" w:cs="Arial" w:eastAsia="Arial" w:hAnsi="Arial"/>
          <w:sz w:val="19"/>
          <w:szCs w:val="19"/>
          <w:u w:val="single" w:color="auto"/>
          <w:color w:val="auto"/>
        </w:rPr>
        <w:t>Section 13.4</w:t>
      </w:r>
      <w:r>
        <w:rPr>
          <w:rFonts w:ascii="Arial" w:cs="Arial" w:eastAsia="Arial" w:hAnsi="Arial"/>
          <w:sz w:val="19"/>
          <w:szCs w:val="19"/>
          <w:color w:val="auto"/>
        </w:rPr>
        <w:t>, the conduct of voting, the validity and effect of any proxies and the determination of any controversies, votes or challenges arising in connection with or during the meeting or voting. The Chairman of the Board of Directors shall serve as chairman of any meeting and shall further designate a Person to take the minutes of any meeting. All minutes shall be kept with the records of the Partnership maintained by the Board of Directors. The Board of Directors may make such other regulations consistent with applicable law and this Agreement as it may deem advisable concerning the conduct of any meeting of the Limited Partners or solicitation of approvals in writing, including regulations in regard to the appointment of proxies, the appointment and duties of inspectors of votes and approvals, the submission and examination of proxies and other evidence of the right to vote, and the revocation of approvals in writing.</w:t>
      </w:r>
    </w:p>
    <w:p>
      <w:pPr>
        <w:spacing w:after="0" w:line="189" w:lineRule="exact"/>
        <w:rPr>
          <w:sz w:val="20"/>
          <w:szCs w:val="20"/>
          <w:color w:val="auto"/>
        </w:rPr>
      </w:pPr>
    </w:p>
    <w:p>
      <w:pPr>
        <w:ind w:firstLine="1297"/>
        <w:spacing w:after="0" w:line="270" w:lineRule="auto"/>
        <w:rPr>
          <w:sz w:val="20"/>
          <w:szCs w:val="20"/>
          <w:color w:val="auto"/>
        </w:rPr>
      </w:pPr>
      <w:r>
        <w:rPr>
          <w:rFonts w:ascii="Arial" w:cs="Arial" w:eastAsia="Arial" w:hAnsi="Arial"/>
          <w:sz w:val="19"/>
          <w:szCs w:val="19"/>
          <w:color w:val="auto"/>
        </w:rPr>
        <w:t xml:space="preserve">Section 13.11. </w:t>
      </w:r>
      <w:r>
        <w:rPr>
          <w:rFonts w:ascii="Arial" w:cs="Arial" w:eastAsia="Arial" w:hAnsi="Arial"/>
          <w:sz w:val="19"/>
          <w:szCs w:val="19"/>
          <w:i w:val="1"/>
          <w:iCs w:val="1"/>
          <w:color w:val="auto"/>
        </w:rPr>
        <w:t>Action Without a Meeting</w:t>
      </w:r>
      <w:r>
        <w:rPr>
          <w:rFonts w:ascii="Arial" w:cs="Arial" w:eastAsia="Arial" w:hAnsi="Arial"/>
          <w:sz w:val="19"/>
          <w:szCs w:val="19"/>
          <w:color w:val="auto"/>
        </w:rPr>
        <w:t>. If authorized by the Board of Directors, any action that may be taken at a meeting of the Limited Partners may be taken without a meeting if an approval in writing setting forth the action so taken is signed by Limited Partners owning not less than the minimum percentage of the Outstanding Units (including Units deemed owned by the General Partner and its Affiliates) that would be necessary to authorize or take such action at a meeting at which all the Limited Partners were present and voted (unless such provision conflicts with any rule, regulation, guideline or requirement of any National Securities Exchange on which the Units are listed or admitted to trading, in which case the rule, regulation, guideline or requirement of such National Securities Exchange shall govern). Prompt notice of the taking of action without a meeting shall be given to the Limited Partners who have not approved the action in writing. The Board of Directors may specify that any written ballot submitted to Limited Partners for the purpose of taking any action without a meeting shall be returned to the Partnership within the time period, which shall be not less than 20 days, specified by the Board of Directors. If a ballot returned to the Partnership does not vote all of the Units held by the Limited Partners, the Partnership shall be deemed to have failed to receive a ballot for the Units that were not voted. If approval of the taking of any action by the Limited Partners is solicited by any Person other than by or on behalf of the Board of Directors, the written approvals shall have no force and effect unless and until (a) they are deposited with the Partnership in care of the Board of Directors, (b) approvals sufficient to take the action proposed are dated as of a date not more than 90 days prior to the date sufficient approvals are deposited with the Partnership and (c) an Opinion of Counsel is delivered to the Board of Directors to the effect that the exercise of such right and the action proposed to be taken with respect to any particular matter (i) will not cause the Limited Partners to be deemed to be taking part in the</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80"/>
          </w:cols>
          <w:pgMar w:left="240" w:top="402" w:right="279" w:bottom="1440" w:gutter="0" w:footer="0" w:header="0"/>
        </w:sectPr>
      </w:pPr>
    </w:p>
    <w:bookmarkStart w:id="84" w:name="page85"/>
    <w:bookmarkEnd w:id="84"/>
    <w:p>
      <w:pPr>
        <w:spacing w:after="0"/>
        <w:rPr>
          <w:sz w:val="20"/>
          <w:szCs w:val="20"/>
          <w:color w:val="auto"/>
        </w:rPr>
      </w:pPr>
      <w:r>
        <w:rPr>
          <w:rFonts w:ascii="Arial" w:cs="Arial" w:eastAsia="Arial" w:hAnsi="Arial"/>
          <w:sz w:val="19"/>
          <w:szCs w:val="19"/>
          <w:color w:val="auto"/>
        </w:rPr>
        <w:t>management and control of the business and affairs of the Partnership so as to jeopardize the Limited Partners’ limited liability, and</w:t>
      </w:r>
    </w:p>
    <w:p>
      <w:pPr>
        <w:spacing w:after="0" w:line="43" w:lineRule="exact"/>
        <w:rPr>
          <w:sz w:val="20"/>
          <w:szCs w:val="20"/>
          <w:color w:val="auto"/>
        </w:rPr>
      </w:pPr>
    </w:p>
    <w:p>
      <w:pPr>
        <w:ind w:right="120" w:firstLine="8"/>
        <w:spacing w:after="0" w:line="237" w:lineRule="auto"/>
        <w:tabs>
          <w:tab w:leader="none" w:pos="318" w:val="left"/>
        </w:tabs>
        <w:numPr>
          <w:ilvl w:val="0"/>
          <w:numId w:val="82"/>
        </w:numPr>
        <w:rPr>
          <w:rFonts w:ascii="Arial" w:cs="Arial" w:eastAsia="Arial" w:hAnsi="Arial"/>
          <w:sz w:val="22"/>
          <w:szCs w:val="22"/>
          <w:color w:val="auto"/>
        </w:rPr>
      </w:pPr>
      <w:r>
        <w:rPr>
          <w:rFonts w:ascii="Arial" w:cs="Arial" w:eastAsia="Arial" w:hAnsi="Arial"/>
          <w:sz w:val="22"/>
          <w:szCs w:val="22"/>
          <w:color w:val="auto"/>
        </w:rPr>
        <w:t>is otherwise permissible under the applicable statutes then governing the rights, duties and liabilities of the Partnership and the Partners.</w:t>
      </w:r>
    </w:p>
    <w:p>
      <w:pPr>
        <w:spacing w:after="0" w:line="212" w:lineRule="exact"/>
        <w:rPr>
          <w:sz w:val="20"/>
          <w:szCs w:val="20"/>
          <w:color w:val="auto"/>
        </w:rPr>
      </w:pPr>
    </w:p>
    <w:p>
      <w:pPr>
        <w:ind w:right="60" w:firstLine="1297"/>
        <w:spacing w:after="0" w:line="282" w:lineRule="auto"/>
        <w:rPr>
          <w:sz w:val="20"/>
          <w:szCs w:val="20"/>
          <w:color w:val="auto"/>
        </w:rPr>
      </w:pPr>
      <w:r>
        <w:rPr>
          <w:rFonts w:ascii="Arial" w:cs="Arial" w:eastAsia="Arial" w:hAnsi="Arial"/>
          <w:sz w:val="19"/>
          <w:szCs w:val="19"/>
          <w:color w:val="auto"/>
        </w:rPr>
        <w:t xml:space="preserve">Section 13.12. </w:t>
      </w:r>
      <w:r>
        <w:rPr>
          <w:rFonts w:ascii="Arial" w:cs="Arial" w:eastAsia="Arial" w:hAnsi="Arial"/>
          <w:sz w:val="19"/>
          <w:szCs w:val="19"/>
          <w:i w:val="1"/>
          <w:iCs w:val="1"/>
          <w:color w:val="auto"/>
        </w:rPr>
        <w:t>Right to Vote and Related Matters</w:t>
      </w:r>
      <w:r>
        <w:rPr>
          <w:rFonts w:ascii="Arial" w:cs="Arial" w:eastAsia="Arial" w:hAnsi="Arial"/>
          <w:sz w:val="19"/>
          <w:szCs w:val="19"/>
          <w:color w:val="auto"/>
        </w:rPr>
        <w:t xml:space="preserve">. (a) Only those Record Holders of the Units on the Record Date set pursuant to </w:t>
      </w:r>
      <w:r>
        <w:rPr>
          <w:rFonts w:ascii="Arial" w:cs="Arial" w:eastAsia="Arial" w:hAnsi="Arial"/>
          <w:sz w:val="19"/>
          <w:szCs w:val="19"/>
          <w:u w:val="single" w:color="auto"/>
          <w:color w:val="auto"/>
        </w:rPr>
        <w:t>Section 13.6</w:t>
      </w:r>
      <w:r>
        <w:rPr>
          <w:rFonts w:ascii="Arial" w:cs="Arial" w:eastAsia="Arial" w:hAnsi="Arial"/>
          <w:sz w:val="19"/>
          <w:szCs w:val="19"/>
          <w:color w:val="auto"/>
        </w:rPr>
        <w:t xml:space="preserve"> (and also subject to the limitations contained in the definition of “Outstanding”) shall be entitled to notice of, and to vote at, a meeting of Limited Partners or to act with respect to matters as to which the holders of the Outstanding Units have the right to vote or to act. All references in this Agreement to votes of, or other acts that may be taken by, the Outstanding Units shall be deemed to be references to the votes or acts of the Record Holders of such Outstanding Units.</w:t>
      </w:r>
    </w:p>
    <w:p>
      <w:pPr>
        <w:spacing w:after="0" w:line="175" w:lineRule="exact"/>
        <w:rPr>
          <w:sz w:val="20"/>
          <w:szCs w:val="20"/>
          <w:color w:val="auto"/>
        </w:rPr>
      </w:pPr>
    </w:p>
    <w:p>
      <w:pPr>
        <w:ind w:right="100" w:firstLine="1305"/>
        <w:spacing w:after="0" w:line="279" w:lineRule="auto"/>
        <w:tabs>
          <w:tab w:leader="none" w:pos="1815" w:val="left"/>
        </w:tabs>
        <w:numPr>
          <w:ilvl w:val="0"/>
          <w:numId w:val="83"/>
        </w:numPr>
        <w:rPr>
          <w:rFonts w:ascii="Arial" w:cs="Arial" w:eastAsia="Arial" w:hAnsi="Arial"/>
          <w:sz w:val="19"/>
          <w:szCs w:val="19"/>
          <w:color w:val="auto"/>
        </w:rPr>
      </w:pPr>
      <w:r>
        <w:rPr>
          <w:rFonts w:ascii="Arial" w:cs="Arial" w:eastAsia="Arial" w:hAnsi="Arial"/>
          <w:sz w:val="19"/>
          <w:szCs w:val="19"/>
          <w:color w:val="auto"/>
        </w:rPr>
        <w:t xml:space="preserve">With respect to Units that are held for a Person’s account by another Person (such as a broker, dealer, bank, trust company or clearing corporation, or an agent of any of the foregoing), in whose name such Units are registered, such other Person shall, in exercising the voting rights in respect of such Units on any matter, and unless the arrangement between such Persons provides otherwise, vote such Units in favor of, and at the direction of, the Person who is the beneficial owner, and the Partnership shall be entitled to assume it is so acting without further inquiry. The provisions of this </w:t>
      </w:r>
      <w:r>
        <w:rPr>
          <w:rFonts w:ascii="Arial" w:cs="Arial" w:eastAsia="Arial" w:hAnsi="Arial"/>
          <w:sz w:val="19"/>
          <w:szCs w:val="19"/>
          <w:u w:val="single" w:color="auto"/>
          <w:color w:val="auto"/>
        </w:rPr>
        <w:t>Section 13.12(b)</w:t>
      </w:r>
      <w:r>
        <w:rPr>
          <w:rFonts w:ascii="Arial" w:cs="Arial" w:eastAsia="Arial" w:hAnsi="Arial"/>
          <w:sz w:val="19"/>
          <w:szCs w:val="19"/>
          <w:color w:val="auto"/>
        </w:rPr>
        <w:t xml:space="preserve"> (as well as all other provisions of this Agreement) are subject to the provisions of </w:t>
      </w:r>
      <w:r>
        <w:rPr>
          <w:rFonts w:ascii="Arial" w:cs="Arial" w:eastAsia="Arial" w:hAnsi="Arial"/>
          <w:sz w:val="19"/>
          <w:szCs w:val="19"/>
          <w:u w:val="single" w:color="auto"/>
          <w:color w:val="auto"/>
        </w:rPr>
        <w:t>Section 4.3.</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ARTICLE XIV</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MERGER, CONSOLIDATION OR CONVERSION</w:t>
      </w:r>
    </w:p>
    <w:p>
      <w:pPr>
        <w:spacing w:after="0" w:line="215" w:lineRule="exact"/>
        <w:rPr>
          <w:sz w:val="20"/>
          <w:szCs w:val="20"/>
          <w:color w:val="auto"/>
        </w:rPr>
      </w:pPr>
    </w:p>
    <w:p>
      <w:pPr>
        <w:ind w:right="60" w:firstLine="1297"/>
        <w:spacing w:after="0" w:line="249" w:lineRule="auto"/>
        <w:rPr>
          <w:sz w:val="20"/>
          <w:szCs w:val="20"/>
          <w:color w:val="auto"/>
        </w:rPr>
      </w:pPr>
      <w:r>
        <w:rPr>
          <w:rFonts w:ascii="Arial" w:cs="Arial" w:eastAsia="Arial" w:hAnsi="Arial"/>
          <w:sz w:val="21"/>
          <w:szCs w:val="21"/>
          <w:color w:val="auto"/>
        </w:rPr>
        <w:t xml:space="preserve">Section 14.1. </w:t>
      </w:r>
      <w:r>
        <w:rPr>
          <w:rFonts w:ascii="Arial" w:cs="Arial" w:eastAsia="Arial" w:hAnsi="Arial"/>
          <w:sz w:val="21"/>
          <w:szCs w:val="21"/>
          <w:i w:val="1"/>
          <w:iCs w:val="1"/>
          <w:color w:val="auto"/>
        </w:rPr>
        <w:t>Authority</w:t>
      </w:r>
      <w:r>
        <w:rPr>
          <w:rFonts w:ascii="Arial" w:cs="Arial" w:eastAsia="Arial" w:hAnsi="Arial"/>
          <w:sz w:val="21"/>
          <w:szCs w:val="21"/>
          <w:color w:val="auto"/>
        </w:rPr>
        <w:t>. The Partnership may merge or consolidate with or into one or more corporations, limited liability companies, statutory trusts or associations, real estate investment trusts, common law trusts or unincorporated businesses, including a partnership (whether general or limited (including a limited liability partnership)) or convert into any such entity, pursuant to a written agreement of merger or consolidation (“</w:t>
      </w:r>
      <w:r>
        <w:rPr>
          <w:rFonts w:ascii="Arial" w:cs="Arial" w:eastAsia="Arial" w:hAnsi="Arial"/>
          <w:sz w:val="21"/>
          <w:szCs w:val="21"/>
          <w:b w:val="1"/>
          <w:bCs w:val="1"/>
          <w:i w:val="1"/>
          <w:iCs w:val="1"/>
          <w:color w:val="auto"/>
        </w:rPr>
        <w:t>Merger Agreement</w:t>
      </w:r>
      <w:r>
        <w:rPr>
          <w:rFonts w:ascii="Arial" w:cs="Arial" w:eastAsia="Arial" w:hAnsi="Arial"/>
          <w:sz w:val="21"/>
          <w:szCs w:val="21"/>
          <w:color w:val="auto"/>
        </w:rPr>
        <w:t>”) or a written plan of conversion (“</w:t>
      </w:r>
      <w:r>
        <w:rPr>
          <w:rFonts w:ascii="Arial" w:cs="Arial" w:eastAsia="Arial" w:hAnsi="Arial"/>
          <w:sz w:val="21"/>
          <w:szCs w:val="21"/>
          <w:b w:val="1"/>
          <w:bCs w:val="1"/>
          <w:i w:val="1"/>
          <w:iCs w:val="1"/>
          <w:color w:val="auto"/>
        </w:rPr>
        <w:t>Plan of</w:t>
      </w:r>
      <w:r>
        <w:rPr>
          <w:rFonts w:ascii="Arial" w:cs="Arial" w:eastAsia="Arial" w:hAnsi="Arial"/>
          <w:sz w:val="21"/>
          <w:szCs w:val="21"/>
          <w:color w:val="auto"/>
        </w:rPr>
        <w:t xml:space="preserve"> </w:t>
      </w:r>
      <w:r>
        <w:rPr>
          <w:rFonts w:ascii="Arial" w:cs="Arial" w:eastAsia="Arial" w:hAnsi="Arial"/>
          <w:sz w:val="21"/>
          <w:szCs w:val="21"/>
          <w:b w:val="1"/>
          <w:bCs w:val="1"/>
          <w:i w:val="1"/>
          <w:iCs w:val="1"/>
          <w:color w:val="auto"/>
        </w:rPr>
        <w:t>Conversion</w:t>
      </w:r>
      <w:r>
        <w:rPr>
          <w:rFonts w:ascii="Arial" w:cs="Arial" w:eastAsia="Arial" w:hAnsi="Arial"/>
          <w:sz w:val="21"/>
          <w:szCs w:val="21"/>
          <w:color w:val="auto"/>
        </w:rPr>
        <w:t>”), as the case may be, in accordance with this</w:t>
      </w:r>
      <w:r>
        <w:rPr>
          <w:rFonts w:ascii="Arial" w:cs="Arial" w:eastAsia="Arial" w:hAnsi="Arial"/>
          <w:sz w:val="21"/>
          <w:szCs w:val="21"/>
          <w:b w:val="1"/>
          <w:bCs w:val="1"/>
          <w:i w:val="1"/>
          <w:iCs w:val="1"/>
          <w:color w:val="auto"/>
        </w:rPr>
        <w:t xml:space="preserve"> </w:t>
      </w:r>
      <w:r>
        <w:rPr>
          <w:rFonts w:ascii="Arial" w:cs="Arial" w:eastAsia="Arial" w:hAnsi="Arial"/>
          <w:sz w:val="21"/>
          <w:szCs w:val="21"/>
          <w:u w:val="single" w:color="auto"/>
          <w:color w:val="auto"/>
        </w:rPr>
        <w:t>Article XIV</w:t>
      </w:r>
      <w:r>
        <w:rPr>
          <w:rFonts w:ascii="Arial" w:cs="Arial" w:eastAsia="Arial" w:hAnsi="Arial"/>
          <w:sz w:val="21"/>
          <w:szCs w:val="21"/>
          <w:color w:val="auto"/>
        </w:rPr>
        <w:t>.</w:t>
      </w:r>
    </w:p>
    <w:p>
      <w:pPr>
        <w:spacing w:after="0" w:line="206" w:lineRule="exact"/>
        <w:rPr>
          <w:sz w:val="20"/>
          <w:szCs w:val="20"/>
          <w:color w:val="auto"/>
        </w:rPr>
      </w:pPr>
    </w:p>
    <w:p>
      <w:pPr>
        <w:ind w:right="20" w:firstLine="1297"/>
        <w:spacing w:after="0" w:line="246" w:lineRule="auto"/>
        <w:rPr>
          <w:sz w:val="20"/>
          <w:szCs w:val="20"/>
          <w:color w:val="auto"/>
        </w:rPr>
      </w:pPr>
      <w:r>
        <w:rPr>
          <w:rFonts w:ascii="Arial" w:cs="Arial" w:eastAsia="Arial" w:hAnsi="Arial"/>
          <w:sz w:val="21"/>
          <w:szCs w:val="21"/>
          <w:color w:val="auto"/>
        </w:rPr>
        <w:t xml:space="preserve">Section 14.2. </w:t>
      </w:r>
      <w:r>
        <w:rPr>
          <w:rFonts w:ascii="Arial" w:cs="Arial" w:eastAsia="Arial" w:hAnsi="Arial"/>
          <w:sz w:val="21"/>
          <w:szCs w:val="21"/>
          <w:i w:val="1"/>
          <w:iCs w:val="1"/>
          <w:color w:val="auto"/>
        </w:rPr>
        <w:t>Procedure for Merger, Consolidation or Conversion</w:t>
      </w:r>
      <w:r>
        <w:rPr>
          <w:rFonts w:ascii="Arial" w:cs="Arial" w:eastAsia="Arial" w:hAnsi="Arial"/>
          <w:sz w:val="21"/>
          <w:szCs w:val="21"/>
          <w:color w:val="auto"/>
        </w:rPr>
        <w:t xml:space="preserve">. (a) Merger, consolidation or conversion of the Partnership pursuant to this </w:t>
      </w:r>
      <w:r>
        <w:rPr>
          <w:rFonts w:ascii="Arial" w:cs="Arial" w:eastAsia="Arial" w:hAnsi="Arial"/>
          <w:sz w:val="21"/>
          <w:szCs w:val="21"/>
          <w:u w:val="single" w:color="auto"/>
          <w:color w:val="auto"/>
        </w:rPr>
        <w:t>Article XIV</w:t>
      </w:r>
      <w:r>
        <w:rPr>
          <w:rFonts w:ascii="Arial" w:cs="Arial" w:eastAsia="Arial" w:hAnsi="Arial"/>
          <w:sz w:val="21"/>
          <w:szCs w:val="21"/>
          <w:color w:val="auto"/>
        </w:rPr>
        <w:t xml:space="preserve"> requires the approval of the Board of Directors and the prior consent of the General Partner;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to the fullest extent permitted by law, neither the Board of Directors nor the General Partner shall have a duty or obligation to consent to any merger, consolidation or conversion of the Partnership and may decline to do so free of any fiduciary duty or obligation whatsoever to the Partnership or any Limited Partner and, in declining to consent to a merger, consolidation or conversion, shall not be required to act in good faith or pursuant to any other standard imposed by this Agreement, any Group Member Agreement, any other agreement contemplated hereby or under the Marshall Islands Act or any other law, rule or regulation or at equity.</w:t>
      </w:r>
    </w:p>
    <w:p>
      <w:pPr>
        <w:spacing w:after="0" w:line="208" w:lineRule="exact"/>
        <w:rPr>
          <w:sz w:val="20"/>
          <w:szCs w:val="20"/>
          <w:color w:val="auto"/>
        </w:rPr>
      </w:pPr>
    </w:p>
    <w:p>
      <w:pPr>
        <w:ind w:right="300" w:firstLine="1305"/>
        <w:spacing w:after="0" w:line="328" w:lineRule="auto"/>
        <w:tabs>
          <w:tab w:leader="none" w:pos="1819" w:val="left"/>
        </w:tabs>
        <w:numPr>
          <w:ilvl w:val="0"/>
          <w:numId w:val="84"/>
        </w:numPr>
        <w:rPr>
          <w:rFonts w:ascii="Arial" w:cs="Arial" w:eastAsia="Arial" w:hAnsi="Arial"/>
          <w:sz w:val="19"/>
          <w:szCs w:val="19"/>
          <w:color w:val="auto"/>
        </w:rPr>
      </w:pPr>
      <w:r>
        <w:rPr>
          <w:rFonts w:ascii="Arial" w:cs="Arial" w:eastAsia="Arial" w:hAnsi="Arial"/>
          <w:sz w:val="19"/>
          <w:szCs w:val="19"/>
          <w:color w:val="auto"/>
        </w:rPr>
        <w:t>If the Board of Directors and the General Partner shall determine to consent to the merger, consolidation or conversion, the Board of Directors and the General Partner shall approve the Merger Agreement, which shall set forth:</w:t>
      </w:r>
    </w:p>
    <w:p>
      <w:pPr>
        <w:spacing w:after="0" w:line="7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80"/>
          </w:cols>
          <w:pgMar w:left="240" w:top="402" w:right="279" w:bottom="1440" w:gutter="0" w:footer="0" w:header="0"/>
        </w:sectPr>
      </w:pPr>
    </w:p>
    <w:bookmarkStart w:id="85" w:name="page86"/>
    <w:bookmarkEnd w:id="85"/>
    <w:p>
      <w:pPr>
        <w:ind w:left="1180" w:hanging="535"/>
        <w:spacing w:after="0"/>
        <w:tabs>
          <w:tab w:leader="none" w:pos="1180" w:val="left"/>
        </w:tabs>
        <w:numPr>
          <w:ilvl w:val="0"/>
          <w:numId w:val="85"/>
        </w:numPr>
        <w:rPr>
          <w:rFonts w:ascii="Arial" w:cs="Arial" w:eastAsia="Arial" w:hAnsi="Arial"/>
          <w:sz w:val="19"/>
          <w:szCs w:val="19"/>
          <w:color w:val="auto"/>
        </w:rPr>
      </w:pPr>
      <w:r>
        <w:rPr>
          <w:rFonts w:ascii="Arial" w:cs="Arial" w:eastAsia="Arial" w:hAnsi="Arial"/>
          <w:sz w:val="19"/>
          <w:szCs w:val="19"/>
          <w:color w:val="auto"/>
        </w:rPr>
        <w:t>the names and jurisdictions of formation or organization of each of the business entities proposing to merge or</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consolidate;</w:t>
      </w:r>
    </w:p>
    <w:p>
      <w:pPr>
        <w:spacing w:after="0" w:line="215" w:lineRule="exact"/>
        <w:rPr>
          <w:rFonts w:ascii="Arial" w:cs="Arial" w:eastAsia="Arial" w:hAnsi="Arial"/>
          <w:sz w:val="19"/>
          <w:szCs w:val="19"/>
          <w:color w:val="auto"/>
        </w:rPr>
      </w:pPr>
    </w:p>
    <w:p>
      <w:pPr>
        <w:ind w:right="300" w:firstLine="645"/>
        <w:spacing w:after="0" w:line="251" w:lineRule="auto"/>
        <w:tabs>
          <w:tab w:leader="none" w:pos="1237" w:val="left"/>
        </w:tabs>
        <w:numPr>
          <w:ilvl w:val="0"/>
          <w:numId w:val="85"/>
        </w:numPr>
        <w:rPr>
          <w:rFonts w:ascii="Arial" w:cs="Arial" w:eastAsia="Arial" w:hAnsi="Arial"/>
          <w:sz w:val="22"/>
          <w:szCs w:val="22"/>
          <w:color w:val="auto"/>
        </w:rPr>
      </w:pPr>
      <w:r>
        <w:rPr>
          <w:rFonts w:ascii="Arial" w:cs="Arial" w:eastAsia="Arial" w:hAnsi="Arial"/>
          <w:sz w:val="22"/>
          <w:szCs w:val="22"/>
          <w:color w:val="auto"/>
        </w:rPr>
        <w:t>the name and jurisdiction of formation or organization of the business entity that is to survive the proposed merger or consolidation (the “</w:t>
      </w:r>
      <w:r>
        <w:rPr>
          <w:rFonts w:ascii="Arial" w:cs="Arial" w:eastAsia="Arial" w:hAnsi="Arial"/>
          <w:sz w:val="22"/>
          <w:szCs w:val="22"/>
          <w:i w:val="1"/>
          <w:iCs w:val="1"/>
          <w:color w:val="auto"/>
        </w:rPr>
        <w:t>Surviving Business Entity</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ind w:left="1240" w:hanging="595"/>
        <w:spacing w:after="0"/>
        <w:tabs>
          <w:tab w:leader="none" w:pos="1240" w:val="left"/>
        </w:tabs>
        <w:numPr>
          <w:ilvl w:val="0"/>
          <w:numId w:val="85"/>
        </w:numPr>
        <w:rPr>
          <w:rFonts w:ascii="Arial" w:cs="Arial" w:eastAsia="Arial" w:hAnsi="Arial"/>
          <w:sz w:val="22"/>
          <w:szCs w:val="22"/>
          <w:color w:val="auto"/>
        </w:rPr>
      </w:pPr>
      <w:r>
        <w:rPr>
          <w:rFonts w:ascii="Arial" w:cs="Arial" w:eastAsia="Arial" w:hAnsi="Arial"/>
          <w:sz w:val="22"/>
          <w:szCs w:val="22"/>
          <w:color w:val="auto"/>
        </w:rPr>
        <w:t>the terms and conditions of the proposed merger or consolidation;</w:t>
      </w:r>
    </w:p>
    <w:p>
      <w:pPr>
        <w:spacing w:after="0" w:line="233" w:lineRule="exact"/>
        <w:rPr>
          <w:rFonts w:ascii="Arial" w:cs="Arial" w:eastAsia="Arial" w:hAnsi="Arial"/>
          <w:sz w:val="22"/>
          <w:szCs w:val="22"/>
          <w:color w:val="auto"/>
        </w:rPr>
      </w:pPr>
    </w:p>
    <w:p>
      <w:pPr>
        <w:ind w:firstLine="645"/>
        <w:spacing w:after="0" w:line="273" w:lineRule="auto"/>
        <w:tabs>
          <w:tab w:leader="none" w:pos="1230" w:val="left"/>
        </w:tabs>
        <w:numPr>
          <w:ilvl w:val="0"/>
          <w:numId w:val="85"/>
        </w:numPr>
        <w:rPr>
          <w:rFonts w:ascii="Arial" w:cs="Arial" w:eastAsia="Arial" w:hAnsi="Arial"/>
          <w:sz w:val="19"/>
          <w:szCs w:val="19"/>
          <w:color w:val="auto"/>
        </w:rPr>
      </w:pPr>
      <w:r>
        <w:rPr>
          <w:rFonts w:ascii="Arial" w:cs="Arial" w:eastAsia="Arial" w:hAnsi="Arial"/>
          <w:sz w:val="19"/>
          <w:szCs w:val="19"/>
          <w:color w:val="auto"/>
        </w:rPr>
        <w:t>the manner and basis of exchanging or converting the equity securities of each constituent business entity for, or into, cash, property or interests, rights, securities or obligations of the Surviving Business Entity; and (A) if any interests, securities or rights of any constituent business entity are not to be exchanged or converted solely for, or into, cash, property or interests, rights, securities or obligations of the Surviving Business Entity, the cash, property or interests, rights, securities or obligations of any general or limited partnership, corporation, trust, limited liability company, unincorporated business or other Person (other than the Surviving Business Entity) which the holders of such interests, securities or rights are to receive in exchange for, or upon conversion of their interests, securities or rights, and (B) in the case of securities represented by certificates, upon the surrender of such certificates, which cash, property or interests, rights, securities or obligations of the Surviving Business Entity or any general or limited partnership, corporation, trust, limited liability company, unincorporated business or other Person (other than the Surviving Business Entity), or evidences thereof, are to be delivered;</w:t>
      </w:r>
    </w:p>
    <w:p>
      <w:pPr>
        <w:spacing w:after="0" w:line="188" w:lineRule="exact"/>
        <w:rPr>
          <w:rFonts w:ascii="Arial" w:cs="Arial" w:eastAsia="Arial" w:hAnsi="Arial"/>
          <w:sz w:val="19"/>
          <w:szCs w:val="19"/>
          <w:color w:val="auto"/>
        </w:rPr>
      </w:pPr>
    </w:p>
    <w:p>
      <w:pPr>
        <w:ind w:right="80" w:firstLine="645"/>
        <w:spacing w:after="0" w:line="238" w:lineRule="auto"/>
        <w:tabs>
          <w:tab w:leader="none" w:pos="1170" w:val="left"/>
        </w:tabs>
        <w:numPr>
          <w:ilvl w:val="0"/>
          <w:numId w:val="85"/>
        </w:numPr>
        <w:rPr>
          <w:rFonts w:ascii="Arial" w:cs="Arial" w:eastAsia="Arial" w:hAnsi="Arial"/>
          <w:sz w:val="22"/>
          <w:szCs w:val="22"/>
          <w:color w:val="auto"/>
        </w:rPr>
      </w:pPr>
      <w:r>
        <w:rPr>
          <w:rFonts w:ascii="Arial" w:cs="Arial" w:eastAsia="Arial" w:hAnsi="Arial"/>
          <w:sz w:val="22"/>
          <w:szCs w:val="22"/>
          <w:color w:val="auto"/>
        </w:rPr>
        <w:t>a statement of any changes in the constituent documents or the adoption of new constituent documents (the articles or certificate of incorporation, articles of trust, declaration of trust, certificate or agreement of limited partnership or other similar charter or governing document) of the Surviving Business Entity to be effected by such merger or consolidation;</w:t>
      </w:r>
    </w:p>
    <w:p>
      <w:pPr>
        <w:spacing w:after="0" w:line="212" w:lineRule="exact"/>
        <w:rPr>
          <w:rFonts w:ascii="Arial" w:cs="Arial" w:eastAsia="Arial" w:hAnsi="Arial"/>
          <w:sz w:val="22"/>
          <w:szCs w:val="22"/>
          <w:color w:val="auto"/>
        </w:rPr>
      </w:pPr>
    </w:p>
    <w:p>
      <w:pPr>
        <w:ind w:right="180" w:firstLine="645"/>
        <w:spacing w:after="0" w:line="287" w:lineRule="auto"/>
        <w:tabs>
          <w:tab w:leader="none" w:pos="1230" w:val="left"/>
        </w:tabs>
        <w:numPr>
          <w:ilvl w:val="0"/>
          <w:numId w:val="85"/>
        </w:numPr>
        <w:rPr>
          <w:rFonts w:ascii="Arial" w:cs="Arial" w:eastAsia="Arial" w:hAnsi="Arial"/>
          <w:sz w:val="19"/>
          <w:szCs w:val="19"/>
          <w:color w:val="auto"/>
        </w:rPr>
      </w:pPr>
      <w:r>
        <w:rPr>
          <w:rFonts w:ascii="Arial" w:cs="Arial" w:eastAsia="Arial" w:hAnsi="Arial"/>
          <w:sz w:val="19"/>
          <w:szCs w:val="19"/>
          <w:color w:val="auto"/>
        </w:rPr>
        <w:t xml:space="preserve">the effective time of the merger, which may be the date of the filing of the certificate of merger pursuant to </w:t>
      </w:r>
      <w:r>
        <w:rPr>
          <w:rFonts w:ascii="Arial" w:cs="Arial" w:eastAsia="Arial" w:hAnsi="Arial"/>
          <w:sz w:val="19"/>
          <w:szCs w:val="19"/>
          <w:u w:val="single" w:color="auto"/>
          <w:color w:val="auto"/>
        </w:rPr>
        <w:t>Section 14.4</w:t>
      </w:r>
      <w:r>
        <w:rPr>
          <w:rFonts w:ascii="Arial" w:cs="Arial" w:eastAsia="Arial" w:hAnsi="Arial"/>
          <w:sz w:val="19"/>
          <w:szCs w:val="19"/>
          <w:color w:val="auto"/>
        </w:rPr>
        <w:t xml:space="preserve"> or a later date specified in or determinable in accordance with the Merger Agreement (</w:t>
      </w:r>
      <w:r>
        <w:rPr>
          <w:rFonts w:ascii="Arial" w:cs="Arial" w:eastAsia="Arial" w:hAnsi="Arial"/>
          <w:sz w:val="19"/>
          <w:szCs w:val="19"/>
          <w:i w:val="1"/>
          <w:iCs w:val="1"/>
          <w:color w:val="auto"/>
        </w:rPr>
        <w:t>provided</w:t>
      </w:r>
      <w:r>
        <w:rPr>
          <w:rFonts w:ascii="Arial" w:cs="Arial" w:eastAsia="Arial" w:hAnsi="Arial"/>
          <w:sz w:val="19"/>
          <w:szCs w:val="19"/>
          <w:color w:val="auto"/>
        </w:rPr>
        <w:t>, that if the effective time of the merger is to be later than the date of the filing of such certificate of merger, the effective time shall be fixed at a date or time certain at or prior to the time of the filing of such certificate of merger and stated therein); and</w:t>
      </w:r>
    </w:p>
    <w:p>
      <w:pPr>
        <w:spacing w:after="0" w:line="170" w:lineRule="exact"/>
        <w:rPr>
          <w:rFonts w:ascii="Arial" w:cs="Arial" w:eastAsia="Arial" w:hAnsi="Arial"/>
          <w:sz w:val="19"/>
          <w:szCs w:val="19"/>
          <w:color w:val="auto"/>
        </w:rPr>
      </w:pPr>
    </w:p>
    <w:p>
      <w:pPr>
        <w:ind w:right="280" w:firstLine="645"/>
        <w:spacing w:after="0" w:line="251" w:lineRule="auto"/>
        <w:tabs>
          <w:tab w:leader="none" w:pos="1291" w:val="left"/>
        </w:tabs>
        <w:numPr>
          <w:ilvl w:val="0"/>
          <w:numId w:val="85"/>
        </w:numPr>
        <w:rPr>
          <w:rFonts w:ascii="Arial" w:cs="Arial" w:eastAsia="Arial" w:hAnsi="Arial"/>
          <w:sz w:val="22"/>
          <w:szCs w:val="22"/>
          <w:color w:val="auto"/>
        </w:rPr>
      </w:pPr>
      <w:r>
        <w:rPr>
          <w:rFonts w:ascii="Arial" w:cs="Arial" w:eastAsia="Arial" w:hAnsi="Arial"/>
          <w:sz w:val="22"/>
          <w:szCs w:val="22"/>
          <w:color w:val="auto"/>
        </w:rPr>
        <w:t>such other provisions with respect to the proposed merger or consolidation that the Board of Directors and the General Partner determine to be necessary or appropriate.</w:t>
      </w:r>
    </w:p>
    <w:p>
      <w:pPr>
        <w:spacing w:after="0" w:line="200" w:lineRule="exact"/>
        <w:rPr>
          <w:sz w:val="20"/>
          <w:szCs w:val="20"/>
          <w:color w:val="auto"/>
        </w:rPr>
      </w:pPr>
    </w:p>
    <w:p>
      <w:pPr>
        <w:ind w:left="-660" w:right="380" w:firstLine="1305"/>
        <w:spacing w:after="0" w:line="251" w:lineRule="auto"/>
        <w:tabs>
          <w:tab w:leader="none" w:pos="1147" w:val="left"/>
        </w:tabs>
        <w:numPr>
          <w:ilvl w:val="0"/>
          <w:numId w:val="86"/>
        </w:numPr>
        <w:rPr>
          <w:rFonts w:ascii="Arial" w:cs="Arial" w:eastAsia="Arial" w:hAnsi="Arial"/>
          <w:sz w:val="22"/>
          <w:szCs w:val="22"/>
          <w:color w:val="auto"/>
        </w:rPr>
      </w:pPr>
      <w:r>
        <w:rPr>
          <w:rFonts w:ascii="Arial" w:cs="Arial" w:eastAsia="Arial" w:hAnsi="Arial"/>
          <w:sz w:val="22"/>
          <w:szCs w:val="22"/>
          <w:color w:val="auto"/>
        </w:rPr>
        <w:t>If the Board of Directors and the General Partner shall determine to consent to the conversion the Board of Directors and the General Partner shall approve the Plan of Conversion, which shall set forth:</w:t>
      </w:r>
    </w:p>
    <w:p>
      <w:pPr>
        <w:spacing w:after="0" w:line="200" w:lineRule="exact"/>
        <w:rPr>
          <w:sz w:val="20"/>
          <w:szCs w:val="20"/>
          <w:color w:val="auto"/>
        </w:rPr>
      </w:pPr>
    </w:p>
    <w:p>
      <w:pPr>
        <w:ind w:left="4940" w:right="4580" w:hanging="4295"/>
        <w:spacing w:after="0" w:line="430" w:lineRule="auto"/>
        <w:tabs>
          <w:tab w:leader="none" w:pos="1113" w:val="left"/>
        </w:tabs>
        <w:numPr>
          <w:ilvl w:val="0"/>
          <w:numId w:val="87"/>
        </w:numPr>
        <w:rPr>
          <w:rFonts w:ascii="Arial" w:cs="Arial" w:eastAsia="Arial" w:hAnsi="Arial"/>
          <w:sz w:val="22"/>
          <w:szCs w:val="22"/>
          <w:color w:val="auto"/>
        </w:rPr>
      </w:pPr>
      <w:r>
        <w:rPr>
          <w:rFonts w:ascii="Arial" w:cs="Arial" w:eastAsia="Arial" w:hAnsi="Arial"/>
          <w:sz w:val="22"/>
          <w:szCs w:val="22"/>
          <w:color w:val="auto"/>
        </w:rPr>
        <w:t>the name of the converting entity and the converted entity; 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3810</wp:posOffset>
            </wp:positionV>
            <wp:extent cx="7246620" cy="342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760"/>
          </w:cols>
          <w:pgMar w:left="900" w:top="402" w:right="239" w:bottom="1440" w:gutter="0" w:footer="0" w:header="0"/>
        </w:sectPr>
      </w:pPr>
    </w:p>
    <w:bookmarkStart w:id="86" w:name="page87"/>
    <w:bookmarkEnd w:id="86"/>
    <w:p>
      <w:pPr>
        <w:ind w:left="1840" w:hanging="535"/>
        <w:spacing w:after="0"/>
        <w:tabs>
          <w:tab w:leader="none" w:pos="1840" w:val="left"/>
        </w:tabs>
        <w:numPr>
          <w:ilvl w:val="0"/>
          <w:numId w:val="88"/>
        </w:numPr>
        <w:rPr>
          <w:rFonts w:ascii="Arial" w:cs="Arial" w:eastAsia="Arial" w:hAnsi="Arial"/>
          <w:sz w:val="19"/>
          <w:szCs w:val="19"/>
          <w:color w:val="auto"/>
        </w:rPr>
      </w:pPr>
      <w:r>
        <w:rPr>
          <w:rFonts w:ascii="Arial" w:cs="Arial" w:eastAsia="Arial" w:hAnsi="Arial"/>
          <w:sz w:val="19"/>
          <w:szCs w:val="19"/>
          <w:color w:val="auto"/>
        </w:rPr>
        <w:t>a statement that the Partnership is continuing its existence in the organizational form of the converted entity;</w:t>
      </w:r>
    </w:p>
    <w:p>
      <w:pPr>
        <w:spacing w:after="0" w:line="267" w:lineRule="exact"/>
        <w:rPr>
          <w:rFonts w:ascii="Arial" w:cs="Arial" w:eastAsia="Arial" w:hAnsi="Arial"/>
          <w:sz w:val="19"/>
          <w:szCs w:val="19"/>
          <w:color w:val="auto"/>
        </w:rPr>
      </w:pPr>
    </w:p>
    <w:p>
      <w:pPr>
        <w:ind w:left="660" w:right="80" w:firstLine="645"/>
        <w:spacing w:after="0" w:line="251" w:lineRule="auto"/>
        <w:tabs>
          <w:tab w:leader="none" w:pos="1903" w:val="left"/>
        </w:tabs>
        <w:numPr>
          <w:ilvl w:val="0"/>
          <w:numId w:val="88"/>
        </w:numPr>
        <w:rPr>
          <w:rFonts w:ascii="Arial" w:cs="Arial" w:eastAsia="Arial" w:hAnsi="Arial"/>
          <w:sz w:val="22"/>
          <w:szCs w:val="22"/>
          <w:color w:val="auto"/>
        </w:rPr>
      </w:pPr>
      <w:r>
        <w:rPr>
          <w:rFonts w:ascii="Arial" w:cs="Arial" w:eastAsia="Arial" w:hAnsi="Arial"/>
          <w:sz w:val="22"/>
          <w:szCs w:val="22"/>
          <w:color w:val="auto"/>
        </w:rPr>
        <w:t>a statement as to the type of entity that the converted entity is to be and the state or country under the laws of which the converted entity is to be incorporated, formed or organized;</w:t>
      </w:r>
    </w:p>
    <w:p>
      <w:pPr>
        <w:spacing w:after="0" w:line="200" w:lineRule="exact"/>
        <w:rPr>
          <w:rFonts w:ascii="Arial" w:cs="Arial" w:eastAsia="Arial" w:hAnsi="Arial"/>
          <w:sz w:val="22"/>
          <w:szCs w:val="22"/>
          <w:color w:val="auto"/>
        </w:rPr>
      </w:pPr>
    </w:p>
    <w:p>
      <w:pPr>
        <w:ind w:left="660" w:right="40" w:firstLine="645"/>
        <w:spacing w:after="0"/>
        <w:tabs>
          <w:tab w:leader="none" w:pos="1890" w:val="left"/>
        </w:tabs>
        <w:numPr>
          <w:ilvl w:val="0"/>
          <w:numId w:val="88"/>
        </w:numPr>
        <w:rPr>
          <w:rFonts w:ascii="Arial" w:cs="Arial" w:eastAsia="Arial" w:hAnsi="Arial"/>
          <w:sz w:val="22"/>
          <w:szCs w:val="22"/>
          <w:color w:val="auto"/>
        </w:rPr>
      </w:pPr>
      <w:r>
        <w:rPr>
          <w:rFonts w:ascii="Arial" w:cs="Arial" w:eastAsia="Arial" w:hAnsi="Arial"/>
          <w:sz w:val="22"/>
          <w:szCs w:val="22"/>
          <w:color w:val="auto"/>
        </w:rPr>
        <w:t>the manner and basis of exchanging or converting the equity securities of each constituent business entity for, or into, cash, property or interests, rights, securities or obligations of the converted entity or another entity, or for the cancellation of such equity securities;</w:t>
      </w:r>
    </w:p>
    <w:p>
      <w:pPr>
        <w:spacing w:after="0" w:line="213" w:lineRule="exact"/>
        <w:rPr>
          <w:rFonts w:ascii="Arial" w:cs="Arial" w:eastAsia="Arial" w:hAnsi="Arial"/>
          <w:sz w:val="22"/>
          <w:szCs w:val="22"/>
          <w:color w:val="auto"/>
        </w:rPr>
      </w:pPr>
    </w:p>
    <w:p>
      <w:pPr>
        <w:ind w:left="1880" w:hanging="575"/>
        <w:spacing w:after="0"/>
        <w:tabs>
          <w:tab w:leader="none" w:pos="1880" w:val="left"/>
        </w:tabs>
        <w:numPr>
          <w:ilvl w:val="0"/>
          <w:numId w:val="88"/>
        </w:numPr>
        <w:rPr>
          <w:rFonts w:ascii="Arial" w:cs="Arial" w:eastAsia="Arial" w:hAnsi="Arial"/>
          <w:sz w:val="22"/>
          <w:szCs w:val="22"/>
          <w:color w:val="auto"/>
        </w:rPr>
      </w:pPr>
      <w:r>
        <w:rPr>
          <w:rFonts w:ascii="Arial" w:cs="Arial" w:eastAsia="Arial" w:hAnsi="Arial"/>
          <w:sz w:val="22"/>
          <w:szCs w:val="22"/>
          <w:color w:val="auto"/>
        </w:rPr>
        <w:t>in an attachment or exhibit, the certificate of limited partnership of the Partnership;</w:t>
      </w:r>
    </w:p>
    <w:p>
      <w:pPr>
        <w:spacing w:after="0" w:line="233" w:lineRule="exact"/>
        <w:rPr>
          <w:rFonts w:ascii="Arial" w:cs="Arial" w:eastAsia="Arial" w:hAnsi="Arial"/>
          <w:sz w:val="22"/>
          <w:szCs w:val="22"/>
          <w:color w:val="auto"/>
        </w:rPr>
      </w:pPr>
    </w:p>
    <w:p>
      <w:pPr>
        <w:ind w:left="660" w:right="900" w:firstLine="645"/>
        <w:spacing w:after="0" w:line="251" w:lineRule="auto"/>
        <w:tabs>
          <w:tab w:leader="none" w:pos="1890" w:val="left"/>
        </w:tabs>
        <w:numPr>
          <w:ilvl w:val="0"/>
          <w:numId w:val="88"/>
        </w:numPr>
        <w:rPr>
          <w:rFonts w:ascii="Arial" w:cs="Arial" w:eastAsia="Arial" w:hAnsi="Arial"/>
          <w:sz w:val="22"/>
          <w:szCs w:val="22"/>
          <w:color w:val="auto"/>
        </w:rPr>
      </w:pPr>
      <w:r>
        <w:rPr>
          <w:rFonts w:ascii="Arial" w:cs="Arial" w:eastAsia="Arial" w:hAnsi="Arial"/>
          <w:sz w:val="22"/>
          <w:szCs w:val="22"/>
          <w:color w:val="auto"/>
        </w:rPr>
        <w:t>in an attachment or exhibit, the certificate of limited partnership, certificate of formation, articles of incorporation, or other organizational documents of the converted entity;</w:t>
      </w:r>
    </w:p>
    <w:p>
      <w:pPr>
        <w:spacing w:after="0" w:line="200" w:lineRule="exact"/>
        <w:rPr>
          <w:rFonts w:ascii="Arial" w:cs="Arial" w:eastAsia="Arial" w:hAnsi="Arial"/>
          <w:sz w:val="22"/>
          <w:szCs w:val="22"/>
          <w:color w:val="auto"/>
        </w:rPr>
      </w:pPr>
    </w:p>
    <w:p>
      <w:pPr>
        <w:ind w:left="660" w:firstLine="645"/>
        <w:spacing w:after="0" w:line="238" w:lineRule="auto"/>
        <w:tabs>
          <w:tab w:leader="none" w:pos="1951" w:val="left"/>
        </w:tabs>
        <w:numPr>
          <w:ilvl w:val="0"/>
          <w:numId w:val="88"/>
        </w:numPr>
        <w:rPr>
          <w:rFonts w:ascii="Arial" w:cs="Arial" w:eastAsia="Arial" w:hAnsi="Arial"/>
          <w:sz w:val="22"/>
          <w:szCs w:val="22"/>
          <w:color w:val="auto"/>
        </w:rPr>
      </w:pPr>
      <w:r>
        <w:rPr>
          <w:rFonts w:ascii="Arial" w:cs="Arial" w:eastAsia="Arial" w:hAnsi="Arial"/>
          <w:sz w:val="22"/>
          <w:szCs w:val="22"/>
          <w:color w:val="auto"/>
        </w:rPr>
        <w:t>the effective time of the conversion, which may be the date of the filing of the articles of conversion or a later date specified in or determinable in accordance with the Plan of Conversion (</w:t>
      </w:r>
      <w:r>
        <w:rPr>
          <w:rFonts w:ascii="Arial" w:cs="Arial" w:eastAsia="Arial" w:hAnsi="Arial"/>
          <w:sz w:val="22"/>
          <w:szCs w:val="22"/>
          <w:i w:val="1"/>
          <w:iCs w:val="1"/>
          <w:color w:val="auto"/>
        </w:rPr>
        <w:t>provided</w:t>
      </w:r>
      <w:r>
        <w:rPr>
          <w:rFonts w:ascii="Arial" w:cs="Arial" w:eastAsia="Arial" w:hAnsi="Arial"/>
          <w:sz w:val="22"/>
          <w:szCs w:val="22"/>
          <w:color w:val="auto"/>
        </w:rPr>
        <w:t>, that if the effective time of the conversion is to be later than the date of the filing of such articles of conversion, the effective time shall be fixed at a date or time certain and stated in such articles of conversion); and</w:t>
      </w:r>
    </w:p>
    <w:p>
      <w:pPr>
        <w:spacing w:after="0" w:line="212" w:lineRule="exact"/>
        <w:rPr>
          <w:rFonts w:ascii="Arial" w:cs="Arial" w:eastAsia="Arial" w:hAnsi="Arial"/>
          <w:sz w:val="22"/>
          <w:szCs w:val="22"/>
          <w:color w:val="auto"/>
        </w:rPr>
      </w:pPr>
    </w:p>
    <w:p>
      <w:pPr>
        <w:ind w:left="660" w:right="640" w:firstLine="645"/>
        <w:spacing w:after="0" w:line="251" w:lineRule="auto"/>
        <w:tabs>
          <w:tab w:leader="none" w:pos="2011" w:val="left"/>
        </w:tabs>
        <w:numPr>
          <w:ilvl w:val="0"/>
          <w:numId w:val="88"/>
        </w:numPr>
        <w:rPr>
          <w:rFonts w:ascii="Arial" w:cs="Arial" w:eastAsia="Arial" w:hAnsi="Arial"/>
          <w:sz w:val="22"/>
          <w:szCs w:val="22"/>
          <w:color w:val="auto"/>
        </w:rPr>
      </w:pPr>
      <w:r>
        <w:rPr>
          <w:rFonts w:ascii="Arial" w:cs="Arial" w:eastAsia="Arial" w:hAnsi="Arial"/>
          <w:sz w:val="22"/>
          <w:szCs w:val="22"/>
          <w:color w:val="auto"/>
        </w:rPr>
        <w:t>such other provisions with respect to the proposed conversion the Board of Directors and the General Partner determines to be necessary or appropriate.</w:t>
      </w:r>
    </w:p>
    <w:p>
      <w:pPr>
        <w:spacing w:after="0" w:line="200" w:lineRule="exact"/>
        <w:rPr>
          <w:sz w:val="20"/>
          <w:szCs w:val="20"/>
          <w:color w:val="auto"/>
        </w:rPr>
      </w:pPr>
    </w:p>
    <w:p>
      <w:pPr>
        <w:ind w:right="280" w:firstLine="1297"/>
        <w:spacing w:after="0" w:line="247" w:lineRule="auto"/>
        <w:rPr>
          <w:sz w:val="20"/>
          <w:szCs w:val="20"/>
          <w:color w:val="auto"/>
        </w:rPr>
      </w:pPr>
      <w:r>
        <w:rPr>
          <w:rFonts w:ascii="Arial" w:cs="Arial" w:eastAsia="Arial" w:hAnsi="Arial"/>
          <w:sz w:val="21"/>
          <w:szCs w:val="21"/>
          <w:color w:val="auto"/>
        </w:rPr>
        <w:t xml:space="preserve">Section 14.3. </w:t>
      </w:r>
      <w:r>
        <w:rPr>
          <w:rFonts w:ascii="Arial" w:cs="Arial" w:eastAsia="Arial" w:hAnsi="Arial"/>
          <w:sz w:val="21"/>
          <w:szCs w:val="21"/>
          <w:i w:val="1"/>
          <w:iCs w:val="1"/>
          <w:color w:val="auto"/>
        </w:rPr>
        <w:t>Approval by Limited Partners of Merger, Consolidation or Conversion</w:t>
      </w:r>
      <w:r>
        <w:rPr>
          <w:rFonts w:ascii="Arial" w:cs="Arial" w:eastAsia="Arial" w:hAnsi="Arial"/>
          <w:sz w:val="21"/>
          <w:szCs w:val="21"/>
          <w:color w:val="auto"/>
        </w:rPr>
        <w:t xml:space="preserve">. (a) Except as provided in </w:t>
      </w:r>
      <w:r>
        <w:rPr>
          <w:rFonts w:ascii="Arial" w:cs="Arial" w:eastAsia="Arial" w:hAnsi="Arial"/>
          <w:sz w:val="21"/>
          <w:szCs w:val="21"/>
          <w:u w:val="single" w:color="auto"/>
          <w:color w:val="auto"/>
        </w:rPr>
        <w:t>Section 14.3(d)</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14.3(e)</w:t>
      </w:r>
      <w:r>
        <w:rPr>
          <w:rFonts w:ascii="Arial" w:cs="Arial" w:eastAsia="Arial" w:hAnsi="Arial"/>
          <w:sz w:val="21"/>
          <w:szCs w:val="21"/>
          <w:color w:val="auto"/>
        </w:rPr>
        <w:t xml:space="preserve">, the Board of Directors, upon its and the General Partner’s approval of the Merger Agreement or the Plan of Conversion, as the case may be, shall direct that the Merger Agreement or the Plan of Conversion and the merger, consolidation or conversion contemplated thereby, as applicable, be submitted to a vote of Limited Partners, whether at a special meeting or by written consent, in either case in accordance with the requirements of </w:t>
      </w:r>
      <w:r>
        <w:rPr>
          <w:rFonts w:ascii="Arial" w:cs="Arial" w:eastAsia="Arial" w:hAnsi="Arial"/>
          <w:sz w:val="21"/>
          <w:szCs w:val="21"/>
          <w:u w:val="single" w:color="auto"/>
          <w:color w:val="auto"/>
        </w:rPr>
        <w:t>Article XIII</w:t>
      </w:r>
      <w:r>
        <w:rPr>
          <w:rFonts w:ascii="Arial" w:cs="Arial" w:eastAsia="Arial" w:hAnsi="Arial"/>
          <w:sz w:val="21"/>
          <w:szCs w:val="21"/>
          <w:color w:val="auto"/>
        </w:rPr>
        <w:t>. A copy or a summary of the Merger Agreement or the Plan of Conversion, as the case may be, shall be included in or enclosed with the notice of a special meeting or the written consent.</w:t>
      </w:r>
    </w:p>
    <w:p>
      <w:pPr>
        <w:spacing w:after="0" w:line="205" w:lineRule="exact"/>
        <w:rPr>
          <w:sz w:val="20"/>
          <w:szCs w:val="20"/>
          <w:color w:val="auto"/>
        </w:rPr>
      </w:pPr>
    </w:p>
    <w:p>
      <w:pPr>
        <w:ind w:right="220" w:firstLine="1305"/>
        <w:spacing w:after="0" w:line="274" w:lineRule="auto"/>
        <w:tabs>
          <w:tab w:leader="none" w:pos="1819" w:val="left"/>
        </w:tabs>
        <w:numPr>
          <w:ilvl w:val="0"/>
          <w:numId w:val="89"/>
        </w:numPr>
        <w:rPr>
          <w:rFonts w:ascii="Arial" w:cs="Arial" w:eastAsia="Arial" w:hAnsi="Arial"/>
          <w:sz w:val="21"/>
          <w:szCs w:val="21"/>
          <w:color w:val="auto"/>
        </w:rPr>
      </w:pPr>
      <w:r>
        <w:rPr>
          <w:rFonts w:ascii="Arial" w:cs="Arial" w:eastAsia="Arial" w:hAnsi="Arial"/>
          <w:sz w:val="21"/>
          <w:szCs w:val="21"/>
          <w:color w:val="auto"/>
        </w:rPr>
        <w:t xml:space="preserve">Except as provided in </w:t>
      </w:r>
      <w:r>
        <w:rPr>
          <w:rFonts w:ascii="Arial" w:cs="Arial" w:eastAsia="Arial" w:hAnsi="Arial"/>
          <w:sz w:val="21"/>
          <w:szCs w:val="21"/>
          <w:u w:val="single" w:color="auto"/>
          <w:color w:val="auto"/>
        </w:rPr>
        <w:t>Section 14.3(d)</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14.3(e)</w:t>
      </w:r>
      <w:r>
        <w:rPr>
          <w:rFonts w:ascii="Arial" w:cs="Arial" w:eastAsia="Arial" w:hAnsi="Arial"/>
          <w:sz w:val="21"/>
          <w:szCs w:val="21"/>
          <w:color w:val="auto"/>
        </w:rPr>
        <w:t>, the Merger Agreement or Plan of Conversion, as the case may be, shall be approved upon receiving the affirmative vote or consent of the holders of a Unit Majority.</w:t>
      </w:r>
    </w:p>
    <w:p>
      <w:pPr>
        <w:spacing w:after="0" w:line="177" w:lineRule="exact"/>
        <w:rPr>
          <w:rFonts w:ascii="Arial" w:cs="Arial" w:eastAsia="Arial" w:hAnsi="Arial"/>
          <w:sz w:val="21"/>
          <w:szCs w:val="21"/>
          <w:color w:val="auto"/>
        </w:rPr>
      </w:pPr>
    </w:p>
    <w:p>
      <w:pPr>
        <w:ind w:right="20" w:firstLine="1305"/>
        <w:spacing w:after="0" w:line="238" w:lineRule="auto"/>
        <w:tabs>
          <w:tab w:leader="none" w:pos="1807" w:val="left"/>
        </w:tabs>
        <w:numPr>
          <w:ilvl w:val="0"/>
          <w:numId w:val="89"/>
        </w:numPr>
        <w:rPr>
          <w:rFonts w:ascii="Arial" w:cs="Arial" w:eastAsia="Arial" w:hAnsi="Arial"/>
          <w:sz w:val="22"/>
          <w:szCs w:val="22"/>
          <w:color w:val="auto"/>
        </w:rPr>
      </w:pPr>
      <w:r>
        <w:rPr>
          <w:rFonts w:ascii="Arial" w:cs="Arial" w:eastAsia="Arial" w:hAnsi="Arial"/>
          <w:sz w:val="22"/>
          <w:szCs w:val="22"/>
          <w:color w:val="auto"/>
        </w:rPr>
        <w:t xml:space="preserve">Except as provided in </w:t>
      </w:r>
      <w:r>
        <w:rPr>
          <w:rFonts w:ascii="Arial" w:cs="Arial" w:eastAsia="Arial" w:hAnsi="Arial"/>
          <w:sz w:val="22"/>
          <w:szCs w:val="22"/>
          <w:u w:val="single" w:color="auto"/>
          <w:color w:val="auto"/>
        </w:rPr>
        <w:t>Section 14.3(d)</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14.3(e)</w:t>
      </w:r>
      <w:r>
        <w:rPr>
          <w:rFonts w:ascii="Arial" w:cs="Arial" w:eastAsia="Arial" w:hAnsi="Arial"/>
          <w:sz w:val="22"/>
          <w:szCs w:val="22"/>
          <w:color w:val="auto"/>
        </w:rPr>
        <w:t xml:space="preserve">, after such approval by vote or consent of the Limited Partners, and at any time prior to the filing of the certificate of merger or certificate of conversion pursuant to </w:t>
      </w:r>
      <w:r>
        <w:rPr>
          <w:rFonts w:ascii="Arial" w:cs="Arial" w:eastAsia="Arial" w:hAnsi="Arial"/>
          <w:sz w:val="22"/>
          <w:szCs w:val="22"/>
          <w:u w:val="single" w:color="auto"/>
          <w:color w:val="auto"/>
        </w:rPr>
        <w:t>Section 14.4</w:t>
      </w:r>
      <w:r>
        <w:rPr>
          <w:rFonts w:ascii="Arial" w:cs="Arial" w:eastAsia="Arial" w:hAnsi="Arial"/>
          <w:sz w:val="22"/>
          <w:szCs w:val="22"/>
          <w:color w:val="auto"/>
        </w:rPr>
        <w:t>, the merger, consolidation or conversion may be abandoned pursuant to provisions therefor, if any, set forth in the Merger Agreement or Plan of Conversion, as the case may be.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402" w:right="259" w:bottom="1440" w:gutter="0" w:footer="0" w:header="0"/>
        </w:sectPr>
      </w:pPr>
    </w:p>
    <w:bookmarkStart w:id="87" w:name="page88"/>
    <w:bookmarkEnd w:id="87"/>
    <w:p>
      <w:pPr>
        <w:ind w:firstLine="1305"/>
        <w:spacing w:after="0" w:line="274" w:lineRule="auto"/>
        <w:tabs>
          <w:tab w:leader="none" w:pos="1819" w:val="left"/>
        </w:tabs>
        <w:numPr>
          <w:ilvl w:val="0"/>
          <w:numId w:val="90"/>
        </w:numPr>
        <w:rPr>
          <w:rFonts w:ascii="Arial" w:cs="Arial" w:eastAsia="Arial" w:hAnsi="Arial"/>
          <w:sz w:val="19"/>
          <w:szCs w:val="19"/>
          <w:color w:val="auto"/>
        </w:rPr>
      </w:pPr>
      <w:r>
        <w:rPr>
          <w:rFonts w:ascii="Arial" w:cs="Arial" w:eastAsia="Arial" w:hAnsi="Arial"/>
          <w:sz w:val="19"/>
          <w:szCs w:val="19"/>
          <w:color w:val="auto"/>
        </w:rPr>
        <w:t xml:space="preserve">Notwithstanding anything else contained in this </w:t>
      </w:r>
      <w:r>
        <w:rPr>
          <w:rFonts w:ascii="Arial" w:cs="Arial" w:eastAsia="Arial" w:hAnsi="Arial"/>
          <w:sz w:val="19"/>
          <w:szCs w:val="19"/>
          <w:u w:val="single" w:color="auto"/>
          <w:color w:val="auto"/>
        </w:rPr>
        <w:t>Article XIV</w:t>
      </w:r>
      <w:r>
        <w:rPr>
          <w:rFonts w:ascii="Arial" w:cs="Arial" w:eastAsia="Arial" w:hAnsi="Arial"/>
          <w:sz w:val="19"/>
          <w:szCs w:val="19"/>
          <w:color w:val="auto"/>
        </w:rPr>
        <w:t xml:space="preserve"> or in this Agreement, the Board of Directors is permitted, without Limited Partner approval, to convert the Partnership or any Group Member into a new limited liability entity, to merge the Partnership or any Group Member into, or convey all of the Partnership’s assets to, another limited liability entity which shall be newly formed and shall have no assets, liabilities or operations at the time of such conversion, merger or conveyance other than those it receives from the Partnership or other Group Member if (i) the Board of Directors has received an Opinion of Counsel that the conversion, merger or conveyance, as the case may be, would not result in the loss of the limited liability of any Limited Partner, (ii) the sole purpose of such conversion, merger or conveyance is to effect a mere change in the legal form of the Partnership into another limited liability entity and (iii) the governing instruments of the new entity provide the Limited Partners, the General Partner and the Board of Directors with the same rights and obligations as are herein contained.</w:t>
      </w:r>
    </w:p>
    <w:p>
      <w:pPr>
        <w:spacing w:after="0" w:line="185" w:lineRule="exact"/>
        <w:rPr>
          <w:rFonts w:ascii="Arial" w:cs="Arial" w:eastAsia="Arial" w:hAnsi="Arial"/>
          <w:sz w:val="19"/>
          <w:szCs w:val="19"/>
          <w:color w:val="auto"/>
        </w:rPr>
      </w:pPr>
    </w:p>
    <w:p>
      <w:pPr>
        <w:ind w:firstLine="1305"/>
        <w:spacing w:after="0" w:line="245" w:lineRule="auto"/>
        <w:tabs>
          <w:tab w:leader="none" w:pos="1795" w:val="left"/>
        </w:tabs>
        <w:numPr>
          <w:ilvl w:val="0"/>
          <w:numId w:val="90"/>
        </w:numPr>
        <w:rPr>
          <w:rFonts w:ascii="Arial" w:cs="Arial" w:eastAsia="Arial" w:hAnsi="Arial"/>
          <w:sz w:val="21"/>
          <w:szCs w:val="21"/>
          <w:color w:val="auto"/>
        </w:rPr>
      </w:pPr>
      <w:r>
        <w:rPr>
          <w:rFonts w:ascii="Arial" w:cs="Arial" w:eastAsia="Arial" w:hAnsi="Arial"/>
          <w:sz w:val="21"/>
          <w:szCs w:val="21"/>
          <w:color w:val="auto"/>
        </w:rPr>
        <w:t xml:space="preserve">Additionally, notwithstanding anything else contained in this </w:t>
      </w:r>
      <w:r>
        <w:rPr>
          <w:rFonts w:ascii="Arial" w:cs="Arial" w:eastAsia="Arial" w:hAnsi="Arial"/>
          <w:sz w:val="21"/>
          <w:szCs w:val="21"/>
          <w:u w:val="single" w:color="auto"/>
          <w:color w:val="auto"/>
        </w:rPr>
        <w:t>Article XIV</w:t>
      </w:r>
      <w:r>
        <w:rPr>
          <w:rFonts w:ascii="Arial" w:cs="Arial" w:eastAsia="Arial" w:hAnsi="Arial"/>
          <w:sz w:val="21"/>
          <w:szCs w:val="21"/>
          <w:color w:val="auto"/>
        </w:rPr>
        <w:t xml:space="preserve"> or in this Agreement, the Board of Directors, with the prior consent of the General Partner, is permitted, without Limited Partner approval, to merge or consolidate the Partnership with or into another entity if (i) the Board of Directors has received an Opinion of Counsel that the merger or consolidation, as the case may be, would not result in the loss of the limited liability of any Limited Partner, (ii) the merger or consolidation would not result in an amendment to this Agreement, other than any amendments that could be adopted pursuant to </w:t>
      </w:r>
      <w:r>
        <w:rPr>
          <w:rFonts w:ascii="Arial" w:cs="Arial" w:eastAsia="Arial" w:hAnsi="Arial"/>
          <w:sz w:val="21"/>
          <w:szCs w:val="21"/>
          <w:u w:val="single" w:color="auto"/>
          <w:color w:val="auto"/>
        </w:rPr>
        <w:t>Section 13.1</w:t>
      </w:r>
      <w:r>
        <w:rPr>
          <w:rFonts w:ascii="Arial" w:cs="Arial" w:eastAsia="Arial" w:hAnsi="Arial"/>
          <w:sz w:val="21"/>
          <w:szCs w:val="21"/>
          <w:color w:val="auto"/>
        </w:rPr>
        <w:t>, (iii) the Partnership is the Surviving Business Entity in such merger or consolidation, (iv) each Unit outstanding immediately prior to the effective date of the merger or consolidation is to be an identical Unit of the Partnership after the effective date of the merger or consolidation, and (v) the number of Partnership Interests to be issued by the Partnership in such merger or consolidation does not exceed 20% of the Partnership Interests Outstanding immediately prior to the effective date of such merger or consolidation.</w:t>
      </w:r>
    </w:p>
    <w:p>
      <w:pPr>
        <w:spacing w:after="0" w:line="209" w:lineRule="exact"/>
        <w:rPr>
          <w:sz w:val="20"/>
          <w:szCs w:val="20"/>
          <w:color w:val="auto"/>
        </w:rPr>
      </w:pPr>
    </w:p>
    <w:p>
      <w:pPr>
        <w:ind w:right="220" w:firstLine="1297"/>
        <w:spacing w:after="0" w:line="297" w:lineRule="auto"/>
        <w:rPr>
          <w:sz w:val="20"/>
          <w:szCs w:val="20"/>
          <w:color w:val="auto"/>
        </w:rPr>
      </w:pPr>
      <w:r>
        <w:rPr>
          <w:rFonts w:ascii="Arial" w:cs="Arial" w:eastAsia="Arial" w:hAnsi="Arial"/>
          <w:sz w:val="19"/>
          <w:szCs w:val="19"/>
          <w:color w:val="auto"/>
        </w:rPr>
        <w:t xml:space="preserve">Section 14.4. </w:t>
      </w:r>
      <w:r>
        <w:rPr>
          <w:rFonts w:ascii="Arial" w:cs="Arial" w:eastAsia="Arial" w:hAnsi="Arial"/>
          <w:sz w:val="19"/>
          <w:szCs w:val="19"/>
          <w:i w:val="1"/>
          <w:iCs w:val="1"/>
          <w:color w:val="auto"/>
        </w:rPr>
        <w:t>Certificate of Merger or Conversion</w:t>
      </w:r>
      <w:r>
        <w:rPr>
          <w:rFonts w:ascii="Arial" w:cs="Arial" w:eastAsia="Arial" w:hAnsi="Arial"/>
          <w:sz w:val="19"/>
          <w:szCs w:val="19"/>
          <w:color w:val="auto"/>
        </w:rPr>
        <w:t>. Upon the required approval by the Board of Directors, the General Partner and the Unitholders of a Merger Agreement or Plan of Conversion, as the case may be, a certificate of merger or conversion, as applicable, shall be executed and filed in conformity with the requirements of the Marshall Islands Act.</w:t>
      </w:r>
    </w:p>
    <w:p>
      <w:pPr>
        <w:spacing w:after="0" w:line="161" w:lineRule="exact"/>
        <w:rPr>
          <w:sz w:val="20"/>
          <w:szCs w:val="20"/>
          <w:color w:val="auto"/>
        </w:rPr>
      </w:pPr>
    </w:p>
    <w:p>
      <w:pPr>
        <w:ind w:right="160" w:firstLine="1297"/>
        <w:spacing w:after="0" w:line="236" w:lineRule="auto"/>
        <w:rPr>
          <w:sz w:val="20"/>
          <w:szCs w:val="20"/>
          <w:color w:val="auto"/>
        </w:rPr>
      </w:pPr>
      <w:r>
        <w:rPr>
          <w:rFonts w:ascii="Arial" w:cs="Arial" w:eastAsia="Arial" w:hAnsi="Arial"/>
          <w:sz w:val="22"/>
          <w:szCs w:val="22"/>
          <w:color w:val="auto"/>
        </w:rPr>
        <w:t xml:space="preserve">Section 14.5. </w:t>
      </w:r>
      <w:r>
        <w:rPr>
          <w:rFonts w:ascii="Arial" w:cs="Arial" w:eastAsia="Arial" w:hAnsi="Arial"/>
          <w:sz w:val="22"/>
          <w:szCs w:val="22"/>
          <w:i w:val="1"/>
          <w:iCs w:val="1"/>
          <w:color w:val="auto"/>
        </w:rPr>
        <w:t>Amendment of Partnership Agreement</w:t>
      </w:r>
      <w:r>
        <w:rPr>
          <w:rFonts w:ascii="Arial" w:cs="Arial" w:eastAsia="Arial" w:hAnsi="Arial"/>
          <w:sz w:val="22"/>
          <w:szCs w:val="22"/>
          <w:color w:val="auto"/>
        </w:rPr>
        <w:t xml:space="preserve">. Pursuant to Section 20(2) of the Marshall Islands Act, an agreement of merger or consolidation approved in accordance with Section 20(2) of the Marshall Islands Act may (a) effect any amendment to this Agreement or (b) effect the adoption of a new partnership agreement for a limited partnership if it is the Surviving Business Entity. Any such amendment or adoption made pursuant to this </w:t>
      </w:r>
      <w:r>
        <w:rPr>
          <w:rFonts w:ascii="Arial" w:cs="Arial" w:eastAsia="Arial" w:hAnsi="Arial"/>
          <w:sz w:val="22"/>
          <w:szCs w:val="22"/>
          <w:u w:val="single" w:color="auto"/>
          <w:color w:val="auto"/>
        </w:rPr>
        <w:t>Section 14.5</w:t>
      </w:r>
      <w:r>
        <w:rPr>
          <w:rFonts w:ascii="Arial" w:cs="Arial" w:eastAsia="Arial" w:hAnsi="Arial"/>
          <w:sz w:val="22"/>
          <w:szCs w:val="22"/>
          <w:color w:val="auto"/>
        </w:rPr>
        <w:t xml:space="preserve"> shall be effective at the effective time or date of the merger or consolidation.</w:t>
      </w:r>
    </w:p>
    <w:p>
      <w:pPr>
        <w:spacing w:after="0" w:line="215" w:lineRule="exact"/>
        <w:rPr>
          <w:sz w:val="20"/>
          <w:szCs w:val="20"/>
          <w:color w:val="auto"/>
        </w:rPr>
      </w:pPr>
    </w:p>
    <w:p>
      <w:pPr>
        <w:ind w:left="1300"/>
        <w:spacing w:after="0"/>
        <w:tabs>
          <w:tab w:leader="none" w:pos="2680" w:val="left"/>
        </w:tabs>
        <w:rPr>
          <w:sz w:val="20"/>
          <w:szCs w:val="20"/>
          <w:color w:val="auto"/>
        </w:rPr>
      </w:pPr>
      <w:r>
        <w:rPr>
          <w:rFonts w:ascii="Arial" w:cs="Arial" w:eastAsia="Arial" w:hAnsi="Arial"/>
          <w:sz w:val="22"/>
          <w:szCs w:val="22"/>
          <w:color w:val="auto"/>
        </w:rPr>
        <w:t>Section 14.6.</w:t>
      </w:r>
      <w:r>
        <w:rPr>
          <w:sz w:val="20"/>
          <w:szCs w:val="20"/>
          <w:color w:val="auto"/>
        </w:rPr>
        <w:tab/>
      </w:r>
      <w:r>
        <w:rPr>
          <w:rFonts w:ascii="Arial" w:cs="Arial" w:eastAsia="Arial" w:hAnsi="Arial"/>
          <w:sz w:val="19"/>
          <w:szCs w:val="19"/>
          <w:i w:val="1"/>
          <w:iCs w:val="1"/>
          <w:color w:val="auto"/>
        </w:rPr>
        <w:t>Effect of Merger, Consolidation or Conversion</w:t>
      </w:r>
      <w:r>
        <w:rPr>
          <w:rFonts w:ascii="Arial" w:cs="Arial" w:eastAsia="Arial" w:hAnsi="Arial"/>
          <w:sz w:val="19"/>
          <w:szCs w:val="19"/>
          <w:color w:val="auto"/>
        </w:rPr>
        <w:t>. (a) At the effective time of the certificate of merger:</w:t>
      </w:r>
    </w:p>
    <w:p>
      <w:pPr>
        <w:spacing w:after="0" w:line="233" w:lineRule="exact"/>
        <w:rPr>
          <w:sz w:val="20"/>
          <w:szCs w:val="20"/>
          <w:color w:val="auto"/>
        </w:rPr>
      </w:pPr>
    </w:p>
    <w:p>
      <w:pPr>
        <w:ind w:left="660" w:right="80" w:firstLine="645"/>
        <w:spacing w:after="0" w:line="297" w:lineRule="auto"/>
        <w:tabs>
          <w:tab w:leader="none" w:pos="1782" w:val="left"/>
        </w:tabs>
        <w:numPr>
          <w:ilvl w:val="0"/>
          <w:numId w:val="91"/>
        </w:numPr>
        <w:rPr>
          <w:rFonts w:ascii="Arial" w:cs="Arial" w:eastAsia="Arial" w:hAnsi="Arial"/>
          <w:sz w:val="19"/>
          <w:szCs w:val="19"/>
          <w:color w:val="auto"/>
        </w:rPr>
      </w:pPr>
      <w:r>
        <w:rPr>
          <w:rFonts w:ascii="Arial" w:cs="Arial" w:eastAsia="Arial" w:hAnsi="Arial"/>
          <w:sz w:val="19"/>
          <w:szCs w:val="19"/>
          <w:color w:val="auto"/>
        </w:rPr>
        <w:t>all of the rights, privileges and powers of each of the business entities that has merged or consolidated, and all property, real, personal and mixed, and all debts due to any of those business entities and all other things and causes of action belonging to each of those business entities, shall be vested in the Surviving Business Entity and after</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60"/>
          </w:cols>
          <w:pgMar w:left="240" w:top="402" w:right="299" w:bottom="1440" w:gutter="0" w:footer="0" w:header="0"/>
        </w:sectPr>
      </w:pPr>
    </w:p>
    <w:bookmarkStart w:id="88" w:name="page89"/>
    <w:bookmarkEnd w:id="88"/>
    <w:p>
      <w:pPr>
        <w:ind w:left="660" w:right="1000"/>
        <w:spacing w:after="0" w:line="251" w:lineRule="auto"/>
        <w:rPr>
          <w:sz w:val="20"/>
          <w:szCs w:val="20"/>
          <w:color w:val="auto"/>
        </w:rPr>
      </w:pPr>
      <w:r>
        <w:rPr>
          <w:rFonts w:ascii="Arial" w:cs="Arial" w:eastAsia="Arial" w:hAnsi="Arial"/>
          <w:sz w:val="22"/>
          <w:szCs w:val="22"/>
          <w:color w:val="auto"/>
        </w:rPr>
        <w:t>the merger or consolidation shall be the property of the Surviving Business Entity to the extent they were of each constituent business entity;</w:t>
      </w:r>
    </w:p>
    <w:p>
      <w:pPr>
        <w:spacing w:after="0" w:line="200" w:lineRule="exact"/>
        <w:rPr>
          <w:sz w:val="20"/>
          <w:szCs w:val="20"/>
          <w:color w:val="auto"/>
        </w:rPr>
      </w:pPr>
    </w:p>
    <w:p>
      <w:pPr>
        <w:ind w:left="660" w:right="120" w:firstLine="645"/>
        <w:spacing w:after="0" w:line="251" w:lineRule="auto"/>
        <w:tabs>
          <w:tab w:leader="none" w:pos="1842" w:val="left"/>
        </w:tabs>
        <w:numPr>
          <w:ilvl w:val="0"/>
          <w:numId w:val="92"/>
        </w:numPr>
        <w:rPr>
          <w:rFonts w:ascii="Arial" w:cs="Arial" w:eastAsia="Arial" w:hAnsi="Arial"/>
          <w:sz w:val="22"/>
          <w:szCs w:val="22"/>
          <w:color w:val="auto"/>
        </w:rPr>
      </w:pPr>
      <w:r>
        <w:rPr>
          <w:rFonts w:ascii="Arial" w:cs="Arial" w:eastAsia="Arial" w:hAnsi="Arial"/>
          <w:sz w:val="22"/>
          <w:szCs w:val="22"/>
          <w:color w:val="auto"/>
        </w:rPr>
        <w:t>the title to any real property vested by deed or otherwise in any of those constituent business entities shall not revert and is not in any way impaired because of the merger or consolidation;</w:t>
      </w:r>
    </w:p>
    <w:p>
      <w:pPr>
        <w:spacing w:after="0" w:line="200" w:lineRule="exact"/>
        <w:rPr>
          <w:rFonts w:ascii="Arial" w:cs="Arial" w:eastAsia="Arial" w:hAnsi="Arial"/>
          <w:sz w:val="22"/>
          <w:szCs w:val="22"/>
          <w:color w:val="auto"/>
        </w:rPr>
      </w:pPr>
    </w:p>
    <w:p>
      <w:pPr>
        <w:ind w:left="660" w:right="520" w:firstLine="645"/>
        <w:spacing w:after="0" w:line="251" w:lineRule="auto"/>
        <w:tabs>
          <w:tab w:leader="none" w:pos="1848" w:val="left"/>
        </w:tabs>
        <w:numPr>
          <w:ilvl w:val="0"/>
          <w:numId w:val="92"/>
        </w:numPr>
        <w:rPr>
          <w:rFonts w:ascii="Arial" w:cs="Arial" w:eastAsia="Arial" w:hAnsi="Arial"/>
          <w:sz w:val="22"/>
          <w:szCs w:val="22"/>
          <w:color w:val="auto"/>
        </w:rPr>
      </w:pPr>
      <w:r>
        <w:rPr>
          <w:rFonts w:ascii="Arial" w:cs="Arial" w:eastAsia="Arial" w:hAnsi="Arial"/>
          <w:sz w:val="22"/>
          <w:szCs w:val="22"/>
          <w:color w:val="auto"/>
        </w:rPr>
        <w:t>all rights of creditors and all liens on or security interests in property of any of those constituent business entities shall be preserved unimpaired; and</w:t>
      </w:r>
    </w:p>
    <w:p>
      <w:pPr>
        <w:spacing w:after="0" w:line="200" w:lineRule="exact"/>
        <w:rPr>
          <w:rFonts w:ascii="Arial" w:cs="Arial" w:eastAsia="Arial" w:hAnsi="Arial"/>
          <w:sz w:val="22"/>
          <w:szCs w:val="22"/>
          <w:color w:val="auto"/>
        </w:rPr>
      </w:pPr>
    </w:p>
    <w:p>
      <w:pPr>
        <w:ind w:left="660" w:right="20" w:firstLine="645"/>
        <w:spacing w:after="0"/>
        <w:tabs>
          <w:tab w:leader="none" w:pos="1890" w:val="left"/>
        </w:tabs>
        <w:numPr>
          <w:ilvl w:val="0"/>
          <w:numId w:val="92"/>
        </w:numPr>
        <w:rPr>
          <w:rFonts w:ascii="Arial" w:cs="Arial" w:eastAsia="Arial" w:hAnsi="Arial"/>
          <w:sz w:val="22"/>
          <w:szCs w:val="22"/>
          <w:color w:val="auto"/>
        </w:rPr>
      </w:pPr>
      <w:r>
        <w:rPr>
          <w:rFonts w:ascii="Arial" w:cs="Arial" w:eastAsia="Arial" w:hAnsi="Arial"/>
          <w:sz w:val="22"/>
          <w:szCs w:val="22"/>
          <w:color w:val="auto"/>
        </w:rPr>
        <w:t>all debts, liabilities and duties of those constituent business entities shall attach to the Surviving Business Entity and may be enforced against it to the same extent as if the debts, liabilities and duties had been incurred or contracted by it.</w:t>
      </w:r>
    </w:p>
    <w:p>
      <w:pPr>
        <w:spacing w:after="0" w:line="213" w:lineRule="exact"/>
        <w:rPr>
          <w:sz w:val="20"/>
          <w:szCs w:val="20"/>
          <w:color w:val="auto"/>
        </w:rPr>
      </w:pPr>
    </w:p>
    <w:p>
      <w:pPr>
        <w:ind w:left="1820" w:hanging="515"/>
        <w:spacing w:after="0"/>
        <w:tabs>
          <w:tab w:leader="none" w:pos="1820" w:val="left"/>
        </w:tabs>
        <w:numPr>
          <w:ilvl w:val="0"/>
          <w:numId w:val="93"/>
        </w:numPr>
        <w:rPr>
          <w:rFonts w:ascii="Arial" w:cs="Arial" w:eastAsia="Arial" w:hAnsi="Arial"/>
          <w:sz w:val="21"/>
          <w:szCs w:val="21"/>
          <w:color w:val="auto"/>
        </w:rPr>
      </w:pPr>
      <w:r>
        <w:rPr>
          <w:rFonts w:ascii="Arial" w:cs="Arial" w:eastAsia="Arial" w:hAnsi="Arial"/>
          <w:sz w:val="21"/>
          <w:szCs w:val="21"/>
          <w:color w:val="auto"/>
        </w:rPr>
        <w:t>At the effective time of the certificate of conversion, for all purposes of the laws of the Marshall Islands:</w:t>
      </w:r>
    </w:p>
    <w:p>
      <w:pPr>
        <w:spacing w:after="0" w:line="245" w:lineRule="exact"/>
        <w:rPr>
          <w:sz w:val="20"/>
          <w:szCs w:val="20"/>
          <w:color w:val="auto"/>
        </w:rPr>
      </w:pPr>
    </w:p>
    <w:p>
      <w:pPr>
        <w:ind w:left="660" w:right="400" w:firstLine="645"/>
        <w:spacing w:after="0" w:line="251" w:lineRule="auto"/>
        <w:tabs>
          <w:tab w:leader="none" w:pos="1782" w:val="left"/>
        </w:tabs>
        <w:numPr>
          <w:ilvl w:val="0"/>
          <w:numId w:val="94"/>
        </w:numPr>
        <w:rPr>
          <w:rFonts w:ascii="Arial" w:cs="Arial" w:eastAsia="Arial" w:hAnsi="Arial"/>
          <w:sz w:val="22"/>
          <w:szCs w:val="22"/>
          <w:color w:val="auto"/>
        </w:rPr>
      </w:pPr>
      <w:r>
        <w:rPr>
          <w:rFonts w:ascii="Arial" w:cs="Arial" w:eastAsia="Arial" w:hAnsi="Arial"/>
          <w:sz w:val="22"/>
          <w:szCs w:val="22"/>
          <w:color w:val="auto"/>
        </w:rPr>
        <w:t>the Partnership shall continue to exist, without interruption, but in the organizational form of the converted entity rather than in its prior organizational form;</w:t>
      </w:r>
    </w:p>
    <w:p>
      <w:pPr>
        <w:spacing w:after="0" w:line="200" w:lineRule="exact"/>
        <w:rPr>
          <w:rFonts w:ascii="Arial" w:cs="Arial" w:eastAsia="Arial" w:hAnsi="Arial"/>
          <w:sz w:val="22"/>
          <w:szCs w:val="22"/>
          <w:color w:val="auto"/>
        </w:rPr>
      </w:pPr>
    </w:p>
    <w:p>
      <w:pPr>
        <w:ind w:left="660" w:right="140" w:firstLine="645"/>
        <w:spacing w:after="0" w:line="297" w:lineRule="auto"/>
        <w:tabs>
          <w:tab w:leader="none" w:pos="1842" w:val="left"/>
        </w:tabs>
        <w:numPr>
          <w:ilvl w:val="0"/>
          <w:numId w:val="94"/>
        </w:numPr>
        <w:rPr>
          <w:rFonts w:ascii="Arial" w:cs="Arial" w:eastAsia="Arial" w:hAnsi="Arial"/>
          <w:sz w:val="19"/>
          <w:szCs w:val="19"/>
          <w:color w:val="auto"/>
        </w:rPr>
      </w:pPr>
      <w:r>
        <w:rPr>
          <w:rFonts w:ascii="Arial" w:cs="Arial" w:eastAsia="Arial" w:hAnsi="Arial"/>
          <w:sz w:val="19"/>
          <w:szCs w:val="19"/>
          <w:color w:val="auto"/>
        </w:rPr>
        <w:t>all rights, title, and interests to all real estate and other property owned by the Partnership shall remain vested in the converted entity in its new organizational form without reversion or impairment, without further act or deed, and without any transfer or assignment having occurred, but subject to any existing liens or other encumbrances thereon;</w:t>
      </w:r>
    </w:p>
    <w:p>
      <w:pPr>
        <w:spacing w:after="0" w:line="161" w:lineRule="exact"/>
        <w:rPr>
          <w:rFonts w:ascii="Arial" w:cs="Arial" w:eastAsia="Arial" w:hAnsi="Arial"/>
          <w:sz w:val="19"/>
          <w:szCs w:val="19"/>
          <w:color w:val="auto"/>
        </w:rPr>
      </w:pPr>
    </w:p>
    <w:p>
      <w:pPr>
        <w:ind w:left="660" w:right="40" w:firstLine="645"/>
        <w:spacing w:after="0" w:line="251" w:lineRule="auto"/>
        <w:tabs>
          <w:tab w:leader="none" w:pos="1902" w:val="left"/>
        </w:tabs>
        <w:numPr>
          <w:ilvl w:val="0"/>
          <w:numId w:val="94"/>
        </w:numPr>
        <w:rPr>
          <w:rFonts w:ascii="Arial" w:cs="Arial" w:eastAsia="Arial" w:hAnsi="Arial"/>
          <w:sz w:val="22"/>
          <w:szCs w:val="22"/>
          <w:color w:val="auto"/>
        </w:rPr>
      </w:pPr>
      <w:r>
        <w:rPr>
          <w:rFonts w:ascii="Arial" w:cs="Arial" w:eastAsia="Arial" w:hAnsi="Arial"/>
          <w:sz w:val="22"/>
          <w:szCs w:val="22"/>
          <w:color w:val="auto"/>
        </w:rPr>
        <w:t>all liabilities and obligations of the Partnership shall continue to be liabilities and obligations of the converted entity in its new organizational form without impairment or diminution by reason of the conversion;</w:t>
      </w:r>
    </w:p>
    <w:p>
      <w:pPr>
        <w:spacing w:after="0" w:line="200" w:lineRule="exact"/>
        <w:rPr>
          <w:rFonts w:ascii="Arial" w:cs="Arial" w:eastAsia="Arial" w:hAnsi="Arial"/>
          <w:sz w:val="22"/>
          <w:szCs w:val="22"/>
          <w:color w:val="auto"/>
        </w:rPr>
      </w:pPr>
    </w:p>
    <w:p>
      <w:pPr>
        <w:ind w:left="660" w:firstLine="645"/>
        <w:spacing w:after="0" w:line="287" w:lineRule="auto"/>
        <w:tabs>
          <w:tab w:leader="none" w:pos="1890" w:val="left"/>
        </w:tabs>
        <w:numPr>
          <w:ilvl w:val="0"/>
          <w:numId w:val="94"/>
        </w:numPr>
        <w:rPr>
          <w:rFonts w:ascii="Arial" w:cs="Arial" w:eastAsia="Arial" w:hAnsi="Arial"/>
          <w:sz w:val="19"/>
          <w:szCs w:val="19"/>
          <w:color w:val="auto"/>
        </w:rPr>
      </w:pPr>
      <w:r>
        <w:rPr>
          <w:rFonts w:ascii="Arial" w:cs="Arial" w:eastAsia="Arial" w:hAnsi="Arial"/>
          <w:sz w:val="19"/>
          <w:szCs w:val="19"/>
          <w:color w:val="auto"/>
        </w:rPr>
        <w:t>all rights of creditors or other parties with respect to or against the prior interest holders or other owners of the Partnership in their capacities as such in existence as of the effective time of the conversion will continue in existence as to those liabilities and obligations and are enforceable against the converted entity by such creditors and obligees to the same extent as if the liabilities and obligations had originally been incurred or contracted by the converted entity; and</w:t>
      </w:r>
    </w:p>
    <w:p>
      <w:pPr>
        <w:spacing w:after="0" w:line="170" w:lineRule="exact"/>
        <w:rPr>
          <w:rFonts w:ascii="Arial" w:cs="Arial" w:eastAsia="Arial" w:hAnsi="Arial"/>
          <w:sz w:val="19"/>
          <w:szCs w:val="19"/>
          <w:color w:val="auto"/>
        </w:rPr>
      </w:pPr>
    </w:p>
    <w:p>
      <w:pPr>
        <w:ind w:left="660" w:right="140" w:firstLine="645"/>
        <w:spacing w:after="0"/>
        <w:tabs>
          <w:tab w:leader="none" w:pos="1830" w:val="left"/>
        </w:tabs>
        <w:numPr>
          <w:ilvl w:val="0"/>
          <w:numId w:val="94"/>
        </w:numPr>
        <w:rPr>
          <w:rFonts w:ascii="Arial" w:cs="Arial" w:eastAsia="Arial" w:hAnsi="Arial"/>
          <w:sz w:val="22"/>
          <w:szCs w:val="22"/>
          <w:color w:val="auto"/>
        </w:rPr>
      </w:pPr>
      <w:r>
        <w:rPr>
          <w:rFonts w:ascii="Arial" w:cs="Arial" w:eastAsia="Arial" w:hAnsi="Arial"/>
          <w:sz w:val="22"/>
          <w:szCs w:val="22"/>
          <w:color w:val="auto"/>
        </w:rPr>
        <w:t>the Partnership Interests that are to be converted into partnership interests, shares, evidences of ownership, or other rights or securities in the converted entity or cash as provided in the Plan of Conversion shall be so converted, and Partners shall be entitled only to the rights provided in the Plan of Conversion.</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XV</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RIGHT TO ACQUIRE LIMITED PARTNER INTERESTS</w:t>
      </w:r>
    </w:p>
    <w:p>
      <w:pPr>
        <w:spacing w:after="0" w:line="215" w:lineRule="exact"/>
        <w:rPr>
          <w:sz w:val="20"/>
          <w:szCs w:val="20"/>
          <w:color w:val="auto"/>
        </w:rPr>
      </w:pPr>
    </w:p>
    <w:p>
      <w:pPr>
        <w:ind w:right="880" w:firstLine="1297"/>
        <w:spacing w:after="0" w:line="251" w:lineRule="auto"/>
        <w:rPr>
          <w:sz w:val="20"/>
          <w:szCs w:val="20"/>
          <w:color w:val="auto"/>
        </w:rPr>
      </w:pPr>
      <w:r>
        <w:rPr>
          <w:rFonts w:ascii="Arial" w:cs="Arial" w:eastAsia="Arial" w:hAnsi="Arial"/>
          <w:sz w:val="22"/>
          <w:szCs w:val="22"/>
          <w:color w:val="auto"/>
        </w:rPr>
        <w:t xml:space="preserve">Section 15.1. </w:t>
      </w:r>
      <w:r>
        <w:rPr>
          <w:rFonts w:ascii="Arial" w:cs="Arial" w:eastAsia="Arial" w:hAnsi="Arial"/>
          <w:sz w:val="22"/>
          <w:szCs w:val="22"/>
          <w:i w:val="1"/>
          <w:iCs w:val="1"/>
          <w:color w:val="auto"/>
        </w:rPr>
        <w:t>Right to Acquire Limited Partner Interests</w:t>
      </w:r>
      <w:r>
        <w:rPr>
          <w:rFonts w:ascii="Arial" w:cs="Arial" w:eastAsia="Arial" w:hAnsi="Arial"/>
          <w:sz w:val="22"/>
          <w:szCs w:val="22"/>
          <w:color w:val="auto"/>
        </w:rPr>
        <w:t>. (a) Notwithstanding any other provision of this Agreement, if at any time from and after the Closing Date the General</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1" w:right="239" w:bottom="1440" w:gutter="0" w:footer="0" w:header="0"/>
        </w:sectPr>
      </w:pPr>
    </w:p>
    <w:bookmarkStart w:id="89" w:name="page90"/>
    <w:bookmarkEnd w:id="89"/>
    <w:p>
      <w:pPr>
        <w:ind w:right="100"/>
        <w:spacing w:after="0" w:line="275" w:lineRule="auto"/>
        <w:rPr>
          <w:sz w:val="20"/>
          <w:szCs w:val="20"/>
          <w:color w:val="auto"/>
        </w:rPr>
      </w:pPr>
      <w:r>
        <w:rPr>
          <w:rFonts w:ascii="Arial" w:cs="Arial" w:eastAsia="Arial" w:hAnsi="Arial"/>
          <w:sz w:val="19"/>
          <w:szCs w:val="19"/>
          <w:color w:val="auto"/>
        </w:rPr>
        <w:t xml:space="preserve">Partner and its Affiliates hold more than 80% of the total Limited Partner Interests of any class or series then Outstanding, except for the Series A Preference Units, the General Partner shall then have the right, which right it may assign and transfer in whole or in part to the Partnership or any Affiliate of the General Partner, exercisable at its option, to purchase all, but not less than all, of such Limited Partner Interests of such class or series then Outstanding held by Persons other than the General Partner and its Affiliates, at the greater of (x) the Current Market Price as of the date three days prior to the date that the notice described in </w:t>
      </w:r>
      <w:r>
        <w:rPr>
          <w:rFonts w:ascii="Arial" w:cs="Arial" w:eastAsia="Arial" w:hAnsi="Arial"/>
          <w:sz w:val="19"/>
          <w:szCs w:val="19"/>
          <w:u w:val="single" w:color="auto"/>
          <w:color w:val="auto"/>
        </w:rPr>
        <w:t>Section 15.1(b)</w:t>
      </w:r>
      <w:r>
        <w:rPr>
          <w:rFonts w:ascii="Arial" w:cs="Arial" w:eastAsia="Arial" w:hAnsi="Arial"/>
          <w:sz w:val="19"/>
          <w:szCs w:val="19"/>
          <w:color w:val="auto"/>
        </w:rPr>
        <w:t xml:space="preserve"> is mailed and (y) the highest price paid by the General Partner or any of its Affiliates for any such Limited Partner Interest of such class or series purchased during the 90-day period preceding the date that the notice described in </w:t>
      </w:r>
      <w:r>
        <w:rPr>
          <w:rFonts w:ascii="Arial" w:cs="Arial" w:eastAsia="Arial" w:hAnsi="Arial"/>
          <w:sz w:val="19"/>
          <w:szCs w:val="19"/>
          <w:u w:val="single" w:color="auto"/>
          <w:color w:val="auto"/>
        </w:rPr>
        <w:t>Section 15.1(b)</w:t>
      </w:r>
      <w:r>
        <w:rPr>
          <w:rFonts w:ascii="Arial" w:cs="Arial" w:eastAsia="Arial" w:hAnsi="Arial"/>
          <w:sz w:val="19"/>
          <w:szCs w:val="19"/>
          <w:color w:val="auto"/>
        </w:rPr>
        <w:t xml:space="preserve"> is mailed. Notwithstanding the foregoing, the repurchase right described in this Article XV shall not apply to Preference Units.</w:t>
      </w:r>
    </w:p>
    <w:p>
      <w:pPr>
        <w:spacing w:after="0" w:line="185" w:lineRule="exact"/>
        <w:rPr>
          <w:sz w:val="20"/>
          <w:szCs w:val="20"/>
          <w:color w:val="auto"/>
        </w:rPr>
      </w:pPr>
    </w:p>
    <w:p>
      <w:pPr>
        <w:ind w:firstLine="1305"/>
        <w:spacing w:after="0" w:line="269" w:lineRule="auto"/>
        <w:tabs>
          <w:tab w:leader="none" w:pos="1819" w:val="left"/>
        </w:tabs>
        <w:numPr>
          <w:ilvl w:val="0"/>
          <w:numId w:val="95"/>
        </w:numPr>
        <w:rPr>
          <w:rFonts w:ascii="Arial" w:cs="Arial" w:eastAsia="Arial" w:hAnsi="Arial"/>
          <w:sz w:val="19"/>
          <w:szCs w:val="19"/>
          <w:color w:val="auto"/>
        </w:rPr>
      </w:pPr>
      <w:r>
        <w:rPr>
          <w:rFonts w:ascii="Arial" w:cs="Arial" w:eastAsia="Arial" w:hAnsi="Arial"/>
          <w:sz w:val="19"/>
          <w:szCs w:val="19"/>
          <w:color w:val="auto"/>
        </w:rPr>
        <w:t xml:space="preserve">If the General Partner, any Affiliate of the General Partner or the Partnership elects to exercise the right to purchase Limited Partner Interests granted pursuant to </w:t>
      </w:r>
      <w:r>
        <w:rPr>
          <w:rFonts w:ascii="Arial" w:cs="Arial" w:eastAsia="Arial" w:hAnsi="Arial"/>
          <w:sz w:val="19"/>
          <w:szCs w:val="19"/>
          <w:u w:val="single" w:color="auto"/>
          <w:color w:val="auto"/>
        </w:rPr>
        <w:t>Section 15.1(a)</w:t>
      </w:r>
      <w:r>
        <w:rPr>
          <w:rFonts w:ascii="Arial" w:cs="Arial" w:eastAsia="Arial" w:hAnsi="Arial"/>
          <w:sz w:val="19"/>
          <w:szCs w:val="19"/>
          <w:color w:val="auto"/>
        </w:rPr>
        <w:t>, the General Partner shall deliver to the Transfer Agent notice of such election to purchase (the “</w:t>
      </w:r>
      <w:r>
        <w:rPr>
          <w:rFonts w:ascii="Arial" w:cs="Arial" w:eastAsia="Arial" w:hAnsi="Arial"/>
          <w:sz w:val="19"/>
          <w:szCs w:val="19"/>
          <w:b w:val="1"/>
          <w:bCs w:val="1"/>
          <w:i w:val="1"/>
          <w:iCs w:val="1"/>
          <w:color w:val="auto"/>
        </w:rPr>
        <w:t>Notice of Election to Purchase</w:t>
      </w:r>
      <w:r>
        <w:rPr>
          <w:rFonts w:ascii="Arial" w:cs="Arial" w:eastAsia="Arial" w:hAnsi="Arial"/>
          <w:sz w:val="19"/>
          <w:szCs w:val="19"/>
          <w:color w:val="auto"/>
        </w:rPr>
        <w:t xml:space="preserve">”) and shall cause the Transfer Agent to mail a copy of such Notice of Election to Purchase to the Record Holders of Limited Partner Interests of such class or series (as of a Record Date selected by the General Partner) at least 10, but not more than 60, days prior to the Purchase Date. Such Notice of Election to Purchase shall also be published for a period of at least three consecutive days in at least two daily newspapers of general circulation printed in the English language and published in the Borough of Manhattan, New York. The Notice of Election to Purchase shall specify the Purchase Date and the price (determined in accordance with </w:t>
      </w:r>
      <w:r>
        <w:rPr>
          <w:rFonts w:ascii="Arial" w:cs="Arial" w:eastAsia="Arial" w:hAnsi="Arial"/>
          <w:sz w:val="19"/>
          <w:szCs w:val="19"/>
          <w:u w:val="single" w:color="auto"/>
          <w:color w:val="auto"/>
        </w:rPr>
        <w:t>Section 15.1(a)</w:t>
      </w:r>
      <w:r>
        <w:rPr>
          <w:rFonts w:ascii="Arial" w:cs="Arial" w:eastAsia="Arial" w:hAnsi="Arial"/>
          <w:sz w:val="19"/>
          <w:szCs w:val="19"/>
          <w:color w:val="auto"/>
        </w:rPr>
        <w:t xml:space="preserve">) at which Limited Partner Interests will be purchased and state that the General Partner, its Affiliate or the Partnership, as the case may be, elects to purchase such Limited Partner Interests, upon surrender of Certificates representing such Limited Partner Interests, if any, in exchange for payment, at such office or offices of the Transfer Agent as the Transfer Agent may specify, or as may be required by any National Securities Exchange on which such Limited Partner Interests are listed. Any such Notice of Election to Purchase mailed to a Record Holder of Limited Partner Interests at his address as reflected in the records of the Transfer Agent shall be conclusively presumed to have been given regardless of whether the owner receives such notice. On or prior to the Purchase Date, the General Partner, its Affiliate or the Partnership, as the case may be, shall deposit with the Transfer Agent cash in an amount sufficient to pay the aggregate purchase price of all of such Limited Partner Interests to be purchased in accordance with this </w:t>
      </w:r>
      <w:r>
        <w:rPr>
          <w:rFonts w:ascii="Arial" w:cs="Arial" w:eastAsia="Arial" w:hAnsi="Arial"/>
          <w:sz w:val="19"/>
          <w:szCs w:val="19"/>
          <w:u w:val="single" w:color="auto"/>
          <w:color w:val="auto"/>
        </w:rPr>
        <w:t>Section 15.1</w:t>
      </w:r>
      <w:r>
        <w:rPr>
          <w:rFonts w:ascii="Arial" w:cs="Arial" w:eastAsia="Arial" w:hAnsi="Arial"/>
          <w:sz w:val="19"/>
          <w:szCs w:val="19"/>
          <w:color w:val="auto"/>
        </w:rPr>
        <w:t xml:space="preserve">. If the Notice of Election to Purchase shall have been duly given as aforesaid at least 10 days prior to the Purchase Date, and if on or prior to the Purchase Date the deposit described in the preceding sentence has been made for the benefit of the holders of Limited Partner Interests subject to purchase as provided herein, then from and after the Purchase Date to the extent Certificates for the Limited Partner Interests are outstanding, notwithstanding that any Certificate shall not have been surrendered for purchase, all rights of the holders of such Limited Partner Interests (including any rights pursuant to </w:t>
      </w:r>
      <w:r>
        <w:rPr>
          <w:rFonts w:ascii="Arial" w:cs="Arial" w:eastAsia="Arial" w:hAnsi="Arial"/>
          <w:sz w:val="19"/>
          <w:szCs w:val="19"/>
          <w:u w:val="single" w:color="auto"/>
          <w:color w:val="auto"/>
        </w:rPr>
        <w:t>Articles IV</w:t>
      </w:r>
      <w:r>
        <w:rPr>
          <w:rFonts w:ascii="Arial" w:cs="Arial" w:eastAsia="Arial" w:hAnsi="Arial"/>
          <w:sz w:val="19"/>
          <w:szCs w:val="19"/>
          <w:color w:val="auto"/>
        </w:rPr>
        <w:t xml:space="preserve">, </w:t>
      </w:r>
      <w:r>
        <w:rPr>
          <w:rFonts w:ascii="Arial" w:cs="Arial" w:eastAsia="Arial" w:hAnsi="Arial"/>
          <w:sz w:val="19"/>
          <w:szCs w:val="19"/>
          <w:u w:val="single" w:color="auto"/>
          <w:color w:val="auto"/>
        </w:rPr>
        <w:t>V</w:t>
      </w:r>
      <w:r>
        <w:rPr>
          <w:rFonts w:ascii="Arial" w:cs="Arial" w:eastAsia="Arial" w:hAnsi="Arial"/>
          <w:sz w:val="19"/>
          <w:szCs w:val="19"/>
          <w:color w:val="auto"/>
        </w:rPr>
        <w:t xml:space="preserve">, </w:t>
      </w:r>
      <w:r>
        <w:rPr>
          <w:rFonts w:ascii="Arial" w:cs="Arial" w:eastAsia="Arial" w:hAnsi="Arial"/>
          <w:sz w:val="19"/>
          <w:szCs w:val="19"/>
          <w:u w:val="single" w:color="auto"/>
          <w:color w:val="auto"/>
        </w:rPr>
        <w:t>VI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XII</w:t>
      </w:r>
      <w:r>
        <w:rPr>
          <w:rFonts w:ascii="Arial" w:cs="Arial" w:eastAsia="Arial" w:hAnsi="Arial"/>
          <w:sz w:val="19"/>
          <w:szCs w:val="19"/>
          <w:color w:val="auto"/>
        </w:rPr>
        <w:t xml:space="preserve">) shall thereupon cease, except the right to receive the applicable purchase price (determined in accordance with </w:t>
      </w:r>
      <w:r>
        <w:rPr>
          <w:rFonts w:ascii="Arial" w:cs="Arial" w:eastAsia="Arial" w:hAnsi="Arial"/>
          <w:sz w:val="19"/>
          <w:szCs w:val="19"/>
          <w:u w:val="single" w:color="auto"/>
          <w:color w:val="auto"/>
        </w:rPr>
        <w:t>Section 15.1(a)</w:t>
      </w:r>
      <w:r>
        <w:rPr>
          <w:rFonts w:ascii="Arial" w:cs="Arial" w:eastAsia="Arial" w:hAnsi="Arial"/>
          <w:sz w:val="19"/>
          <w:szCs w:val="19"/>
          <w:color w:val="auto"/>
        </w:rPr>
        <w:t>) for Limited Partner Interests therefor, without interest, upon surrender to the Transfer Agent of the Certificates representing such Limited Partner Interests, and such Limited Partner Interests shall thereupon be deemed to be transferred to the General Partner, its Affiliate or the Partnership, as the case may be, on the record books of the Transfer Agent and the Partnership, and the General</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90" w:name="page91"/>
    <w:bookmarkEnd w:id="90"/>
    <w:p>
      <w:pPr>
        <w:jc w:val="both"/>
        <w:ind w:right="200"/>
        <w:spacing w:after="0" w:line="297" w:lineRule="auto"/>
        <w:rPr>
          <w:sz w:val="20"/>
          <w:szCs w:val="20"/>
          <w:color w:val="auto"/>
        </w:rPr>
      </w:pPr>
      <w:r>
        <w:rPr>
          <w:rFonts w:ascii="Arial" w:cs="Arial" w:eastAsia="Arial" w:hAnsi="Arial"/>
          <w:sz w:val="19"/>
          <w:szCs w:val="19"/>
          <w:color w:val="auto"/>
        </w:rPr>
        <w:t xml:space="preserve">Partner or any Affiliate of the General Partner, or the Partnership, as the case may be, shall be deemed to be the owner of all such Limited Partner Interests from and after the Purchase Date and shall have all rights as the owner of such Limited Partner Interests (including all rights as owner of such Limited Partner Interests pursuant to </w:t>
      </w:r>
      <w:r>
        <w:rPr>
          <w:rFonts w:ascii="Arial" w:cs="Arial" w:eastAsia="Arial" w:hAnsi="Arial"/>
          <w:sz w:val="19"/>
          <w:szCs w:val="19"/>
          <w:u w:val="single" w:color="auto"/>
          <w:color w:val="auto"/>
        </w:rPr>
        <w:t>Articles IV</w:t>
      </w:r>
      <w:r>
        <w:rPr>
          <w:rFonts w:ascii="Arial" w:cs="Arial" w:eastAsia="Arial" w:hAnsi="Arial"/>
          <w:sz w:val="19"/>
          <w:szCs w:val="19"/>
          <w:color w:val="auto"/>
        </w:rPr>
        <w:t xml:space="preserve">, </w:t>
      </w:r>
      <w:r>
        <w:rPr>
          <w:rFonts w:ascii="Arial" w:cs="Arial" w:eastAsia="Arial" w:hAnsi="Arial"/>
          <w:sz w:val="19"/>
          <w:szCs w:val="19"/>
          <w:u w:val="single" w:color="auto"/>
          <w:color w:val="auto"/>
        </w:rPr>
        <w:t>V</w:t>
      </w:r>
      <w:r>
        <w:rPr>
          <w:rFonts w:ascii="Arial" w:cs="Arial" w:eastAsia="Arial" w:hAnsi="Arial"/>
          <w:sz w:val="19"/>
          <w:szCs w:val="19"/>
          <w:color w:val="auto"/>
        </w:rPr>
        <w:t xml:space="preserve">, </w:t>
      </w:r>
      <w:r>
        <w:rPr>
          <w:rFonts w:ascii="Arial" w:cs="Arial" w:eastAsia="Arial" w:hAnsi="Arial"/>
          <w:sz w:val="19"/>
          <w:szCs w:val="19"/>
          <w:u w:val="single" w:color="auto"/>
          <w:color w:val="auto"/>
        </w:rPr>
        <w:t>VI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XII</w:t>
      </w:r>
      <w:r>
        <w:rPr>
          <w:rFonts w:ascii="Arial" w:cs="Arial" w:eastAsia="Arial" w:hAnsi="Arial"/>
          <w:sz w:val="19"/>
          <w:szCs w:val="19"/>
          <w:color w:val="auto"/>
        </w:rPr>
        <w:t>).</w:t>
      </w:r>
    </w:p>
    <w:p>
      <w:pPr>
        <w:spacing w:after="0" w:line="161" w:lineRule="exact"/>
        <w:rPr>
          <w:sz w:val="20"/>
          <w:szCs w:val="20"/>
          <w:color w:val="auto"/>
        </w:rPr>
      </w:pPr>
    </w:p>
    <w:p>
      <w:pPr>
        <w:ind w:right="260" w:firstLine="1305"/>
        <w:spacing w:after="0" w:line="297" w:lineRule="auto"/>
        <w:tabs>
          <w:tab w:leader="none" w:pos="1795" w:val="left"/>
        </w:tabs>
        <w:numPr>
          <w:ilvl w:val="0"/>
          <w:numId w:val="96"/>
        </w:numPr>
        <w:rPr>
          <w:rFonts w:ascii="Arial" w:cs="Arial" w:eastAsia="Arial" w:hAnsi="Arial"/>
          <w:sz w:val="19"/>
          <w:szCs w:val="19"/>
          <w:color w:val="auto"/>
        </w:rPr>
      </w:pPr>
      <w:r>
        <w:rPr>
          <w:rFonts w:ascii="Arial" w:cs="Arial" w:eastAsia="Arial" w:hAnsi="Arial"/>
          <w:sz w:val="19"/>
          <w:szCs w:val="19"/>
          <w:color w:val="auto"/>
        </w:rPr>
        <w:t xml:space="preserve">At any time from and after the Purchase Date, a holder of an Outstanding Limited Partner Interest subject to purchase as provided in this </w:t>
      </w:r>
      <w:r>
        <w:rPr>
          <w:rFonts w:ascii="Arial" w:cs="Arial" w:eastAsia="Arial" w:hAnsi="Arial"/>
          <w:sz w:val="19"/>
          <w:szCs w:val="19"/>
          <w:u w:val="single" w:color="auto"/>
          <w:color w:val="auto"/>
        </w:rPr>
        <w:t>Section 15.1</w:t>
      </w:r>
      <w:r>
        <w:rPr>
          <w:rFonts w:ascii="Arial" w:cs="Arial" w:eastAsia="Arial" w:hAnsi="Arial"/>
          <w:sz w:val="19"/>
          <w:szCs w:val="19"/>
          <w:color w:val="auto"/>
        </w:rPr>
        <w:t xml:space="preserve"> may surrender his Certificate evidencing such Limited Partner Interest to the Transfer Agent in exchange for payment of the amount described in </w:t>
      </w:r>
      <w:r>
        <w:rPr>
          <w:rFonts w:ascii="Arial" w:cs="Arial" w:eastAsia="Arial" w:hAnsi="Arial"/>
          <w:sz w:val="19"/>
          <w:szCs w:val="19"/>
          <w:u w:val="single" w:color="auto"/>
          <w:color w:val="auto"/>
        </w:rPr>
        <w:t>Section 15.1(a)</w:t>
      </w:r>
      <w:r>
        <w:rPr>
          <w:rFonts w:ascii="Arial" w:cs="Arial" w:eastAsia="Arial" w:hAnsi="Arial"/>
          <w:sz w:val="19"/>
          <w:szCs w:val="19"/>
          <w:color w:val="auto"/>
        </w:rPr>
        <w:t>, without interest thereon.</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XVI</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SERIES A CUMULATIVE REDEEMABLE PERPETUAL FIXED TO FLOATING RATE</w:t>
      </w:r>
    </w:p>
    <w:p>
      <w:pPr>
        <w:jc w:val="center"/>
        <w:ind w:right="-19"/>
        <w:spacing w:after="0"/>
        <w:rPr>
          <w:sz w:val="20"/>
          <w:szCs w:val="20"/>
          <w:color w:val="auto"/>
        </w:rPr>
      </w:pPr>
      <w:r>
        <w:rPr>
          <w:rFonts w:ascii="Arial" w:cs="Arial" w:eastAsia="Arial" w:hAnsi="Arial"/>
          <w:sz w:val="22"/>
          <w:szCs w:val="22"/>
          <w:b w:val="1"/>
          <w:bCs w:val="1"/>
          <w:color w:val="auto"/>
        </w:rPr>
        <w:t>PREFERENCE UNITS</w:t>
      </w:r>
    </w:p>
    <w:p>
      <w:pPr>
        <w:spacing w:after="0" w:line="215" w:lineRule="exact"/>
        <w:rPr>
          <w:sz w:val="20"/>
          <w:szCs w:val="20"/>
          <w:color w:val="auto"/>
        </w:rPr>
      </w:pPr>
    </w:p>
    <w:p>
      <w:pPr>
        <w:ind w:firstLine="1297"/>
        <w:spacing w:after="0" w:line="277" w:lineRule="auto"/>
        <w:rPr>
          <w:sz w:val="20"/>
          <w:szCs w:val="20"/>
          <w:color w:val="auto"/>
        </w:rPr>
      </w:pPr>
      <w:r>
        <w:rPr>
          <w:rFonts w:ascii="Arial" w:cs="Arial" w:eastAsia="Arial" w:hAnsi="Arial"/>
          <w:sz w:val="19"/>
          <w:szCs w:val="19"/>
          <w:color w:val="auto"/>
        </w:rPr>
        <w:t xml:space="preserve">Section 16.1. </w:t>
      </w:r>
      <w:r>
        <w:rPr>
          <w:rFonts w:ascii="Arial" w:cs="Arial" w:eastAsia="Arial" w:hAnsi="Arial"/>
          <w:sz w:val="19"/>
          <w:szCs w:val="19"/>
          <w:i w:val="1"/>
          <w:iCs w:val="1"/>
          <w:color w:val="auto"/>
        </w:rPr>
        <w:t>Designations</w:t>
      </w:r>
      <w:r>
        <w:rPr>
          <w:rFonts w:ascii="Arial" w:cs="Arial" w:eastAsia="Arial" w:hAnsi="Arial"/>
          <w:sz w:val="19"/>
          <w:szCs w:val="19"/>
          <w:color w:val="auto"/>
        </w:rPr>
        <w:t xml:space="preserve">. On May 15, 2017, the Board of Directors designated and created a series of Preference Units designated as “8.625% Series A Cumulative Redeemable Perpetual Fixed to Floating Rate Preference Units,” and fixed the preferences, rights, powers and duties of the holders of the Series A Preference Units as set forth in this </w:t>
      </w:r>
      <w:r>
        <w:rPr>
          <w:rFonts w:ascii="Arial" w:cs="Arial" w:eastAsia="Arial" w:hAnsi="Arial"/>
          <w:sz w:val="19"/>
          <w:szCs w:val="19"/>
          <w:u w:val="single" w:color="auto"/>
          <w:color w:val="auto"/>
        </w:rPr>
        <w:t>Article XVI</w:t>
      </w:r>
      <w:r>
        <w:rPr>
          <w:rFonts w:ascii="Arial" w:cs="Arial" w:eastAsia="Arial" w:hAnsi="Arial"/>
          <w:sz w:val="19"/>
          <w:szCs w:val="19"/>
          <w:color w:val="auto"/>
        </w:rPr>
        <w:t>. Each Series A Preference Unit shall be identical in all respects to every other Series A Preference Unit, except as to the respective dates from which the Series A Liquidation Preference shall increase or from which Series A Distributions may begin accruing, to the extent such dates may differ. The Series A Preference Units represent perpetual equity interests in the Partnership and shall not give rise to a claim by the holder for redemption thereof at a particular date.</w:t>
      </w:r>
    </w:p>
    <w:p>
      <w:pPr>
        <w:spacing w:after="0" w:line="180" w:lineRule="exact"/>
        <w:rPr>
          <w:sz w:val="20"/>
          <w:szCs w:val="20"/>
          <w:color w:val="auto"/>
        </w:rPr>
      </w:pPr>
    </w:p>
    <w:p>
      <w:pPr>
        <w:ind w:left="1300"/>
        <w:spacing w:after="0"/>
        <w:tabs>
          <w:tab w:leader="none" w:pos="2680" w:val="left"/>
        </w:tabs>
        <w:rPr>
          <w:sz w:val="20"/>
          <w:szCs w:val="20"/>
          <w:color w:val="auto"/>
        </w:rPr>
      </w:pPr>
      <w:r>
        <w:rPr>
          <w:rFonts w:ascii="Arial" w:cs="Arial" w:eastAsia="Arial" w:hAnsi="Arial"/>
          <w:sz w:val="22"/>
          <w:szCs w:val="22"/>
          <w:color w:val="auto"/>
        </w:rPr>
        <w:t>Section 16.2.</w:t>
      </w:r>
      <w:r>
        <w:rPr>
          <w:sz w:val="20"/>
          <w:szCs w:val="20"/>
          <w:color w:val="auto"/>
        </w:rPr>
        <w:tab/>
      </w:r>
      <w:r>
        <w:rPr>
          <w:rFonts w:ascii="Arial" w:cs="Arial" w:eastAsia="Arial" w:hAnsi="Arial"/>
          <w:sz w:val="21"/>
          <w:szCs w:val="21"/>
          <w:i w:val="1"/>
          <w:iCs w:val="1"/>
          <w:color w:val="auto"/>
        </w:rPr>
        <w:t>Units</w:t>
      </w:r>
      <w:r>
        <w:rPr>
          <w:rFonts w:ascii="Arial" w:cs="Arial" w:eastAsia="Arial" w:hAnsi="Arial"/>
          <w:sz w:val="21"/>
          <w:szCs w:val="21"/>
          <w:color w:val="auto"/>
        </w:rPr>
        <w:t>.</w:t>
      </w:r>
    </w:p>
    <w:p>
      <w:pPr>
        <w:spacing w:after="0" w:line="233" w:lineRule="exact"/>
        <w:rPr>
          <w:sz w:val="20"/>
          <w:szCs w:val="20"/>
          <w:color w:val="auto"/>
        </w:rPr>
      </w:pPr>
    </w:p>
    <w:p>
      <w:pPr>
        <w:ind w:right="420" w:firstLine="1305"/>
        <w:spacing w:after="0" w:line="251" w:lineRule="auto"/>
        <w:tabs>
          <w:tab w:leader="none" w:pos="1803" w:val="left"/>
        </w:tabs>
        <w:numPr>
          <w:ilvl w:val="0"/>
          <w:numId w:val="97"/>
        </w:numPr>
        <w:rPr>
          <w:rFonts w:ascii="Arial" w:cs="Arial" w:eastAsia="Arial" w:hAnsi="Arial"/>
          <w:sz w:val="22"/>
          <w:szCs w:val="22"/>
          <w:color w:val="auto"/>
        </w:rPr>
      </w:pPr>
      <w:r>
        <w:rPr>
          <w:rFonts w:ascii="Arial" w:cs="Arial" w:eastAsia="Arial" w:hAnsi="Arial"/>
          <w:sz w:val="22"/>
          <w:szCs w:val="22"/>
          <w:color w:val="auto"/>
        </w:rPr>
        <w:t>The authorized number of Series A Preference Units shall be unlimited. Series A Preference Units that are purchased or otherwise acquired by the Partnership shall be cancelled.</w:t>
      </w:r>
    </w:p>
    <w:p>
      <w:pPr>
        <w:spacing w:after="0" w:line="200" w:lineRule="exact"/>
        <w:rPr>
          <w:rFonts w:ascii="Arial" w:cs="Arial" w:eastAsia="Arial" w:hAnsi="Arial"/>
          <w:sz w:val="22"/>
          <w:szCs w:val="22"/>
          <w:color w:val="auto"/>
        </w:rPr>
      </w:pPr>
    </w:p>
    <w:p>
      <w:pPr>
        <w:ind w:firstLine="1305"/>
        <w:spacing w:after="0" w:line="234" w:lineRule="auto"/>
        <w:tabs>
          <w:tab w:leader="none" w:pos="1815" w:val="left"/>
        </w:tabs>
        <w:numPr>
          <w:ilvl w:val="0"/>
          <w:numId w:val="97"/>
        </w:numPr>
        <w:rPr>
          <w:rFonts w:ascii="Arial" w:cs="Arial" w:eastAsia="Arial" w:hAnsi="Arial"/>
          <w:sz w:val="22"/>
          <w:szCs w:val="22"/>
          <w:color w:val="auto"/>
        </w:rPr>
      </w:pPr>
      <w:r>
        <w:rPr>
          <w:rFonts w:ascii="Arial" w:cs="Arial" w:eastAsia="Arial" w:hAnsi="Arial"/>
          <w:sz w:val="22"/>
          <w:szCs w:val="22"/>
          <w:color w:val="auto"/>
        </w:rPr>
        <w:t>The Series A Preference Units shall be represented by a single Certificate registered in the name of the Depository or its nominee, and no Series A Holder shall be entitled to receive a Certificate evidencing such applicable Units, unless otherwise required by law or the Depository gives notice of its intention to resign or is no longer eligible to act as such with respect to such series of Preference Units and the Partnership shall have not selected a substitute Depository within 60 calendar days thereafter. So long as the Depository shall have been appointed and is serving with respect to such series of Preference Units, payments and communications made by the Partnership to Series A Holders shall be made by making payments to, and communicating with, the Depository.</w:t>
      </w:r>
    </w:p>
    <w:p>
      <w:pPr>
        <w:spacing w:after="0" w:line="218" w:lineRule="exact"/>
        <w:rPr>
          <w:sz w:val="20"/>
          <w:szCs w:val="20"/>
          <w:color w:val="auto"/>
        </w:rPr>
      </w:pPr>
    </w:p>
    <w:p>
      <w:pPr>
        <w:ind w:left="1300"/>
        <w:spacing w:after="0"/>
        <w:tabs>
          <w:tab w:leader="none" w:pos="2680" w:val="left"/>
        </w:tabs>
        <w:rPr>
          <w:sz w:val="20"/>
          <w:szCs w:val="20"/>
          <w:color w:val="auto"/>
        </w:rPr>
      </w:pPr>
      <w:r>
        <w:rPr>
          <w:rFonts w:ascii="Arial" w:cs="Arial" w:eastAsia="Arial" w:hAnsi="Arial"/>
          <w:sz w:val="22"/>
          <w:szCs w:val="22"/>
          <w:color w:val="auto"/>
        </w:rPr>
        <w:t>Section 16.3.</w:t>
      </w:r>
      <w:r>
        <w:rPr>
          <w:sz w:val="20"/>
          <w:szCs w:val="20"/>
          <w:color w:val="auto"/>
        </w:rPr>
        <w:tab/>
      </w:r>
      <w:r>
        <w:rPr>
          <w:rFonts w:ascii="Arial" w:cs="Arial" w:eastAsia="Arial" w:hAnsi="Arial"/>
          <w:sz w:val="19"/>
          <w:szCs w:val="19"/>
          <w:i w:val="1"/>
          <w:iCs w:val="1"/>
          <w:color w:val="auto"/>
        </w:rPr>
        <w:t>Distributions</w:t>
      </w:r>
      <w:r>
        <w:rPr>
          <w:rFonts w:ascii="Arial" w:cs="Arial" w:eastAsia="Arial" w:hAnsi="Arial"/>
          <w:sz w:val="19"/>
          <w:szCs w:val="19"/>
          <w:color w:val="auto"/>
        </w:rPr>
        <w:t>.</w:t>
      </w:r>
    </w:p>
    <w:p>
      <w:pPr>
        <w:spacing w:after="0" w:line="233" w:lineRule="exact"/>
        <w:rPr>
          <w:sz w:val="20"/>
          <w:szCs w:val="20"/>
          <w:color w:val="auto"/>
        </w:rPr>
      </w:pPr>
    </w:p>
    <w:p>
      <w:pPr>
        <w:ind w:right="200" w:firstLine="1305"/>
        <w:spacing w:after="0" w:line="297" w:lineRule="auto"/>
        <w:tabs>
          <w:tab w:leader="none" w:pos="1807" w:val="left"/>
        </w:tabs>
        <w:numPr>
          <w:ilvl w:val="0"/>
          <w:numId w:val="98"/>
        </w:numPr>
        <w:rPr>
          <w:rFonts w:ascii="Arial" w:cs="Arial" w:eastAsia="Arial" w:hAnsi="Arial"/>
          <w:sz w:val="19"/>
          <w:szCs w:val="19"/>
          <w:color w:val="auto"/>
        </w:rPr>
      </w:pPr>
      <w:r>
        <w:rPr>
          <w:rFonts w:ascii="Arial" w:cs="Arial" w:eastAsia="Arial" w:hAnsi="Arial"/>
          <w:sz w:val="19"/>
          <w:szCs w:val="19"/>
          <w:color w:val="auto"/>
        </w:rPr>
        <w:t>Distributions on each Series A Preference Unit shall be cumulative and shall accrue at the Series A Distribution Rate from the Series A Original Issue Date (or, for any subsequently issued and newly Outstanding Series A Preference Units, from the Series A Distribution Payment Date immediately preceding the issuance date of such Units) until such</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402" w:right="259" w:bottom="1440" w:gutter="0" w:footer="0" w:header="0"/>
        </w:sectPr>
      </w:pPr>
    </w:p>
    <w:bookmarkStart w:id="91" w:name="page92"/>
    <w:bookmarkEnd w:id="91"/>
    <w:p>
      <w:pPr>
        <w:spacing w:after="0" w:line="270" w:lineRule="auto"/>
        <w:rPr>
          <w:sz w:val="20"/>
          <w:szCs w:val="20"/>
          <w:color w:val="auto"/>
        </w:rPr>
      </w:pPr>
      <w:r>
        <w:rPr>
          <w:rFonts w:ascii="Arial" w:cs="Arial" w:eastAsia="Arial" w:hAnsi="Arial"/>
          <w:sz w:val="19"/>
          <w:szCs w:val="19"/>
          <w:color w:val="auto"/>
        </w:rPr>
        <w:t xml:space="preserve">time as the Partnership pays the Series A Distribution or redeems the Series A Preference Units in full in accordance with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16.6</w:t>
      </w:r>
      <w:r>
        <w:rPr>
          <w:rFonts w:ascii="Arial" w:cs="Arial" w:eastAsia="Arial" w:hAnsi="Arial"/>
          <w:sz w:val="19"/>
          <w:szCs w:val="19"/>
          <w:color w:val="auto"/>
        </w:rPr>
        <w:t xml:space="preserve"> below, whether or not such Series A Distributions shall have been declared. Series A Holders shall be entitled to receive Series A Distributions from time to time out of any assets of the Partnership legally available for the payment of distributions at the Series A Distribution Rate per Series A Preference Unit when, as, and if declared by the Board of Directors. Series A Distributions, to the extent declared by the Board of Directors to be paid by the Partnership in accordance with this </w:t>
      </w:r>
      <w:r>
        <w:rPr>
          <w:rFonts w:ascii="Arial" w:cs="Arial" w:eastAsia="Arial" w:hAnsi="Arial"/>
          <w:sz w:val="19"/>
          <w:szCs w:val="19"/>
          <w:u w:val="single" w:color="auto"/>
          <w:color w:val="auto"/>
        </w:rPr>
        <w:t>Section 16.3</w:t>
      </w:r>
      <w:r>
        <w:rPr>
          <w:rFonts w:ascii="Arial" w:cs="Arial" w:eastAsia="Arial" w:hAnsi="Arial"/>
          <w:sz w:val="19"/>
          <w:szCs w:val="19"/>
          <w:color w:val="auto"/>
        </w:rPr>
        <w:t>, shall be paid quarterly on each Series A Distribution Payment Date. Distributions shall accumulate in each Series A Distribution Period from and including the preceding Series A Distribution Payment Date (other than the initial Series A Distribution Period, which shall commence on and include the Series A Original Issue Date), to but excluding the next Series A Distribution Payment Date for such Series A Distribution Period and distributions shall accrue on accumulated Series A Distributions at the Series A Distribution Rate. If any Series A Distribution Payment Date during the Series A Fixed Rate Period would otherwise would occur on a date that is not a Business Day, declared Series A Distributions shall be paid on the immediately succeeding Business Day without the accumulation of additional distributions. If any Series A Distribution Payment Date during the Series A Floating Rate Period would otherwise occur on a date that is not a Business Day, then the Series A Distribution Payment Date will be the next day that is a Business Day. Series A Distributions payable for any Series A Distribution Period during the Series A Fixed Rate Period will be calculated based on a 360-day year consisting of twelve 30-day months. Series A Distributions payable for any Series A Distribution Period during the Series A Floating Rate Period will be calculated based on a 360-day year and the number of days actually elapsed during such Series A Distribution Period.</w:t>
      </w:r>
    </w:p>
    <w:p>
      <w:pPr>
        <w:spacing w:after="0" w:line="200" w:lineRule="exact"/>
        <w:rPr>
          <w:sz w:val="20"/>
          <w:szCs w:val="20"/>
          <w:color w:val="auto"/>
        </w:rPr>
      </w:pPr>
    </w:p>
    <w:p>
      <w:pPr>
        <w:spacing w:after="0" w:line="243" w:lineRule="exact"/>
        <w:rPr>
          <w:sz w:val="20"/>
          <w:szCs w:val="20"/>
          <w:color w:val="auto"/>
        </w:rPr>
      </w:pPr>
    </w:p>
    <w:p>
      <w:pPr>
        <w:ind w:right="40" w:firstLine="1305"/>
        <w:spacing w:after="0" w:line="236" w:lineRule="auto"/>
        <w:tabs>
          <w:tab w:leader="none" w:pos="1819" w:val="left"/>
        </w:tabs>
        <w:numPr>
          <w:ilvl w:val="0"/>
          <w:numId w:val="99"/>
        </w:numPr>
        <w:rPr>
          <w:rFonts w:ascii="Arial" w:cs="Arial" w:eastAsia="Arial" w:hAnsi="Arial"/>
          <w:sz w:val="22"/>
          <w:szCs w:val="22"/>
          <w:color w:val="auto"/>
        </w:rPr>
      </w:pPr>
      <w:r>
        <w:rPr>
          <w:rFonts w:ascii="Arial" w:cs="Arial" w:eastAsia="Arial" w:hAnsi="Arial"/>
          <w:sz w:val="22"/>
          <w:szCs w:val="22"/>
          <w:color w:val="auto"/>
        </w:rPr>
        <w:t>For each Series A Distribution Period during the Series A Floating Rate Period, the applicable Series A Distribution Rate will be determined by the Partnership as of the applicable Series A Distribution Determination Date for such Series A Distribution Period. For purposes of determining the applicable Series A Distribution Rate, the Three-Month LIBOR Rate will be determined by the Partnership, as of the applicable Series A Distribution Determination Date, in accordance with the following provisions:</w:t>
      </w:r>
    </w:p>
    <w:p>
      <w:pPr>
        <w:spacing w:after="0" w:line="215" w:lineRule="exact"/>
        <w:rPr>
          <w:sz w:val="20"/>
          <w:szCs w:val="20"/>
          <w:color w:val="auto"/>
        </w:rPr>
      </w:pPr>
    </w:p>
    <w:p>
      <w:pPr>
        <w:ind w:left="660" w:right="100" w:firstLine="645"/>
        <w:spacing w:after="0" w:line="297" w:lineRule="auto"/>
        <w:tabs>
          <w:tab w:leader="none" w:pos="1782" w:val="left"/>
        </w:tabs>
        <w:numPr>
          <w:ilvl w:val="0"/>
          <w:numId w:val="100"/>
        </w:numPr>
        <w:rPr>
          <w:rFonts w:ascii="Arial" w:cs="Arial" w:eastAsia="Arial" w:hAnsi="Arial"/>
          <w:sz w:val="19"/>
          <w:szCs w:val="19"/>
          <w:color w:val="auto"/>
        </w:rPr>
      </w:pPr>
      <w:r>
        <w:rPr>
          <w:rFonts w:ascii="Arial" w:cs="Arial" w:eastAsia="Arial" w:hAnsi="Arial"/>
          <w:sz w:val="19"/>
          <w:szCs w:val="19"/>
          <w:color w:val="auto"/>
        </w:rPr>
        <w:t>the Three-Month LIBOR Rate will be the rate (expressed as a percentage per year) for deposits in U.S. dollars having an index maturity of three months, in amounts of at least $1,000,000, as such rate appears on Reuters Page LIBOR01 at approximately 11:00 a.m. (London time) on the relevant Series A Distribution Determination Date; or</w:t>
      </w:r>
    </w:p>
    <w:p>
      <w:pPr>
        <w:spacing w:after="0" w:line="161" w:lineRule="exact"/>
        <w:rPr>
          <w:rFonts w:ascii="Arial" w:cs="Arial" w:eastAsia="Arial" w:hAnsi="Arial"/>
          <w:sz w:val="19"/>
          <w:szCs w:val="19"/>
          <w:color w:val="auto"/>
        </w:rPr>
      </w:pPr>
    </w:p>
    <w:p>
      <w:pPr>
        <w:ind w:left="660" w:firstLine="645"/>
        <w:spacing w:after="0" w:line="247" w:lineRule="auto"/>
        <w:tabs>
          <w:tab w:leader="none" w:pos="1842" w:val="left"/>
        </w:tabs>
        <w:numPr>
          <w:ilvl w:val="0"/>
          <w:numId w:val="100"/>
        </w:numPr>
        <w:rPr>
          <w:rFonts w:ascii="Arial" w:cs="Arial" w:eastAsia="Arial" w:hAnsi="Arial"/>
          <w:sz w:val="21"/>
          <w:szCs w:val="21"/>
          <w:color w:val="auto"/>
        </w:rPr>
      </w:pPr>
      <w:r>
        <w:rPr>
          <w:rFonts w:ascii="Arial" w:cs="Arial" w:eastAsia="Arial" w:hAnsi="Arial"/>
          <w:sz w:val="21"/>
          <w:szCs w:val="21"/>
          <w:color w:val="auto"/>
        </w:rPr>
        <w:t>if no such rate appears on Reuters Page LIBOR01 or if the Reuters Page LIBOR01 is not available at approximately 11:00 a.m. (London time) on the relevant Series A Distribution Determination Date, then the Partnership will select four nationally-recognized banks in the London interbank market and request that the principal London offices of those four selected banks provide their offered quotation for deposits in U.S. dollars for a period of three months, commencing on the first day of the applicable Series A Distribution Period, to prime banks in the London interbank market at approximately 11:00 a.m. (London time) on that Series A Distribution Determination Date for the applicable Series A Distribution Period. Offered quotations must be based on a principal</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402" w:right="259" w:bottom="1440" w:gutter="0" w:footer="0" w:header="0"/>
        </w:sectPr>
      </w:pPr>
    </w:p>
    <w:bookmarkStart w:id="92" w:name="page93"/>
    <w:bookmarkEnd w:id="92"/>
    <w:p>
      <w:pPr>
        <w:ind w:left="640" w:right="20"/>
        <w:spacing w:after="0" w:line="271" w:lineRule="auto"/>
        <w:rPr>
          <w:sz w:val="20"/>
          <w:szCs w:val="20"/>
          <w:color w:val="auto"/>
        </w:rPr>
      </w:pPr>
      <w:r>
        <w:rPr>
          <w:rFonts w:ascii="Arial" w:cs="Arial" w:eastAsia="Arial" w:hAnsi="Arial"/>
          <w:sz w:val="19"/>
          <w:szCs w:val="19"/>
          <w:color w:val="auto"/>
        </w:rPr>
        <w:t>amount equal to an amount that, in the Partnership’s discretion, is representative of a single transaction in U.S. dollars in the London interbank market at that time. If at least two quotations are provided, the Three-Month LIBOR Rate for such Series A Distribution Period will be the arithmetic mean (rounded upward if necessary, to the nearest 0.00001 of 1%) of those quotations. If fewer than two quotations are provided, the Three-Month LIBOR Rate for such Series A Distribution Period will be the arithmetic mean (rounded upward if necessary, to the nearest 0.00001 of 1%) of the rates quoted at approximately 11:00 a.m. (New York City time) on that Series A Distribution Determination Date for such Series A Distribution Period by three nationally-recognized banks in New York, New York selected by the Partnership, for loans in U.S. dollars to nationally-recognized European banks (as selected by the Partnership), for a period of three months commencing on the first day of such Series A Distribution Period. The rates quoted must be based on an amount that, in the Partnership’s discretion, is representative of a single transaction in U.S. dollars in that market at that time. If fewer than three New York City banks selected by the Partnership provide quote rates in the manner described above, the Three-Month LIBOR Rate for the applicable Series A Distribution Period will be the same as for the immediately preceding Series A Distribution Period, or, if there was no such Series A Distribution Period, the distribution shall be calculated at the Series A Distribution Rate in effect for the immediately preceding Series A Distribution Period.</w:t>
      </w:r>
    </w:p>
    <w:p>
      <w:pPr>
        <w:spacing w:after="0" w:line="192" w:lineRule="exact"/>
        <w:rPr>
          <w:sz w:val="20"/>
          <w:szCs w:val="20"/>
          <w:color w:val="auto"/>
        </w:rPr>
      </w:pPr>
    </w:p>
    <w:p>
      <w:pPr>
        <w:ind w:left="-20" w:firstLine="1305"/>
        <w:spacing w:after="0" w:line="270" w:lineRule="auto"/>
        <w:tabs>
          <w:tab w:leader="none" w:pos="1787" w:val="left"/>
        </w:tabs>
        <w:numPr>
          <w:ilvl w:val="0"/>
          <w:numId w:val="101"/>
        </w:numPr>
        <w:rPr>
          <w:rFonts w:ascii="Arial" w:cs="Arial" w:eastAsia="Arial" w:hAnsi="Arial"/>
          <w:sz w:val="19"/>
          <w:szCs w:val="19"/>
          <w:color w:val="auto"/>
        </w:rPr>
      </w:pPr>
      <w:r>
        <w:rPr>
          <w:rFonts w:ascii="Arial" w:cs="Arial" w:eastAsia="Arial" w:hAnsi="Arial"/>
          <w:sz w:val="19"/>
          <w:szCs w:val="19"/>
          <w:color w:val="auto"/>
        </w:rPr>
        <w:t>Not later than 5:00 p.m., New York City time, on each Series A Distribution Payment Date, the Partnership shall pay those Series A Distributions, if any, that shall have been declared by the Board of Directors to Series A Holders on the Record Date for the applicable Series A Preference Distribution. The Record Date (the “</w:t>
      </w:r>
      <w:r>
        <w:rPr>
          <w:rFonts w:ascii="Arial" w:cs="Arial" w:eastAsia="Arial" w:hAnsi="Arial"/>
          <w:sz w:val="19"/>
          <w:szCs w:val="19"/>
          <w:b w:val="1"/>
          <w:bCs w:val="1"/>
          <w:i w:val="1"/>
          <w:iCs w:val="1"/>
          <w:color w:val="auto"/>
        </w:rPr>
        <w:t>Series A Distribution Record Date</w:t>
      </w:r>
      <w:r>
        <w:rPr>
          <w:rFonts w:ascii="Arial" w:cs="Arial" w:eastAsia="Arial" w:hAnsi="Arial"/>
          <w:sz w:val="19"/>
          <w:szCs w:val="19"/>
          <w:color w:val="auto"/>
        </w:rPr>
        <w:t xml:space="preserve">”) for the payment of any Series A Distributions shall be the fifth Business Day immediately preceding the applicable Series A Distribution Payment Date, except that in the case of payments of Series A Distributions in arrears, the Series A Distribution Record Date with respect to a Series A Distribution Payment Date shall be such date as may be designated by the Board of Directors in accordance with this </w:t>
      </w:r>
      <w:r>
        <w:rPr>
          <w:rFonts w:ascii="Arial" w:cs="Arial" w:eastAsia="Arial" w:hAnsi="Arial"/>
          <w:sz w:val="19"/>
          <w:szCs w:val="19"/>
          <w:u w:val="single" w:color="auto"/>
          <w:color w:val="auto"/>
        </w:rPr>
        <w:t>Article XVI</w:t>
      </w:r>
      <w:r>
        <w:rPr>
          <w:rFonts w:ascii="Arial" w:cs="Arial" w:eastAsia="Arial" w:hAnsi="Arial"/>
          <w:sz w:val="19"/>
          <w:szCs w:val="19"/>
          <w:color w:val="auto"/>
        </w:rPr>
        <w:t>. No distribution shall be declared or paid or set apart for payment on any Junior Securities (other than a distribution payable solely in Junior Securities) unless full cumulative Series A Distributions have been or contemporaneously are being paid or provided for on all Outstanding Series A Preference Units and any other Parity Securities through the most recent respective Series A Distribution Payment Dates. Accumulated Series A Distributions in arrears for any past Series A Distribution Period may be declared by the Board of Directors and paid on any date fixed by the Board of Directors, whether or not a Series A Distribution Payment Date, to Series A Holders on the record date for such payment, which may not be more than 60 days, nor less than 15 days, before such payment date. Subject to the next succeeding sentence, if all accumulated Series A Distributions in arrears on all Outstanding Series A Preference Units and any other Parity Securities shall not have been declared and paid, or if sufficient funds for the payment thereof shall not have been set apart, payment of accumulated distributions in arrears on the Series A Preference Units and any such Parity Securities shall be made in order of their respective distribution payment dates, commencing with the earliest. If less than all distributions payable with respect to all Series A Preference Units and any other Parity Securities are paid, any partial payment shall be made pro rata with respect to the Series A Preference Units and any such other Parity Securities entitled to</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144780</wp:posOffset>
            </wp:positionV>
            <wp:extent cx="7246620" cy="342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80"/>
          </w:cols>
          <w:pgMar w:left="260" w:top="402" w:right="259" w:bottom="1440" w:gutter="0" w:footer="0" w:header="0"/>
        </w:sectPr>
      </w:pPr>
    </w:p>
    <w:bookmarkStart w:id="93" w:name="page94"/>
    <w:bookmarkEnd w:id="93"/>
    <w:p>
      <w:pPr>
        <w:ind w:right="40"/>
        <w:spacing w:after="0" w:line="277" w:lineRule="auto"/>
        <w:rPr>
          <w:sz w:val="20"/>
          <w:szCs w:val="20"/>
          <w:color w:val="auto"/>
        </w:rPr>
      </w:pPr>
      <w:r>
        <w:rPr>
          <w:rFonts w:ascii="Arial" w:cs="Arial" w:eastAsia="Arial" w:hAnsi="Arial"/>
          <w:sz w:val="19"/>
          <w:szCs w:val="19"/>
          <w:color w:val="auto"/>
        </w:rPr>
        <w:t xml:space="preserve">a distribution payment at such time in proportion to the aggregate distribution amounts remaining due in respect of such Series A Preference Units and such other Parity Securities at such time. Subject to </w:t>
      </w:r>
      <w:r>
        <w:rPr>
          <w:rFonts w:ascii="Arial" w:cs="Arial" w:eastAsia="Arial" w:hAnsi="Arial"/>
          <w:sz w:val="19"/>
          <w:szCs w:val="19"/>
          <w:u w:val="single" w:color="auto"/>
          <w:color w:val="auto"/>
        </w:rPr>
        <w:t>Sections 12.4</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16.6</w:t>
      </w:r>
      <w:r>
        <w:rPr>
          <w:rFonts w:ascii="Arial" w:cs="Arial" w:eastAsia="Arial" w:hAnsi="Arial"/>
          <w:sz w:val="19"/>
          <w:szCs w:val="19"/>
          <w:color w:val="auto"/>
        </w:rPr>
        <w:t xml:space="preserve">, Series A Holders shall not be entitled to any distribution, whether payable in cash, property or stock, in excess of full cumulative Series A Distributions. Except insofar as distributions accrue on the amount of any accumulated and unpaid Series A Distributions as described in </w:t>
      </w:r>
      <w:r>
        <w:rPr>
          <w:rFonts w:ascii="Arial" w:cs="Arial" w:eastAsia="Arial" w:hAnsi="Arial"/>
          <w:sz w:val="19"/>
          <w:szCs w:val="19"/>
          <w:u w:val="single" w:color="auto"/>
          <w:color w:val="auto"/>
        </w:rPr>
        <w:t>Section 16.3(a)</w:t>
      </w:r>
      <w:r>
        <w:rPr>
          <w:rFonts w:ascii="Arial" w:cs="Arial" w:eastAsia="Arial" w:hAnsi="Arial"/>
          <w:sz w:val="19"/>
          <w:szCs w:val="19"/>
          <w:color w:val="auto"/>
        </w:rPr>
        <w:t>, no interest or sum of money in lieu of interest shall be payable in respect of any distribution payment which may be in arrears on the Series A Preference Units. So long as the Series A Preference Units are held of record by the nominee of the Depository, declared Series A Distributions shall be paid to the Depository in same-day funds on each Series A Distribution Payment Date.</w:t>
      </w:r>
    </w:p>
    <w:p>
      <w:pPr>
        <w:spacing w:after="0" w:line="180" w:lineRule="exact"/>
        <w:rPr>
          <w:sz w:val="20"/>
          <w:szCs w:val="20"/>
          <w:color w:val="auto"/>
        </w:rPr>
      </w:pPr>
    </w:p>
    <w:p>
      <w:pPr>
        <w:ind w:left="1300"/>
        <w:spacing w:after="0"/>
        <w:tabs>
          <w:tab w:leader="none" w:pos="2680" w:val="left"/>
        </w:tabs>
        <w:rPr>
          <w:sz w:val="20"/>
          <w:szCs w:val="20"/>
          <w:color w:val="auto"/>
        </w:rPr>
      </w:pPr>
      <w:r>
        <w:rPr>
          <w:rFonts w:ascii="Arial" w:cs="Arial" w:eastAsia="Arial" w:hAnsi="Arial"/>
          <w:sz w:val="22"/>
          <w:szCs w:val="22"/>
          <w:color w:val="auto"/>
        </w:rPr>
        <w:t>Section 16.4.</w:t>
      </w:r>
      <w:r>
        <w:rPr>
          <w:sz w:val="20"/>
          <w:szCs w:val="20"/>
          <w:color w:val="auto"/>
        </w:rPr>
        <w:tab/>
      </w:r>
      <w:r>
        <w:rPr>
          <w:rFonts w:ascii="Arial" w:cs="Arial" w:eastAsia="Arial" w:hAnsi="Arial"/>
          <w:sz w:val="19"/>
          <w:szCs w:val="19"/>
          <w:i w:val="1"/>
          <w:iCs w:val="1"/>
          <w:color w:val="auto"/>
        </w:rPr>
        <w:t>Liquidation Rights</w:t>
      </w:r>
      <w:r>
        <w:rPr>
          <w:rFonts w:ascii="Arial" w:cs="Arial" w:eastAsia="Arial" w:hAnsi="Arial"/>
          <w:sz w:val="19"/>
          <w:szCs w:val="19"/>
          <w:color w:val="auto"/>
        </w:rPr>
        <w:t>.</w:t>
      </w:r>
    </w:p>
    <w:p>
      <w:pPr>
        <w:spacing w:after="0" w:line="233" w:lineRule="exact"/>
        <w:rPr>
          <w:sz w:val="20"/>
          <w:szCs w:val="20"/>
          <w:color w:val="auto"/>
        </w:rPr>
      </w:pPr>
    </w:p>
    <w:p>
      <w:pPr>
        <w:ind w:firstLine="1305"/>
        <w:spacing w:after="0" w:line="270" w:lineRule="auto"/>
        <w:tabs>
          <w:tab w:leader="none" w:pos="1807" w:val="left"/>
        </w:tabs>
        <w:numPr>
          <w:ilvl w:val="0"/>
          <w:numId w:val="102"/>
        </w:numPr>
        <w:rPr>
          <w:rFonts w:ascii="Arial" w:cs="Arial" w:eastAsia="Arial" w:hAnsi="Arial"/>
          <w:sz w:val="19"/>
          <w:szCs w:val="19"/>
          <w:color w:val="auto"/>
        </w:rPr>
      </w:pPr>
      <w:r>
        <w:rPr>
          <w:rFonts w:ascii="Arial" w:cs="Arial" w:eastAsia="Arial" w:hAnsi="Arial"/>
          <w:sz w:val="19"/>
          <w:szCs w:val="19"/>
          <w:color w:val="auto"/>
        </w:rPr>
        <w:t>Upon the occurrence of any Liquidation Event, Series A Holders shall be entitled to receive out of the assets of the Partnership or proceeds thereof legally available for distribution to the Partners, (i) after satisfaction of all liabilities, if any, to creditors of the Partnership, (ii) after all applicable distributions of such assets or proceeds being made to or set aside for the holders of any Senior Securities then Outstanding in respect of such Liquidation Event, (iii) concurrently with any applicable distributions of such assets or proceeds being made to or set aside for holders of any Series A Preference Units or other Parity Securities then Outstanding in respect of such Liquidation Event and (iv) before any distribution of such assets or proceeds is made to or set aside for the holders of Common Units and any other classes or series of Junior Securities as to such distribution, a liquidating distribution or payment in full redemption of such Series A Preference Units in an amount equal to the Series A Liquidation Preference. For purposes of clarity, upon the occurrence of any Liquidation Event, (x) the holders of then Outstanding Senior Securities shall be entitled to receive the applicable Liquidation Preference on such Senior Securities before any distribution shall be made with respect to the Series A Preference Units or any Parity Securities and (y) the Series A Holders shall be entitled to the Series A Liquidation Preference per Series A Preference Unit in cash, concurrently with any distribution made to the holders of any Parity Securities and before any distribution shall be made to the holders of Common Units or any other Junior Securities. Series A Holders shall not be entitled to any other amounts from the Partnership, in their capacity as Series A Holders, after they have received the Series A Liquidation Preference. The payment of the Series A Liquidation Preference shall be a payment in redemption of the Series A Preference Units such that, from and after payment of the full Series A Liquidation Preference, any such Series A Preference Unit shall thereafter be cancelled and no longer be Outstanding.</w:t>
      </w:r>
    </w:p>
    <w:p>
      <w:pPr>
        <w:spacing w:after="0" w:line="200" w:lineRule="exact"/>
        <w:rPr>
          <w:rFonts w:ascii="Arial" w:cs="Arial" w:eastAsia="Arial" w:hAnsi="Arial"/>
          <w:sz w:val="19"/>
          <w:szCs w:val="19"/>
          <w:color w:val="auto"/>
        </w:rPr>
      </w:pPr>
    </w:p>
    <w:p>
      <w:pPr>
        <w:spacing w:after="0" w:line="242" w:lineRule="exact"/>
        <w:rPr>
          <w:rFonts w:ascii="Arial" w:cs="Arial" w:eastAsia="Arial" w:hAnsi="Arial"/>
          <w:sz w:val="19"/>
          <w:szCs w:val="19"/>
          <w:color w:val="auto"/>
        </w:rPr>
      </w:pPr>
    </w:p>
    <w:p>
      <w:pPr>
        <w:ind w:right="200" w:firstLine="1305"/>
        <w:spacing w:after="0" w:line="277" w:lineRule="auto"/>
        <w:tabs>
          <w:tab w:leader="none" w:pos="1819" w:val="left"/>
        </w:tabs>
        <w:numPr>
          <w:ilvl w:val="0"/>
          <w:numId w:val="102"/>
        </w:numPr>
        <w:rPr>
          <w:rFonts w:ascii="Arial" w:cs="Arial" w:eastAsia="Arial" w:hAnsi="Arial"/>
          <w:sz w:val="19"/>
          <w:szCs w:val="19"/>
          <w:color w:val="auto"/>
        </w:rPr>
      </w:pPr>
      <w:r>
        <w:rPr>
          <w:rFonts w:ascii="Arial" w:cs="Arial" w:eastAsia="Arial" w:hAnsi="Arial"/>
          <w:sz w:val="19"/>
          <w:szCs w:val="19"/>
          <w:color w:val="auto"/>
        </w:rPr>
        <w:t xml:space="preserve">If, in the event of any distribution or payment described in </w:t>
      </w:r>
      <w:r>
        <w:rPr>
          <w:rFonts w:ascii="Arial" w:cs="Arial" w:eastAsia="Arial" w:hAnsi="Arial"/>
          <w:sz w:val="19"/>
          <w:szCs w:val="19"/>
          <w:u w:val="single" w:color="auto"/>
          <w:color w:val="auto"/>
        </w:rPr>
        <w:t>Section 16.4(a)</w:t>
      </w:r>
      <w:r>
        <w:rPr>
          <w:rFonts w:ascii="Arial" w:cs="Arial" w:eastAsia="Arial" w:hAnsi="Arial"/>
          <w:sz w:val="19"/>
          <w:szCs w:val="19"/>
          <w:color w:val="auto"/>
        </w:rPr>
        <w:t xml:space="preserve"> above where the Partnership’s assets available for distribution to holders of the Outstanding Series A Preference Units and any other Parity Securities are insufficient to satisfy the applicable Liquidation Preference for such Series A Preference Units and Parity Securities, the Partnership’s then remaining assets or proceeds thereof legally available for distribution to unitholders of the Partnership shall be distributed among the holders of Outstanding Series A Preference Units and such Parity Securities, as applicable, ratably on the basis of their relative aggregate Liquidation Preferences. To the extent that the Series A Holders receive a partial payment of their Series A Liquidation Preference, such partial payment shall reduce the Series A</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94" w:name="page95"/>
    <w:bookmarkEnd w:id="94"/>
    <w:p>
      <w:pPr>
        <w:spacing w:after="0"/>
        <w:rPr>
          <w:sz w:val="20"/>
          <w:szCs w:val="20"/>
          <w:color w:val="auto"/>
        </w:rPr>
      </w:pPr>
      <w:r>
        <w:rPr>
          <w:rFonts w:ascii="Arial" w:cs="Arial" w:eastAsia="Arial" w:hAnsi="Arial"/>
          <w:sz w:val="22"/>
          <w:szCs w:val="22"/>
          <w:color w:val="auto"/>
        </w:rPr>
        <w:t>Liquidation Preference of their Series A Preference Units, but only to the extent of such amount paid.</w:t>
      </w:r>
    </w:p>
    <w:p>
      <w:pPr>
        <w:spacing w:after="0" w:line="233" w:lineRule="exact"/>
        <w:rPr>
          <w:sz w:val="20"/>
          <w:szCs w:val="20"/>
          <w:color w:val="auto"/>
        </w:rPr>
      </w:pPr>
    </w:p>
    <w:p>
      <w:pPr>
        <w:ind w:right="80" w:firstLine="1305"/>
        <w:spacing w:after="0" w:line="297" w:lineRule="auto"/>
        <w:tabs>
          <w:tab w:leader="none" w:pos="1795" w:val="left"/>
        </w:tabs>
        <w:numPr>
          <w:ilvl w:val="0"/>
          <w:numId w:val="103"/>
        </w:numPr>
        <w:rPr>
          <w:rFonts w:ascii="Arial" w:cs="Arial" w:eastAsia="Arial" w:hAnsi="Arial"/>
          <w:sz w:val="19"/>
          <w:szCs w:val="19"/>
          <w:color w:val="auto"/>
        </w:rPr>
      </w:pPr>
      <w:r>
        <w:rPr>
          <w:rFonts w:ascii="Arial" w:cs="Arial" w:eastAsia="Arial" w:hAnsi="Arial"/>
          <w:sz w:val="19"/>
          <w:szCs w:val="19"/>
          <w:color w:val="auto"/>
        </w:rPr>
        <w:t>After payment of the applicable Liquidation Preference to the holders of the Outstanding Series A Preference Units and any other Parity Securities, the Partnership’s remaining assets and funds shall be distributed among the holders of the Common Units and any other Junior Securities then Outstanding according to their respective rights and preferences.</w:t>
      </w:r>
    </w:p>
    <w:p>
      <w:pPr>
        <w:spacing w:after="0" w:line="161" w:lineRule="exact"/>
        <w:rPr>
          <w:sz w:val="20"/>
          <w:szCs w:val="20"/>
          <w:color w:val="auto"/>
        </w:rPr>
      </w:pPr>
    </w:p>
    <w:p>
      <w:pPr>
        <w:ind w:left="1300"/>
        <w:spacing w:after="0"/>
        <w:tabs>
          <w:tab w:leader="none" w:pos="2680" w:val="left"/>
        </w:tabs>
        <w:rPr>
          <w:sz w:val="20"/>
          <w:szCs w:val="20"/>
          <w:color w:val="auto"/>
        </w:rPr>
      </w:pPr>
      <w:r>
        <w:rPr>
          <w:rFonts w:ascii="Arial" w:cs="Arial" w:eastAsia="Arial" w:hAnsi="Arial"/>
          <w:sz w:val="22"/>
          <w:szCs w:val="22"/>
          <w:color w:val="auto"/>
        </w:rPr>
        <w:t>Section 16.5.</w:t>
      </w:r>
      <w:r>
        <w:rPr>
          <w:sz w:val="20"/>
          <w:szCs w:val="20"/>
          <w:color w:val="auto"/>
        </w:rPr>
        <w:tab/>
      </w:r>
      <w:r>
        <w:rPr>
          <w:rFonts w:ascii="Arial" w:cs="Arial" w:eastAsia="Arial" w:hAnsi="Arial"/>
          <w:sz w:val="19"/>
          <w:szCs w:val="19"/>
          <w:i w:val="1"/>
          <w:iCs w:val="1"/>
          <w:color w:val="auto"/>
        </w:rPr>
        <w:t>Voting Rights</w:t>
      </w:r>
      <w:r>
        <w:rPr>
          <w:rFonts w:ascii="Arial" w:cs="Arial" w:eastAsia="Arial" w:hAnsi="Arial"/>
          <w:sz w:val="19"/>
          <w:szCs w:val="19"/>
          <w:color w:val="auto"/>
        </w:rPr>
        <w:t>.</w:t>
      </w:r>
    </w:p>
    <w:p>
      <w:pPr>
        <w:spacing w:after="0" w:line="233" w:lineRule="exact"/>
        <w:rPr>
          <w:sz w:val="20"/>
          <w:szCs w:val="20"/>
          <w:color w:val="auto"/>
        </w:rPr>
      </w:pPr>
    </w:p>
    <w:p>
      <w:pPr>
        <w:ind w:right="80" w:firstLine="1305"/>
        <w:spacing w:after="0" w:line="328" w:lineRule="auto"/>
        <w:tabs>
          <w:tab w:leader="none" w:pos="1807" w:val="left"/>
        </w:tabs>
        <w:numPr>
          <w:ilvl w:val="0"/>
          <w:numId w:val="104"/>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in this Agreement, the Series A Preference Units shall not have any voting rights except as set forth in </w:t>
      </w:r>
      <w:r>
        <w:rPr>
          <w:rFonts w:ascii="Arial" w:cs="Arial" w:eastAsia="Arial" w:hAnsi="Arial"/>
          <w:sz w:val="19"/>
          <w:szCs w:val="19"/>
          <w:u w:val="single" w:color="auto"/>
          <w:color w:val="auto"/>
        </w:rPr>
        <w:t>Section 13.3(d)</w:t>
      </w:r>
      <w:r>
        <w:rPr>
          <w:rFonts w:ascii="Arial" w:cs="Arial" w:eastAsia="Arial" w:hAnsi="Arial"/>
          <w:sz w:val="19"/>
          <w:szCs w:val="19"/>
          <w:color w:val="auto"/>
        </w:rPr>
        <w:t xml:space="preserve">, this </w:t>
      </w:r>
      <w:r>
        <w:rPr>
          <w:rFonts w:ascii="Arial" w:cs="Arial" w:eastAsia="Arial" w:hAnsi="Arial"/>
          <w:sz w:val="19"/>
          <w:szCs w:val="19"/>
          <w:u w:val="single" w:color="auto"/>
          <w:color w:val="auto"/>
        </w:rPr>
        <w:t>Section 16.5</w:t>
      </w:r>
      <w:r>
        <w:rPr>
          <w:rFonts w:ascii="Arial" w:cs="Arial" w:eastAsia="Arial" w:hAnsi="Arial"/>
          <w:sz w:val="19"/>
          <w:szCs w:val="19"/>
          <w:color w:val="auto"/>
        </w:rPr>
        <w:t xml:space="preserve"> or as otherwise provided by the Marshall Islands Act.</w:t>
      </w:r>
    </w:p>
    <w:p>
      <w:pPr>
        <w:spacing w:after="0" w:line="132" w:lineRule="exact"/>
        <w:rPr>
          <w:rFonts w:ascii="Arial" w:cs="Arial" w:eastAsia="Arial" w:hAnsi="Arial"/>
          <w:sz w:val="19"/>
          <w:szCs w:val="19"/>
          <w:color w:val="auto"/>
        </w:rPr>
      </w:pPr>
    </w:p>
    <w:p>
      <w:pPr>
        <w:ind w:firstLine="1305"/>
        <w:spacing w:after="0" w:line="270" w:lineRule="auto"/>
        <w:tabs>
          <w:tab w:leader="none" w:pos="1819" w:val="left"/>
        </w:tabs>
        <w:numPr>
          <w:ilvl w:val="0"/>
          <w:numId w:val="104"/>
        </w:numPr>
        <w:rPr>
          <w:rFonts w:ascii="Arial" w:cs="Arial" w:eastAsia="Arial" w:hAnsi="Arial"/>
          <w:sz w:val="19"/>
          <w:szCs w:val="19"/>
          <w:color w:val="auto"/>
        </w:rPr>
      </w:pPr>
      <w:r>
        <w:rPr>
          <w:rFonts w:ascii="Arial" w:cs="Arial" w:eastAsia="Arial" w:hAnsi="Arial"/>
          <w:sz w:val="19"/>
          <w:szCs w:val="19"/>
          <w:color w:val="auto"/>
        </w:rPr>
        <w:t xml:space="preserve">In the event that six quarterly Series A Distributions, whether consecutive or not, are in arrears, the Series A Holders shall have the right, voting as a class together with holders of any other Parity Securities upon which like voting rights have been conferred and are exercisable, at a meeting of the Board of Directors called for such purpose within 30 days after receipt by the General Partner of a request by Series A Holders holding a majority of the Outstanding Series A Preference Units, to elect one member of the Board of Directors, and the size of the Board of Directors shall be increased as needed to accommodate such change; provided, however, that such right of the Series A Holders shall not apply to the election of another director if (i) Series A Holders and holders of Parity Securities upon which like voting rights have been conferred, voting as a class, have previously elected a member of the Board of Directors and (ii) such director continues then to serve on the Board of Directors. Such right of such Series A Holders to elect a member of the Board of Directors shall continue until the Partnership pays in full, or declares and sets aside funds for the payment of, all Series A Distributions accumulated and in arrears on the Series A Preference Units, at which time such right shall terminate, subject to the revesting of such right in the event of each and every subsequent failure to pay six quarterly Series A Distributions as described above in this </w:t>
      </w:r>
      <w:r>
        <w:rPr>
          <w:rFonts w:ascii="Arial" w:cs="Arial" w:eastAsia="Arial" w:hAnsi="Arial"/>
          <w:sz w:val="19"/>
          <w:szCs w:val="19"/>
          <w:u w:val="single" w:color="auto"/>
          <w:color w:val="auto"/>
        </w:rPr>
        <w:t>Section 16.5(b)</w:t>
      </w:r>
      <w:r>
        <w:rPr>
          <w:rFonts w:ascii="Arial" w:cs="Arial" w:eastAsia="Arial" w:hAnsi="Arial"/>
          <w:sz w:val="19"/>
          <w:szCs w:val="19"/>
          <w:color w:val="auto"/>
        </w:rPr>
        <w:t xml:space="preserve">. Upon any termination of the right of the Series A Holders and, if applicable, holders of any other Parity Securities to vote as a class for such director, the term of office of the director then in office elected by such Series A Holders and holders voting as a class shall terminate immediately. Any director elected by the Series A Holders and, if applicable, holders of any other Parity Securities shall be entitled to one vote on any matter before the Board of Directors. Upon each election of a member of the Board of Directors by Series A Holders pursuant to this </w:t>
      </w:r>
      <w:r>
        <w:rPr>
          <w:rFonts w:ascii="Arial" w:cs="Arial" w:eastAsia="Arial" w:hAnsi="Arial"/>
          <w:sz w:val="19"/>
          <w:szCs w:val="19"/>
          <w:u w:val="single" w:color="auto"/>
          <w:color w:val="auto"/>
        </w:rPr>
        <w:t>Section 16.5(b)</w:t>
      </w:r>
      <w:r>
        <w:rPr>
          <w:rFonts w:ascii="Arial" w:cs="Arial" w:eastAsia="Arial" w:hAnsi="Arial"/>
          <w:sz w:val="19"/>
          <w:szCs w:val="19"/>
          <w:color w:val="auto"/>
        </w:rPr>
        <w:t>, the General Partner shall have the right to appoint an additional member of the Board of Directors, which member shall be an Appointed Director for purposes of this Agreement, the term of such director to begin and end on the same dates as the corresponding director elected by the Series A Holders.</w:t>
      </w:r>
    </w:p>
    <w:p>
      <w:pPr>
        <w:spacing w:after="0" w:line="191" w:lineRule="exact"/>
        <w:rPr>
          <w:rFonts w:ascii="Arial" w:cs="Arial" w:eastAsia="Arial" w:hAnsi="Arial"/>
          <w:sz w:val="19"/>
          <w:szCs w:val="19"/>
          <w:color w:val="auto"/>
        </w:rPr>
      </w:pPr>
    </w:p>
    <w:p>
      <w:pPr>
        <w:ind w:right="140" w:firstLine="1305"/>
        <w:spacing w:after="0" w:line="238" w:lineRule="auto"/>
        <w:tabs>
          <w:tab w:leader="none" w:pos="1807" w:val="left"/>
        </w:tabs>
        <w:numPr>
          <w:ilvl w:val="0"/>
          <w:numId w:val="104"/>
        </w:numPr>
        <w:rPr>
          <w:rFonts w:ascii="Arial" w:cs="Arial" w:eastAsia="Arial" w:hAnsi="Arial"/>
          <w:sz w:val="22"/>
          <w:szCs w:val="22"/>
          <w:color w:val="auto"/>
        </w:rPr>
      </w:pPr>
      <w:r>
        <w:rPr>
          <w:rFonts w:ascii="Arial" w:cs="Arial" w:eastAsia="Arial" w:hAnsi="Arial"/>
          <w:sz w:val="22"/>
          <w:szCs w:val="22"/>
          <w:color w:val="auto"/>
        </w:rPr>
        <w:t>(i) Unless the Board of Directors shall have received the affirmative vote or consent of the holders of at least 66 2/3% of the Outstanding Series A Preference Units, voting as a separate class, neither the General Partner nor the Board of Directors shall adopt any amendment to this Agreement that would have a material adverse effect on the existing terms of the Series A Preference Units.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40"/>
          </w:cols>
          <w:pgMar w:left="240" w:top="402" w:right="319" w:bottom="1440" w:gutter="0" w:footer="0" w:header="0"/>
        </w:sectPr>
      </w:pPr>
    </w:p>
    <w:bookmarkStart w:id="95" w:name="page96"/>
    <w:bookmarkEnd w:id="95"/>
    <w:p>
      <w:pPr>
        <w:ind w:left="660" w:right="60" w:firstLine="645"/>
        <w:spacing w:after="0" w:line="236" w:lineRule="auto"/>
        <w:tabs>
          <w:tab w:leader="none" w:pos="1842" w:val="left"/>
        </w:tabs>
        <w:numPr>
          <w:ilvl w:val="0"/>
          <w:numId w:val="105"/>
        </w:numPr>
        <w:rPr>
          <w:rFonts w:ascii="Arial" w:cs="Arial" w:eastAsia="Arial" w:hAnsi="Arial"/>
          <w:sz w:val="22"/>
          <w:szCs w:val="22"/>
          <w:color w:val="auto"/>
        </w:rPr>
      </w:pPr>
      <w:r>
        <w:rPr>
          <w:rFonts w:ascii="Arial" w:cs="Arial" w:eastAsia="Arial" w:hAnsi="Arial"/>
          <w:sz w:val="22"/>
          <w:szCs w:val="22"/>
          <w:color w:val="auto"/>
        </w:rPr>
        <w:t>Unless the Board of Directors shall have received the affirmative vote or consent of the holders of at least 66 2/3% of the Outstanding Series A Preference Units voting as a class together with holders of any other Parity Securities upon which like voting rights have been conferred and are exercisable, the Partnership shall not (x) issue any Parity Securities if the cumulative dividends payable on Outstanding Series A Preference Units are in arrears or (y) create or issue any Senior Securities.</w:t>
      </w:r>
    </w:p>
    <w:p>
      <w:pPr>
        <w:spacing w:after="0" w:line="215" w:lineRule="exact"/>
        <w:rPr>
          <w:sz w:val="20"/>
          <w:szCs w:val="20"/>
          <w:color w:val="auto"/>
        </w:rPr>
      </w:pPr>
    </w:p>
    <w:p>
      <w:pPr>
        <w:ind w:right="100" w:firstLine="1305"/>
        <w:spacing w:after="0" w:line="238" w:lineRule="auto"/>
        <w:tabs>
          <w:tab w:leader="none" w:pos="1819" w:val="left"/>
        </w:tabs>
        <w:numPr>
          <w:ilvl w:val="0"/>
          <w:numId w:val="106"/>
        </w:numPr>
        <w:rPr>
          <w:rFonts w:ascii="Arial" w:cs="Arial" w:eastAsia="Arial" w:hAnsi="Arial"/>
          <w:sz w:val="22"/>
          <w:szCs w:val="22"/>
          <w:color w:val="auto"/>
        </w:rPr>
      </w:pPr>
      <w:r>
        <w:rPr>
          <w:rFonts w:ascii="Arial" w:cs="Arial" w:eastAsia="Arial" w:hAnsi="Arial"/>
          <w:sz w:val="22"/>
          <w:szCs w:val="22"/>
          <w:color w:val="auto"/>
        </w:rPr>
        <w:t xml:space="preserve">For any matter described in this </w:t>
      </w:r>
      <w:r>
        <w:rPr>
          <w:rFonts w:ascii="Arial" w:cs="Arial" w:eastAsia="Arial" w:hAnsi="Arial"/>
          <w:sz w:val="22"/>
          <w:szCs w:val="22"/>
          <w:u w:val="single" w:color="auto"/>
          <w:color w:val="auto"/>
        </w:rPr>
        <w:t>Section 16.5</w:t>
      </w:r>
      <w:r>
        <w:rPr>
          <w:rFonts w:ascii="Arial" w:cs="Arial" w:eastAsia="Arial" w:hAnsi="Arial"/>
          <w:sz w:val="22"/>
          <w:szCs w:val="22"/>
          <w:color w:val="auto"/>
        </w:rPr>
        <w:t xml:space="preserve"> in which the Series A Holders are entitled to vote as a class (whether separately or together with the holders of any Parity Securities), such Series A Holders shall be entitled to one vote per Series A Preference Unit. Any Series A Preference Units held by the Partnership or any of its subsidiaries or Affiliates shall not be entitled to vote.</w:t>
      </w:r>
    </w:p>
    <w:p>
      <w:pPr>
        <w:spacing w:after="0" w:line="212" w:lineRule="exact"/>
        <w:rPr>
          <w:sz w:val="20"/>
          <w:szCs w:val="20"/>
          <w:color w:val="auto"/>
        </w:rPr>
      </w:pPr>
    </w:p>
    <w:p>
      <w:pPr>
        <w:ind w:left="1300"/>
        <w:spacing w:after="0"/>
        <w:tabs>
          <w:tab w:leader="none" w:pos="2680" w:val="left"/>
        </w:tabs>
        <w:rPr>
          <w:sz w:val="20"/>
          <w:szCs w:val="20"/>
          <w:color w:val="auto"/>
        </w:rPr>
      </w:pPr>
      <w:r>
        <w:rPr>
          <w:rFonts w:ascii="Arial" w:cs="Arial" w:eastAsia="Arial" w:hAnsi="Arial"/>
          <w:sz w:val="22"/>
          <w:szCs w:val="22"/>
          <w:color w:val="auto"/>
        </w:rPr>
        <w:t>Section 16.6.</w:t>
      </w:r>
      <w:r>
        <w:rPr>
          <w:sz w:val="20"/>
          <w:szCs w:val="20"/>
          <w:color w:val="auto"/>
        </w:rPr>
        <w:tab/>
      </w:r>
      <w:r>
        <w:rPr>
          <w:rFonts w:ascii="Arial" w:cs="Arial" w:eastAsia="Arial" w:hAnsi="Arial"/>
          <w:sz w:val="19"/>
          <w:szCs w:val="19"/>
          <w:i w:val="1"/>
          <w:iCs w:val="1"/>
          <w:color w:val="auto"/>
        </w:rPr>
        <w:t>Optional Redemption</w:t>
      </w:r>
      <w:r>
        <w:rPr>
          <w:rFonts w:ascii="Arial" w:cs="Arial" w:eastAsia="Arial" w:hAnsi="Arial"/>
          <w:sz w:val="19"/>
          <w:szCs w:val="19"/>
          <w:color w:val="auto"/>
        </w:rPr>
        <w:t>.</w:t>
      </w:r>
    </w:p>
    <w:p>
      <w:pPr>
        <w:spacing w:after="0" w:line="233" w:lineRule="exact"/>
        <w:rPr>
          <w:sz w:val="20"/>
          <w:szCs w:val="20"/>
          <w:color w:val="auto"/>
        </w:rPr>
      </w:pPr>
    </w:p>
    <w:p>
      <w:pPr>
        <w:ind w:right="220" w:firstLine="1297"/>
        <w:spacing w:after="0" w:line="258" w:lineRule="auto"/>
        <w:rPr>
          <w:sz w:val="20"/>
          <w:szCs w:val="20"/>
          <w:color w:val="auto"/>
        </w:rPr>
      </w:pPr>
      <w:r>
        <w:rPr>
          <w:rFonts w:ascii="Arial" w:cs="Arial" w:eastAsia="Arial" w:hAnsi="Arial"/>
          <w:sz w:val="21"/>
          <w:szCs w:val="21"/>
          <w:color w:val="auto"/>
        </w:rPr>
        <w:t>The Partnership shall have the right at any time, and from time to time, on or after June 15, 2027 to redeem the Series A Preference Units, in whole or in part, from any source of funds legally available for such purpose. Any such redemption shall occur on a date set by the Board of Directors (the “</w:t>
      </w:r>
      <w:r>
        <w:rPr>
          <w:rFonts w:ascii="Arial" w:cs="Arial" w:eastAsia="Arial" w:hAnsi="Arial"/>
          <w:sz w:val="21"/>
          <w:szCs w:val="21"/>
          <w:b w:val="1"/>
          <w:bCs w:val="1"/>
          <w:i w:val="1"/>
          <w:iCs w:val="1"/>
          <w:color w:val="auto"/>
        </w:rPr>
        <w:t>Series A Redemption Date</w:t>
      </w:r>
      <w:r>
        <w:rPr>
          <w:rFonts w:ascii="Arial" w:cs="Arial" w:eastAsia="Arial" w:hAnsi="Arial"/>
          <w:sz w:val="21"/>
          <w:szCs w:val="21"/>
          <w:color w:val="auto"/>
        </w:rPr>
        <w:t>”).</w:t>
      </w:r>
    </w:p>
    <w:p>
      <w:pPr>
        <w:spacing w:after="0" w:line="194" w:lineRule="exact"/>
        <w:rPr>
          <w:sz w:val="20"/>
          <w:szCs w:val="20"/>
          <w:color w:val="auto"/>
        </w:rPr>
      </w:pPr>
    </w:p>
    <w:p>
      <w:pPr>
        <w:ind w:right="140" w:firstLine="1305"/>
        <w:spacing w:after="0" w:line="287" w:lineRule="auto"/>
        <w:tabs>
          <w:tab w:leader="none" w:pos="1803" w:val="left"/>
        </w:tabs>
        <w:numPr>
          <w:ilvl w:val="0"/>
          <w:numId w:val="107"/>
        </w:numPr>
        <w:rPr>
          <w:rFonts w:ascii="Arial" w:cs="Arial" w:eastAsia="Arial" w:hAnsi="Arial"/>
          <w:sz w:val="19"/>
          <w:szCs w:val="19"/>
          <w:color w:val="auto"/>
        </w:rPr>
      </w:pPr>
      <w:r>
        <w:rPr>
          <w:rFonts w:ascii="Arial" w:cs="Arial" w:eastAsia="Arial" w:hAnsi="Arial"/>
          <w:sz w:val="19"/>
          <w:szCs w:val="19"/>
          <w:color w:val="auto"/>
        </w:rPr>
        <w:t>The Partnership shall effect any such redemption by paying cash for each Series A Preference Unit to be redeemed equal to the Series A Liquidation Preference for such Series A Preference Unit on such Series A Redemption Date (the “</w:t>
      </w:r>
      <w:r>
        <w:rPr>
          <w:rFonts w:ascii="Arial" w:cs="Arial" w:eastAsia="Arial" w:hAnsi="Arial"/>
          <w:sz w:val="19"/>
          <w:szCs w:val="19"/>
          <w:b w:val="1"/>
          <w:bCs w:val="1"/>
          <w:i w:val="1"/>
          <w:iCs w:val="1"/>
          <w:color w:val="auto"/>
        </w:rPr>
        <w:t>Series A Redemption Price</w:t>
      </w:r>
      <w:r>
        <w:rPr>
          <w:rFonts w:ascii="Arial" w:cs="Arial" w:eastAsia="Arial" w:hAnsi="Arial"/>
          <w:sz w:val="19"/>
          <w:szCs w:val="19"/>
          <w:color w:val="auto"/>
        </w:rPr>
        <w:t>”). So long as the Series A Preference Units to be redeemed are held of record by the nominee of the Depository, the Series A Redemption Price shall be paid by the Paying Agent to the Depository on the Series A Redemption Date.</w:t>
      </w:r>
    </w:p>
    <w:p>
      <w:pPr>
        <w:spacing w:after="0" w:line="170" w:lineRule="exact"/>
        <w:rPr>
          <w:rFonts w:ascii="Arial" w:cs="Arial" w:eastAsia="Arial" w:hAnsi="Arial"/>
          <w:sz w:val="19"/>
          <w:szCs w:val="19"/>
          <w:color w:val="auto"/>
        </w:rPr>
      </w:pPr>
    </w:p>
    <w:p>
      <w:pPr>
        <w:ind w:firstLine="1305"/>
        <w:spacing w:after="0" w:line="245" w:lineRule="auto"/>
        <w:tabs>
          <w:tab w:leader="none" w:pos="1815" w:val="left"/>
        </w:tabs>
        <w:numPr>
          <w:ilvl w:val="0"/>
          <w:numId w:val="107"/>
        </w:numPr>
        <w:rPr>
          <w:rFonts w:ascii="Arial" w:cs="Arial" w:eastAsia="Arial" w:hAnsi="Arial"/>
          <w:sz w:val="21"/>
          <w:szCs w:val="21"/>
          <w:color w:val="auto"/>
        </w:rPr>
      </w:pPr>
      <w:r>
        <w:rPr>
          <w:rFonts w:ascii="Arial" w:cs="Arial" w:eastAsia="Arial" w:hAnsi="Arial"/>
          <w:sz w:val="21"/>
          <w:szCs w:val="21"/>
          <w:color w:val="auto"/>
        </w:rPr>
        <w:t>The Partnership shall give notice of any redemption by mail, postage prepaid, not less than 30 days and not more than 60 days before the scheduled Series A Redemption Date to the Series A Holders (as of 5:00 p.m. New York City time on the Business Day next preceding the day on which notice is given) of any Series A Preference Units to be redeemed as such Series A Holders’ names appear on the books of the Transfer Agent and at the address of such Series A Holders shown therein. Such notice (the “</w:t>
      </w:r>
      <w:r>
        <w:rPr>
          <w:rFonts w:ascii="Arial" w:cs="Arial" w:eastAsia="Arial" w:hAnsi="Arial"/>
          <w:sz w:val="21"/>
          <w:szCs w:val="21"/>
          <w:b w:val="1"/>
          <w:bCs w:val="1"/>
          <w:i w:val="1"/>
          <w:iCs w:val="1"/>
          <w:color w:val="auto"/>
        </w:rPr>
        <w:t>Series A Redemption Notice</w:t>
      </w:r>
      <w:r>
        <w:rPr>
          <w:rFonts w:ascii="Arial" w:cs="Arial" w:eastAsia="Arial" w:hAnsi="Arial"/>
          <w:sz w:val="21"/>
          <w:szCs w:val="21"/>
          <w:color w:val="auto"/>
        </w:rPr>
        <w:t>”) shall state, as applicable: (1) the Series A Redemption Date, (2) the number of Series A Preference Units to be redeemed and, if less than all Outstanding Series A Preference Units are to be redeemed, the number (and the identification) of Units to be redeemed from such Series A Holder, (3) the Series A Redemption Price, (4) the place where the Series A Preference Units are to be redeemed and shall be presented and surrendered for payment of the Series A Redemption Price therefor and (5) that distributions on the Units to be redeemed shall cease to accumulate from and after such Series A Redemption Date.</w:t>
      </w:r>
    </w:p>
    <w:p>
      <w:pPr>
        <w:spacing w:after="0" w:line="208" w:lineRule="exact"/>
        <w:rPr>
          <w:rFonts w:ascii="Arial" w:cs="Arial" w:eastAsia="Arial" w:hAnsi="Arial"/>
          <w:sz w:val="21"/>
          <w:szCs w:val="21"/>
          <w:color w:val="auto"/>
        </w:rPr>
      </w:pPr>
    </w:p>
    <w:p>
      <w:pPr>
        <w:ind w:right="140" w:firstLine="1305"/>
        <w:spacing w:after="0" w:line="252" w:lineRule="auto"/>
        <w:tabs>
          <w:tab w:leader="none" w:pos="1807" w:val="left"/>
        </w:tabs>
        <w:numPr>
          <w:ilvl w:val="0"/>
          <w:numId w:val="107"/>
        </w:numPr>
        <w:rPr>
          <w:rFonts w:ascii="Arial" w:cs="Arial" w:eastAsia="Arial" w:hAnsi="Arial"/>
          <w:sz w:val="21"/>
          <w:szCs w:val="21"/>
          <w:color w:val="auto"/>
        </w:rPr>
      </w:pPr>
      <w:r>
        <w:rPr>
          <w:rFonts w:ascii="Arial" w:cs="Arial" w:eastAsia="Arial" w:hAnsi="Arial"/>
          <w:sz w:val="21"/>
          <w:szCs w:val="21"/>
          <w:color w:val="auto"/>
        </w:rPr>
        <w:t>If the Partnership elects to redeem less than all of the Outstanding Series A Preference Units, the number of Series A Preference Units to be redeemed shall be determined by the Board of Directors, and such Series A Preference Units shall be redeemed by such method of selection as the Depository shall determine either Pro Rata or by lot, with adjustments to avoid redemption of fractional Series A Preference Units. The aggregate Series A</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402" w:right="259" w:bottom="1440" w:gutter="0" w:footer="0" w:header="0"/>
        </w:sectPr>
      </w:pPr>
    </w:p>
    <w:bookmarkStart w:id="96" w:name="page97"/>
    <w:bookmarkEnd w:id="96"/>
    <w:p>
      <w:pPr>
        <w:jc w:val="both"/>
        <w:ind w:right="40"/>
        <w:spacing w:after="0"/>
        <w:rPr>
          <w:sz w:val="20"/>
          <w:szCs w:val="20"/>
          <w:color w:val="auto"/>
        </w:rPr>
      </w:pPr>
      <w:r>
        <w:rPr>
          <w:rFonts w:ascii="Arial" w:cs="Arial" w:eastAsia="Arial" w:hAnsi="Arial"/>
          <w:sz w:val="22"/>
          <w:szCs w:val="22"/>
          <w:color w:val="auto"/>
        </w:rPr>
        <w:t xml:space="preserve">Redemption Price for any such partial redemption of the Outstanding Series A Preference Units shall be allocated correspondingly among the redeemed Series A Preference Units. The Series A Preference Units not redeemed shall remain Outstanding and entitled to all the rights and preferences provided in this </w:t>
      </w:r>
      <w:r>
        <w:rPr>
          <w:rFonts w:ascii="Arial" w:cs="Arial" w:eastAsia="Arial" w:hAnsi="Arial"/>
          <w:sz w:val="22"/>
          <w:szCs w:val="22"/>
          <w:u w:val="single" w:color="auto"/>
          <w:color w:val="auto"/>
        </w:rPr>
        <w:t>Article XVI</w:t>
      </w:r>
      <w:r>
        <w:rPr>
          <w:rFonts w:ascii="Arial" w:cs="Arial" w:eastAsia="Arial" w:hAnsi="Arial"/>
          <w:sz w:val="22"/>
          <w:szCs w:val="22"/>
          <w:color w:val="auto"/>
        </w:rPr>
        <w:t>.</w:t>
      </w:r>
    </w:p>
    <w:p>
      <w:pPr>
        <w:spacing w:after="0" w:line="213" w:lineRule="exact"/>
        <w:rPr>
          <w:sz w:val="20"/>
          <w:szCs w:val="20"/>
          <w:color w:val="auto"/>
        </w:rPr>
      </w:pPr>
    </w:p>
    <w:p>
      <w:pPr>
        <w:ind w:right="20" w:firstLine="1305"/>
        <w:spacing w:after="0" w:line="270" w:lineRule="auto"/>
        <w:tabs>
          <w:tab w:leader="none" w:pos="1819" w:val="left"/>
        </w:tabs>
        <w:numPr>
          <w:ilvl w:val="0"/>
          <w:numId w:val="108"/>
        </w:numPr>
        <w:rPr>
          <w:rFonts w:ascii="Arial" w:cs="Arial" w:eastAsia="Arial" w:hAnsi="Arial"/>
          <w:sz w:val="19"/>
          <w:szCs w:val="19"/>
          <w:color w:val="auto"/>
        </w:rPr>
      </w:pPr>
      <w:r>
        <w:rPr>
          <w:rFonts w:ascii="Arial" w:cs="Arial" w:eastAsia="Arial" w:hAnsi="Arial"/>
          <w:sz w:val="19"/>
          <w:szCs w:val="19"/>
          <w:color w:val="auto"/>
        </w:rPr>
        <w:t>If the Partnership gives or causes to be given a Series A Redemption Notice, the Partnership shall deposit with the Paying Agent funds, sufficient to redeem the Series A Preference Units, as to which such Series A Redemption Notice shall have been given, no later than 5:00 p.m. New York City time on the Business Day immediately preceding the Series A Redemption Date, and shall give the Paying Agent irrevocable instructions and authority to pay the Series A Redemption Price to the Series A Holders to be redeemed upon surrender or deemed surrender (which shall occur automatically if the Certificate representing such Series A Preference Units is issued in the name of the Depository or its nominee) of the Certificates therefor as set forth in the Series A Redemption Notice. If the Series A Redemption Notice shall have been given, from and after the Series A Redemption Date, unless the Partnership defaults in providing funds sufficient for such redemption at the time and place specified for payment pursuant to the Series A Redemption Notice, all Series A Distributions on such Series A Preference Units to be redeemed shall cease to accumulate and all rights of holders of such Series A Preference Units as Limited Partners with respect to such Series A Preference Units to be redeemed shall cease, except the right to receive the Series A Redemption Price, and such Series A Preference Units shall not thereafter be transferred on the books of the Transfer Agent or be deemed to be Outstanding for any purpose whatsoever. The Partnership shall be entitled to receive from the Paying Agent the interest income, if any, earned on such funds deposited with the Paying Agent (to the extent that such interest income is not required to pay the Series A Redemption Price of the Series A Preference Units to be redeemed), and the holders of any Series A Preference Units so redeemed shall have no claim to any such interest income. Any funds deposited with the Paying Agent hereunder by the Partnership for any reason, including redemption of Series A Preference Units, that remain unclaimed or unpaid after two years after the applicable Series A Redemption Date or other payment date, as applicable, shall be, to the extent permitted by law, repaid to the Partnership upon its written request, after which repayment the Series A Holders entitled to such redemption or other payment shall have recourse only to the Partnership. Notwithstanding any Series A Redemption Notice, there shall be no redemption of any Series A Preference Units called for redemption until funds sufficient to pay the full Series A Redemption Price of such Series A Preference Units shall have been deposited by the Partnership with the Paying Agent.</w:t>
      </w:r>
    </w:p>
    <w:p>
      <w:pPr>
        <w:spacing w:after="0" w:line="200" w:lineRule="exact"/>
        <w:rPr>
          <w:rFonts w:ascii="Arial" w:cs="Arial" w:eastAsia="Arial" w:hAnsi="Arial"/>
          <w:sz w:val="19"/>
          <w:szCs w:val="19"/>
          <w:color w:val="auto"/>
        </w:rPr>
      </w:pPr>
    </w:p>
    <w:p>
      <w:pPr>
        <w:spacing w:after="0" w:line="229" w:lineRule="exact"/>
        <w:rPr>
          <w:rFonts w:ascii="Arial" w:cs="Arial" w:eastAsia="Arial" w:hAnsi="Arial"/>
          <w:sz w:val="19"/>
          <w:szCs w:val="19"/>
          <w:color w:val="auto"/>
        </w:rPr>
      </w:pPr>
    </w:p>
    <w:p>
      <w:pPr>
        <w:ind w:firstLine="1305"/>
        <w:spacing w:after="0" w:line="248" w:lineRule="auto"/>
        <w:tabs>
          <w:tab w:leader="none" w:pos="1795" w:val="left"/>
        </w:tabs>
        <w:numPr>
          <w:ilvl w:val="0"/>
          <w:numId w:val="108"/>
        </w:numPr>
        <w:rPr>
          <w:rFonts w:ascii="Arial" w:cs="Arial" w:eastAsia="Arial" w:hAnsi="Arial"/>
          <w:sz w:val="21"/>
          <w:szCs w:val="21"/>
          <w:color w:val="auto"/>
        </w:rPr>
      </w:pPr>
      <w:r>
        <w:rPr>
          <w:rFonts w:ascii="Arial" w:cs="Arial" w:eastAsia="Arial" w:hAnsi="Arial"/>
          <w:sz w:val="21"/>
          <w:szCs w:val="21"/>
          <w:color w:val="auto"/>
        </w:rPr>
        <w:t>Any Series A Preference Units that are redeemed or otherwise acquired by the Partnership shall be canceled. If only a portion of the Series A Preference Units represented by a Certificate shall have been called for redemption, upon surrender of the Certificate to the Paying Agent (which shall occur automatically if the Certificate representing such Series A Preference Units is registered in the name of the Depository or its nominee), the Paying Agent shall issue to the Series A Holders a new Certificate (or adjust the applicable book-entry account) representing the number of Series A Preference Units represented by the surrendered Certificate that have not been called for redemption.</w:t>
      </w:r>
    </w:p>
    <w:p>
      <w:pPr>
        <w:spacing w:after="0" w:line="15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402" w:right="259" w:bottom="1440" w:gutter="0" w:footer="0" w:header="0"/>
        </w:sectPr>
      </w:pPr>
    </w:p>
    <w:bookmarkStart w:id="97" w:name="page98"/>
    <w:bookmarkEnd w:id="97"/>
    <w:p>
      <w:pPr>
        <w:ind w:right="20" w:firstLine="1305"/>
        <w:spacing w:after="0" w:line="275" w:lineRule="auto"/>
        <w:tabs>
          <w:tab w:leader="none" w:pos="1783" w:val="left"/>
        </w:tabs>
        <w:numPr>
          <w:ilvl w:val="0"/>
          <w:numId w:val="109"/>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in this </w:t>
      </w:r>
      <w:r>
        <w:rPr>
          <w:rFonts w:ascii="Arial" w:cs="Arial" w:eastAsia="Arial" w:hAnsi="Arial"/>
          <w:sz w:val="19"/>
          <w:szCs w:val="19"/>
          <w:u w:val="single" w:color="auto"/>
          <w:color w:val="auto"/>
        </w:rPr>
        <w:t>Article XVI</w:t>
      </w:r>
      <w:r>
        <w:rPr>
          <w:rFonts w:ascii="Arial" w:cs="Arial" w:eastAsia="Arial" w:hAnsi="Arial"/>
          <w:sz w:val="19"/>
          <w:szCs w:val="19"/>
          <w:color w:val="auto"/>
        </w:rPr>
        <w:t>, in the event that full cumulative distributions on the Series A Preference Units and any other Parity Securities shall not have been paid or declared and set apart for payment, none of the Partnership, the General Partner or any Affiliate of the General Partner shall be permitted to repurchase, redeem or otherwise acquire, in whole or in part, any Series A Preference Units or other Parity Securities except pursuant to a purchase or exchange offer made on the same terms to all Series A Holders and holders of any other Parity Securities. None of the Partnership, the General Partner or any Affiliate of the General Partner shall be permitted to redeem, repurchase or otherwise acquire any Common Units or any other Junior Securities unless full cumulative distributions on the Series A Preference Units and any other Parity Securities for all prior and the then-ending Series A Distribution Periods shall have been paid or declared and set apart for payment.</w:t>
      </w:r>
    </w:p>
    <w:p>
      <w:pPr>
        <w:spacing w:after="0" w:line="185" w:lineRule="exact"/>
        <w:rPr>
          <w:sz w:val="20"/>
          <w:szCs w:val="20"/>
          <w:color w:val="auto"/>
        </w:rPr>
      </w:pPr>
    </w:p>
    <w:p>
      <w:pPr>
        <w:ind w:left="1300"/>
        <w:spacing w:after="0"/>
        <w:tabs>
          <w:tab w:leader="none" w:pos="2680" w:val="left"/>
        </w:tabs>
        <w:rPr>
          <w:sz w:val="20"/>
          <w:szCs w:val="20"/>
          <w:color w:val="auto"/>
        </w:rPr>
      </w:pPr>
      <w:r>
        <w:rPr>
          <w:rFonts w:ascii="Arial" w:cs="Arial" w:eastAsia="Arial" w:hAnsi="Arial"/>
          <w:sz w:val="22"/>
          <w:szCs w:val="22"/>
          <w:color w:val="auto"/>
        </w:rPr>
        <w:t>Section 16.7.</w:t>
      </w:r>
      <w:r>
        <w:rPr>
          <w:sz w:val="20"/>
          <w:szCs w:val="20"/>
          <w:color w:val="auto"/>
        </w:rPr>
        <w:tab/>
      </w:r>
      <w:r>
        <w:rPr>
          <w:rFonts w:ascii="Arial" w:cs="Arial" w:eastAsia="Arial" w:hAnsi="Arial"/>
          <w:sz w:val="19"/>
          <w:szCs w:val="19"/>
          <w:i w:val="1"/>
          <w:iCs w:val="1"/>
          <w:color w:val="auto"/>
        </w:rPr>
        <w:t>Rank</w:t>
      </w:r>
      <w:r>
        <w:rPr>
          <w:rFonts w:ascii="Arial" w:cs="Arial" w:eastAsia="Arial" w:hAnsi="Arial"/>
          <w:sz w:val="19"/>
          <w:szCs w:val="19"/>
          <w:color w:val="auto"/>
        </w:rPr>
        <w:t>. The Series A Preference Units shall each be deemed to rank:</w:t>
      </w:r>
    </w:p>
    <w:p>
      <w:pPr>
        <w:spacing w:after="0" w:line="233" w:lineRule="exact"/>
        <w:rPr>
          <w:sz w:val="20"/>
          <w:szCs w:val="20"/>
          <w:color w:val="auto"/>
        </w:rPr>
      </w:pPr>
    </w:p>
    <w:p>
      <w:pPr>
        <w:ind w:right="120" w:firstLine="1305"/>
        <w:spacing w:after="0" w:line="236" w:lineRule="auto"/>
        <w:tabs>
          <w:tab w:leader="none" w:pos="1807" w:val="left"/>
        </w:tabs>
        <w:numPr>
          <w:ilvl w:val="0"/>
          <w:numId w:val="110"/>
        </w:numPr>
        <w:rPr>
          <w:rFonts w:ascii="Arial" w:cs="Arial" w:eastAsia="Arial" w:hAnsi="Arial"/>
          <w:sz w:val="22"/>
          <w:szCs w:val="22"/>
          <w:color w:val="auto"/>
        </w:rPr>
      </w:pPr>
      <w:r>
        <w:rPr>
          <w:rFonts w:ascii="Arial" w:cs="Arial" w:eastAsia="Arial" w:hAnsi="Arial"/>
          <w:sz w:val="22"/>
          <w:szCs w:val="22"/>
          <w:color w:val="auto"/>
        </w:rPr>
        <w:t>senior to (i) the Common Units and the Subordinated Units and (ii) any other class or series of Partnership Interests established after the Series A Original Issue Date by the Board of Directors, the terms of which class or series do not expressly provide that it is made senior to or on parity with the Series A Preference Units as to distributions and distributions upon any Liquidation Event (collectively referred to with the Partnership’s Common Units and Subordinated Units as “</w:t>
      </w:r>
      <w:r>
        <w:rPr>
          <w:rFonts w:ascii="Arial" w:cs="Arial" w:eastAsia="Arial" w:hAnsi="Arial"/>
          <w:sz w:val="22"/>
          <w:szCs w:val="22"/>
          <w:b w:val="1"/>
          <w:bCs w:val="1"/>
          <w:i w:val="1"/>
          <w:iCs w:val="1"/>
          <w:color w:val="auto"/>
        </w:rPr>
        <w:t>Junior</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Securities</w:t>
      </w:r>
      <w:r>
        <w:rPr>
          <w:rFonts w:ascii="Arial" w:cs="Arial" w:eastAsia="Arial" w:hAnsi="Arial"/>
          <w:sz w:val="22"/>
          <w:szCs w:val="22"/>
          <w:color w:val="auto"/>
        </w:rPr>
        <w:t>”);</w:t>
      </w:r>
    </w:p>
    <w:p>
      <w:pPr>
        <w:spacing w:after="0" w:line="214" w:lineRule="exact"/>
        <w:rPr>
          <w:rFonts w:ascii="Arial" w:cs="Arial" w:eastAsia="Arial" w:hAnsi="Arial"/>
          <w:sz w:val="22"/>
          <w:szCs w:val="22"/>
          <w:color w:val="auto"/>
        </w:rPr>
      </w:pPr>
    </w:p>
    <w:p>
      <w:pPr>
        <w:ind w:right="200" w:firstLine="1305"/>
        <w:spacing w:after="0" w:line="238" w:lineRule="auto"/>
        <w:tabs>
          <w:tab w:leader="none" w:pos="1819" w:val="left"/>
        </w:tabs>
        <w:numPr>
          <w:ilvl w:val="0"/>
          <w:numId w:val="110"/>
        </w:numPr>
        <w:rPr>
          <w:rFonts w:ascii="Arial" w:cs="Arial" w:eastAsia="Arial" w:hAnsi="Arial"/>
          <w:sz w:val="22"/>
          <w:szCs w:val="22"/>
          <w:color w:val="auto"/>
        </w:rPr>
      </w:pPr>
      <w:r>
        <w:rPr>
          <w:rFonts w:ascii="Arial" w:cs="Arial" w:eastAsia="Arial" w:hAnsi="Arial"/>
          <w:sz w:val="22"/>
          <w:szCs w:val="22"/>
          <w:color w:val="auto"/>
        </w:rPr>
        <w:t>on a parity with any other class or series of Partnership Interests established after the Series A Original Issue Date by the Board of Directors, the terms of which class or series are not expressly subordinated or senior to the Series A Preference Units as to distributions and distributions upon any Liquidation Event (collectively referred to as “</w:t>
      </w:r>
      <w:r>
        <w:rPr>
          <w:rFonts w:ascii="Arial" w:cs="Arial" w:eastAsia="Arial" w:hAnsi="Arial"/>
          <w:sz w:val="22"/>
          <w:szCs w:val="22"/>
          <w:b w:val="1"/>
          <w:bCs w:val="1"/>
          <w:i w:val="1"/>
          <w:iCs w:val="1"/>
          <w:color w:val="auto"/>
        </w:rPr>
        <w:t>Parity Securities</w:t>
      </w:r>
      <w:r>
        <w:rPr>
          <w:rFonts w:ascii="Arial" w:cs="Arial" w:eastAsia="Arial" w:hAnsi="Arial"/>
          <w:sz w:val="22"/>
          <w:szCs w:val="22"/>
          <w:color w:val="auto"/>
        </w:rPr>
        <w:t>”); and</w:t>
      </w:r>
    </w:p>
    <w:p>
      <w:pPr>
        <w:spacing w:after="0" w:line="212" w:lineRule="exact"/>
        <w:rPr>
          <w:rFonts w:ascii="Arial" w:cs="Arial" w:eastAsia="Arial" w:hAnsi="Arial"/>
          <w:sz w:val="22"/>
          <w:szCs w:val="22"/>
          <w:color w:val="auto"/>
        </w:rPr>
      </w:pPr>
    </w:p>
    <w:p>
      <w:pPr>
        <w:jc w:val="both"/>
        <w:ind w:right="280" w:firstLine="1305"/>
        <w:spacing w:after="0" w:line="297" w:lineRule="auto"/>
        <w:tabs>
          <w:tab w:leader="none" w:pos="1807" w:val="left"/>
        </w:tabs>
        <w:numPr>
          <w:ilvl w:val="0"/>
          <w:numId w:val="110"/>
        </w:numPr>
        <w:rPr>
          <w:rFonts w:ascii="Arial" w:cs="Arial" w:eastAsia="Arial" w:hAnsi="Arial"/>
          <w:sz w:val="19"/>
          <w:szCs w:val="19"/>
          <w:color w:val="auto"/>
        </w:rPr>
      </w:pPr>
      <w:r>
        <w:rPr>
          <w:rFonts w:ascii="Arial" w:cs="Arial" w:eastAsia="Arial" w:hAnsi="Arial"/>
          <w:sz w:val="19"/>
          <w:szCs w:val="19"/>
          <w:color w:val="auto"/>
        </w:rPr>
        <w:t>junior to any class or series of Partnership Interests established after the Series A Original Issue Date by the Board of Directors, the terms of which class or series expressly provide that it ranks senior to the Series A Preference Units as to distributions and distributions upon any Liquidation Event (collectively referred to as “</w:t>
      </w:r>
      <w:r>
        <w:rPr>
          <w:rFonts w:ascii="Arial" w:cs="Arial" w:eastAsia="Arial" w:hAnsi="Arial"/>
          <w:sz w:val="19"/>
          <w:szCs w:val="19"/>
          <w:b w:val="1"/>
          <w:bCs w:val="1"/>
          <w:i w:val="1"/>
          <w:iCs w:val="1"/>
          <w:color w:val="auto"/>
        </w:rPr>
        <w:t>Senior Securities</w:t>
      </w:r>
      <w:r>
        <w:rPr>
          <w:rFonts w:ascii="Arial" w:cs="Arial" w:eastAsia="Arial" w:hAnsi="Arial"/>
          <w:sz w:val="19"/>
          <w:szCs w:val="19"/>
          <w:color w:val="auto"/>
        </w:rPr>
        <w:t>”).</w:t>
      </w:r>
    </w:p>
    <w:p>
      <w:pPr>
        <w:spacing w:after="0" w:line="161"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19"/>
          <w:szCs w:val="19"/>
          <w:color w:val="auto"/>
        </w:rPr>
        <w:t xml:space="preserve">The Partnership may issue Junior Securities and, subject to any approvals required by Series A Holders pursuant to </w:t>
      </w:r>
      <w:r>
        <w:rPr>
          <w:rFonts w:ascii="Arial" w:cs="Arial" w:eastAsia="Arial" w:hAnsi="Arial"/>
          <w:sz w:val="19"/>
          <w:szCs w:val="19"/>
          <w:u w:val="single" w:color="auto"/>
          <w:color w:val="auto"/>
        </w:rPr>
        <w:t>Section 16.5(c)(ii)</w:t>
      </w:r>
      <w:r>
        <w:rPr>
          <w:rFonts w:ascii="Arial" w:cs="Arial" w:eastAsia="Arial" w:hAnsi="Arial"/>
          <w:sz w:val="19"/>
          <w:szCs w:val="19"/>
          <w:color w:val="auto"/>
        </w:rPr>
        <w:t>, Parity Securities from time to time in one or more classes or series without the consent of the Series A Holders. The Board of Directors has the authority to determine the preferences, powers, qualifications, limitations, restrictions and special or relative rights or privileges, if any, of any such class or series before the issuance of any Partnership Interests of such class or series.</w:t>
      </w:r>
    </w:p>
    <w:p>
      <w:pPr>
        <w:spacing w:after="0" w:line="170" w:lineRule="exact"/>
        <w:rPr>
          <w:sz w:val="20"/>
          <w:szCs w:val="20"/>
          <w:color w:val="auto"/>
        </w:rPr>
      </w:pPr>
    </w:p>
    <w:p>
      <w:pPr>
        <w:ind w:left="1300"/>
        <w:spacing w:after="0"/>
        <w:tabs>
          <w:tab w:leader="none" w:pos="2680" w:val="left"/>
        </w:tabs>
        <w:rPr>
          <w:sz w:val="20"/>
          <w:szCs w:val="20"/>
          <w:color w:val="auto"/>
        </w:rPr>
      </w:pPr>
      <w:r>
        <w:rPr>
          <w:rFonts w:ascii="Arial" w:cs="Arial" w:eastAsia="Arial" w:hAnsi="Arial"/>
          <w:sz w:val="22"/>
          <w:szCs w:val="22"/>
          <w:color w:val="auto"/>
        </w:rPr>
        <w:t>Section 16.8.</w:t>
      </w:r>
      <w:r>
        <w:rPr>
          <w:sz w:val="20"/>
          <w:szCs w:val="20"/>
          <w:color w:val="auto"/>
        </w:rPr>
        <w:tab/>
      </w:r>
      <w:r>
        <w:rPr>
          <w:rFonts w:ascii="Arial" w:cs="Arial" w:eastAsia="Arial" w:hAnsi="Arial"/>
          <w:sz w:val="19"/>
          <w:szCs w:val="19"/>
          <w:i w:val="1"/>
          <w:iCs w:val="1"/>
          <w:color w:val="auto"/>
        </w:rPr>
        <w:t>No Sinking Fund</w:t>
      </w:r>
      <w:r>
        <w:rPr>
          <w:rFonts w:ascii="Arial" w:cs="Arial" w:eastAsia="Arial" w:hAnsi="Arial"/>
          <w:sz w:val="19"/>
          <w:szCs w:val="19"/>
          <w:color w:val="auto"/>
        </w:rPr>
        <w:t>. The Series A Preference Units shall not have the benefit of any sinking fund.</w:t>
      </w:r>
    </w:p>
    <w:p>
      <w:pPr>
        <w:spacing w:after="0" w:line="233" w:lineRule="exact"/>
        <w:rPr>
          <w:sz w:val="20"/>
          <w:szCs w:val="20"/>
          <w:color w:val="auto"/>
        </w:rPr>
      </w:pPr>
    </w:p>
    <w:p>
      <w:pPr>
        <w:ind w:right="140" w:firstLine="1297"/>
        <w:spacing w:after="0"/>
        <w:rPr>
          <w:sz w:val="20"/>
          <w:szCs w:val="20"/>
          <w:color w:val="auto"/>
        </w:rPr>
      </w:pPr>
      <w:r>
        <w:rPr>
          <w:rFonts w:ascii="Arial" w:cs="Arial" w:eastAsia="Arial" w:hAnsi="Arial"/>
          <w:sz w:val="22"/>
          <w:szCs w:val="22"/>
          <w:color w:val="auto"/>
        </w:rPr>
        <w:t xml:space="preserve">Section 16.9. </w:t>
      </w:r>
      <w:r>
        <w:rPr>
          <w:rFonts w:ascii="Arial" w:cs="Arial" w:eastAsia="Arial" w:hAnsi="Arial"/>
          <w:sz w:val="22"/>
          <w:szCs w:val="22"/>
          <w:i w:val="1"/>
          <w:iCs w:val="1"/>
          <w:color w:val="auto"/>
        </w:rPr>
        <w:t>Record Holders</w:t>
      </w:r>
      <w:r>
        <w:rPr>
          <w:rFonts w:ascii="Arial" w:cs="Arial" w:eastAsia="Arial" w:hAnsi="Arial"/>
          <w:sz w:val="22"/>
          <w:szCs w:val="22"/>
          <w:color w:val="auto"/>
        </w:rPr>
        <w:t>. To the fullest extent permitted by applicable law, the General Partner, Partnership, the Transfer Agent and the Paying Agent may deem and treat any Series A Holder as the true, lawful and absolute owner of the applicable Series A Preference</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98" w:name="page99"/>
    <w:bookmarkEnd w:id="98"/>
    <w:p>
      <w:pPr>
        <w:ind w:right="20"/>
        <w:spacing w:after="0" w:line="251" w:lineRule="auto"/>
        <w:rPr>
          <w:sz w:val="20"/>
          <w:szCs w:val="20"/>
          <w:color w:val="auto"/>
        </w:rPr>
      </w:pPr>
      <w:r>
        <w:rPr>
          <w:rFonts w:ascii="Arial" w:cs="Arial" w:eastAsia="Arial" w:hAnsi="Arial"/>
          <w:sz w:val="22"/>
          <w:szCs w:val="22"/>
          <w:color w:val="auto"/>
        </w:rPr>
        <w:t>Units for all purposes, and neither the General Partner, the Partnership nor the Transfer Agent or the Paying Agent shall be affected by any notice to the contrary.</w:t>
      </w:r>
    </w:p>
    <w:p>
      <w:pPr>
        <w:spacing w:after="0" w:line="200" w:lineRule="exact"/>
        <w:rPr>
          <w:sz w:val="20"/>
          <w:szCs w:val="20"/>
          <w:color w:val="auto"/>
        </w:rPr>
      </w:pPr>
    </w:p>
    <w:p>
      <w:pPr>
        <w:ind w:firstLine="1297"/>
        <w:spacing w:after="0"/>
        <w:rPr>
          <w:sz w:val="20"/>
          <w:szCs w:val="20"/>
          <w:color w:val="auto"/>
        </w:rPr>
      </w:pPr>
      <w:r>
        <w:rPr>
          <w:rFonts w:ascii="Arial" w:cs="Arial" w:eastAsia="Arial" w:hAnsi="Arial"/>
          <w:sz w:val="22"/>
          <w:szCs w:val="22"/>
          <w:color w:val="auto"/>
        </w:rPr>
        <w:t xml:space="preserve">Section 16.10. </w:t>
      </w:r>
      <w:r>
        <w:rPr>
          <w:rFonts w:ascii="Arial" w:cs="Arial" w:eastAsia="Arial" w:hAnsi="Arial"/>
          <w:sz w:val="22"/>
          <w:szCs w:val="22"/>
          <w:i w:val="1"/>
          <w:iCs w:val="1"/>
          <w:color w:val="auto"/>
        </w:rPr>
        <w:t>Notices</w:t>
      </w:r>
      <w:r>
        <w:rPr>
          <w:rFonts w:ascii="Arial" w:cs="Arial" w:eastAsia="Arial" w:hAnsi="Arial"/>
          <w:sz w:val="22"/>
          <w:szCs w:val="22"/>
          <w:color w:val="auto"/>
        </w:rPr>
        <w:t xml:space="preserve">. All notices or communications in respect of the Series A Preference Units shall be sufficiently given if given in writing and delivered in person or by first class mail, postage prepaid, or if given in such other manner as may be permitted in this Article </w:t>
      </w:r>
      <w:r>
        <w:rPr>
          <w:rFonts w:ascii="Arial" w:cs="Arial" w:eastAsia="Arial" w:hAnsi="Arial"/>
          <w:sz w:val="22"/>
          <w:szCs w:val="22"/>
          <w:u w:val="single" w:color="auto"/>
          <w:color w:val="auto"/>
        </w:rPr>
        <w:t>XVI</w:t>
      </w:r>
      <w:r>
        <w:rPr>
          <w:rFonts w:ascii="Arial" w:cs="Arial" w:eastAsia="Arial" w:hAnsi="Arial"/>
          <w:sz w:val="22"/>
          <w:szCs w:val="22"/>
          <w:color w:val="auto"/>
        </w:rPr>
        <w:t>, this Agreement or by applicable law.</w:t>
      </w:r>
    </w:p>
    <w:p>
      <w:pPr>
        <w:spacing w:after="0" w:line="213" w:lineRule="exact"/>
        <w:rPr>
          <w:sz w:val="20"/>
          <w:szCs w:val="20"/>
          <w:color w:val="auto"/>
        </w:rPr>
      </w:pPr>
    </w:p>
    <w:p>
      <w:pPr>
        <w:ind w:right="40" w:firstLine="1297"/>
        <w:spacing w:after="0" w:line="282" w:lineRule="auto"/>
        <w:rPr>
          <w:sz w:val="20"/>
          <w:szCs w:val="20"/>
          <w:color w:val="auto"/>
        </w:rPr>
      </w:pPr>
      <w:r>
        <w:rPr>
          <w:rFonts w:ascii="Arial" w:cs="Arial" w:eastAsia="Arial" w:hAnsi="Arial"/>
          <w:sz w:val="19"/>
          <w:szCs w:val="19"/>
          <w:color w:val="auto"/>
        </w:rPr>
        <w:t xml:space="preserve">Section 16.11. </w:t>
      </w:r>
      <w:r>
        <w:rPr>
          <w:rFonts w:ascii="Arial" w:cs="Arial" w:eastAsia="Arial" w:hAnsi="Arial"/>
          <w:sz w:val="19"/>
          <w:szCs w:val="19"/>
          <w:i w:val="1"/>
          <w:iCs w:val="1"/>
          <w:color w:val="auto"/>
        </w:rPr>
        <w:t>Other Rights; Fiduciary Duties</w:t>
      </w:r>
      <w:r>
        <w:rPr>
          <w:rFonts w:ascii="Arial" w:cs="Arial" w:eastAsia="Arial" w:hAnsi="Arial"/>
          <w:sz w:val="19"/>
          <w:szCs w:val="19"/>
          <w:color w:val="auto"/>
        </w:rPr>
        <w:t xml:space="preserve">. The Series A Preference Units shall not have any voting powers, preferences or relative, participating, optional or other special rights, or qualifications, limitations or restrictions thereof, other than as set forth in this </w:t>
      </w:r>
      <w:r>
        <w:rPr>
          <w:rFonts w:ascii="Arial" w:cs="Arial" w:eastAsia="Arial" w:hAnsi="Arial"/>
          <w:sz w:val="19"/>
          <w:szCs w:val="19"/>
          <w:u w:val="single" w:color="auto"/>
          <w:color w:val="auto"/>
        </w:rPr>
        <w:t>Article XVI</w:t>
      </w:r>
      <w:r>
        <w:rPr>
          <w:rFonts w:ascii="Arial" w:cs="Arial" w:eastAsia="Arial" w:hAnsi="Arial"/>
          <w:sz w:val="19"/>
          <w:szCs w:val="19"/>
          <w:color w:val="auto"/>
        </w:rPr>
        <w:t xml:space="preserve"> or as provided by applicable law. Notwithstanding anything to the contrary in this Agreement, but subject to </w:t>
      </w:r>
      <w:r>
        <w:rPr>
          <w:rFonts w:ascii="Arial" w:cs="Arial" w:eastAsia="Arial" w:hAnsi="Arial"/>
          <w:sz w:val="19"/>
          <w:szCs w:val="19"/>
          <w:u w:val="single" w:color="auto"/>
          <w:color w:val="auto"/>
        </w:rPr>
        <w:t>Section 7.17(c)</w:t>
      </w:r>
      <w:r>
        <w:rPr>
          <w:rFonts w:ascii="Arial" w:cs="Arial" w:eastAsia="Arial" w:hAnsi="Arial"/>
          <w:sz w:val="19"/>
          <w:szCs w:val="19"/>
          <w:color w:val="auto"/>
        </w:rPr>
        <w:t xml:space="preserve"> and without reference to the definition of “good faith” in </w:t>
      </w:r>
      <w:r>
        <w:rPr>
          <w:rFonts w:ascii="Arial" w:cs="Arial" w:eastAsia="Arial" w:hAnsi="Arial"/>
          <w:sz w:val="19"/>
          <w:szCs w:val="19"/>
          <w:u w:val="single" w:color="auto"/>
          <w:color w:val="auto"/>
        </w:rPr>
        <w:t>Section 7.17(b)</w:t>
      </w:r>
      <w:r>
        <w:rPr>
          <w:rFonts w:ascii="Arial" w:cs="Arial" w:eastAsia="Arial" w:hAnsi="Arial"/>
          <w:sz w:val="19"/>
          <w:szCs w:val="19"/>
          <w:color w:val="auto"/>
        </w:rPr>
        <w:t>, neither the General Partner nor any other Indemnitee shall owe any fiduciary duties to Series A Holders, other than the implied duty of good faith and fair dealing.</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ARTICLE XVII</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GENERAL PROVISIONS</w:t>
      </w:r>
    </w:p>
    <w:p>
      <w:pPr>
        <w:spacing w:after="0" w:line="215" w:lineRule="exact"/>
        <w:rPr>
          <w:sz w:val="20"/>
          <w:szCs w:val="20"/>
          <w:color w:val="auto"/>
        </w:rPr>
      </w:pPr>
    </w:p>
    <w:p>
      <w:pPr>
        <w:ind w:firstLine="1297"/>
        <w:spacing w:after="0" w:line="270" w:lineRule="auto"/>
        <w:rPr>
          <w:sz w:val="20"/>
          <w:szCs w:val="20"/>
          <w:color w:val="auto"/>
        </w:rPr>
      </w:pPr>
      <w:r>
        <w:rPr>
          <w:rFonts w:ascii="Arial" w:cs="Arial" w:eastAsia="Arial" w:hAnsi="Arial"/>
          <w:sz w:val="19"/>
          <w:szCs w:val="19"/>
          <w:color w:val="auto"/>
        </w:rPr>
        <w:t xml:space="preserve">Section 17.1. </w:t>
      </w:r>
      <w:r>
        <w:rPr>
          <w:rFonts w:ascii="Arial" w:cs="Arial" w:eastAsia="Arial" w:hAnsi="Arial"/>
          <w:sz w:val="19"/>
          <w:szCs w:val="19"/>
          <w:i w:val="1"/>
          <w:iCs w:val="1"/>
          <w:color w:val="auto"/>
        </w:rPr>
        <w:t>Addresses and Notices</w:t>
      </w:r>
      <w:r>
        <w:rPr>
          <w:rFonts w:ascii="Arial" w:cs="Arial" w:eastAsia="Arial" w:hAnsi="Arial"/>
          <w:sz w:val="19"/>
          <w:szCs w:val="19"/>
          <w:color w:val="auto"/>
        </w:rPr>
        <w:t xml:space="preserve">. (a) Any notice, demand, request, report or proxy materials required or permitted to be given or made to a Partner under this Agreement shall be in writing and shall be deemed given or made when delivered in person or when sent by first class United States mail or by other means of written communication to the Partner at the address described below. Any notice, payment or report to be given or made to a Partner hereunder shall be deemed conclusively to have been given or made, and the obligation to give such notice or report or to make such payment shall be deemed conclusively to have been fully satisfied, upon sending of such notice, payment or report to the Record Holder of such Partnership Interests at his address as shown on the records of the Transfer Agent or as otherwise shown on the records of the Partnership, regardless of any claim of any Person who may have an interest in such Partnership Interests by reason of any assignment or otherwise. An affidavit or certificate of making of any notice, payment or report in accordance with the provisions of this </w:t>
      </w:r>
      <w:r>
        <w:rPr>
          <w:rFonts w:ascii="Arial" w:cs="Arial" w:eastAsia="Arial" w:hAnsi="Arial"/>
          <w:sz w:val="19"/>
          <w:szCs w:val="19"/>
          <w:u w:val="single" w:color="auto"/>
          <w:color w:val="auto"/>
        </w:rPr>
        <w:t>Section 17.1</w:t>
      </w:r>
      <w:r>
        <w:rPr>
          <w:rFonts w:ascii="Arial" w:cs="Arial" w:eastAsia="Arial" w:hAnsi="Arial"/>
          <w:sz w:val="19"/>
          <w:szCs w:val="19"/>
          <w:color w:val="auto"/>
        </w:rPr>
        <w:t xml:space="preserve"> executed by a member of the Board of Directors, the General Partner, the Transfer Agent or the mailing organization shall be prima facie evidence of the giving or making of such notice, payment or report. If any notice, payment or report addressed to a Record Holder at the address of such Record Holder appearing on the books and records of the Transfer Agent or the Partnership is returned by the United States Postal Service marked to indicate that the United States Postal Service is unable to deliver it, such notice, payment or report and any subsequent notices, payments and reports shall be deemed to have been duly given or made without further mailing (until such time as such Record Holder or another Person notifies the Transfer Agent or the Partnership of a change in his address) if they are available for the Partner at the principal office of the Partnership for a period of one year from the date of the giving or making of such notice, payment or report to the other Partners. Any notice to the Partnership shall be deemed given if received by the General Partner or the Board of Directors at the principal office of the Partnership designated pursuant to </w:t>
      </w:r>
      <w:r>
        <w:rPr>
          <w:rFonts w:ascii="Arial" w:cs="Arial" w:eastAsia="Arial" w:hAnsi="Arial"/>
          <w:sz w:val="19"/>
          <w:szCs w:val="19"/>
          <w:u w:val="single" w:color="auto"/>
          <w:color w:val="auto"/>
        </w:rPr>
        <w:t>Section 2.3</w:t>
      </w:r>
      <w:r>
        <w:rPr>
          <w:rFonts w:ascii="Arial" w:cs="Arial" w:eastAsia="Arial" w:hAnsi="Arial"/>
          <w:sz w:val="19"/>
          <w:szCs w:val="19"/>
          <w:color w:val="auto"/>
        </w:rPr>
        <w:t>. The General Partner and the Board of Directors may rely and shall be protected in relying on any notice or other document from a Partner or other Person if believed by it to be genuine.</w:t>
      </w: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80"/>
          </w:cols>
          <w:pgMar w:left="240" w:top="402" w:right="279" w:bottom="1440" w:gutter="0" w:footer="0" w:header="0"/>
        </w:sectPr>
      </w:pPr>
    </w:p>
    <w:bookmarkStart w:id="99" w:name="page100"/>
    <w:bookmarkEnd w:id="99"/>
    <w:p>
      <w:pPr>
        <w:ind w:right="560" w:firstLine="1305"/>
        <w:spacing w:after="0" w:line="251" w:lineRule="auto"/>
        <w:tabs>
          <w:tab w:leader="none" w:pos="1815" w:val="left"/>
        </w:tabs>
        <w:numPr>
          <w:ilvl w:val="0"/>
          <w:numId w:val="111"/>
        </w:numPr>
        <w:rPr>
          <w:rFonts w:ascii="Arial" w:cs="Arial" w:eastAsia="Arial" w:hAnsi="Arial"/>
          <w:sz w:val="22"/>
          <w:szCs w:val="22"/>
          <w:color w:val="auto"/>
        </w:rPr>
      </w:pPr>
      <w:r>
        <w:rPr>
          <w:rFonts w:ascii="Arial" w:cs="Arial" w:eastAsia="Arial" w:hAnsi="Arial"/>
          <w:sz w:val="22"/>
          <w:szCs w:val="22"/>
          <w:color w:val="auto"/>
        </w:rPr>
        <w:t>The terms “in writing,” “written communications,” “written notice” and words of similar import shall be deemed satisfied under this Agreement by use of e-mail and other forms of electronic communication.</w:t>
      </w:r>
    </w:p>
    <w:p>
      <w:pPr>
        <w:spacing w:after="0" w:line="200" w:lineRule="exact"/>
        <w:rPr>
          <w:sz w:val="20"/>
          <w:szCs w:val="20"/>
          <w:color w:val="auto"/>
        </w:rPr>
      </w:pPr>
    </w:p>
    <w:p>
      <w:pPr>
        <w:ind w:firstLine="1297"/>
        <w:spacing w:after="0" w:line="274" w:lineRule="auto"/>
        <w:rPr>
          <w:sz w:val="20"/>
          <w:szCs w:val="20"/>
          <w:color w:val="auto"/>
        </w:rPr>
      </w:pPr>
      <w:r>
        <w:rPr>
          <w:rFonts w:ascii="Arial" w:cs="Arial" w:eastAsia="Arial" w:hAnsi="Arial"/>
          <w:sz w:val="21"/>
          <w:szCs w:val="21"/>
          <w:color w:val="auto"/>
        </w:rPr>
        <w:t xml:space="preserve">Section 17.2. </w:t>
      </w:r>
      <w:r>
        <w:rPr>
          <w:rFonts w:ascii="Arial" w:cs="Arial" w:eastAsia="Arial" w:hAnsi="Arial"/>
          <w:sz w:val="21"/>
          <w:szCs w:val="21"/>
          <w:i w:val="1"/>
          <w:iCs w:val="1"/>
          <w:color w:val="auto"/>
        </w:rPr>
        <w:t>Further Action</w:t>
      </w:r>
      <w:r>
        <w:rPr>
          <w:rFonts w:ascii="Arial" w:cs="Arial" w:eastAsia="Arial" w:hAnsi="Arial"/>
          <w:sz w:val="21"/>
          <w:szCs w:val="21"/>
          <w:color w:val="auto"/>
        </w:rPr>
        <w:t>. The parties shall execute and deliver all documents, provide all information and take or refrain from taking action as may be necessary or appropriate to achieve the purposes of this Agreement.</w:t>
      </w:r>
    </w:p>
    <w:p>
      <w:pPr>
        <w:spacing w:after="0" w:line="178" w:lineRule="exact"/>
        <w:rPr>
          <w:sz w:val="20"/>
          <w:szCs w:val="20"/>
          <w:color w:val="auto"/>
        </w:rPr>
      </w:pPr>
    </w:p>
    <w:p>
      <w:pPr>
        <w:ind w:right="200" w:firstLine="1297"/>
        <w:spacing w:after="0" w:line="274" w:lineRule="auto"/>
        <w:rPr>
          <w:sz w:val="20"/>
          <w:szCs w:val="20"/>
          <w:color w:val="auto"/>
        </w:rPr>
      </w:pPr>
      <w:r>
        <w:rPr>
          <w:rFonts w:ascii="Arial" w:cs="Arial" w:eastAsia="Arial" w:hAnsi="Arial"/>
          <w:sz w:val="21"/>
          <w:szCs w:val="21"/>
          <w:color w:val="auto"/>
        </w:rPr>
        <w:t xml:space="preserve">Section 17.3. </w:t>
      </w:r>
      <w:r>
        <w:rPr>
          <w:rFonts w:ascii="Arial" w:cs="Arial" w:eastAsia="Arial" w:hAnsi="Arial"/>
          <w:sz w:val="21"/>
          <w:szCs w:val="21"/>
          <w:i w:val="1"/>
          <w:iCs w:val="1"/>
          <w:color w:val="auto"/>
        </w:rPr>
        <w:t>Binding Effect</w:t>
      </w:r>
      <w:r>
        <w:rPr>
          <w:rFonts w:ascii="Arial" w:cs="Arial" w:eastAsia="Arial" w:hAnsi="Arial"/>
          <w:sz w:val="21"/>
          <w:szCs w:val="21"/>
          <w:color w:val="auto"/>
        </w:rPr>
        <w:t>. This Agreement shall be binding upon and inure to the benefit of the parties hereto and their respective heirs, executors, administrators, successors, legal representatives and permitted assigns.</w:t>
      </w:r>
    </w:p>
    <w:p>
      <w:pPr>
        <w:spacing w:after="0" w:line="178" w:lineRule="exact"/>
        <w:rPr>
          <w:sz w:val="20"/>
          <w:szCs w:val="20"/>
          <w:color w:val="auto"/>
        </w:rPr>
      </w:pPr>
    </w:p>
    <w:p>
      <w:pPr>
        <w:ind w:right="100" w:firstLine="1297"/>
        <w:spacing w:after="0"/>
        <w:rPr>
          <w:sz w:val="20"/>
          <w:szCs w:val="20"/>
          <w:color w:val="auto"/>
        </w:rPr>
      </w:pPr>
      <w:r>
        <w:rPr>
          <w:rFonts w:ascii="Arial" w:cs="Arial" w:eastAsia="Arial" w:hAnsi="Arial"/>
          <w:sz w:val="22"/>
          <w:szCs w:val="22"/>
          <w:color w:val="auto"/>
        </w:rPr>
        <w:t xml:space="preserve">Section 17.4. </w:t>
      </w:r>
      <w:r>
        <w:rPr>
          <w:rFonts w:ascii="Arial" w:cs="Arial" w:eastAsia="Arial" w:hAnsi="Arial"/>
          <w:sz w:val="22"/>
          <w:szCs w:val="22"/>
          <w:i w:val="1"/>
          <w:iCs w:val="1"/>
          <w:color w:val="auto"/>
        </w:rPr>
        <w:t>Integration</w:t>
      </w:r>
      <w:r>
        <w:rPr>
          <w:rFonts w:ascii="Arial" w:cs="Arial" w:eastAsia="Arial" w:hAnsi="Arial"/>
          <w:sz w:val="22"/>
          <w:szCs w:val="22"/>
          <w:color w:val="auto"/>
        </w:rPr>
        <w:t>. This Agreement constitutes the entire agreement among the parties hereto pertaining to the subject matter hereof and supersedes all prior agreements and understandings pertaining thereto, including the First Amended and Restated Agreement, Amendment No. 1 and the Amended Agreement.</w:t>
      </w:r>
    </w:p>
    <w:p>
      <w:pPr>
        <w:spacing w:after="0" w:line="213" w:lineRule="exact"/>
        <w:rPr>
          <w:sz w:val="20"/>
          <w:szCs w:val="20"/>
          <w:color w:val="auto"/>
        </w:rPr>
      </w:pPr>
    </w:p>
    <w:p>
      <w:pPr>
        <w:ind w:right="960" w:firstLine="1297"/>
        <w:spacing w:after="0" w:line="251" w:lineRule="auto"/>
        <w:rPr>
          <w:sz w:val="20"/>
          <w:szCs w:val="20"/>
          <w:color w:val="auto"/>
        </w:rPr>
      </w:pPr>
      <w:r>
        <w:rPr>
          <w:rFonts w:ascii="Arial" w:cs="Arial" w:eastAsia="Arial" w:hAnsi="Arial"/>
          <w:sz w:val="22"/>
          <w:szCs w:val="22"/>
          <w:color w:val="auto"/>
        </w:rPr>
        <w:t xml:space="preserve">Section 17.5. </w:t>
      </w:r>
      <w:r>
        <w:rPr>
          <w:rFonts w:ascii="Arial" w:cs="Arial" w:eastAsia="Arial" w:hAnsi="Arial"/>
          <w:sz w:val="22"/>
          <w:szCs w:val="22"/>
          <w:i w:val="1"/>
          <w:iCs w:val="1"/>
          <w:color w:val="auto"/>
        </w:rPr>
        <w:t>Creditors</w:t>
      </w:r>
      <w:r>
        <w:rPr>
          <w:rFonts w:ascii="Arial" w:cs="Arial" w:eastAsia="Arial" w:hAnsi="Arial"/>
          <w:sz w:val="22"/>
          <w:szCs w:val="22"/>
          <w:color w:val="auto"/>
        </w:rPr>
        <w:t>. None of the provisions of this Agreement shall be for the benefit of, or shall be enforceable by, any creditor of the Partnership.</w:t>
      </w:r>
    </w:p>
    <w:p>
      <w:pPr>
        <w:spacing w:after="0" w:line="200" w:lineRule="exact"/>
        <w:rPr>
          <w:sz w:val="20"/>
          <w:szCs w:val="20"/>
          <w:color w:val="auto"/>
        </w:rPr>
      </w:pPr>
    </w:p>
    <w:p>
      <w:pPr>
        <w:ind w:right="500" w:firstLine="1297"/>
        <w:spacing w:after="0"/>
        <w:rPr>
          <w:sz w:val="20"/>
          <w:szCs w:val="20"/>
          <w:color w:val="auto"/>
        </w:rPr>
      </w:pPr>
      <w:r>
        <w:rPr>
          <w:rFonts w:ascii="Arial" w:cs="Arial" w:eastAsia="Arial" w:hAnsi="Arial"/>
          <w:sz w:val="22"/>
          <w:szCs w:val="22"/>
          <w:color w:val="auto"/>
        </w:rPr>
        <w:t xml:space="preserve">Section 17.6. </w:t>
      </w:r>
      <w:r>
        <w:rPr>
          <w:rFonts w:ascii="Arial" w:cs="Arial" w:eastAsia="Arial" w:hAnsi="Arial"/>
          <w:sz w:val="22"/>
          <w:szCs w:val="22"/>
          <w:i w:val="1"/>
          <w:iCs w:val="1"/>
          <w:color w:val="auto"/>
        </w:rPr>
        <w:t>Waiver</w:t>
      </w:r>
      <w:r>
        <w:rPr>
          <w:rFonts w:ascii="Arial" w:cs="Arial" w:eastAsia="Arial" w:hAnsi="Arial"/>
          <w:sz w:val="22"/>
          <w:szCs w:val="22"/>
          <w:color w:val="auto"/>
        </w:rPr>
        <w:t>. No failure by any party to insist upon the strict performance of any covenant, duty, agreement or condition of this Agreement or to exercise any right or remedy consequent upon a breach thereof shall constitute waiver of any such breach of any other covenant, duty, agreement or condition.</w:t>
      </w:r>
    </w:p>
    <w:p>
      <w:pPr>
        <w:spacing w:after="0" w:line="213" w:lineRule="exact"/>
        <w:rPr>
          <w:sz w:val="20"/>
          <w:szCs w:val="20"/>
          <w:color w:val="auto"/>
        </w:rPr>
      </w:pPr>
    </w:p>
    <w:p>
      <w:pPr>
        <w:ind w:firstLine="1297"/>
        <w:spacing w:after="0" w:line="236" w:lineRule="auto"/>
        <w:rPr>
          <w:sz w:val="20"/>
          <w:szCs w:val="20"/>
          <w:color w:val="auto"/>
        </w:rPr>
      </w:pPr>
      <w:r>
        <w:rPr>
          <w:rFonts w:ascii="Arial" w:cs="Arial" w:eastAsia="Arial" w:hAnsi="Arial"/>
          <w:sz w:val="22"/>
          <w:szCs w:val="22"/>
          <w:color w:val="auto"/>
        </w:rPr>
        <w:t xml:space="preserve">Section 17.7. </w:t>
      </w:r>
      <w:r>
        <w:rPr>
          <w:rFonts w:ascii="Arial" w:cs="Arial" w:eastAsia="Arial" w:hAnsi="Arial"/>
          <w:sz w:val="22"/>
          <w:szCs w:val="22"/>
          <w:i w:val="1"/>
          <w:iCs w:val="1"/>
          <w:color w:val="auto"/>
        </w:rPr>
        <w:t>Counterparts</w:t>
      </w:r>
      <w:r>
        <w:rPr>
          <w:rFonts w:ascii="Arial" w:cs="Arial" w:eastAsia="Arial" w:hAnsi="Arial"/>
          <w:sz w:val="22"/>
          <w:szCs w:val="22"/>
          <w:color w:val="auto"/>
        </w:rPr>
        <w:t xml:space="preserve">. This Agreement may be executed in counterparts, all of which together shall constitute an agreement binding on all the parties hereto, notwithstanding that all such parties are not signatories to the original or the same counterpart. Each party shall become bound by this Agreement immediately upon affixing its signature hereto or, in the case of a Person acquiring a Limited Partner Interest, pursuant to </w:t>
      </w:r>
      <w:r>
        <w:rPr>
          <w:rFonts w:ascii="Arial" w:cs="Arial" w:eastAsia="Arial" w:hAnsi="Arial"/>
          <w:sz w:val="22"/>
          <w:szCs w:val="22"/>
          <w:u w:val="single" w:color="auto"/>
          <w:color w:val="auto"/>
        </w:rPr>
        <w:t>Section 10.2(a)</w:t>
      </w:r>
      <w:r>
        <w:rPr>
          <w:rFonts w:ascii="Arial" w:cs="Arial" w:eastAsia="Arial" w:hAnsi="Arial"/>
          <w:sz w:val="22"/>
          <w:szCs w:val="22"/>
          <w:color w:val="auto"/>
        </w:rPr>
        <w:t>, immediately upon the acquisition of such Limited Partner Interests without execution hereof.</w:t>
      </w:r>
    </w:p>
    <w:p>
      <w:pPr>
        <w:spacing w:after="0" w:line="215" w:lineRule="exact"/>
        <w:rPr>
          <w:sz w:val="20"/>
          <w:szCs w:val="20"/>
          <w:color w:val="auto"/>
        </w:rPr>
      </w:pPr>
    </w:p>
    <w:p>
      <w:pPr>
        <w:ind w:right="160" w:firstLine="1297"/>
        <w:spacing w:after="0"/>
        <w:rPr>
          <w:sz w:val="20"/>
          <w:szCs w:val="20"/>
          <w:color w:val="auto"/>
        </w:rPr>
      </w:pPr>
      <w:r>
        <w:rPr>
          <w:rFonts w:ascii="Arial" w:cs="Arial" w:eastAsia="Arial" w:hAnsi="Arial"/>
          <w:sz w:val="22"/>
          <w:szCs w:val="22"/>
          <w:color w:val="auto"/>
        </w:rPr>
        <w:t xml:space="preserve">Section 17.8. </w:t>
      </w:r>
      <w:r>
        <w:rPr>
          <w:rFonts w:ascii="Arial" w:cs="Arial" w:eastAsia="Arial" w:hAnsi="Arial"/>
          <w:sz w:val="22"/>
          <w:szCs w:val="22"/>
          <w:i w:val="1"/>
          <w:iCs w:val="1"/>
          <w:color w:val="auto"/>
        </w:rPr>
        <w:t>Applicable Law; Forum, Venue and Jurisdiction</w:t>
      </w:r>
      <w:r>
        <w:rPr>
          <w:rFonts w:ascii="Arial" w:cs="Arial" w:eastAsia="Arial" w:hAnsi="Arial"/>
          <w:sz w:val="22"/>
          <w:szCs w:val="22"/>
          <w:color w:val="auto"/>
        </w:rPr>
        <w:t>. (a) This Agreement shall be construed in accordance with and governed by the laws of The Republic of the Marshall Islands, without regard to the principles of conflicts of law.</w:t>
      </w:r>
    </w:p>
    <w:p>
      <w:pPr>
        <w:spacing w:after="0" w:line="213" w:lineRule="exact"/>
        <w:rPr>
          <w:sz w:val="20"/>
          <w:szCs w:val="20"/>
          <w:color w:val="auto"/>
        </w:rPr>
      </w:pPr>
    </w:p>
    <w:p>
      <w:pPr>
        <w:ind w:right="440" w:firstLine="1305"/>
        <w:spacing w:after="0" w:line="328" w:lineRule="auto"/>
        <w:tabs>
          <w:tab w:leader="none" w:pos="1819" w:val="left"/>
        </w:tabs>
        <w:numPr>
          <w:ilvl w:val="0"/>
          <w:numId w:val="112"/>
        </w:numPr>
        <w:rPr>
          <w:rFonts w:ascii="Arial" w:cs="Arial" w:eastAsia="Arial" w:hAnsi="Arial"/>
          <w:sz w:val="19"/>
          <w:szCs w:val="19"/>
          <w:color w:val="auto"/>
        </w:rPr>
      </w:pPr>
      <w:r>
        <w:rPr>
          <w:rFonts w:ascii="Arial" w:cs="Arial" w:eastAsia="Arial" w:hAnsi="Arial"/>
          <w:sz w:val="19"/>
          <w:szCs w:val="19"/>
          <w:color w:val="auto"/>
        </w:rPr>
        <w:t>Each of the Partners and each Person holding any beneficial interest in the Partnership (whether through a broker, dealer, bank, trust company or clearing corporation or an agent of any of the foregoing or otherwise):</w:t>
      </w:r>
    </w:p>
    <w:p>
      <w:pPr>
        <w:spacing w:after="0" w:line="132" w:lineRule="exact"/>
        <w:rPr>
          <w:sz w:val="20"/>
          <w:szCs w:val="20"/>
          <w:color w:val="auto"/>
        </w:rPr>
      </w:pPr>
    </w:p>
    <w:p>
      <w:pPr>
        <w:ind w:left="660" w:right="40" w:firstLine="645"/>
        <w:spacing w:after="0" w:line="282" w:lineRule="auto"/>
        <w:tabs>
          <w:tab w:leader="none" w:pos="1782" w:val="left"/>
        </w:tabs>
        <w:numPr>
          <w:ilvl w:val="0"/>
          <w:numId w:val="113"/>
        </w:numPr>
        <w:rPr>
          <w:rFonts w:ascii="Arial" w:cs="Arial" w:eastAsia="Arial" w:hAnsi="Arial"/>
          <w:sz w:val="19"/>
          <w:szCs w:val="19"/>
          <w:color w:val="auto"/>
        </w:rPr>
      </w:pPr>
      <w:r>
        <w:rPr>
          <w:rFonts w:ascii="Arial" w:cs="Arial" w:eastAsia="Arial" w:hAnsi="Arial"/>
          <w:sz w:val="19"/>
          <w:szCs w:val="19"/>
          <w:color w:val="auto"/>
        </w:rPr>
        <w:t>irrevocably agrees that any claims, suits, actions or proceedings (A) arising out of or relating in any way to this Agreement (including any claims, suits or actions to interpret, apply or enforce the provisions of this Agreement or the duties, obligations or liabilities among Partners or of Partners to the Partnership, or the rights or powers of, or restrictions on, the Partners or the Partnership), (B) brought in a derivative manner on behalf of the Partnership, (C) asserting a claim of breach of a fiduciary duty owed by any director, officer, or other employee of the Partnership or the General</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100" w:name="page101"/>
    <w:bookmarkEnd w:id="100"/>
    <w:p>
      <w:pPr>
        <w:ind w:left="660" w:right="60"/>
        <w:spacing w:after="0" w:line="279" w:lineRule="auto"/>
        <w:rPr>
          <w:sz w:val="20"/>
          <w:szCs w:val="20"/>
          <w:color w:val="auto"/>
        </w:rPr>
      </w:pPr>
      <w:r>
        <w:rPr>
          <w:rFonts w:ascii="Arial" w:cs="Arial" w:eastAsia="Arial" w:hAnsi="Arial"/>
          <w:sz w:val="19"/>
          <w:szCs w:val="19"/>
          <w:color w:val="auto"/>
        </w:rPr>
        <w:t>Partner, or owed by the General Partner, to the Partnership or the Partners, (D) asserting a claim arising pursuant to any provision of the Marshall Islands Act or (E) asserting a claim governed by the internal affairs doctrine shall be exclusively brought in the Court of Chancery of the State of Delaware (or, if such court does not have subject matter jurisdiction thereof, any other court located in the State of Delaware with subject matter jurisdiction), unless otherwise provided for by Marshall Islands law, in each case regardless of whether such claims, suits, actions or proceedings sound in contract, tort, fraud or otherwise, are based on common law, statutory, equitable, legal or other grounds, or are derivative or direct claims;</w:t>
      </w:r>
    </w:p>
    <w:p>
      <w:pPr>
        <w:spacing w:after="0" w:line="178" w:lineRule="exact"/>
        <w:rPr>
          <w:sz w:val="20"/>
          <w:szCs w:val="20"/>
          <w:color w:val="auto"/>
        </w:rPr>
      </w:pPr>
    </w:p>
    <w:p>
      <w:pPr>
        <w:ind w:left="660" w:right="40" w:firstLine="645"/>
        <w:spacing w:after="0" w:line="238" w:lineRule="auto"/>
        <w:tabs>
          <w:tab w:leader="none" w:pos="1842" w:val="left"/>
        </w:tabs>
        <w:numPr>
          <w:ilvl w:val="0"/>
          <w:numId w:val="114"/>
        </w:numPr>
        <w:rPr>
          <w:rFonts w:ascii="Arial" w:cs="Arial" w:eastAsia="Arial" w:hAnsi="Arial"/>
          <w:sz w:val="22"/>
          <w:szCs w:val="22"/>
          <w:color w:val="auto"/>
        </w:rPr>
      </w:pPr>
      <w:r>
        <w:rPr>
          <w:rFonts w:ascii="Arial" w:cs="Arial" w:eastAsia="Arial" w:hAnsi="Arial"/>
          <w:sz w:val="22"/>
          <w:szCs w:val="22"/>
          <w:color w:val="auto"/>
        </w:rPr>
        <w:t>irrevocably submits to the exclusive jurisdiction of the Court of Chancery of the State of Delaware (or, if such court does not have subject matter jurisdiction thereof, any other court located in the State of Delaware with subject matter jurisdiction), unless otherwise provided for by Marshall Islands law, in connection with any such claim, suit, action or proceeding;</w:t>
      </w:r>
    </w:p>
    <w:p>
      <w:pPr>
        <w:spacing w:after="0" w:line="212" w:lineRule="exact"/>
        <w:rPr>
          <w:rFonts w:ascii="Arial" w:cs="Arial" w:eastAsia="Arial" w:hAnsi="Arial"/>
          <w:sz w:val="22"/>
          <w:szCs w:val="22"/>
          <w:color w:val="auto"/>
        </w:rPr>
      </w:pPr>
    </w:p>
    <w:p>
      <w:pPr>
        <w:ind w:left="660" w:right="160" w:firstLine="645"/>
        <w:spacing w:after="0" w:line="287" w:lineRule="auto"/>
        <w:tabs>
          <w:tab w:leader="none" w:pos="1902" w:val="left"/>
        </w:tabs>
        <w:numPr>
          <w:ilvl w:val="0"/>
          <w:numId w:val="114"/>
        </w:numPr>
        <w:rPr>
          <w:rFonts w:ascii="Arial" w:cs="Arial" w:eastAsia="Arial" w:hAnsi="Arial"/>
          <w:sz w:val="19"/>
          <w:szCs w:val="19"/>
          <w:color w:val="auto"/>
        </w:rPr>
      </w:pPr>
      <w:r>
        <w:rPr>
          <w:rFonts w:ascii="Arial" w:cs="Arial" w:eastAsia="Arial" w:hAnsi="Arial"/>
          <w:sz w:val="19"/>
          <w:szCs w:val="19"/>
          <w:color w:val="auto"/>
        </w:rPr>
        <w:t>agrees not to, and waives any right to, assert in any such claim, suit, action or proceeding that (A) it is not personally subject to the jurisdiction of the Court of Chancery of the State of Delaware or of any other court to which proceedings in the Court of Chancery of the State of Delaware may be appealed, (B) such claim, suit, action or proceeding is brought in an inconvenient forum, or (C) the venue of such claim, suit, action or proceeding is improper;</w:t>
      </w:r>
    </w:p>
    <w:p>
      <w:pPr>
        <w:spacing w:after="0" w:line="170" w:lineRule="exact"/>
        <w:rPr>
          <w:rFonts w:ascii="Arial" w:cs="Arial" w:eastAsia="Arial" w:hAnsi="Arial"/>
          <w:sz w:val="19"/>
          <w:szCs w:val="19"/>
          <w:color w:val="auto"/>
        </w:rPr>
      </w:pPr>
    </w:p>
    <w:p>
      <w:pPr>
        <w:ind w:left="660" w:right="420" w:firstLine="645"/>
        <w:spacing w:after="0" w:line="251" w:lineRule="auto"/>
        <w:tabs>
          <w:tab w:leader="none" w:pos="1890" w:val="left"/>
        </w:tabs>
        <w:numPr>
          <w:ilvl w:val="0"/>
          <w:numId w:val="114"/>
        </w:numPr>
        <w:rPr>
          <w:rFonts w:ascii="Arial" w:cs="Arial" w:eastAsia="Arial" w:hAnsi="Arial"/>
          <w:sz w:val="22"/>
          <w:szCs w:val="22"/>
          <w:color w:val="auto"/>
        </w:rPr>
      </w:pPr>
      <w:r>
        <w:rPr>
          <w:rFonts w:ascii="Arial" w:cs="Arial" w:eastAsia="Arial" w:hAnsi="Arial"/>
          <w:sz w:val="22"/>
          <w:szCs w:val="22"/>
          <w:color w:val="auto"/>
        </w:rPr>
        <w:t>expressly waives any requirement for the posting of a bond by a party bringing such claim, suit, action or proceeding; and</w:t>
      </w:r>
    </w:p>
    <w:p>
      <w:pPr>
        <w:spacing w:after="0" w:line="200" w:lineRule="exact"/>
        <w:rPr>
          <w:rFonts w:ascii="Arial" w:cs="Arial" w:eastAsia="Arial" w:hAnsi="Arial"/>
          <w:sz w:val="22"/>
          <w:szCs w:val="22"/>
          <w:color w:val="auto"/>
        </w:rPr>
      </w:pPr>
    </w:p>
    <w:p>
      <w:pPr>
        <w:ind w:left="660" w:firstLine="645"/>
        <w:spacing w:after="0" w:line="252" w:lineRule="auto"/>
        <w:tabs>
          <w:tab w:leader="none" w:pos="1830" w:val="left"/>
        </w:tabs>
        <w:numPr>
          <w:ilvl w:val="0"/>
          <w:numId w:val="114"/>
        </w:numPr>
        <w:rPr>
          <w:rFonts w:ascii="Arial" w:cs="Arial" w:eastAsia="Arial" w:hAnsi="Arial"/>
          <w:sz w:val="21"/>
          <w:szCs w:val="21"/>
          <w:color w:val="auto"/>
        </w:rPr>
      </w:pPr>
      <w:r>
        <w:rPr>
          <w:rFonts w:ascii="Arial" w:cs="Arial" w:eastAsia="Arial" w:hAnsi="Arial"/>
          <w:sz w:val="21"/>
          <w:szCs w:val="21"/>
          <w:color w:val="auto"/>
        </w:rPr>
        <w:t xml:space="preserve">consents to process being served in any such claim, suit, action or proceeding by mailing, certified mail, return receipt requested, a copy thereof to such party at the address in effect for notices hereunder, and agrees that such services shall constitute good and sufficient service of process and notice thereof;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nothing in </w:t>
      </w:r>
      <w:r>
        <w:rPr>
          <w:rFonts w:ascii="Arial" w:cs="Arial" w:eastAsia="Arial" w:hAnsi="Arial"/>
          <w:sz w:val="21"/>
          <w:szCs w:val="21"/>
          <w:u w:val="single" w:color="auto"/>
          <w:color w:val="auto"/>
        </w:rPr>
        <w:t>clause (v)</w:t>
      </w:r>
      <w:r>
        <w:rPr>
          <w:rFonts w:ascii="Arial" w:cs="Arial" w:eastAsia="Arial" w:hAnsi="Arial"/>
          <w:sz w:val="21"/>
          <w:szCs w:val="21"/>
          <w:color w:val="auto"/>
        </w:rPr>
        <w:t xml:space="preserve"> hereof shall affect or limit any right to serve process in any other manner permitted by law.</w:t>
      </w:r>
    </w:p>
    <w:p>
      <w:pPr>
        <w:spacing w:after="0" w:line="201" w:lineRule="exact"/>
        <w:rPr>
          <w:sz w:val="20"/>
          <w:szCs w:val="20"/>
          <w:color w:val="auto"/>
        </w:rPr>
      </w:pPr>
    </w:p>
    <w:p>
      <w:pPr>
        <w:ind w:right="80" w:firstLine="1297"/>
        <w:spacing w:after="0" w:line="282" w:lineRule="auto"/>
        <w:rPr>
          <w:sz w:val="20"/>
          <w:szCs w:val="20"/>
          <w:color w:val="auto"/>
        </w:rPr>
      </w:pPr>
      <w:r>
        <w:rPr>
          <w:rFonts w:ascii="Arial" w:cs="Arial" w:eastAsia="Arial" w:hAnsi="Arial"/>
          <w:sz w:val="19"/>
          <w:szCs w:val="19"/>
          <w:color w:val="auto"/>
        </w:rPr>
        <w:t xml:space="preserve">Section 17.9. </w:t>
      </w:r>
      <w:r>
        <w:rPr>
          <w:rFonts w:ascii="Arial" w:cs="Arial" w:eastAsia="Arial" w:hAnsi="Arial"/>
          <w:sz w:val="19"/>
          <w:szCs w:val="19"/>
          <w:i w:val="1"/>
          <w:iCs w:val="1"/>
          <w:color w:val="auto"/>
        </w:rPr>
        <w:t>Invalidity of Provisions</w:t>
      </w:r>
      <w:r>
        <w:rPr>
          <w:rFonts w:ascii="Arial" w:cs="Arial" w:eastAsia="Arial" w:hAnsi="Arial"/>
          <w:sz w:val="19"/>
          <w:szCs w:val="19"/>
          <w:color w:val="auto"/>
        </w:rPr>
        <w:t>. If any provision or part of a provision of this Agreement is or becomes for any reason, invalid, illegal or unenforceable in any respect, the validity, legality and enforceability of the remaining provisions and part thereof contained herein shall not be affected thereby and this Agreement shall, to the fullest extent permitted by law, be reformed and construed as if such invalid, illegal or unenforceable provision, or part of a provision, had never been contained herein, and such provision or part reformed so that it would be valid, legal and enforceable to the maximum extent possible.</w:t>
      </w:r>
    </w:p>
    <w:p>
      <w:pPr>
        <w:spacing w:after="0" w:line="175" w:lineRule="exact"/>
        <w:rPr>
          <w:sz w:val="20"/>
          <w:szCs w:val="20"/>
          <w:color w:val="auto"/>
        </w:rPr>
      </w:pPr>
    </w:p>
    <w:p>
      <w:pPr>
        <w:ind w:right="40" w:firstLine="1297"/>
        <w:spacing w:after="0" w:line="297" w:lineRule="auto"/>
        <w:rPr>
          <w:sz w:val="20"/>
          <w:szCs w:val="20"/>
          <w:color w:val="auto"/>
        </w:rPr>
      </w:pPr>
      <w:r>
        <w:rPr>
          <w:rFonts w:ascii="Arial" w:cs="Arial" w:eastAsia="Arial" w:hAnsi="Arial"/>
          <w:sz w:val="19"/>
          <w:szCs w:val="19"/>
          <w:color w:val="auto"/>
        </w:rPr>
        <w:t xml:space="preserve">Section 17.10. </w:t>
      </w:r>
      <w:r>
        <w:rPr>
          <w:rFonts w:ascii="Arial" w:cs="Arial" w:eastAsia="Arial" w:hAnsi="Arial"/>
          <w:sz w:val="19"/>
          <w:szCs w:val="19"/>
          <w:i w:val="1"/>
          <w:iCs w:val="1"/>
          <w:color w:val="auto"/>
        </w:rPr>
        <w:t>Consent of Partners</w:t>
      </w:r>
      <w:r>
        <w:rPr>
          <w:rFonts w:ascii="Arial" w:cs="Arial" w:eastAsia="Arial" w:hAnsi="Arial"/>
          <w:sz w:val="19"/>
          <w:szCs w:val="19"/>
          <w:color w:val="auto"/>
        </w:rPr>
        <w:t>. Each Partner hereby expressly consents and agrees that, whenever in this Agreement it is specified that an action may be taken upon the affirmative vote or consent of less than all of the Partners (including any amendment to this Agreement), such action may be so taken upon the concurrence of less than all of the Partners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402" w:right="259" w:bottom="1440" w:gutter="0" w:footer="0" w:header="0"/>
        </w:sectPr>
      </w:pPr>
    </w:p>
    <w:bookmarkStart w:id="101" w:name="page102"/>
    <w:bookmarkEnd w:id="101"/>
    <w:p>
      <w:pPr>
        <w:spacing w:after="0"/>
        <w:rPr>
          <w:sz w:val="20"/>
          <w:szCs w:val="20"/>
          <w:color w:val="auto"/>
        </w:rPr>
      </w:pPr>
      <w:r>
        <w:rPr>
          <w:rFonts w:ascii="Arial" w:cs="Arial" w:eastAsia="Arial" w:hAnsi="Arial"/>
          <w:sz w:val="22"/>
          <w:szCs w:val="22"/>
          <w:color w:val="auto"/>
        </w:rPr>
        <w:t>and each Partner shall be bound by the results of such action (including any amendment to this Agreement).</w:t>
      </w:r>
    </w:p>
    <w:p>
      <w:pPr>
        <w:spacing w:after="0" w:line="233" w:lineRule="exact"/>
        <w:rPr>
          <w:sz w:val="20"/>
          <w:szCs w:val="20"/>
          <w:color w:val="auto"/>
        </w:rPr>
      </w:pPr>
    </w:p>
    <w:p>
      <w:pPr>
        <w:ind w:right="420" w:firstLine="1297"/>
        <w:spacing w:after="0"/>
        <w:rPr>
          <w:sz w:val="20"/>
          <w:szCs w:val="20"/>
          <w:color w:val="auto"/>
        </w:rPr>
      </w:pPr>
      <w:r>
        <w:rPr>
          <w:rFonts w:ascii="Arial" w:cs="Arial" w:eastAsia="Arial" w:hAnsi="Arial"/>
          <w:sz w:val="22"/>
          <w:szCs w:val="22"/>
          <w:color w:val="auto"/>
        </w:rPr>
        <w:t xml:space="preserve">Section 17.11. </w:t>
      </w:r>
      <w:r>
        <w:rPr>
          <w:rFonts w:ascii="Arial" w:cs="Arial" w:eastAsia="Arial" w:hAnsi="Arial"/>
          <w:sz w:val="22"/>
          <w:szCs w:val="22"/>
          <w:i w:val="1"/>
          <w:iCs w:val="1"/>
          <w:color w:val="auto"/>
        </w:rPr>
        <w:t>Facsimile Signatures</w:t>
      </w:r>
      <w:r>
        <w:rPr>
          <w:rFonts w:ascii="Arial" w:cs="Arial" w:eastAsia="Arial" w:hAnsi="Arial"/>
          <w:sz w:val="22"/>
          <w:szCs w:val="22"/>
          <w:color w:val="auto"/>
        </w:rPr>
        <w:t>. The use of facsimile signatures affixed in the name and on behalf of the transfer agent and registrar of the Partnership on certificates representing Common Units and Preference Units is expressly permitted by this Agreement.</w:t>
      </w:r>
    </w:p>
    <w:p>
      <w:pPr>
        <w:spacing w:after="0" w:line="213" w:lineRule="exact"/>
        <w:rPr>
          <w:sz w:val="20"/>
          <w:szCs w:val="20"/>
          <w:color w:val="auto"/>
        </w:rPr>
      </w:pPr>
    </w:p>
    <w:p>
      <w:pPr>
        <w:ind w:firstLine="1297"/>
        <w:spacing w:after="0"/>
        <w:rPr>
          <w:sz w:val="20"/>
          <w:szCs w:val="20"/>
          <w:color w:val="auto"/>
        </w:rPr>
      </w:pPr>
      <w:r>
        <w:rPr>
          <w:rFonts w:ascii="Arial" w:cs="Arial" w:eastAsia="Arial" w:hAnsi="Arial"/>
          <w:sz w:val="22"/>
          <w:szCs w:val="22"/>
          <w:color w:val="auto"/>
        </w:rPr>
        <w:t xml:space="preserve">Section 17.12. </w:t>
      </w:r>
      <w:r>
        <w:rPr>
          <w:rFonts w:ascii="Arial" w:cs="Arial" w:eastAsia="Arial" w:hAnsi="Arial"/>
          <w:sz w:val="22"/>
          <w:szCs w:val="22"/>
          <w:i w:val="1"/>
          <w:iCs w:val="1"/>
          <w:color w:val="auto"/>
        </w:rPr>
        <w:t>Third-Party Beneficiaries</w:t>
      </w:r>
      <w:r>
        <w:rPr>
          <w:rFonts w:ascii="Arial" w:cs="Arial" w:eastAsia="Arial" w:hAnsi="Arial"/>
          <w:sz w:val="22"/>
          <w:szCs w:val="22"/>
          <w:color w:val="auto"/>
        </w:rPr>
        <w:t>. Each Partner agrees that any Indemnitee shall be entitled to assert rights and remedies hereunder as a third party beneficiary hereto with respect to those provisions of this Agreement affording a right, benefit or privilege to such Indemnitee.</w:t>
      </w: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[REMAINDER OF THIS PAGE INTENTIONALLY LEFT BLANK]</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60"/>
          </w:cols>
          <w:pgMar w:left="240" w:top="402" w:right="299" w:bottom="1440" w:gutter="0" w:footer="0" w:header="0"/>
        </w:sectPr>
      </w:pPr>
    </w:p>
    <w:bookmarkStart w:id="102" w:name="page103"/>
    <w:bookmarkEnd w:id="102"/>
    <w:p>
      <w:pPr>
        <w:ind w:right="260" w:firstLine="1297"/>
        <w:spacing w:after="0" w:line="251" w:lineRule="auto"/>
        <w:rPr>
          <w:sz w:val="20"/>
          <w:szCs w:val="20"/>
          <w:color w:val="auto"/>
        </w:rPr>
      </w:pPr>
      <w:r>
        <w:rPr>
          <w:rFonts w:ascii="Arial" w:cs="Arial" w:eastAsia="Arial" w:hAnsi="Arial"/>
          <w:sz w:val="22"/>
          <w:szCs w:val="22"/>
          <w:color w:val="auto"/>
        </w:rPr>
        <w:t>IN WITNESS WHEREOF, the parties hereto have executed this Second Amended and Restated Agreement of Limited Partnership as a Deed as of the date first written above.</w:t>
      </w:r>
    </w:p>
    <w:p>
      <w:pPr>
        <w:spacing w:after="0" w:line="194" w:lineRule="exact"/>
        <w:rPr>
          <w:sz w:val="20"/>
          <w:szCs w:val="20"/>
          <w:color w:val="auto"/>
        </w:rPr>
      </w:pPr>
    </w:p>
    <w:p>
      <w:pPr>
        <w:ind w:left="5620"/>
        <w:spacing w:after="0"/>
        <w:rPr>
          <w:sz w:val="20"/>
          <w:szCs w:val="20"/>
          <w:color w:val="auto"/>
        </w:rPr>
      </w:pPr>
      <w:r>
        <w:rPr>
          <w:rFonts w:ascii="Arial" w:cs="Arial" w:eastAsia="Arial" w:hAnsi="Arial"/>
          <w:sz w:val="22"/>
          <w:szCs w:val="22"/>
          <w:b w:val="1"/>
          <w:bCs w:val="1"/>
          <w:color w:val="auto"/>
        </w:rPr>
        <w:t>GENERAL PARTNER:</w:t>
      </w:r>
    </w:p>
    <w:p>
      <w:pPr>
        <w:spacing w:after="0" w:line="239"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GasLog Partners GP LLC</w:t>
      </w:r>
    </w:p>
    <w:p>
      <w:pPr>
        <w:ind w:left="5620"/>
        <w:spacing w:after="0" w:line="238" w:lineRule="auto"/>
        <w:rPr>
          <w:sz w:val="20"/>
          <w:szCs w:val="20"/>
          <w:color w:val="auto"/>
        </w:rPr>
      </w:pPr>
      <w:r>
        <w:rPr>
          <w:rFonts w:ascii="Arial" w:cs="Arial" w:eastAsia="Arial" w:hAnsi="Arial"/>
          <w:sz w:val="22"/>
          <w:szCs w:val="22"/>
          <w:color w:val="auto"/>
        </w:rPr>
        <w:t>By: GasLog Ltd.,</w:t>
      </w:r>
    </w:p>
    <w:p>
      <w:pPr>
        <w:ind w:left="5620"/>
        <w:spacing w:after="0"/>
        <w:rPr>
          <w:sz w:val="20"/>
          <w:szCs w:val="20"/>
          <w:color w:val="auto"/>
        </w:rPr>
      </w:pPr>
      <w:r>
        <w:rPr>
          <w:rFonts w:ascii="Arial" w:cs="Arial" w:eastAsia="Arial" w:hAnsi="Arial"/>
          <w:sz w:val="22"/>
          <w:szCs w:val="22"/>
          <w:color w:val="auto"/>
        </w:rPr>
        <w:t>its Sole Member</w:t>
      </w:r>
    </w:p>
    <w:p>
      <w:pPr>
        <w:spacing w:after="0" w:line="215" w:lineRule="exact"/>
        <w:rPr>
          <w:sz w:val="20"/>
          <w:szCs w:val="20"/>
          <w:color w:val="auto"/>
        </w:rPr>
      </w:pPr>
    </w:p>
    <w:p>
      <w:pPr>
        <w:jc w:val="center"/>
        <w:ind w:right="-419"/>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7620</wp:posOffset>
            </wp:positionV>
            <wp:extent cx="32588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ind w:left="6380"/>
        <w:spacing w:after="0"/>
        <w:rPr>
          <w:sz w:val="20"/>
          <w:szCs w:val="20"/>
          <w:color w:val="auto"/>
        </w:rPr>
      </w:pPr>
      <w:r>
        <w:rPr>
          <w:rFonts w:ascii="Arial" w:cs="Arial" w:eastAsia="Arial" w:hAnsi="Arial"/>
          <w:sz w:val="22"/>
          <w:szCs w:val="22"/>
          <w:color w:val="auto"/>
        </w:rPr>
        <w:t>Name: Paul Wogan</w:t>
      </w:r>
    </w:p>
    <w:p>
      <w:pPr>
        <w:ind w:left="6380"/>
        <w:spacing w:after="0"/>
        <w:tabs>
          <w:tab w:leader="none" w:pos="700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Chief Executive Officer</w:t>
      </w:r>
    </w:p>
    <w:p>
      <w:pPr>
        <w:spacing w:after="0" w:line="209" w:lineRule="exact"/>
        <w:rPr>
          <w:sz w:val="20"/>
          <w:szCs w:val="20"/>
          <w:color w:val="auto"/>
        </w:rPr>
      </w:pPr>
    </w:p>
    <w:p>
      <w:pPr>
        <w:ind w:left="5620"/>
        <w:spacing w:after="0"/>
        <w:rPr>
          <w:sz w:val="20"/>
          <w:szCs w:val="20"/>
          <w:color w:val="auto"/>
        </w:rPr>
      </w:pPr>
      <w:r>
        <w:rPr>
          <w:rFonts w:ascii="Arial" w:cs="Arial" w:eastAsia="Arial" w:hAnsi="Arial"/>
          <w:sz w:val="22"/>
          <w:szCs w:val="22"/>
          <w:b w:val="1"/>
          <w:bCs w:val="1"/>
          <w:color w:val="auto"/>
        </w:rPr>
        <w:t>LIMITED PARTNERS:</w:t>
      </w:r>
    </w:p>
    <w:p>
      <w:pPr>
        <w:spacing w:after="0" w:line="239" w:lineRule="exact"/>
        <w:rPr>
          <w:sz w:val="20"/>
          <w:szCs w:val="20"/>
          <w:color w:val="auto"/>
        </w:rPr>
      </w:pPr>
    </w:p>
    <w:p>
      <w:pPr>
        <w:ind w:left="5620"/>
        <w:spacing w:after="0"/>
        <w:rPr>
          <w:sz w:val="20"/>
          <w:szCs w:val="20"/>
          <w:color w:val="auto"/>
        </w:rPr>
      </w:pPr>
      <w:r>
        <w:rPr>
          <w:rFonts w:ascii="Arial" w:cs="Arial" w:eastAsia="Arial" w:hAnsi="Arial"/>
          <w:sz w:val="21"/>
          <w:szCs w:val="21"/>
          <w:color w:val="auto"/>
        </w:rPr>
        <w:t>All Limited Partners now and hereafter admitted as Limited</w:t>
      </w:r>
    </w:p>
    <w:p>
      <w:pPr>
        <w:spacing w:after="0" w:line="20" w:lineRule="exact"/>
        <w:rPr>
          <w:sz w:val="20"/>
          <w:szCs w:val="20"/>
          <w:color w:val="auto"/>
        </w:rPr>
      </w:pPr>
    </w:p>
    <w:p>
      <w:pPr>
        <w:ind w:left="5620"/>
        <w:spacing w:after="0"/>
        <w:rPr>
          <w:sz w:val="20"/>
          <w:szCs w:val="20"/>
          <w:color w:val="auto"/>
        </w:rPr>
      </w:pPr>
      <w:r>
        <w:rPr>
          <w:rFonts w:ascii="Arial" w:cs="Arial" w:eastAsia="Arial" w:hAnsi="Arial"/>
          <w:sz w:val="21"/>
          <w:szCs w:val="21"/>
          <w:color w:val="auto"/>
        </w:rPr>
        <w:t>Partners of the Partnership, pursuant to authority now and</w:t>
      </w:r>
    </w:p>
    <w:p>
      <w:pPr>
        <w:spacing w:after="0" w:line="2" w:lineRule="exact"/>
        <w:rPr>
          <w:sz w:val="20"/>
          <w:szCs w:val="20"/>
          <w:color w:val="auto"/>
        </w:rPr>
      </w:pPr>
    </w:p>
    <w:p>
      <w:pPr>
        <w:ind w:left="5620"/>
        <w:spacing w:after="0"/>
        <w:rPr>
          <w:sz w:val="20"/>
          <w:szCs w:val="20"/>
          <w:color w:val="auto"/>
        </w:rPr>
      </w:pPr>
      <w:r>
        <w:rPr>
          <w:rFonts w:ascii="Arial" w:cs="Arial" w:eastAsia="Arial" w:hAnsi="Arial"/>
          <w:sz w:val="19"/>
          <w:szCs w:val="19"/>
          <w:color w:val="auto"/>
        </w:rPr>
        <w:t>hereafter executed in favor of, and granted and delivered to, the</w:t>
      </w:r>
    </w:p>
    <w:p>
      <w:pPr>
        <w:spacing w:after="0" w:line="25" w:lineRule="exact"/>
        <w:rPr>
          <w:sz w:val="20"/>
          <w:szCs w:val="20"/>
          <w:color w:val="auto"/>
        </w:rPr>
      </w:pPr>
    </w:p>
    <w:p>
      <w:pPr>
        <w:ind w:left="5620"/>
        <w:spacing w:after="0"/>
        <w:rPr>
          <w:sz w:val="20"/>
          <w:szCs w:val="20"/>
          <w:color w:val="auto"/>
        </w:rPr>
      </w:pPr>
      <w:r>
        <w:rPr>
          <w:rFonts w:ascii="Arial" w:cs="Arial" w:eastAsia="Arial" w:hAnsi="Arial"/>
          <w:sz w:val="19"/>
          <w:szCs w:val="19"/>
          <w:color w:val="auto"/>
        </w:rPr>
        <w:t>Board of Directors pursuant to Section 13.1 of this Partnership</w:t>
      </w:r>
    </w:p>
    <w:p>
      <w:pPr>
        <w:spacing w:after="0" w:line="25"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Agreement.</w:t>
      </w:r>
    </w:p>
    <w:p>
      <w:pPr>
        <w:spacing w:after="0" w:line="215" w:lineRule="exact"/>
        <w:rPr>
          <w:sz w:val="20"/>
          <w:szCs w:val="20"/>
          <w:color w:val="auto"/>
        </w:rPr>
      </w:pPr>
    </w:p>
    <w:p>
      <w:pPr>
        <w:jc w:val="center"/>
        <w:ind w:right="-419"/>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7620</wp:posOffset>
            </wp:positionV>
            <wp:extent cx="32588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ind w:left="6380"/>
        <w:spacing w:after="0"/>
        <w:rPr>
          <w:sz w:val="20"/>
          <w:szCs w:val="20"/>
          <w:color w:val="auto"/>
        </w:rPr>
      </w:pPr>
      <w:r>
        <w:rPr>
          <w:rFonts w:ascii="Arial" w:cs="Arial" w:eastAsia="Arial" w:hAnsi="Arial"/>
          <w:sz w:val="22"/>
          <w:szCs w:val="22"/>
          <w:color w:val="auto"/>
        </w:rPr>
        <w:t>Name: Andrew J. Orekar</w:t>
      </w:r>
    </w:p>
    <w:p>
      <w:pPr>
        <w:ind w:left="6380"/>
        <w:spacing w:after="0"/>
        <w:tabs>
          <w:tab w:leader="none" w:pos="700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Chief Executive Officer and Director</w:t>
      </w:r>
    </w:p>
    <w:p>
      <w:pPr>
        <w:spacing w:after="0" w:line="218"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AGE</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O</w:t>
      </w:r>
    </w:p>
    <w:p>
      <w:pPr>
        <w:spacing w:after="0" w:line="2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ECOND</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ESTATED</w:t>
      </w:r>
    </w:p>
    <w:p>
      <w:pPr>
        <w:spacing w:after="0" w:line="9"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GREEMENT OF</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IMITED</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ARTNERSHIP</w:t>
      </w:r>
    </w:p>
    <w:p>
      <w:pPr>
        <w:spacing w:after="0" w:line="177" w:lineRule="exact"/>
        <w:rPr>
          <w:sz w:val="20"/>
          <w:szCs w:val="20"/>
          <w:color w:val="auto"/>
        </w:rPr>
      </w:pPr>
    </w:p>
    <w:p>
      <w:pPr>
        <w:jc w:val="center"/>
        <w:ind w:right="-319"/>
        <w:spacing w:after="0"/>
        <w:rPr>
          <w:sz w:val="20"/>
          <w:szCs w:val="20"/>
          <w:color w:val="auto"/>
        </w:rPr>
      </w:pPr>
      <w:r>
        <w:rPr>
          <w:rFonts w:ascii="Arial" w:cs="Arial" w:eastAsia="Arial" w:hAnsi="Arial"/>
          <w:sz w:val="22"/>
          <w:szCs w:val="22"/>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100"/>
          </w:cols>
          <w:pgMar w:left="240" w:top="402" w:right="559" w:bottom="1440" w:gutter="0" w:footer="0" w:header="0"/>
        </w:sectPr>
      </w:pPr>
    </w:p>
    <w:bookmarkStart w:id="103" w:name="page104"/>
    <w:bookmarkEnd w:id="103"/>
    <w:p>
      <w:pPr>
        <w:jc w:val="center"/>
        <w:spacing w:after="0"/>
        <w:rPr>
          <w:sz w:val="20"/>
          <w:szCs w:val="20"/>
          <w:color w:val="auto"/>
        </w:rPr>
      </w:pPr>
      <w:r>
        <w:rPr>
          <w:rFonts w:ascii="Arial" w:cs="Arial" w:eastAsia="Arial" w:hAnsi="Arial"/>
          <w:sz w:val="22"/>
          <w:szCs w:val="22"/>
          <w:b w:val="1"/>
          <w:bCs w:val="1"/>
          <w:color w:val="auto"/>
        </w:rPr>
        <w:t>EXHIBIT A</w:t>
      </w:r>
    </w:p>
    <w:p>
      <w:pPr>
        <w:spacing w:after="0" w:line="4" w:lineRule="exact"/>
        <w:rPr>
          <w:sz w:val="20"/>
          <w:szCs w:val="20"/>
          <w:color w:val="auto"/>
        </w:rPr>
      </w:pPr>
    </w:p>
    <w:p>
      <w:pPr>
        <w:ind w:left="4000"/>
        <w:spacing w:after="0"/>
        <w:rPr>
          <w:sz w:val="20"/>
          <w:szCs w:val="20"/>
          <w:color w:val="auto"/>
        </w:rPr>
      </w:pPr>
      <w:r>
        <w:rPr>
          <w:rFonts w:ascii="Arial" w:cs="Arial" w:eastAsia="Arial" w:hAnsi="Arial"/>
          <w:sz w:val="22"/>
          <w:szCs w:val="22"/>
          <w:b w:val="1"/>
          <w:bCs w:val="1"/>
          <w:color w:val="auto"/>
        </w:rPr>
        <w:t>to the Second Amended and Restated</w:t>
      </w:r>
    </w:p>
    <w:p>
      <w:pPr>
        <w:ind w:left="4000"/>
        <w:spacing w:after="0" w:line="230" w:lineRule="auto"/>
        <w:rPr>
          <w:sz w:val="20"/>
          <w:szCs w:val="20"/>
          <w:color w:val="auto"/>
        </w:rPr>
      </w:pPr>
      <w:r>
        <w:rPr>
          <w:rFonts w:ascii="Arial" w:cs="Arial" w:eastAsia="Arial" w:hAnsi="Arial"/>
          <w:sz w:val="22"/>
          <w:szCs w:val="22"/>
          <w:b w:val="1"/>
          <w:bCs w:val="1"/>
          <w:color w:val="auto"/>
        </w:rPr>
        <w:t>Agreement of Limited Partnership of</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GASLOG PARTNERS LP</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Certificate Evidencing Common Units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Representing Limited Partner Interests in</w:t>
      </w:r>
    </w:p>
    <w:p>
      <w:pPr>
        <w:jc w:val="center"/>
        <w:spacing w:after="0"/>
        <w:rPr>
          <w:sz w:val="20"/>
          <w:szCs w:val="20"/>
          <w:color w:val="auto"/>
        </w:rPr>
      </w:pPr>
      <w:r>
        <w:rPr>
          <w:rFonts w:ascii="Arial" w:cs="Arial" w:eastAsia="Arial" w:hAnsi="Arial"/>
          <w:sz w:val="22"/>
          <w:szCs w:val="22"/>
          <w:b w:val="1"/>
          <w:bCs w:val="1"/>
          <w:color w:val="auto"/>
        </w:rPr>
        <w:t>GASLOG PARTNERS LP</w:t>
      </w:r>
    </w:p>
    <w:p>
      <w:pPr>
        <w:spacing w:after="0" w:line="215" w:lineRule="exact"/>
        <w:rPr>
          <w:sz w:val="20"/>
          <w:szCs w:val="20"/>
          <w:color w:val="auto"/>
        </w:rPr>
      </w:pPr>
    </w:p>
    <w:p>
      <w:pPr>
        <w:spacing w:after="0"/>
        <w:tabs>
          <w:tab w:leader="none" w:pos="10080" w:val="left"/>
        </w:tabs>
        <w:rPr>
          <w:sz w:val="20"/>
          <w:szCs w:val="20"/>
          <w:color w:val="auto"/>
        </w:rPr>
      </w:pPr>
      <w:r>
        <w:rPr>
          <w:rFonts w:ascii="Arial" w:cs="Arial" w:eastAsia="Arial" w:hAnsi="Arial"/>
          <w:sz w:val="19"/>
          <w:szCs w:val="19"/>
          <w:color w:val="auto"/>
        </w:rPr>
        <w:t>No.</w:t>
      </w:r>
      <w:r>
        <w:rPr>
          <w:sz w:val="20"/>
          <w:szCs w:val="20"/>
          <w:color w:val="auto"/>
        </w:rPr>
        <w:tab/>
      </w:r>
      <w:r>
        <w:rPr>
          <w:rFonts w:ascii="Arial" w:cs="Arial" w:eastAsia="Arial" w:hAnsi="Arial"/>
          <w:sz w:val="19"/>
          <w:szCs w:val="19"/>
          <w:color w:val="auto"/>
        </w:rPr>
        <w:t>Common Units</w:t>
      </w:r>
    </w:p>
    <w:p>
      <w:pPr>
        <w:spacing w:after="0" w:line="268" w:lineRule="exact"/>
        <w:rPr>
          <w:sz w:val="20"/>
          <w:szCs w:val="20"/>
          <w:color w:val="auto"/>
        </w:rPr>
      </w:pPr>
    </w:p>
    <w:p>
      <w:pPr>
        <w:ind w:right="160" w:firstLine="1297"/>
        <w:spacing w:after="0" w:line="276" w:lineRule="auto"/>
        <w:rPr>
          <w:sz w:val="20"/>
          <w:szCs w:val="20"/>
          <w:color w:val="auto"/>
        </w:rPr>
      </w:pPr>
      <w:r>
        <w:rPr>
          <w:rFonts w:ascii="Arial" w:cs="Arial" w:eastAsia="Arial" w:hAnsi="Arial"/>
          <w:sz w:val="19"/>
          <w:szCs w:val="19"/>
          <w:color w:val="auto"/>
        </w:rPr>
        <w:t>In accordance with Section 4.1 of the Second Amended and Restated Agreement of Limited Partnership of GasLog Partners LP, as amended, supplemented or restated from time to time (the “</w:t>
      </w:r>
      <w:r>
        <w:rPr>
          <w:rFonts w:ascii="Arial" w:cs="Arial" w:eastAsia="Arial" w:hAnsi="Arial"/>
          <w:sz w:val="19"/>
          <w:szCs w:val="19"/>
          <w:b w:val="1"/>
          <w:bCs w:val="1"/>
          <w:i w:val="1"/>
          <w:iCs w:val="1"/>
          <w:color w:val="auto"/>
        </w:rPr>
        <w:t>Partnership Agreement</w:t>
      </w:r>
      <w:r>
        <w:rPr>
          <w:rFonts w:ascii="Arial" w:cs="Arial" w:eastAsia="Arial" w:hAnsi="Arial"/>
          <w:sz w:val="19"/>
          <w:szCs w:val="19"/>
          <w:color w:val="auto"/>
        </w:rPr>
        <w:t>”), GasLog Partners LP, a</w:t>
      </w:r>
    </w:p>
    <w:p>
      <w:pPr>
        <w:spacing w:after="0" w:line="2" w:lineRule="exact"/>
        <w:rPr>
          <w:sz w:val="20"/>
          <w:szCs w:val="20"/>
          <w:color w:val="auto"/>
        </w:rPr>
      </w:pPr>
    </w:p>
    <w:p>
      <w:pPr>
        <w:ind w:right="100"/>
        <w:spacing w:after="0" w:line="273" w:lineRule="auto"/>
        <w:rPr>
          <w:sz w:val="20"/>
          <w:szCs w:val="20"/>
          <w:color w:val="auto"/>
        </w:rPr>
      </w:pPr>
      <w:r>
        <w:rPr>
          <w:rFonts w:ascii="Arial" w:cs="Arial" w:eastAsia="Arial" w:hAnsi="Arial"/>
          <w:sz w:val="19"/>
          <w:szCs w:val="19"/>
          <w:color w:val="auto"/>
        </w:rPr>
        <w:t>Marshall Islands limited partnership (the “</w:t>
      </w:r>
      <w:r>
        <w:rPr>
          <w:rFonts w:ascii="Arial" w:cs="Arial" w:eastAsia="Arial" w:hAnsi="Arial"/>
          <w:sz w:val="19"/>
          <w:szCs w:val="19"/>
          <w:b w:val="1"/>
          <w:bCs w:val="1"/>
          <w:i w:val="1"/>
          <w:iCs w:val="1"/>
          <w:color w:val="auto"/>
        </w:rPr>
        <w:t>Partnership</w:t>
      </w:r>
      <w:r>
        <w:rPr>
          <w:rFonts w:ascii="Arial" w:cs="Arial" w:eastAsia="Arial" w:hAnsi="Arial"/>
          <w:sz w:val="19"/>
          <w:szCs w:val="19"/>
          <w:color w:val="auto"/>
        </w:rPr>
        <w:t>”), hereby certifies that (the “</w:t>
      </w:r>
      <w:r>
        <w:rPr>
          <w:rFonts w:ascii="Arial" w:cs="Arial" w:eastAsia="Arial" w:hAnsi="Arial"/>
          <w:sz w:val="19"/>
          <w:szCs w:val="19"/>
          <w:b w:val="1"/>
          <w:bCs w:val="1"/>
          <w:i w:val="1"/>
          <w:iCs w:val="1"/>
          <w:color w:val="auto"/>
        </w:rPr>
        <w:t>Holder</w:t>
      </w:r>
      <w:r>
        <w:rPr>
          <w:rFonts w:ascii="Arial" w:cs="Arial" w:eastAsia="Arial" w:hAnsi="Arial"/>
          <w:sz w:val="19"/>
          <w:szCs w:val="19"/>
          <w:color w:val="auto"/>
        </w:rPr>
        <w:t>”) is the registered owner of the above designated number of Common Units representing limited partner interests in the Partnership (the “</w:t>
      </w:r>
      <w:r>
        <w:rPr>
          <w:rFonts w:ascii="Arial" w:cs="Arial" w:eastAsia="Arial" w:hAnsi="Arial"/>
          <w:sz w:val="19"/>
          <w:szCs w:val="19"/>
          <w:b w:val="1"/>
          <w:bCs w:val="1"/>
          <w:i w:val="1"/>
          <w:iCs w:val="1"/>
          <w:color w:val="auto"/>
        </w:rPr>
        <w:t>Common Units</w:t>
      </w:r>
      <w:r>
        <w:rPr>
          <w:rFonts w:ascii="Arial" w:cs="Arial" w:eastAsia="Arial" w:hAnsi="Arial"/>
          <w:sz w:val="19"/>
          <w:szCs w:val="19"/>
          <w:color w:val="auto"/>
        </w:rPr>
        <w:t>”) transferable on the books of the Partnership, in person or by duly authorized attorney, upon surrender of this Certificate properly endorsed. The rights, preferences and limitations of the Common Units are set forth in, and this Certificate and the Common Units represented hereby are issued and shall in all respects be subject to the terms and provisions of, the Partnership Agreement. Copies of the Partnership Agreement are on file at, and will be furnished without charge on delivery of written request to the Partnership at, the principal office of the Partnership located at Gildo Pastor Center, 7 Rue du Gabian, MC 98000, Monaco. Capitalized terms used herein but not defined shall have the meanings given them in the Partnership Agreement.</w:t>
      </w:r>
    </w:p>
    <w:p>
      <w:pPr>
        <w:spacing w:after="0" w:line="182" w:lineRule="exact"/>
        <w:rPr>
          <w:sz w:val="20"/>
          <w:szCs w:val="20"/>
          <w:color w:val="auto"/>
        </w:rPr>
      </w:pPr>
    </w:p>
    <w:p>
      <w:pPr>
        <w:ind w:right="320" w:firstLine="1297"/>
        <w:spacing w:after="0" w:line="236" w:lineRule="auto"/>
        <w:rPr>
          <w:sz w:val="20"/>
          <w:szCs w:val="20"/>
          <w:color w:val="auto"/>
        </w:rPr>
      </w:pPr>
      <w:r>
        <w:rPr>
          <w:rFonts w:ascii="Arial" w:cs="Arial" w:eastAsia="Arial" w:hAnsi="Arial"/>
          <w:sz w:val="22"/>
          <w:szCs w:val="22"/>
          <w:color w:val="auto"/>
        </w:rPr>
        <w:t>The Holder, by accepting this Certificate, is deemed to have (a) requested admission as, and agreed to become, a Limited Partner and to have agreed to comply with and be bound by and to have executed the Partnership Agreement, (b) represented and warranted that the Holder has all right, power and authority and, if an individual, the capacity necessary to enter into the Partnership Agreement and (c) made the waivers and given the consents and approvals contained in the Partnership Agreement.</w:t>
      </w:r>
    </w:p>
    <w:p>
      <w:pPr>
        <w:spacing w:after="0" w:line="215" w:lineRule="exact"/>
        <w:rPr>
          <w:sz w:val="20"/>
          <w:szCs w:val="20"/>
          <w:color w:val="auto"/>
        </w:rPr>
      </w:pPr>
    </w:p>
    <w:p>
      <w:pPr>
        <w:ind w:right="340" w:firstLine="1297"/>
        <w:spacing w:after="0" w:line="328" w:lineRule="auto"/>
        <w:rPr>
          <w:sz w:val="20"/>
          <w:szCs w:val="20"/>
          <w:color w:val="auto"/>
        </w:rPr>
      </w:pPr>
      <w:r>
        <w:rPr>
          <w:rFonts w:ascii="Arial" w:cs="Arial" w:eastAsia="Arial" w:hAnsi="Arial"/>
          <w:sz w:val="19"/>
          <w:szCs w:val="19"/>
          <w:color w:val="auto"/>
        </w:rPr>
        <w:t>This Certificate shall not be valid for any purpose unless it has been countersigned and registered by the Transfer Agent and Registrar. This Certificate shall be governed by and construed in accordance with the laws of the Marshall Islands.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5360" w:type="dxa"/>
            <w:vAlign w:val="bottom"/>
            <w:gridSpan w:val="3"/>
          </w:tcPr>
          <w:p>
            <w:pPr>
              <w:spacing w:after="0"/>
              <w:rPr>
                <w:sz w:val="20"/>
                <w:szCs w:val="20"/>
                <w:color w:val="auto"/>
              </w:rPr>
            </w:pPr>
            <w:r>
              <w:rPr>
                <w:rFonts w:ascii="Arial" w:cs="Arial" w:eastAsia="Arial" w:hAnsi="Arial"/>
                <w:sz w:val="22"/>
                <w:szCs w:val="22"/>
                <w:color w:val="auto"/>
              </w:rPr>
              <w:t>Dated:</w:t>
            </w:r>
          </w:p>
        </w:tc>
        <w:tc>
          <w:tcPr>
            <w:tcW w:w="1120" w:type="dxa"/>
            <w:vAlign w:val="bottom"/>
          </w:tcPr>
          <w:p>
            <w:pPr>
              <w:spacing w:after="0"/>
              <w:rPr>
                <w:sz w:val="23"/>
                <w:szCs w:val="23"/>
                <w:color w:val="auto"/>
              </w:rPr>
            </w:pPr>
          </w:p>
        </w:tc>
        <w:tc>
          <w:tcPr>
            <w:tcW w:w="4940" w:type="dxa"/>
            <w:vAlign w:val="bottom"/>
          </w:tcPr>
          <w:p>
            <w:pPr>
              <w:spacing w:after="0"/>
              <w:rPr>
                <w:sz w:val="23"/>
                <w:szCs w:val="23"/>
                <w:color w:val="auto"/>
              </w:rPr>
            </w:pPr>
          </w:p>
        </w:tc>
      </w:tr>
      <w:tr>
        <w:trPr>
          <w:trHeight w:val="486"/>
        </w:trPr>
        <w:tc>
          <w:tcPr>
            <w:tcW w:w="5360" w:type="dxa"/>
            <w:vAlign w:val="bottom"/>
            <w:gridSpan w:val="3"/>
          </w:tcPr>
          <w:p>
            <w:pPr>
              <w:spacing w:after="0"/>
              <w:rPr>
                <w:sz w:val="20"/>
                <w:szCs w:val="20"/>
                <w:color w:val="auto"/>
              </w:rPr>
            </w:pPr>
            <w:r>
              <w:rPr>
                <w:rFonts w:ascii="Arial" w:cs="Arial" w:eastAsia="Arial" w:hAnsi="Arial"/>
                <w:sz w:val="22"/>
                <w:szCs w:val="22"/>
                <w:color w:val="auto"/>
              </w:rPr>
              <w:t>Countersigned and Registered by:</w:t>
            </w:r>
          </w:p>
        </w:tc>
        <w:tc>
          <w:tcPr>
            <w:tcW w:w="6060" w:type="dxa"/>
            <w:vAlign w:val="bottom"/>
            <w:gridSpan w:val="2"/>
          </w:tcPr>
          <w:p>
            <w:pPr>
              <w:ind w:left="680"/>
              <w:spacing w:after="0"/>
              <w:rPr>
                <w:sz w:val="20"/>
                <w:szCs w:val="20"/>
                <w:color w:val="auto"/>
              </w:rPr>
            </w:pPr>
            <w:r>
              <w:rPr>
                <w:rFonts w:ascii="Arial" w:cs="Arial" w:eastAsia="Arial" w:hAnsi="Arial"/>
                <w:sz w:val="22"/>
                <w:szCs w:val="22"/>
                <w:color w:val="auto"/>
              </w:rPr>
              <w:t>GASLOG PARTNERS LP</w:t>
            </w:r>
          </w:p>
        </w:tc>
      </w:tr>
      <w:tr>
        <w:trPr>
          <w:trHeight w:val="476"/>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6060" w:type="dxa"/>
            <w:vAlign w:val="bottom"/>
            <w:gridSpan w:val="2"/>
          </w:tcPr>
          <w:p>
            <w:pPr>
              <w:ind w:left="680"/>
              <w:spacing w:after="0"/>
              <w:rPr>
                <w:sz w:val="20"/>
                <w:szCs w:val="20"/>
                <w:color w:val="auto"/>
              </w:rPr>
            </w:pPr>
            <w:r>
              <w:rPr>
                <w:rFonts w:ascii="Arial" w:cs="Arial" w:eastAsia="Arial" w:hAnsi="Arial"/>
                <w:sz w:val="22"/>
                <w:szCs w:val="22"/>
                <w:color w:val="auto"/>
              </w:rPr>
              <w:t>By:</w:t>
            </w:r>
          </w:p>
        </w:tc>
      </w:tr>
      <w:tr>
        <w:trPr>
          <w:trHeight w:val="268"/>
        </w:trPr>
        <w:tc>
          <w:tcPr>
            <w:tcW w:w="20" w:type="dxa"/>
            <w:vAlign w:val="bottom"/>
          </w:tcPr>
          <w:p>
            <w:pPr>
              <w:spacing w:after="0"/>
              <w:rPr>
                <w:sz w:val="23"/>
                <w:szCs w:val="23"/>
                <w:color w:val="auto"/>
              </w:rPr>
            </w:pPr>
          </w:p>
        </w:tc>
        <w:tc>
          <w:tcPr>
            <w:tcW w:w="5340" w:type="dxa"/>
            <w:vAlign w:val="bottom"/>
            <w:tcBorders>
              <w:top w:val="single" w:sz="8" w:color="auto"/>
            </w:tcBorders>
            <w:gridSpan w:val="2"/>
          </w:tcPr>
          <w:p>
            <w:pPr>
              <w:spacing w:after="0"/>
              <w:rPr>
                <w:sz w:val="20"/>
                <w:szCs w:val="20"/>
                <w:color w:val="auto"/>
              </w:rPr>
            </w:pPr>
            <w:r>
              <w:rPr>
                <w:rFonts w:ascii="Arial" w:cs="Arial" w:eastAsia="Arial" w:hAnsi="Arial"/>
                <w:sz w:val="22"/>
                <w:szCs w:val="22"/>
                <w:color w:val="auto"/>
              </w:rPr>
              <w:t>as Transfer Agent and Registrar</w:t>
            </w:r>
          </w:p>
        </w:tc>
        <w:tc>
          <w:tcPr>
            <w:tcW w:w="1120" w:type="dxa"/>
            <w:vAlign w:val="bottom"/>
          </w:tcPr>
          <w:p>
            <w:pPr>
              <w:spacing w:after="0"/>
              <w:rPr>
                <w:sz w:val="23"/>
                <w:szCs w:val="23"/>
                <w:color w:val="auto"/>
              </w:rPr>
            </w:pPr>
          </w:p>
        </w:tc>
        <w:tc>
          <w:tcPr>
            <w:tcW w:w="4940" w:type="dxa"/>
            <w:vAlign w:val="bottom"/>
            <w:tcBorders>
              <w:top w:val="single" w:sz="8" w:color="auto"/>
            </w:tcBorders>
          </w:tcPr>
          <w:p>
            <w:pPr>
              <w:spacing w:after="0"/>
              <w:rPr>
                <w:sz w:val="20"/>
                <w:szCs w:val="20"/>
                <w:color w:val="auto"/>
              </w:rPr>
            </w:pPr>
            <w:r>
              <w:rPr>
                <w:rFonts w:ascii="Arial" w:cs="Arial" w:eastAsia="Arial" w:hAnsi="Arial"/>
                <w:sz w:val="22"/>
                <w:szCs w:val="22"/>
                <w:color w:val="auto"/>
              </w:rPr>
              <w:t>Title:</w:t>
            </w:r>
          </w:p>
        </w:tc>
      </w:tr>
      <w:tr>
        <w:trPr>
          <w:trHeight w:val="455"/>
        </w:trPr>
        <w:tc>
          <w:tcPr>
            <w:tcW w:w="5360" w:type="dxa"/>
            <w:vAlign w:val="bottom"/>
            <w:gridSpan w:val="3"/>
          </w:tcPr>
          <w:p>
            <w:pPr>
              <w:spacing w:after="0"/>
              <w:rPr>
                <w:sz w:val="20"/>
                <w:szCs w:val="20"/>
                <w:color w:val="auto"/>
              </w:rPr>
            </w:pPr>
            <w:r>
              <w:rPr>
                <w:rFonts w:ascii="Arial" w:cs="Arial" w:eastAsia="Arial" w:hAnsi="Arial"/>
                <w:sz w:val="22"/>
                <w:szCs w:val="22"/>
                <w:color w:val="auto"/>
              </w:rPr>
              <w:t>By:</w:t>
            </w:r>
          </w:p>
        </w:tc>
        <w:tc>
          <w:tcPr>
            <w:tcW w:w="6060" w:type="dxa"/>
            <w:vAlign w:val="bottom"/>
            <w:gridSpan w:val="2"/>
          </w:tcPr>
          <w:p>
            <w:pPr>
              <w:ind w:left="680"/>
              <w:spacing w:after="0"/>
              <w:rPr>
                <w:sz w:val="20"/>
                <w:szCs w:val="20"/>
                <w:color w:val="auto"/>
              </w:rPr>
            </w:pPr>
            <w:r>
              <w:rPr>
                <w:rFonts w:ascii="Arial" w:cs="Arial" w:eastAsia="Arial" w:hAnsi="Arial"/>
                <w:sz w:val="22"/>
                <w:szCs w:val="22"/>
                <w:color w:val="auto"/>
              </w:rPr>
              <w:t>By:</w:t>
            </w:r>
          </w:p>
        </w:tc>
      </w:tr>
      <w:tr>
        <w:trPr>
          <w:trHeight w:val="268"/>
        </w:trPr>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920" w:type="dxa"/>
            <w:vAlign w:val="bottom"/>
            <w:tcBorders>
              <w:top w:val="single" w:sz="8" w:color="auto"/>
            </w:tcBorders>
          </w:tcPr>
          <w:p>
            <w:pPr>
              <w:spacing w:after="0"/>
              <w:rPr>
                <w:sz w:val="20"/>
                <w:szCs w:val="20"/>
                <w:color w:val="auto"/>
              </w:rPr>
            </w:pPr>
            <w:r>
              <w:rPr>
                <w:rFonts w:ascii="Arial" w:cs="Arial" w:eastAsia="Arial" w:hAnsi="Arial"/>
                <w:sz w:val="22"/>
                <w:szCs w:val="22"/>
                <w:color w:val="auto"/>
              </w:rPr>
              <w:t>Authorized Signature</w:t>
            </w:r>
          </w:p>
        </w:tc>
        <w:tc>
          <w:tcPr>
            <w:tcW w:w="1120" w:type="dxa"/>
            <w:vAlign w:val="bottom"/>
          </w:tcPr>
          <w:p>
            <w:pPr>
              <w:spacing w:after="0"/>
              <w:rPr>
                <w:sz w:val="23"/>
                <w:szCs w:val="23"/>
                <w:color w:val="auto"/>
              </w:rPr>
            </w:pPr>
          </w:p>
        </w:tc>
        <w:tc>
          <w:tcPr>
            <w:tcW w:w="4940" w:type="dxa"/>
            <w:vAlign w:val="bottom"/>
            <w:tcBorders>
              <w:top w:val="single" w:sz="8" w:color="auto"/>
            </w:tcBorders>
          </w:tcPr>
          <w:p>
            <w:pPr>
              <w:spacing w:after="0"/>
              <w:rPr>
                <w:sz w:val="20"/>
                <w:szCs w:val="20"/>
                <w:color w:val="auto"/>
              </w:rPr>
            </w:pPr>
            <w:r>
              <w:rPr>
                <w:rFonts w:ascii="Arial" w:cs="Arial" w:eastAsia="Arial" w:hAnsi="Arial"/>
                <w:sz w:val="22"/>
                <w:szCs w:val="22"/>
                <w:color w:val="auto"/>
              </w:rPr>
              <w:t>Secretary</w:t>
            </w:r>
          </w:p>
        </w:tc>
      </w:tr>
      <w:tr>
        <w:trPr>
          <w:trHeight w:val="411"/>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1120" w:type="dxa"/>
            <w:vAlign w:val="bottom"/>
          </w:tcPr>
          <w:p>
            <w:pPr>
              <w:jc w:val="right"/>
              <w:ind w:right="552"/>
              <w:spacing w:after="0"/>
              <w:rPr>
                <w:sz w:val="20"/>
                <w:szCs w:val="20"/>
                <w:color w:val="auto"/>
              </w:rPr>
            </w:pPr>
            <w:r>
              <w:rPr>
                <w:rFonts w:ascii="Arial" w:cs="Arial" w:eastAsia="Arial" w:hAnsi="Arial"/>
                <w:sz w:val="22"/>
                <w:szCs w:val="22"/>
                <w:color w:val="auto"/>
              </w:rPr>
              <w:t>96</w:t>
            </w:r>
          </w:p>
        </w:tc>
        <w:tc>
          <w:tcPr>
            <w:tcW w:w="4940" w:type="dxa"/>
            <w:vAlign w:val="bottom"/>
          </w:tcPr>
          <w:p>
            <w:pPr>
              <w:spacing w:after="0"/>
              <w:rPr>
                <w:sz w:val="24"/>
                <w:szCs w:val="24"/>
                <w:color w:val="auto"/>
              </w:rPr>
            </w:pPr>
          </w:p>
        </w:tc>
      </w:tr>
      <w:tr>
        <w:trPr>
          <w:trHeight w:val="240"/>
        </w:trPr>
        <w:tc>
          <w:tcPr>
            <w:tcW w:w="20" w:type="dxa"/>
            <w:vAlign w:val="bottom"/>
          </w:tcPr>
          <w:p>
            <w:pPr>
              <w:spacing w:after="0"/>
              <w:rPr>
                <w:sz w:val="20"/>
                <w:szCs w:val="20"/>
                <w:color w:val="auto"/>
              </w:rPr>
            </w:pPr>
          </w:p>
        </w:tc>
        <w:tc>
          <w:tcPr>
            <w:tcW w:w="420" w:type="dxa"/>
            <w:vAlign w:val="bottom"/>
            <w:tcBorders>
              <w:bottom w:val="single" w:sz="8" w:color="C0C0C0"/>
            </w:tcBorders>
          </w:tcPr>
          <w:p>
            <w:pPr>
              <w:spacing w:after="0"/>
              <w:rPr>
                <w:sz w:val="20"/>
                <w:szCs w:val="20"/>
                <w:color w:val="auto"/>
              </w:rPr>
            </w:pPr>
          </w:p>
        </w:tc>
        <w:tc>
          <w:tcPr>
            <w:tcW w:w="4920" w:type="dxa"/>
            <w:vAlign w:val="bottom"/>
            <w:tcBorders>
              <w:bottom w:val="single" w:sz="8" w:color="C0C0C0"/>
            </w:tcBorders>
          </w:tcPr>
          <w:p>
            <w:pPr>
              <w:spacing w:after="0"/>
              <w:rPr>
                <w:sz w:val="20"/>
                <w:szCs w:val="20"/>
                <w:color w:val="auto"/>
              </w:rPr>
            </w:pPr>
          </w:p>
        </w:tc>
        <w:tc>
          <w:tcPr>
            <w:tcW w:w="1120" w:type="dxa"/>
            <w:vAlign w:val="bottom"/>
            <w:tcBorders>
              <w:bottom w:val="single" w:sz="8" w:color="C0C0C0"/>
            </w:tcBorders>
          </w:tcPr>
          <w:p>
            <w:pPr>
              <w:spacing w:after="0"/>
              <w:rPr>
                <w:sz w:val="20"/>
                <w:szCs w:val="20"/>
                <w:color w:val="auto"/>
              </w:rPr>
            </w:pPr>
          </w:p>
        </w:tc>
        <w:tc>
          <w:tcPr>
            <w:tcW w:w="4940" w:type="dxa"/>
            <w:vAlign w:val="bottom"/>
            <w:tcBorders>
              <w:bottom w:val="single" w:sz="8" w:color="C0C0C0"/>
            </w:tcBorders>
          </w:tcPr>
          <w:p>
            <w:pPr>
              <w:spacing w:after="0"/>
              <w:rPr>
                <w:sz w:val="20"/>
                <w:szCs w:val="20"/>
                <w:color w:val="auto"/>
              </w:rPr>
            </w:pPr>
          </w:p>
        </w:tc>
      </w:tr>
    </w:tbl>
    <w:p>
      <w:pPr>
        <w:sectPr>
          <w:pgSz w:w="11900" w:h="16838" w:orient="portrait"/>
          <w:cols w:equalWidth="0" w:num="1">
            <w:col w:w="11420"/>
          </w:cols>
          <w:pgMar w:left="240" w:top="396" w:right="239" w:bottom="1440" w:gutter="0" w:footer="0" w:header="0"/>
        </w:sectPr>
      </w:pPr>
    </w:p>
    <w:bookmarkStart w:id="104" w:name="page105"/>
    <w:bookmarkEnd w:id="104"/>
    <w:p>
      <w:pPr>
        <w:jc w:val="center"/>
        <w:spacing w:after="0"/>
        <w:rPr>
          <w:sz w:val="20"/>
          <w:szCs w:val="20"/>
          <w:color w:val="auto"/>
        </w:rPr>
      </w:pPr>
      <w:r>
        <w:rPr>
          <w:rFonts w:ascii="Arial" w:cs="Arial" w:eastAsia="Arial" w:hAnsi="Arial"/>
          <w:sz w:val="22"/>
          <w:szCs w:val="22"/>
          <w:b w:val="1"/>
          <w:bCs w:val="1"/>
          <w:color w:val="auto"/>
        </w:rPr>
        <w:t>[Reverse of Certificate]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ABBREVIATIONS</w:t>
      </w:r>
    </w:p>
    <w:p>
      <w:pPr>
        <w:spacing w:after="0" w:line="215" w:lineRule="exact"/>
        <w:rPr>
          <w:sz w:val="20"/>
          <w:szCs w:val="20"/>
          <w:color w:val="auto"/>
        </w:rPr>
      </w:pPr>
    </w:p>
    <w:p>
      <w:pPr>
        <w:ind w:right="660" w:firstLine="1297"/>
        <w:spacing w:after="0" w:line="251" w:lineRule="auto"/>
        <w:rPr>
          <w:sz w:val="20"/>
          <w:szCs w:val="20"/>
          <w:color w:val="auto"/>
        </w:rPr>
      </w:pPr>
      <w:r>
        <w:rPr>
          <w:rFonts w:ascii="Arial" w:cs="Arial" w:eastAsia="Arial" w:hAnsi="Arial"/>
          <w:sz w:val="22"/>
          <w:szCs w:val="22"/>
          <w:color w:val="auto"/>
        </w:rPr>
        <w:t>The following abbreviations, when used in the inscription on the face of this Certificate, shall be construed as follows according to applicable laws or regulations: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TEN COM</w:t>
            </w:r>
          </w:p>
        </w:tc>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as tenants in common</w:t>
            </w:r>
          </w:p>
        </w:tc>
        <w:tc>
          <w:tcPr>
            <w:tcW w:w="57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UNIF GIFT/TRANSFERS MIN ACT</w:t>
            </w:r>
          </w:p>
        </w:tc>
      </w:tr>
      <w:tr>
        <w:trPr>
          <w:trHeight w:val="190"/>
        </w:trPr>
        <w:tc>
          <w:tcPr>
            <w:tcW w:w="1000" w:type="dxa"/>
            <w:vAlign w:val="bottom"/>
            <w:tcBorders>
              <w:bottom w:val="single" w:sz="8" w:color="CCEEFF"/>
            </w:tcBorders>
            <w:shd w:val="clear" w:color="auto" w:fill="CCEEFF"/>
          </w:tcPr>
          <w:p>
            <w:pPr>
              <w:spacing w:after="0"/>
              <w:rPr>
                <w:sz w:val="16"/>
                <w:szCs w:val="16"/>
                <w:color w:val="auto"/>
              </w:rPr>
            </w:pPr>
          </w:p>
        </w:tc>
        <w:tc>
          <w:tcPr>
            <w:tcW w:w="47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ind w:left="60"/>
              <w:spacing w:after="0" w:line="190" w:lineRule="exact"/>
              <w:rPr>
                <w:sz w:val="20"/>
                <w:szCs w:val="20"/>
                <w:color w:val="auto"/>
              </w:rPr>
            </w:pPr>
            <w:r>
              <w:rPr>
                <w:rFonts w:ascii="Arial" w:cs="Arial" w:eastAsia="Arial" w:hAnsi="Arial"/>
                <w:sz w:val="18"/>
                <w:szCs w:val="18"/>
                <w:color w:val="auto"/>
                <w:w w:val="91"/>
              </w:rPr>
              <w:t>Custodian</w:t>
            </w:r>
          </w:p>
        </w:tc>
        <w:tc>
          <w:tcPr>
            <w:tcW w:w="1140" w:type="dxa"/>
            <w:vAlign w:val="bottom"/>
            <w:tcBorders>
              <w:bottom w:val="single" w:sz="8" w:color="auto"/>
            </w:tcBorders>
            <w:shd w:val="clear" w:color="auto" w:fill="CCEEFF"/>
          </w:tcPr>
          <w:p>
            <w:pPr>
              <w:spacing w:after="0"/>
              <w:rPr>
                <w:sz w:val="16"/>
                <w:szCs w:val="16"/>
                <w:color w:val="auto"/>
              </w:rPr>
            </w:pPr>
          </w:p>
        </w:tc>
        <w:tc>
          <w:tcPr>
            <w:tcW w:w="2620" w:type="dxa"/>
            <w:vAlign w:val="bottom"/>
            <w:tcBorders>
              <w:bottom w:val="single" w:sz="8" w:color="CCEEFF"/>
            </w:tcBorders>
            <w:shd w:val="clear" w:color="auto" w:fill="CCEEFF"/>
          </w:tcPr>
          <w:p>
            <w:pPr>
              <w:spacing w:after="0"/>
              <w:rPr>
                <w:sz w:val="16"/>
                <w:szCs w:val="16"/>
                <w:color w:val="auto"/>
              </w:rPr>
            </w:pPr>
          </w:p>
        </w:tc>
      </w:tr>
      <w:tr>
        <w:trPr>
          <w:trHeight w:val="237"/>
        </w:trPr>
        <w:tc>
          <w:tcPr>
            <w:tcW w:w="1000" w:type="dxa"/>
            <w:vAlign w:val="bottom"/>
            <w:shd w:val="clear" w:color="auto" w:fill="CCEEFF"/>
          </w:tcPr>
          <w:p>
            <w:pPr>
              <w:spacing w:after="0"/>
              <w:rPr>
                <w:sz w:val="20"/>
                <w:szCs w:val="20"/>
                <w:color w:val="auto"/>
              </w:rPr>
            </w:pPr>
          </w:p>
        </w:tc>
        <w:tc>
          <w:tcPr>
            <w:tcW w:w="4720" w:type="dxa"/>
            <w:vAlign w:val="bottom"/>
            <w:shd w:val="clear" w:color="auto" w:fill="CCEEFF"/>
          </w:tcPr>
          <w:p>
            <w:pPr>
              <w:spacing w:after="0"/>
              <w:rPr>
                <w:sz w:val="20"/>
                <w:szCs w:val="20"/>
                <w:color w:val="auto"/>
              </w:rPr>
            </w:pPr>
          </w:p>
        </w:tc>
        <w:tc>
          <w:tcPr>
            <w:tcW w:w="57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(Cust) (Minor)</w:t>
            </w:r>
          </w:p>
        </w:tc>
      </w:tr>
      <w:tr>
        <w:trPr>
          <w:trHeight w:val="230"/>
        </w:trPr>
        <w:tc>
          <w:tcPr>
            <w:tcW w:w="1000" w:type="dxa"/>
            <w:vAlign w:val="bottom"/>
          </w:tcPr>
          <w:p>
            <w:pPr>
              <w:spacing w:after="0"/>
              <w:rPr>
                <w:sz w:val="20"/>
                <w:szCs w:val="20"/>
                <w:color w:val="auto"/>
              </w:rPr>
            </w:pPr>
            <w:r>
              <w:rPr>
                <w:rFonts w:ascii="Arial" w:cs="Arial" w:eastAsia="Arial" w:hAnsi="Arial"/>
                <w:sz w:val="18"/>
                <w:szCs w:val="18"/>
                <w:color w:val="auto"/>
              </w:rPr>
              <w:t>TEN ENT</w:t>
            </w:r>
          </w:p>
        </w:tc>
        <w:tc>
          <w:tcPr>
            <w:tcW w:w="4720" w:type="dxa"/>
            <w:vAlign w:val="bottom"/>
          </w:tcPr>
          <w:p>
            <w:pPr>
              <w:ind w:left="180"/>
              <w:spacing w:after="0"/>
              <w:rPr>
                <w:sz w:val="20"/>
                <w:szCs w:val="20"/>
                <w:color w:val="auto"/>
              </w:rPr>
            </w:pPr>
            <w:r>
              <w:rPr>
                <w:rFonts w:ascii="Arial" w:cs="Arial" w:eastAsia="Arial" w:hAnsi="Arial"/>
                <w:sz w:val="18"/>
                <w:szCs w:val="18"/>
                <w:color w:val="auto"/>
              </w:rPr>
              <w:t>—   as tenants by the entireties</w:t>
            </w:r>
          </w:p>
        </w:tc>
        <w:tc>
          <w:tcPr>
            <w:tcW w:w="1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20" w:type="dxa"/>
            <w:vAlign w:val="bottom"/>
          </w:tcPr>
          <w:p>
            <w:pPr>
              <w:spacing w:after="0"/>
              <w:rPr>
                <w:sz w:val="20"/>
                <w:szCs w:val="20"/>
                <w:color w:val="auto"/>
              </w:rPr>
            </w:pPr>
          </w:p>
        </w:tc>
      </w:tr>
      <w:tr>
        <w:trPr>
          <w:trHeight w:val="214"/>
        </w:trPr>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JT TEN</w:t>
            </w:r>
          </w:p>
        </w:tc>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as joint tenants with right of survivorship and not as</w:t>
            </w:r>
          </w:p>
        </w:tc>
        <w:tc>
          <w:tcPr>
            <w:tcW w:w="57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under Uniform Gifts /Transfers to CD Minors Act (State)</w:t>
            </w:r>
          </w:p>
        </w:tc>
      </w:tr>
      <w:tr>
        <w:trPr>
          <w:trHeight w:val="230"/>
        </w:trPr>
        <w:tc>
          <w:tcPr>
            <w:tcW w:w="1000" w:type="dxa"/>
            <w:vAlign w:val="bottom"/>
            <w:shd w:val="clear" w:color="auto" w:fill="CCEEFF"/>
          </w:tcPr>
          <w:p>
            <w:pPr>
              <w:spacing w:after="0"/>
              <w:rPr>
                <w:sz w:val="20"/>
                <w:szCs w:val="20"/>
                <w:color w:val="auto"/>
              </w:rPr>
            </w:pPr>
          </w:p>
        </w:tc>
        <w:tc>
          <w:tcPr>
            <w:tcW w:w="47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tenants in common</w:t>
            </w:r>
          </w:p>
        </w:tc>
        <w:tc>
          <w:tcPr>
            <w:tcW w:w="1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620" w:type="dxa"/>
            <w:vAlign w:val="bottom"/>
            <w:shd w:val="clear" w:color="auto" w:fill="CCEEFF"/>
          </w:tcPr>
          <w:p>
            <w:pPr>
              <w:spacing w:after="0"/>
              <w:rPr>
                <w:sz w:val="20"/>
                <w:szCs w:val="20"/>
                <w:color w:val="auto"/>
              </w:rPr>
            </w:pP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Additional abbreviations, though not in the above list, may also be used.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22"/>
          <w:szCs w:val="22"/>
          <w:b w:val="1"/>
          <w:bCs w:val="1"/>
          <w:color w:val="auto"/>
        </w:rPr>
        <w:t>ASSIGNMENT OF COMMON UNITS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w:t>
      </w:r>
    </w:p>
    <w:p>
      <w:pPr>
        <w:jc w:val="center"/>
        <w:spacing w:after="0"/>
        <w:rPr>
          <w:sz w:val="20"/>
          <w:szCs w:val="20"/>
          <w:color w:val="auto"/>
        </w:rPr>
      </w:pPr>
      <w:r>
        <w:rPr>
          <w:rFonts w:ascii="Arial" w:cs="Arial" w:eastAsia="Arial" w:hAnsi="Arial"/>
          <w:sz w:val="22"/>
          <w:szCs w:val="22"/>
          <w:b w:val="1"/>
          <w:bCs w:val="1"/>
          <w:color w:val="auto"/>
        </w:rPr>
        <w:t>GASLOG PARTNERS LP</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0" w:type="dxa"/>
            <w:vAlign w:val="bottom"/>
          </w:tcPr>
          <w:p>
            <w:pPr>
              <w:spacing w:after="0"/>
              <w:rPr>
                <w:sz w:val="23"/>
                <w:szCs w:val="23"/>
                <w:color w:val="auto"/>
              </w:rPr>
            </w:pPr>
          </w:p>
        </w:tc>
        <w:tc>
          <w:tcPr>
            <w:tcW w:w="5800" w:type="dxa"/>
            <w:vAlign w:val="bottom"/>
            <w:gridSpan w:val="2"/>
          </w:tcPr>
          <w:p>
            <w:pPr>
              <w:ind w:left="520"/>
              <w:spacing w:after="0"/>
              <w:rPr>
                <w:sz w:val="20"/>
                <w:szCs w:val="20"/>
                <w:color w:val="auto"/>
              </w:rPr>
            </w:pPr>
            <w:r>
              <w:rPr>
                <w:rFonts w:ascii="Arial" w:cs="Arial" w:eastAsia="Arial" w:hAnsi="Arial"/>
                <w:sz w:val="22"/>
                <w:szCs w:val="22"/>
                <w:color w:val="auto"/>
              </w:rPr>
              <w:t>FOR VALUE RECEIVED,</w:t>
            </w:r>
          </w:p>
        </w:tc>
        <w:tc>
          <w:tcPr>
            <w:tcW w:w="5600" w:type="dxa"/>
            <w:vAlign w:val="bottom"/>
          </w:tcPr>
          <w:p>
            <w:pPr>
              <w:ind w:left="140"/>
              <w:spacing w:after="0"/>
              <w:rPr>
                <w:sz w:val="20"/>
                <w:szCs w:val="20"/>
                <w:color w:val="auto"/>
              </w:rPr>
            </w:pPr>
            <w:r>
              <w:rPr>
                <w:rFonts w:ascii="Arial" w:cs="Arial" w:eastAsia="Arial" w:hAnsi="Arial"/>
                <w:sz w:val="22"/>
                <w:szCs w:val="22"/>
                <w:color w:val="auto"/>
              </w:rPr>
              <w:t>hereby assigns, conveys, sells and transfers unto</w:t>
            </w:r>
          </w:p>
        </w:tc>
      </w:tr>
      <w:tr>
        <w:trPr>
          <w:trHeight w:val="449"/>
        </w:trPr>
        <w:tc>
          <w:tcPr>
            <w:tcW w:w="20" w:type="dxa"/>
            <w:vAlign w:val="bottom"/>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(Please print or typewrite name and address of Assignee)</w:t>
            </w:r>
          </w:p>
        </w:tc>
        <w:tc>
          <w:tcPr>
            <w:tcW w:w="200" w:type="dxa"/>
            <w:vAlign w:val="bottom"/>
            <w:shd w:val="clear" w:color="auto" w:fill="CCEEFF"/>
          </w:tcPr>
          <w:p>
            <w:pPr>
              <w:spacing w:after="0"/>
              <w:rPr>
                <w:sz w:val="18"/>
                <w:szCs w:val="18"/>
                <w:color w:val="auto"/>
              </w:rPr>
            </w:pPr>
          </w:p>
        </w:tc>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(Please insert Social Security or other identifying number of Assignee)</w:t>
            </w:r>
          </w:p>
        </w:tc>
      </w:tr>
    </w:tbl>
    <w:p>
      <w:pPr>
        <w:spacing w:after="0" w:line="222"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Common Units representing limited partner interests evidenced by this Certificate, subject to the Partnership</w:t>
      </w:r>
    </w:p>
    <w:p>
      <w:pPr>
        <w:spacing w:after="0" w:line="20" w:lineRule="exact"/>
        <w:rPr>
          <w:sz w:val="20"/>
          <w:szCs w:val="20"/>
          <w:color w:val="auto"/>
        </w:rPr>
      </w:pPr>
    </w:p>
    <w:p>
      <w:pPr>
        <w:ind w:right="1020"/>
        <w:spacing w:after="0" w:line="237" w:lineRule="auto"/>
        <w:rPr>
          <w:sz w:val="20"/>
          <w:szCs w:val="20"/>
          <w:color w:val="auto"/>
        </w:rPr>
      </w:pPr>
      <w:r>
        <w:rPr>
          <w:rFonts w:ascii="Arial" w:cs="Arial" w:eastAsia="Arial" w:hAnsi="Arial"/>
          <w:sz w:val="22"/>
          <w:szCs w:val="22"/>
          <w:color w:val="auto"/>
        </w:rPr>
        <w:t>Agreement, and does hereby irrevocably constitute and appoint as its attorney-in-fact with full power of substitution to transfer the same on the books of GasLog Partners LP.</w:t>
      </w:r>
    </w:p>
    <w:p>
      <w:pPr>
        <w:sectPr>
          <w:pgSz w:w="11900" w:h="16838" w:orient="portrait"/>
          <w:cols w:equalWidth="0" w:num="1">
            <w:col w:w="11420"/>
          </w:cols>
          <w:pgMar w:left="240" w:top="396" w:right="239" w:bottom="1440" w:gutter="0" w:footer="0" w:header="0"/>
        </w:sectPr>
      </w:pPr>
    </w:p>
    <w:p>
      <w:pPr>
        <w:spacing w:after="0" w:line="212" w:lineRule="exact"/>
        <w:rPr>
          <w:sz w:val="20"/>
          <w:szCs w:val="20"/>
          <w:color w:val="auto"/>
        </w:rPr>
      </w:pPr>
    </w:p>
    <w:p>
      <w:pPr>
        <w:spacing w:after="0"/>
        <w:tabs>
          <w:tab w:leader="none" w:pos="5700" w:val="left"/>
        </w:tabs>
        <w:rPr>
          <w:sz w:val="20"/>
          <w:szCs w:val="20"/>
          <w:color w:val="auto"/>
        </w:rPr>
      </w:pPr>
      <w:r>
        <w:rPr>
          <w:rFonts w:ascii="Arial" w:cs="Arial" w:eastAsia="Arial" w:hAnsi="Arial"/>
          <w:sz w:val="19"/>
          <w:szCs w:val="19"/>
          <w:color w:val="auto"/>
        </w:rPr>
        <w:t>Date:</w:t>
      </w:r>
      <w:r>
        <w:rPr>
          <w:sz w:val="20"/>
          <w:szCs w:val="20"/>
          <w:color w:val="auto"/>
        </w:rPr>
        <w:tab/>
      </w:r>
      <w:r>
        <w:rPr>
          <w:rFonts w:ascii="Arial" w:cs="Arial" w:eastAsia="Arial" w:hAnsi="Arial"/>
          <w:sz w:val="19"/>
          <w:szCs w:val="19"/>
          <w:color w:val="auto"/>
        </w:rPr>
        <w:t>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246620" cy="6172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640"/>
        <w:spacing w:after="0" w:line="235" w:lineRule="auto"/>
        <w:rPr>
          <w:sz w:val="20"/>
          <w:szCs w:val="20"/>
          <w:color w:val="auto"/>
        </w:rPr>
      </w:pPr>
      <w:r>
        <w:rPr>
          <w:rFonts w:ascii="Arial" w:cs="Arial" w:eastAsia="Arial" w:hAnsi="Arial"/>
          <w:sz w:val="22"/>
          <w:szCs w:val="22"/>
          <w:b w:val="1"/>
          <w:bCs w:val="1"/>
          <w:color w:val="auto"/>
        </w:rPr>
        <w:t>THE SIGNATURE(S) MUST BE GUARANTEED BY AN ELIGIBLE GUARANTOR INSTITUTION (BANKS, STOCKBROKERS, SAVINGS AND LOAN ASSOCIATIONS AND CREDIT UNIONS WITH MEMBERSHIP IN AN APPROVED SIGNATURE GUARANTEE MEDALLION PROGRAM), PURSUANT TO S.E.C. RULE 17Ad-15</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line="252" w:lineRule="auto"/>
        <w:rPr>
          <w:sz w:val="20"/>
          <w:szCs w:val="20"/>
          <w:color w:val="auto"/>
        </w:rPr>
      </w:pPr>
      <w:r>
        <w:rPr>
          <w:rFonts w:ascii="Arial" w:cs="Arial" w:eastAsia="Arial" w:hAnsi="Arial"/>
          <w:sz w:val="21"/>
          <w:szCs w:val="21"/>
          <w:color w:val="auto"/>
        </w:rPr>
        <w:t>The signature to any endorsement hereon must correspond with the name as written upon the face of this Certificate in every particular, without alteration, enlargement or change.</w:t>
      </w: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196215</wp:posOffset>
            </wp:positionV>
            <wp:extent cx="3035935" cy="5657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035935" cy="565785"/>
                    </a:xfrm>
                    <a:prstGeom prst="rect">
                      <a:avLst/>
                    </a:prstGeom>
                    <a:noFill/>
                  </pic:spPr>
                </pic:pic>
              </a:graphicData>
            </a:graphic>
          </wp:anchor>
        </w:drawing>
        <w:drawing>
          <wp:anchor simplePos="0" relativeHeight="251657728" behindDoc="1" locked="0" layoutInCell="0" allowOverlap="1">
            <wp:simplePos x="0" y="0"/>
            <wp:positionH relativeFrom="column">
              <wp:posOffset>-114300</wp:posOffset>
            </wp:positionH>
            <wp:positionV relativeFrom="paragraph">
              <wp:posOffset>-154940</wp:posOffset>
            </wp:positionV>
            <wp:extent cx="303593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22"/>
          <w:szCs w:val="22"/>
          <w:color w:val="auto"/>
        </w:rPr>
        <w:t>(Signature)</w:t>
      </w:r>
    </w:p>
    <w:p>
      <w:pPr>
        <w:spacing w:after="0" w:line="216" w:lineRule="exact"/>
        <w:rPr>
          <w:sz w:val="20"/>
          <w:szCs w:val="20"/>
          <w:color w:val="auto"/>
        </w:rPr>
      </w:pPr>
    </w:p>
    <w:p>
      <w:pPr>
        <w:sectPr>
          <w:pgSz w:w="11900" w:h="16838" w:orient="portrait"/>
          <w:cols w:equalWidth="0" w:num="2">
            <w:col w:w="6360" w:space="460"/>
            <w:col w:w="4600"/>
          </w:cols>
          <w:pgMar w:left="240" w:top="396" w:right="239" w:bottom="1440" w:gutter="0" w:footer="0" w:header="0"/>
          <w:type w:val="continuous"/>
        </w:sectPr>
      </w:pPr>
    </w:p>
    <w:p>
      <w:pPr>
        <w:spacing w:after="0" w:line="17" w:lineRule="exact"/>
        <w:rPr>
          <w:sz w:val="20"/>
          <w:szCs w:val="20"/>
          <w:color w:val="auto"/>
        </w:rPr>
      </w:pPr>
    </w:p>
    <w:p>
      <w:pPr>
        <w:ind w:right="360" w:firstLine="1297"/>
        <w:spacing w:after="0" w:line="274" w:lineRule="auto"/>
        <w:rPr>
          <w:sz w:val="20"/>
          <w:szCs w:val="20"/>
          <w:color w:val="auto"/>
        </w:rPr>
      </w:pPr>
      <w:r>
        <w:rPr>
          <w:rFonts w:ascii="Arial" w:cs="Arial" w:eastAsia="Arial" w:hAnsi="Arial"/>
          <w:sz w:val="21"/>
          <w:szCs w:val="21"/>
          <w:color w:val="auto"/>
        </w:rPr>
        <w:t>No transfer of the Common Units evidenced hereby will be registered on the books of the Partnership, unless the Certificate evidencing the Common Units to be transferred is surrendered for registration or transfer.</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type w:val="continuous"/>
        </w:sectPr>
      </w:pPr>
    </w:p>
    <w:bookmarkStart w:id="106" w:name="page107"/>
    <w:bookmarkEnd w:id="106"/>
    <w:p>
      <w:pPr>
        <w:jc w:val="center"/>
        <w:spacing w:after="0"/>
        <w:rPr>
          <w:sz w:val="20"/>
          <w:szCs w:val="20"/>
          <w:color w:val="auto"/>
        </w:rPr>
      </w:pPr>
      <w:r>
        <w:rPr>
          <w:rFonts w:ascii="Arial" w:cs="Arial" w:eastAsia="Arial" w:hAnsi="Arial"/>
          <w:sz w:val="22"/>
          <w:szCs w:val="22"/>
          <w:b w:val="1"/>
          <w:bCs w:val="1"/>
          <w:color w:val="auto"/>
        </w:rPr>
        <w:t>EXHIBIT B</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 the Second Amended and Restated Agreement of Limited Partnership of</w:t>
      </w:r>
    </w:p>
    <w:p>
      <w:pPr>
        <w:jc w:val="center"/>
        <w:spacing w:after="0"/>
        <w:rPr>
          <w:sz w:val="20"/>
          <w:szCs w:val="20"/>
          <w:color w:val="auto"/>
        </w:rPr>
      </w:pPr>
      <w:r>
        <w:rPr>
          <w:rFonts w:ascii="Arial" w:cs="Arial" w:eastAsia="Arial" w:hAnsi="Arial"/>
          <w:sz w:val="22"/>
          <w:szCs w:val="22"/>
          <w:b w:val="1"/>
          <w:bCs w:val="1"/>
          <w:color w:val="auto"/>
        </w:rPr>
        <w:t>GASLOG PARTNERS LP</w:t>
      </w:r>
    </w:p>
    <w:p>
      <w:pPr>
        <w:spacing w:after="0" w:line="209" w:lineRule="exact"/>
        <w:rPr>
          <w:sz w:val="20"/>
          <w:szCs w:val="20"/>
          <w:color w:val="auto"/>
        </w:rPr>
      </w:pPr>
    </w:p>
    <w:p>
      <w:pPr>
        <w:jc w:val="center"/>
        <w:spacing w:after="0" w:line="256" w:lineRule="auto"/>
        <w:rPr>
          <w:sz w:val="20"/>
          <w:szCs w:val="20"/>
          <w:color w:val="auto"/>
        </w:rPr>
      </w:pPr>
      <w:r>
        <w:rPr>
          <w:rFonts w:ascii="Arial" w:cs="Arial" w:eastAsia="Arial" w:hAnsi="Arial"/>
          <w:sz w:val="22"/>
          <w:szCs w:val="22"/>
          <w:b w:val="1"/>
          <w:bCs w:val="1"/>
          <w:color w:val="auto"/>
        </w:rPr>
        <w:t>Certificate Evidencing Series A Cumulative Redeemable Perpetual Fixed to Floating Rate Preference Units Representing Limited Partner Interests in GASLOG PARTNERS LP</w:t>
      </w:r>
    </w:p>
    <w:p>
      <w:pPr>
        <w:spacing w:after="0" w:line="196" w:lineRule="exact"/>
        <w:rPr>
          <w:sz w:val="20"/>
          <w:szCs w:val="20"/>
          <w:color w:val="auto"/>
        </w:rPr>
      </w:pPr>
    </w:p>
    <w:p>
      <w:pPr>
        <w:spacing w:after="0"/>
        <w:tabs>
          <w:tab w:leader="none" w:pos="9160" w:val="left"/>
        </w:tabs>
        <w:rPr>
          <w:sz w:val="20"/>
          <w:szCs w:val="20"/>
          <w:color w:val="auto"/>
        </w:rPr>
      </w:pPr>
      <w:r>
        <w:rPr>
          <w:rFonts w:ascii="Arial" w:cs="Arial" w:eastAsia="Arial" w:hAnsi="Arial"/>
          <w:sz w:val="19"/>
          <w:szCs w:val="19"/>
          <w:color w:val="auto"/>
        </w:rPr>
        <w:t>No.</w:t>
      </w:r>
      <w:r>
        <w:rPr>
          <w:sz w:val="20"/>
          <w:szCs w:val="20"/>
          <w:color w:val="auto"/>
        </w:rPr>
        <w:tab/>
      </w:r>
      <w:r>
        <w:rPr>
          <w:rFonts w:ascii="Arial" w:cs="Arial" w:eastAsia="Arial" w:hAnsi="Arial"/>
          <w:sz w:val="19"/>
          <w:szCs w:val="19"/>
          <w:color w:val="auto"/>
        </w:rPr>
        <w:t>Series A Preference Units</w:t>
      </w:r>
    </w:p>
    <w:p>
      <w:pPr>
        <w:spacing w:after="0" w:line="268" w:lineRule="exact"/>
        <w:rPr>
          <w:sz w:val="20"/>
          <w:szCs w:val="20"/>
          <w:color w:val="auto"/>
        </w:rPr>
      </w:pPr>
    </w:p>
    <w:p>
      <w:pPr>
        <w:ind w:right="160" w:firstLine="1297"/>
        <w:spacing w:after="0" w:line="276" w:lineRule="auto"/>
        <w:rPr>
          <w:sz w:val="20"/>
          <w:szCs w:val="20"/>
          <w:color w:val="auto"/>
        </w:rPr>
      </w:pPr>
      <w:r>
        <w:rPr>
          <w:rFonts w:ascii="Arial" w:cs="Arial" w:eastAsia="Arial" w:hAnsi="Arial"/>
          <w:sz w:val="19"/>
          <w:szCs w:val="19"/>
          <w:color w:val="auto"/>
        </w:rPr>
        <w:t>In accordance with Section 4.1 of the Second Amended and Restated Agreement of Limited Partnership of GasLog Partners LP, as amended, supplemented or restated from time to time (the “</w:t>
      </w:r>
      <w:r>
        <w:rPr>
          <w:rFonts w:ascii="Arial" w:cs="Arial" w:eastAsia="Arial" w:hAnsi="Arial"/>
          <w:sz w:val="19"/>
          <w:szCs w:val="19"/>
          <w:b w:val="1"/>
          <w:bCs w:val="1"/>
          <w:i w:val="1"/>
          <w:iCs w:val="1"/>
          <w:color w:val="auto"/>
        </w:rPr>
        <w:t>Partnership Agreement</w:t>
      </w:r>
      <w:r>
        <w:rPr>
          <w:rFonts w:ascii="Arial" w:cs="Arial" w:eastAsia="Arial" w:hAnsi="Arial"/>
          <w:sz w:val="19"/>
          <w:szCs w:val="19"/>
          <w:color w:val="auto"/>
        </w:rPr>
        <w:t>”), GasLog Partners LP, a</w:t>
      </w:r>
    </w:p>
    <w:p>
      <w:pPr>
        <w:spacing w:after="0" w:line="2" w:lineRule="exact"/>
        <w:rPr>
          <w:sz w:val="20"/>
          <w:szCs w:val="20"/>
          <w:color w:val="auto"/>
        </w:rPr>
      </w:pPr>
    </w:p>
    <w:p>
      <w:pPr>
        <w:ind w:right="180"/>
        <w:spacing w:after="0" w:line="272" w:lineRule="auto"/>
        <w:rPr>
          <w:sz w:val="20"/>
          <w:szCs w:val="20"/>
          <w:color w:val="auto"/>
        </w:rPr>
      </w:pPr>
      <w:r>
        <w:rPr>
          <w:rFonts w:ascii="Arial" w:cs="Arial" w:eastAsia="Arial" w:hAnsi="Arial"/>
          <w:sz w:val="19"/>
          <w:szCs w:val="19"/>
          <w:color w:val="auto"/>
        </w:rPr>
        <w:t>Marshall Islands limited partnership (the “</w:t>
      </w:r>
      <w:r>
        <w:rPr>
          <w:rFonts w:ascii="Arial" w:cs="Arial" w:eastAsia="Arial" w:hAnsi="Arial"/>
          <w:sz w:val="19"/>
          <w:szCs w:val="19"/>
          <w:b w:val="1"/>
          <w:bCs w:val="1"/>
          <w:i w:val="1"/>
          <w:iCs w:val="1"/>
          <w:color w:val="auto"/>
        </w:rPr>
        <w:t>Partnership</w:t>
      </w:r>
      <w:r>
        <w:rPr>
          <w:rFonts w:ascii="Arial" w:cs="Arial" w:eastAsia="Arial" w:hAnsi="Arial"/>
          <w:sz w:val="19"/>
          <w:szCs w:val="19"/>
          <w:color w:val="auto"/>
        </w:rPr>
        <w:t>”), hereby certifies that (the “</w:t>
      </w:r>
      <w:r>
        <w:rPr>
          <w:rFonts w:ascii="Arial" w:cs="Arial" w:eastAsia="Arial" w:hAnsi="Arial"/>
          <w:sz w:val="19"/>
          <w:szCs w:val="19"/>
          <w:b w:val="1"/>
          <w:bCs w:val="1"/>
          <w:i w:val="1"/>
          <w:iCs w:val="1"/>
          <w:color w:val="auto"/>
        </w:rPr>
        <w:t>Holder</w:t>
      </w:r>
      <w:r>
        <w:rPr>
          <w:rFonts w:ascii="Arial" w:cs="Arial" w:eastAsia="Arial" w:hAnsi="Arial"/>
          <w:sz w:val="19"/>
          <w:szCs w:val="19"/>
          <w:color w:val="auto"/>
        </w:rPr>
        <w:t>”) is the registered owner of the above designated number of Series A Cumulative Redeemable Perpetual Fixed to Floating Rate Preference Units representing limited partner interests in the Partnership (the “</w:t>
      </w:r>
      <w:r>
        <w:rPr>
          <w:rFonts w:ascii="Arial" w:cs="Arial" w:eastAsia="Arial" w:hAnsi="Arial"/>
          <w:sz w:val="19"/>
          <w:szCs w:val="19"/>
          <w:b w:val="1"/>
          <w:bCs w:val="1"/>
          <w:i w:val="1"/>
          <w:iCs w:val="1"/>
          <w:color w:val="auto"/>
        </w:rPr>
        <w:t>Series A Preference Units</w:t>
      </w:r>
      <w:r>
        <w:rPr>
          <w:rFonts w:ascii="Arial" w:cs="Arial" w:eastAsia="Arial" w:hAnsi="Arial"/>
          <w:sz w:val="19"/>
          <w:szCs w:val="19"/>
          <w:color w:val="auto"/>
        </w:rPr>
        <w:t>”) transferable on the books of the Partnership, in person or by duly authorized attorney, upon surrender of this Certificate properly endorsed. The rights, preferences and limitations of the Series A Preference Units are set forth in, and this Certificate and the Series A Preference Units represented hereby are issued and shall in all respects be subject to the terms and provisions of, the Partnership Agreement. Copies of the Partnership Agreement are on file at, and will be furnished without charge on delivery of written request to the Partnership at, the principal office of the Partnership located at Gildo Pastor Center, 7 Rue du Gabian, MC 98000, Monaco. Capitalized terms used herein but not defined shall have the meanings given them in the Partnership Agreement.</w:t>
      </w:r>
    </w:p>
    <w:p>
      <w:pPr>
        <w:spacing w:after="0" w:line="184" w:lineRule="exact"/>
        <w:rPr>
          <w:sz w:val="20"/>
          <w:szCs w:val="20"/>
          <w:color w:val="auto"/>
        </w:rPr>
      </w:pPr>
    </w:p>
    <w:p>
      <w:pPr>
        <w:ind w:right="320" w:firstLine="1297"/>
        <w:spacing w:after="0" w:line="236" w:lineRule="auto"/>
        <w:rPr>
          <w:sz w:val="20"/>
          <w:szCs w:val="20"/>
          <w:color w:val="auto"/>
        </w:rPr>
      </w:pPr>
      <w:r>
        <w:rPr>
          <w:rFonts w:ascii="Arial" w:cs="Arial" w:eastAsia="Arial" w:hAnsi="Arial"/>
          <w:sz w:val="22"/>
          <w:szCs w:val="22"/>
          <w:color w:val="auto"/>
        </w:rPr>
        <w:t>The Holder, by accepting this Certificate, is deemed to have (a) requested admission as, and agreed to become, a Limited Partner and to have agreed to comply with and be bound by and to have executed the Partnership Agreement, (b) represented and warranted that the Holder has all right, power and authority and, if an individual, the capacity necessary to enter into the Partnership Agreement and (c) made the waivers and given the consents and approvals contained in the Partnership Agreement.</w:t>
      </w:r>
    </w:p>
    <w:p>
      <w:pPr>
        <w:spacing w:after="0" w:line="215" w:lineRule="exact"/>
        <w:rPr>
          <w:sz w:val="20"/>
          <w:szCs w:val="20"/>
          <w:color w:val="auto"/>
        </w:rPr>
      </w:pPr>
    </w:p>
    <w:p>
      <w:pPr>
        <w:ind w:right="340" w:firstLine="1297"/>
        <w:spacing w:after="0" w:line="328" w:lineRule="auto"/>
        <w:rPr>
          <w:sz w:val="20"/>
          <w:szCs w:val="20"/>
          <w:color w:val="auto"/>
        </w:rPr>
      </w:pPr>
      <w:r>
        <w:rPr>
          <w:rFonts w:ascii="Arial" w:cs="Arial" w:eastAsia="Arial" w:hAnsi="Arial"/>
          <w:sz w:val="19"/>
          <w:szCs w:val="19"/>
          <w:color w:val="auto"/>
        </w:rPr>
        <w:t>This Certificate shall not be valid for any purpose unless it has been countersigned and registered by the Transfer Agent and Registrar. This Certificate shall be governed by and construed in accordance with the laws of the Marshall Islands.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5360" w:type="dxa"/>
            <w:vAlign w:val="bottom"/>
            <w:gridSpan w:val="3"/>
          </w:tcPr>
          <w:p>
            <w:pPr>
              <w:spacing w:after="0"/>
              <w:rPr>
                <w:sz w:val="20"/>
                <w:szCs w:val="20"/>
                <w:color w:val="auto"/>
              </w:rPr>
            </w:pPr>
            <w:r>
              <w:rPr>
                <w:rFonts w:ascii="Arial" w:cs="Arial" w:eastAsia="Arial" w:hAnsi="Arial"/>
                <w:sz w:val="22"/>
                <w:szCs w:val="22"/>
                <w:color w:val="auto"/>
              </w:rPr>
              <w:t>Dated:</w:t>
            </w:r>
          </w:p>
        </w:tc>
        <w:tc>
          <w:tcPr>
            <w:tcW w:w="1120" w:type="dxa"/>
            <w:vAlign w:val="bottom"/>
          </w:tcPr>
          <w:p>
            <w:pPr>
              <w:spacing w:after="0"/>
              <w:rPr>
                <w:sz w:val="23"/>
                <w:szCs w:val="23"/>
                <w:color w:val="auto"/>
              </w:rPr>
            </w:pPr>
          </w:p>
        </w:tc>
        <w:tc>
          <w:tcPr>
            <w:tcW w:w="4940" w:type="dxa"/>
            <w:vAlign w:val="bottom"/>
          </w:tcPr>
          <w:p>
            <w:pPr>
              <w:spacing w:after="0"/>
              <w:rPr>
                <w:sz w:val="23"/>
                <w:szCs w:val="23"/>
                <w:color w:val="auto"/>
              </w:rPr>
            </w:pPr>
          </w:p>
        </w:tc>
      </w:tr>
      <w:tr>
        <w:trPr>
          <w:trHeight w:val="486"/>
        </w:trPr>
        <w:tc>
          <w:tcPr>
            <w:tcW w:w="5360" w:type="dxa"/>
            <w:vAlign w:val="bottom"/>
            <w:gridSpan w:val="3"/>
          </w:tcPr>
          <w:p>
            <w:pPr>
              <w:spacing w:after="0"/>
              <w:rPr>
                <w:sz w:val="20"/>
                <w:szCs w:val="20"/>
                <w:color w:val="auto"/>
              </w:rPr>
            </w:pPr>
            <w:r>
              <w:rPr>
                <w:rFonts w:ascii="Arial" w:cs="Arial" w:eastAsia="Arial" w:hAnsi="Arial"/>
                <w:sz w:val="22"/>
                <w:szCs w:val="22"/>
                <w:color w:val="auto"/>
              </w:rPr>
              <w:t>Countersigned and Registered by:</w:t>
            </w:r>
          </w:p>
        </w:tc>
        <w:tc>
          <w:tcPr>
            <w:tcW w:w="6060" w:type="dxa"/>
            <w:vAlign w:val="bottom"/>
            <w:gridSpan w:val="2"/>
          </w:tcPr>
          <w:p>
            <w:pPr>
              <w:ind w:left="680"/>
              <w:spacing w:after="0"/>
              <w:rPr>
                <w:sz w:val="20"/>
                <w:szCs w:val="20"/>
                <w:color w:val="auto"/>
              </w:rPr>
            </w:pPr>
            <w:r>
              <w:rPr>
                <w:rFonts w:ascii="Arial" w:cs="Arial" w:eastAsia="Arial" w:hAnsi="Arial"/>
                <w:sz w:val="22"/>
                <w:szCs w:val="22"/>
                <w:color w:val="auto"/>
              </w:rPr>
              <w:t>GASLOG PARTNERS LP</w:t>
            </w:r>
          </w:p>
        </w:tc>
      </w:tr>
      <w:tr>
        <w:trPr>
          <w:trHeight w:val="476"/>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6060" w:type="dxa"/>
            <w:vAlign w:val="bottom"/>
            <w:gridSpan w:val="2"/>
          </w:tcPr>
          <w:p>
            <w:pPr>
              <w:ind w:left="680"/>
              <w:spacing w:after="0"/>
              <w:rPr>
                <w:sz w:val="20"/>
                <w:szCs w:val="20"/>
                <w:color w:val="auto"/>
              </w:rPr>
            </w:pPr>
            <w:r>
              <w:rPr>
                <w:rFonts w:ascii="Arial" w:cs="Arial" w:eastAsia="Arial" w:hAnsi="Arial"/>
                <w:sz w:val="22"/>
                <w:szCs w:val="22"/>
                <w:color w:val="auto"/>
              </w:rPr>
              <w:t>By:</w:t>
            </w:r>
          </w:p>
        </w:tc>
      </w:tr>
      <w:tr>
        <w:trPr>
          <w:trHeight w:val="268"/>
        </w:trPr>
        <w:tc>
          <w:tcPr>
            <w:tcW w:w="20" w:type="dxa"/>
            <w:vAlign w:val="bottom"/>
          </w:tcPr>
          <w:p>
            <w:pPr>
              <w:spacing w:after="0"/>
              <w:rPr>
                <w:sz w:val="23"/>
                <w:szCs w:val="23"/>
                <w:color w:val="auto"/>
              </w:rPr>
            </w:pPr>
          </w:p>
        </w:tc>
        <w:tc>
          <w:tcPr>
            <w:tcW w:w="5340" w:type="dxa"/>
            <w:vAlign w:val="bottom"/>
            <w:tcBorders>
              <w:top w:val="single" w:sz="8" w:color="auto"/>
            </w:tcBorders>
            <w:gridSpan w:val="2"/>
          </w:tcPr>
          <w:p>
            <w:pPr>
              <w:spacing w:after="0"/>
              <w:rPr>
                <w:sz w:val="20"/>
                <w:szCs w:val="20"/>
                <w:color w:val="auto"/>
              </w:rPr>
            </w:pPr>
            <w:r>
              <w:rPr>
                <w:rFonts w:ascii="Arial" w:cs="Arial" w:eastAsia="Arial" w:hAnsi="Arial"/>
                <w:sz w:val="22"/>
                <w:szCs w:val="22"/>
                <w:color w:val="auto"/>
              </w:rPr>
              <w:t>as Transfer Agent and Registrar</w:t>
            </w:r>
          </w:p>
        </w:tc>
        <w:tc>
          <w:tcPr>
            <w:tcW w:w="1120" w:type="dxa"/>
            <w:vAlign w:val="bottom"/>
          </w:tcPr>
          <w:p>
            <w:pPr>
              <w:spacing w:after="0"/>
              <w:rPr>
                <w:sz w:val="23"/>
                <w:szCs w:val="23"/>
                <w:color w:val="auto"/>
              </w:rPr>
            </w:pPr>
          </w:p>
        </w:tc>
        <w:tc>
          <w:tcPr>
            <w:tcW w:w="4940" w:type="dxa"/>
            <w:vAlign w:val="bottom"/>
            <w:tcBorders>
              <w:top w:val="single" w:sz="8" w:color="auto"/>
            </w:tcBorders>
          </w:tcPr>
          <w:p>
            <w:pPr>
              <w:spacing w:after="0"/>
              <w:rPr>
                <w:sz w:val="20"/>
                <w:szCs w:val="20"/>
                <w:color w:val="auto"/>
              </w:rPr>
            </w:pPr>
            <w:r>
              <w:rPr>
                <w:rFonts w:ascii="Arial" w:cs="Arial" w:eastAsia="Arial" w:hAnsi="Arial"/>
                <w:sz w:val="22"/>
                <w:szCs w:val="22"/>
                <w:color w:val="auto"/>
              </w:rPr>
              <w:t>Title:</w:t>
            </w:r>
          </w:p>
        </w:tc>
      </w:tr>
      <w:tr>
        <w:trPr>
          <w:trHeight w:val="455"/>
        </w:trPr>
        <w:tc>
          <w:tcPr>
            <w:tcW w:w="5360" w:type="dxa"/>
            <w:vAlign w:val="bottom"/>
            <w:gridSpan w:val="3"/>
          </w:tcPr>
          <w:p>
            <w:pPr>
              <w:spacing w:after="0"/>
              <w:rPr>
                <w:sz w:val="20"/>
                <w:szCs w:val="20"/>
                <w:color w:val="auto"/>
              </w:rPr>
            </w:pPr>
            <w:r>
              <w:rPr>
                <w:rFonts w:ascii="Arial" w:cs="Arial" w:eastAsia="Arial" w:hAnsi="Arial"/>
                <w:sz w:val="22"/>
                <w:szCs w:val="22"/>
                <w:color w:val="auto"/>
              </w:rPr>
              <w:t>By:</w:t>
            </w:r>
          </w:p>
        </w:tc>
        <w:tc>
          <w:tcPr>
            <w:tcW w:w="6060" w:type="dxa"/>
            <w:vAlign w:val="bottom"/>
            <w:gridSpan w:val="2"/>
          </w:tcPr>
          <w:p>
            <w:pPr>
              <w:ind w:left="680"/>
              <w:spacing w:after="0"/>
              <w:rPr>
                <w:sz w:val="20"/>
                <w:szCs w:val="20"/>
                <w:color w:val="auto"/>
              </w:rPr>
            </w:pPr>
            <w:r>
              <w:rPr>
                <w:rFonts w:ascii="Arial" w:cs="Arial" w:eastAsia="Arial" w:hAnsi="Arial"/>
                <w:sz w:val="22"/>
                <w:szCs w:val="22"/>
                <w:color w:val="auto"/>
              </w:rPr>
              <w:t>By:</w:t>
            </w:r>
          </w:p>
        </w:tc>
      </w:tr>
      <w:tr>
        <w:trPr>
          <w:trHeight w:val="268"/>
        </w:trPr>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920" w:type="dxa"/>
            <w:vAlign w:val="bottom"/>
            <w:tcBorders>
              <w:top w:val="single" w:sz="8" w:color="auto"/>
            </w:tcBorders>
          </w:tcPr>
          <w:p>
            <w:pPr>
              <w:spacing w:after="0"/>
              <w:rPr>
                <w:sz w:val="20"/>
                <w:szCs w:val="20"/>
                <w:color w:val="auto"/>
              </w:rPr>
            </w:pPr>
            <w:r>
              <w:rPr>
                <w:rFonts w:ascii="Arial" w:cs="Arial" w:eastAsia="Arial" w:hAnsi="Arial"/>
                <w:sz w:val="22"/>
                <w:szCs w:val="22"/>
                <w:color w:val="auto"/>
              </w:rPr>
              <w:t>Authorized Signature</w:t>
            </w:r>
          </w:p>
        </w:tc>
        <w:tc>
          <w:tcPr>
            <w:tcW w:w="1120" w:type="dxa"/>
            <w:vAlign w:val="bottom"/>
          </w:tcPr>
          <w:p>
            <w:pPr>
              <w:spacing w:after="0"/>
              <w:rPr>
                <w:sz w:val="23"/>
                <w:szCs w:val="23"/>
                <w:color w:val="auto"/>
              </w:rPr>
            </w:pPr>
          </w:p>
        </w:tc>
        <w:tc>
          <w:tcPr>
            <w:tcW w:w="4940" w:type="dxa"/>
            <w:vAlign w:val="bottom"/>
            <w:tcBorders>
              <w:top w:val="single" w:sz="8" w:color="auto"/>
            </w:tcBorders>
          </w:tcPr>
          <w:p>
            <w:pPr>
              <w:spacing w:after="0"/>
              <w:rPr>
                <w:sz w:val="20"/>
                <w:szCs w:val="20"/>
                <w:color w:val="auto"/>
              </w:rPr>
            </w:pPr>
            <w:r>
              <w:rPr>
                <w:rFonts w:ascii="Arial" w:cs="Arial" w:eastAsia="Arial" w:hAnsi="Arial"/>
                <w:sz w:val="22"/>
                <w:szCs w:val="22"/>
                <w:color w:val="auto"/>
              </w:rPr>
              <w:t>Secretary</w:t>
            </w:r>
          </w:p>
        </w:tc>
      </w:tr>
      <w:tr>
        <w:trPr>
          <w:trHeight w:val="411"/>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1120" w:type="dxa"/>
            <w:vAlign w:val="bottom"/>
          </w:tcPr>
          <w:p>
            <w:pPr>
              <w:jc w:val="right"/>
              <w:ind w:right="552"/>
              <w:spacing w:after="0"/>
              <w:rPr>
                <w:sz w:val="20"/>
                <w:szCs w:val="20"/>
                <w:color w:val="auto"/>
              </w:rPr>
            </w:pPr>
            <w:r>
              <w:rPr>
                <w:rFonts w:ascii="Arial" w:cs="Arial" w:eastAsia="Arial" w:hAnsi="Arial"/>
                <w:sz w:val="22"/>
                <w:szCs w:val="22"/>
                <w:color w:val="auto"/>
              </w:rPr>
              <w:t>99</w:t>
            </w:r>
          </w:p>
        </w:tc>
        <w:tc>
          <w:tcPr>
            <w:tcW w:w="4940" w:type="dxa"/>
            <w:vAlign w:val="bottom"/>
          </w:tcPr>
          <w:p>
            <w:pPr>
              <w:spacing w:after="0"/>
              <w:rPr>
                <w:sz w:val="24"/>
                <w:szCs w:val="24"/>
                <w:color w:val="auto"/>
              </w:rPr>
            </w:pPr>
          </w:p>
        </w:tc>
      </w:tr>
      <w:tr>
        <w:trPr>
          <w:trHeight w:val="240"/>
        </w:trPr>
        <w:tc>
          <w:tcPr>
            <w:tcW w:w="20" w:type="dxa"/>
            <w:vAlign w:val="bottom"/>
          </w:tcPr>
          <w:p>
            <w:pPr>
              <w:spacing w:after="0"/>
              <w:rPr>
                <w:sz w:val="20"/>
                <w:szCs w:val="20"/>
                <w:color w:val="auto"/>
              </w:rPr>
            </w:pPr>
          </w:p>
        </w:tc>
        <w:tc>
          <w:tcPr>
            <w:tcW w:w="420" w:type="dxa"/>
            <w:vAlign w:val="bottom"/>
            <w:tcBorders>
              <w:bottom w:val="single" w:sz="8" w:color="C0C0C0"/>
            </w:tcBorders>
          </w:tcPr>
          <w:p>
            <w:pPr>
              <w:spacing w:after="0"/>
              <w:rPr>
                <w:sz w:val="20"/>
                <w:szCs w:val="20"/>
                <w:color w:val="auto"/>
              </w:rPr>
            </w:pPr>
          </w:p>
        </w:tc>
        <w:tc>
          <w:tcPr>
            <w:tcW w:w="4920" w:type="dxa"/>
            <w:vAlign w:val="bottom"/>
            <w:tcBorders>
              <w:bottom w:val="single" w:sz="8" w:color="C0C0C0"/>
            </w:tcBorders>
          </w:tcPr>
          <w:p>
            <w:pPr>
              <w:spacing w:after="0"/>
              <w:rPr>
                <w:sz w:val="20"/>
                <w:szCs w:val="20"/>
                <w:color w:val="auto"/>
              </w:rPr>
            </w:pPr>
          </w:p>
        </w:tc>
        <w:tc>
          <w:tcPr>
            <w:tcW w:w="1120" w:type="dxa"/>
            <w:vAlign w:val="bottom"/>
            <w:tcBorders>
              <w:bottom w:val="single" w:sz="8" w:color="C0C0C0"/>
            </w:tcBorders>
          </w:tcPr>
          <w:p>
            <w:pPr>
              <w:spacing w:after="0"/>
              <w:rPr>
                <w:sz w:val="20"/>
                <w:szCs w:val="20"/>
                <w:color w:val="auto"/>
              </w:rPr>
            </w:pPr>
          </w:p>
        </w:tc>
        <w:tc>
          <w:tcPr>
            <w:tcW w:w="4940" w:type="dxa"/>
            <w:vAlign w:val="bottom"/>
            <w:tcBorders>
              <w:bottom w:val="single" w:sz="8" w:color="C0C0C0"/>
            </w:tcBorders>
          </w:tcPr>
          <w:p>
            <w:pPr>
              <w:spacing w:after="0"/>
              <w:rPr>
                <w:sz w:val="20"/>
                <w:szCs w:val="20"/>
                <w:color w:val="auto"/>
              </w:rPr>
            </w:pPr>
          </w:p>
        </w:tc>
      </w:tr>
    </w:tbl>
    <w:p>
      <w:pPr>
        <w:sectPr>
          <w:pgSz w:w="11900" w:h="16838" w:orient="portrait"/>
          <w:cols w:equalWidth="0" w:num="1">
            <w:col w:w="11420"/>
          </w:cols>
          <w:pgMar w:left="240" w:top="396" w:right="239" w:bottom="1440" w:gutter="0" w:footer="0" w:header="0"/>
        </w:sectPr>
      </w:pPr>
    </w:p>
    <w:bookmarkStart w:id="107" w:name="page108"/>
    <w:bookmarkEnd w:id="107"/>
    <w:p>
      <w:pPr>
        <w:jc w:val="center"/>
        <w:spacing w:after="0"/>
        <w:rPr>
          <w:sz w:val="20"/>
          <w:szCs w:val="20"/>
          <w:color w:val="auto"/>
        </w:rPr>
      </w:pPr>
      <w:r>
        <w:rPr>
          <w:rFonts w:ascii="Arial" w:cs="Arial" w:eastAsia="Arial" w:hAnsi="Arial"/>
          <w:sz w:val="22"/>
          <w:szCs w:val="22"/>
          <w:b w:val="1"/>
          <w:bCs w:val="1"/>
          <w:color w:val="auto"/>
        </w:rPr>
        <w:t>[Reverse of Certificate]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ABBREVIATIONS</w:t>
      </w:r>
    </w:p>
    <w:p>
      <w:pPr>
        <w:spacing w:after="0" w:line="215" w:lineRule="exact"/>
        <w:rPr>
          <w:sz w:val="20"/>
          <w:szCs w:val="20"/>
          <w:color w:val="auto"/>
        </w:rPr>
      </w:pPr>
    </w:p>
    <w:p>
      <w:pPr>
        <w:ind w:right="660" w:firstLine="1297"/>
        <w:spacing w:after="0" w:line="251" w:lineRule="auto"/>
        <w:rPr>
          <w:sz w:val="20"/>
          <w:szCs w:val="20"/>
          <w:color w:val="auto"/>
        </w:rPr>
      </w:pPr>
      <w:r>
        <w:rPr>
          <w:rFonts w:ascii="Arial" w:cs="Arial" w:eastAsia="Arial" w:hAnsi="Arial"/>
          <w:sz w:val="22"/>
          <w:szCs w:val="22"/>
          <w:color w:val="auto"/>
        </w:rPr>
        <w:t>The following abbreviations, when used in the inscription on the face of this Certificate, shall be construed as follows according to applicable laws or regulations: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TEN COM</w:t>
            </w:r>
          </w:p>
        </w:tc>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as tenants in common</w:t>
            </w:r>
          </w:p>
        </w:tc>
        <w:tc>
          <w:tcPr>
            <w:tcW w:w="57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UNIF GIFT/TRANSFERS MIN ACT</w:t>
            </w:r>
          </w:p>
        </w:tc>
      </w:tr>
      <w:tr>
        <w:trPr>
          <w:trHeight w:val="190"/>
        </w:trPr>
        <w:tc>
          <w:tcPr>
            <w:tcW w:w="1000" w:type="dxa"/>
            <w:vAlign w:val="bottom"/>
            <w:tcBorders>
              <w:bottom w:val="single" w:sz="8" w:color="CCEEFF"/>
            </w:tcBorders>
            <w:shd w:val="clear" w:color="auto" w:fill="CCEEFF"/>
          </w:tcPr>
          <w:p>
            <w:pPr>
              <w:spacing w:after="0"/>
              <w:rPr>
                <w:sz w:val="16"/>
                <w:szCs w:val="16"/>
                <w:color w:val="auto"/>
              </w:rPr>
            </w:pPr>
          </w:p>
        </w:tc>
        <w:tc>
          <w:tcPr>
            <w:tcW w:w="47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ind w:left="60"/>
              <w:spacing w:after="0" w:line="190" w:lineRule="exact"/>
              <w:rPr>
                <w:sz w:val="20"/>
                <w:szCs w:val="20"/>
                <w:color w:val="auto"/>
              </w:rPr>
            </w:pPr>
            <w:r>
              <w:rPr>
                <w:rFonts w:ascii="Arial" w:cs="Arial" w:eastAsia="Arial" w:hAnsi="Arial"/>
                <w:sz w:val="18"/>
                <w:szCs w:val="18"/>
                <w:color w:val="auto"/>
                <w:w w:val="91"/>
              </w:rPr>
              <w:t>Custodian</w:t>
            </w:r>
          </w:p>
        </w:tc>
        <w:tc>
          <w:tcPr>
            <w:tcW w:w="1140" w:type="dxa"/>
            <w:vAlign w:val="bottom"/>
            <w:tcBorders>
              <w:bottom w:val="single" w:sz="8" w:color="auto"/>
            </w:tcBorders>
            <w:shd w:val="clear" w:color="auto" w:fill="CCEEFF"/>
          </w:tcPr>
          <w:p>
            <w:pPr>
              <w:spacing w:after="0"/>
              <w:rPr>
                <w:sz w:val="16"/>
                <w:szCs w:val="16"/>
                <w:color w:val="auto"/>
              </w:rPr>
            </w:pPr>
          </w:p>
        </w:tc>
        <w:tc>
          <w:tcPr>
            <w:tcW w:w="2620" w:type="dxa"/>
            <w:vAlign w:val="bottom"/>
            <w:tcBorders>
              <w:bottom w:val="single" w:sz="8" w:color="CCEEFF"/>
            </w:tcBorders>
            <w:shd w:val="clear" w:color="auto" w:fill="CCEEFF"/>
          </w:tcPr>
          <w:p>
            <w:pPr>
              <w:spacing w:after="0"/>
              <w:rPr>
                <w:sz w:val="16"/>
                <w:szCs w:val="16"/>
                <w:color w:val="auto"/>
              </w:rPr>
            </w:pPr>
          </w:p>
        </w:tc>
      </w:tr>
      <w:tr>
        <w:trPr>
          <w:trHeight w:val="237"/>
        </w:trPr>
        <w:tc>
          <w:tcPr>
            <w:tcW w:w="1000" w:type="dxa"/>
            <w:vAlign w:val="bottom"/>
            <w:shd w:val="clear" w:color="auto" w:fill="CCEEFF"/>
          </w:tcPr>
          <w:p>
            <w:pPr>
              <w:spacing w:after="0"/>
              <w:rPr>
                <w:sz w:val="20"/>
                <w:szCs w:val="20"/>
                <w:color w:val="auto"/>
              </w:rPr>
            </w:pPr>
          </w:p>
        </w:tc>
        <w:tc>
          <w:tcPr>
            <w:tcW w:w="4720" w:type="dxa"/>
            <w:vAlign w:val="bottom"/>
            <w:shd w:val="clear" w:color="auto" w:fill="CCEEFF"/>
          </w:tcPr>
          <w:p>
            <w:pPr>
              <w:spacing w:after="0"/>
              <w:rPr>
                <w:sz w:val="20"/>
                <w:szCs w:val="20"/>
                <w:color w:val="auto"/>
              </w:rPr>
            </w:pPr>
          </w:p>
        </w:tc>
        <w:tc>
          <w:tcPr>
            <w:tcW w:w="57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(Cust) (Minor)</w:t>
            </w:r>
          </w:p>
        </w:tc>
      </w:tr>
      <w:tr>
        <w:trPr>
          <w:trHeight w:val="230"/>
        </w:trPr>
        <w:tc>
          <w:tcPr>
            <w:tcW w:w="1000" w:type="dxa"/>
            <w:vAlign w:val="bottom"/>
          </w:tcPr>
          <w:p>
            <w:pPr>
              <w:spacing w:after="0"/>
              <w:rPr>
                <w:sz w:val="20"/>
                <w:szCs w:val="20"/>
                <w:color w:val="auto"/>
              </w:rPr>
            </w:pPr>
            <w:r>
              <w:rPr>
                <w:rFonts w:ascii="Arial" w:cs="Arial" w:eastAsia="Arial" w:hAnsi="Arial"/>
                <w:sz w:val="18"/>
                <w:szCs w:val="18"/>
                <w:color w:val="auto"/>
              </w:rPr>
              <w:t>TEN ENT</w:t>
            </w:r>
          </w:p>
        </w:tc>
        <w:tc>
          <w:tcPr>
            <w:tcW w:w="4720" w:type="dxa"/>
            <w:vAlign w:val="bottom"/>
          </w:tcPr>
          <w:p>
            <w:pPr>
              <w:ind w:left="180"/>
              <w:spacing w:after="0"/>
              <w:rPr>
                <w:sz w:val="20"/>
                <w:szCs w:val="20"/>
                <w:color w:val="auto"/>
              </w:rPr>
            </w:pPr>
            <w:r>
              <w:rPr>
                <w:rFonts w:ascii="Arial" w:cs="Arial" w:eastAsia="Arial" w:hAnsi="Arial"/>
                <w:sz w:val="18"/>
                <w:szCs w:val="18"/>
                <w:color w:val="auto"/>
              </w:rPr>
              <w:t>—   as tenants by the entireties</w:t>
            </w:r>
          </w:p>
        </w:tc>
        <w:tc>
          <w:tcPr>
            <w:tcW w:w="1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20" w:type="dxa"/>
            <w:vAlign w:val="bottom"/>
          </w:tcPr>
          <w:p>
            <w:pPr>
              <w:spacing w:after="0"/>
              <w:rPr>
                <w:sz w:val="20"/>
                <w:szCs w:val="20"/>
                <w:color w:val="auto"/>
              </w:rPr>
            </w:pPr>
          </w:p>
        </w:tc>
      </w:tr>
      <w:tr>
        <w:trPr>
          <w:trHeight w:val="214"/>
        </w:trPr>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JT TEN</w:t>
            </w:r>
          </w:p>
        </w:tc>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as joint tenants with right of survivorship and not as</w:t>
            </w:r>
          </w:p>
        </w:tc>
        <w:tc>
          <w:tcPr>
            <w:tcW w:w="57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under Uniform Gifts /Transfers to CD Minors Act (State)</w:t>
            </w:r>
          </w:p>
        </w:tc>
      </w:tr>
      <w:tr>
        <w:trPr>
          <w:trHeight w:val="230"/>
        </w:trPr>
        <w:tc>
          <w:tcPr>
            <w:tcW w:w="1000" w:type="dxa"/>
            <w:vAlign w:val="bottom"/>
            <w:shd w:val="clear" w:color="auto" w:fill="CCEEFF"/>
          </w:tcPr>
          <w:p>
            <w:pPr>
              <w:spacing w:after="0"/>
              <w:rPr>
                <w:sz w:val="20"/>
                <w:szCs w:val="20"/>
                <w:color w:val="auto"/>
              </w:rPr>
            </w:pPr>
          </w:p>
        </w:tc>
        <w:tc>
          <w:tcPr>
            <w:tcW w:w="47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tenants in common</w:t>
            </w:r>
          </w:p>
        </w:tc>
        <w:tc>
          <w:tcPr>
            <w:tcW w:w="1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620" w:type="dxa"/>
            <w:vAlign w:val="bottom"/>
            <w:shd w:val="clear" w:color="auto" w:fill="CCEEFF"/>
          </w:tcPr>
          <w:p>
            <w:pPr>
              <w:spacing w:after="0"/>
              <w:rPr>
                <w:sz w:val="20"/>
                <w:szCs w:val="20"/>
                <w:color w:val="auto"/>
              </w:rPr>
            </w:pP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Additional abbreviations, though not in the above list, may also be used.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sectPr>
      </w:pPr>
    </w:p>
    <w:bookmarkStart w:id="108" w:name="page109"/>
    <w:bookmarkEnd w:id="108"/>
    <w:p>
      <w:pPr>
        <w:jc w:val="center"/>
        <w:spacing w:after="0"/>
        <w:rPr>
          <w:sz w:val="20"/>
          <w:szCs w:val="20"/>
          <w:color w:val="auto"/>
        </w:rPr>
      </w:pPr>
      <w:r>
        <w:rPr>
          <w:rFonts w:ascii="Arial" w:cs="Arial" w:eastAsia="Arial" w:hAnsi="Arial"/>
          <w:sz w:val="22"/>
          <w:szCs w:val="22"/>
          <w:b w:val="1"/>
          <w:bCs w:val="1"/>
          <w:color w:val="auto"/>
        </w:rPr>
        <w:t>ASSIGNMENT OF SERIES A PREFERENCE UNITS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w:t>
      </w:r>
    </w:p>
    <w:p>
      <w:pPr>
        <w:jc w:val="center"/>
        <w:spacing w:after="0"/>
        <w:rPr>
          <w:sz w:val="20"/>
          <w:szCs w:val="20"/>
          <w:color w:val="auto"/>
        </w:rPr>
      </w:pPr>
      <w:r>
        <w:rPr>
          <w:rFonts w:ascii="Arial" w:cs="Arial" w:eastAsia="Arial" w:hAnsi="Arial"/>
          <w:sz w:val="22"/>
          <w:szCs w:val="22"/>
          <w:b w:val="1"/>
          <w:bCs w:val="1"/>
          <w:color w:val="auto"/>
        </w:rPr>
        <w:t>GASLOG PARTNERS LP</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0" w:type="dxa"/>
            <w:vAlign w:val="bottom"/>
          </w:tcPr>
          <w:p>
            <w:pPr>
              <w:spacing w:after="0"/>
              <w:rPr>
                <w:sz w:val="23"/>
                <w:szCs w:val="23"/>
                <w:color w:val="auto"/>
              </w:rPr>
            </w:pPr>
          </w:p>
        </w:tc>
        <w:tc>
          <w:tcPr>
            <w:tcW w:w="5800" w:type="dxa"/>
            <w:vAlign w:val="bottom"/>
            <w:gridSpan w:val="2"/>
          </w:tcPr>
          <w:p>
            <w:pPr>
              <w:ind w:left="520"/>
              <w:spacing w:after="0"/>
              <w:rPr>
                <w:sz w:val="20"/>
                <w:szCs w:val="20"/>
                <w:color w:val="auto"/>
              </w:rPr>
            </w:pPr>
            <w:r>
              <w:rPr>
                <w:rFonts w:ascii="Arial" w:cs="Arial" w:eastAsia="Arial" w:hAnsi="Arial"/>
                <w:sz w:val="22"/>
                <w:szCs w:val="22"/>
                <w:color w:val="auto"/>
              </w:rPr>
              <w:t>FOR VALUE RECEIVED,</w:t>
            </w:r>
          </w:p>
        </w:tc>
        <w:tc>
          <w:tcPr>
            <w:tcW w:w="5600" w:type="dxa"/>
            <w:vAlign w:val="bottom"/>
          </w:tcPr>
          <w:p>
            <w:pPr>
              <w:ind w:left="140"/>
              <w:spacing w:after="0"/>
              <w:rPr>
                <w:sz w:val="20"/>
                <w:szCs w:val="20"/>
                <w:color w:val="auto"/>
              </w:rPr>
            </w:pPr>
            <w:r>
              <w:rPr>
                <w:rFonts w:ascii="Arial" w:cs="Arial" w:eastAsia="Arial" w:hAnsi="Arial"/>
                <w:sz w:val="22"/>
                <w:szCs w:val="22"/>
                <w:color w:val="auto"/>
              </w:rPr>
              <w:t>hereby assigns, conveys, sells and transfers unto</w:t>
            </w:r>
          </w:p>
        </w:tc>
      </w:tr>
      <w:tr>
        <w:trPr>
          <w:trHeight w:val="449"/>
        </w:trPr>
        <w:tc>
          <w:tcPr>
            <w:tcW w:w="20" w:type="dxa"/>
            <w:vAlign w:val="bottom"/>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(Please print or typewrite name and address of Assignee)</w:t>
            </w:r>
          </w:p>
        </w:tc>
        <w:tc>
          <w:tcPr>
            <w:tcW w:w="200" w:type="dxa"/>
            <w:vAlign w:val="bottom"/>
            <w:shd w:val="clear" w:color="auto" w:fill="CCEEFF"/>
          </w:tcPr>
          <w:p>
            <w:pPr>
              <w:spacing w:after="0"/>
              <w:rPr>
                <w:sz w:val="18"/>
                <w:szCs w:val="18"/>
                <w:color w:val="auto"/>
              </w:rPr>
            </w:pPr>
          </w:p>
        </w:tc>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(Please insert Social Security or other identifying number of Assignee)</w:t>
            </w:r>
          </w:p>
        </w:tc>
      </w:tr>
    </w:tbl>
    <w:p>
      <w:pPr>
        <w:spacing w:after="0" w:line="222"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Series A Preference Units representing limited partner interests evidenced by this Certificate, subject to the</w:t>
      </w:r>
    </w:p>
    <w:p>
      <w:pPr>
        <w:spacing w:after="0" w:line="20" w:lineRule="exact"/>
        <w:rPr>
          <w:sz w:val="20"/>
          <w:szCs w:val="20"/>
          <w:color w:val="auto"/>
        </w:rPr>
      </w:pPr>
    </w:p>
    <w:p>
      <w:pPr>
        <w:ind w:right="220"/>
        <w:spacing w:after="0" w:line="237" w:lineRule="auto"/>
        <w:rPr>
          <w:sz w:val="20"/>
          <w:szCs w:val="20"/>
          <w:color w:val="auto"/>
        </w:rPr>
      </w:pPr>
      <w:r>
        <w:rPr>
          <w:rFonts w:ascii="Arial" w:cs="Arial" w:eastAsia="Arial" w:hAnsi="Arial"/>
          <w:sz w:val="22"/>
          <w:szCs w:val="22"/>
          <w:color w:val="auto"/>
        </w:rPr>
        <w:t>Partnership Agreement, and does hereby irrevocably constitute and appoint as its attorney-in-fact with full power of substitution to transfer the same on the books of GasLog Partners LP.</w:t>
      </w:r>
    </w:p>
    <w:p>
      <w:pPr>
        <w:sectPr>
          <w:pgSz w:w="11900" w:h="16838" w:orient="portrait"/>
          <w:cols w:equalWidth="0" w:num="1">
            <w:col w:w="11420"/>
          </w:cols>
          <w:pgMar w:left="240" w:top="396" w:right="239" w:bottom="1440" w:gutter="0" w:footer="0" w:header="0"/>
        </w:sectPr>
      </w:pPr>
    </w:p>
    <w:p>
      <w:pPr>
        <w:spacing w:after="0" w:line="212" w:lineRule="exact"/>
        <w:rPr>
          <w:sz w:val="20"/>
          <w:szCs w:val="20"/>
          <w:color w:val="auto"/>
        </w:rPr>
      </w:pPr>
    </w:p>
    <w:p>
      <w:pPr>
        <w:spacing w:after="0"/>
        <w:tabs>
          <w:tab w:leader="none" w:pos="5700" w:val="left"/>
        </w:tabs>
        <w:rPr>
          <w:sz w:val="20"/>
          <w:szCs w:val="20"/>
          <w:color w:val="auto"/>
        </w:rPr>
      </w:pPr>
      <w:r>
        <w:rPr>
          <w:rFonts w:ascii="Arial" w:cs="Arial" w:eastAsia="Arial" w:hAnsi="Arial"/>
          <w:sz w:val="19"/>
          <w:szCs w:val="19"/>
          <w:color w:val="auto"/>
        </w:rPr>
        <w:t>Date:</w:t>
      </w:r>
      <w:r>
        <w:rPr>
          <w:sz w:val="20"/>
          <w:szCs w:val="20"/>
          <w:color w:val="auto"/>
        </w:rPr>
        <w:tab/>
      </w:r>
      <w:r>
        <w:rPr>
          <w:rFonts w:ascii="Arial" w:cs="Arial" w:eastAsia="Arial" w:hAnsi="Arial"/>
          <w:sz w:val="19"/>
          <w:szCs w:val="19"/>
          <w:color w:val="auto"/>
        </w:rPr>
        <w:t>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246620" cy="6172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640"/>
        <w:spacing w:after="0" w:line="235" w:lineRule="auto"/>
        <w:rPr>
          <w:sz w:val="20"/>
          <w:szCs w:val="20"/>
          <w:color w:val="auto"/>
        </w:rPr>
      </w:pPr>
      <w:r>
        <w:rPr>
          <w:rFonts w:ascii="Arial" w:cs="Arial" w:eastAsia="Arial" w:hAnsi="Arial"/>
          <w:sz w:val="22"/>
          <w:szCs w:val="22"/>
          <w:b w:val="1"/>
          <w:bCs w:val="1"/>
          <w:color w:val="auto"/>
        </w:rPr>
        <w:t>THE SIGNATURE(S) MUST BE GUARANTEED BY AN ELIGIBLE GUARANTOR INSTITUTION (BANKS, STOCKBROKERS, SAVINGS AND LOAN ASSOCIATIONS AND CREDIT UNIONS WITH MEMBERSHIP IN AN APPROVED SIGNATURE GUARANTEE MEDALLION PROGRAM), PURSUANT TO S.E.C. RULE 17Ad-15</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line="252" w:lineRule="auto"/>
        <w:rPr>
          <w:sz w:val="20"/>
          <w:szCs w:val="20"/>
          <w:color w:val="auto"/>
        </w:rPr>
      </w:pPr>
      <w:r>
        <w:rPr>
          <w:rFonts w:ascii="Arial" w:cs="Arial" w:eastAsia="Arial" w:hAnsi="Arial"/>
          <w:sz w:val="21"/>
          <w:szCs w:val="21"/>
          <w:color w:val="auto"/>
        </w:rPr>
        <w:t>The signature to any endorsement hereon must correspond with the name as written upon the face of this Certificate in every particular, without alteration, enlargement or change.</w:t>
      </w: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196215</wp:posOffset>
            </wp:positionV>
            <wp:extent cx="3035935" cy="5657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035935" cy="565785"/>
                    </a:xfrm>
                    <a:prstGeom prst="rect">
                      <a:avLst/>
                    </a:prstGeom>
                    <a:noFill/>
                  </pic:spPr>
                </pic:pic>
              </a:graphicData>
            </a:graphic>
          </wp:anchor>
        </w:drawing>
        <w:drawing>
          <wp:anchor simplePos="0" relativeHeight="251657728" behindDoc="1" locked="0" layoutInCell="0" allowOverlap="1">
            <wp:simplePos x="0" y="0"/>
            <wp:positionH relativeFrom="column">
              <wp:posOffset>-114300</wp:posOffset>
            </wp:positionH>
            <wp:positionV relativeFrom="paragraph">
              <wp:posOffset>-154940</wp:posOffset>
            </wp:positionV>
            <wp:extent cx="303593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22"/>
          <w:szCs w:val="22"/>
          <w:color w:val="auto"/>
        </w:rPr>
        <w:t>(Signature)</w:t>
      </w:r>
    </w:p>
    <w:p>
      <w:pPr>
        <w:spacing w:after="0" w:line="216" w:lineRule="exact"/>
        <w:rPr>
          <w:sz w:val="20"/>
          <w:szCs w:val="20"/>
          <w:color w:val="auto"/>
        </w:rPr>
      </w:pPr>
    </w:p>
    <w:p>
      <w:pPr>
        <w:sectPr>
          <w:pgSz w:w="11900" w:h="16838" w:orient="portrait"/>
          <w:cols w:equalWidth="0" w:num="2">
            <w:col w:w="6360" w:space="460"/>
            <w:col w:w="4600"/>
          </w:cols>
          <w:pgMar w:left="240" w:top="396" w:right="239" w:bottom="1440" w:gutter="0" w:footer="0" w:header="0"/>
          <w:type w:val="continuous"/>
        </w:sectPr>
      </w:pPr>
    </w:p>
    <w:p>
      <w:pPr>
        <w:spacing w:after="0" w:line="17" w:lineRule="exact"/>
        <w:rPr>
          <w:sz w:val="20"/>
          <w:szCs w:val="20"/>
          <w:color w:val="auto"/>
        </w:rPr>
      </w:pPr>
    </w:p>
    <w:p>
      <w:pPr>
        <w:ind w:right="360" w:firstLine="1297"/>
        <w:spacing w:after="0" w:line="328" w:lineRule="auto"/>
        <w:rPr>
          <w:sz w:val="20"/>
          <w:szCs w:val="20"/>
          <w:color w:val="auto"/>
        </w:rPr>
      </w:pPr>
      <w:r>
        <w:rPr>
          <w:rFonts w:ascii="Arial" w:cs="Arial" w:eastAsia="Arial" w:hAnsi="Arial"/>
          <w:sz w:val="19"/>
          <w:szCs w:val="19"/>
          <w:color w:val="auto"/>
        </w:rPr>
        <w:t>No transfer of the Series A Preference Units evidenced hereby will be registered on the books of the Partnership, unless the Certificate evidencing the Series A Preference Units to be transferred is surrendered for registration or transfer.</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type w:val="continuous"/>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GasLog Partners LP Announces Closing of its Public Offering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5,750,000 8.625% Series A Cumulative Redeemable Perpetual Fixed to Floating Rate Preference Units</w:t>
      </w:r>
    </w:p>
    <w:p>
      <w:pPr>
        <w:spacing w:after="0" w:line="211"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MONACO, May 15, 2017 – GasLog Partners LP (“GasLog Partners”, the “Partnership” or “we”) (NYSE: GLOP) announced today the closing of its public offering of 5,750,000 8.625% Series A Cumulative Redeemable Perpetual Fixed to Floating Rate Preference Units, liquidation preference $25.00 per unit (the “Series A Preference Units”) at a price to the public of $25.00 per unit, including 750,000 units issued upon the exercise in full by the underwriters of their option to purchase additional Series A Preference Units. The net proceeds from the offering, after deducting underwriting discounts and other offering expenses, were approximately $138.61 million. The Series A Preference Units will be listed on the New York Stock Exchange under the symbol GLOP PR A.</w:t>
      </w:r>
    </w:p>
    <w:p>
      <w:pPr>
        <w:spacing w:after="0" w:line="158"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Partnership plans to use the net proceeds from the public offering for general partnership purposes, which may include future acquisitions, debt repayment, capital expenditures and additions to working capital. We currently expect that this will include future acquisitions from GasLog Ltd., our parent (“GasLog”).</w:t>
      </w:r>
    </w:p>
    <w:p>
      <w:pPr>
        <w:spacing w:after="0" w:line="18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Morgan Stanley, UBS Investment Bank, Citigroup and Stifel acted as joint book-runners for the offering and ABN AMRO and BNP PARIBAS acted as co-managers for the offering.</w:t>
      </w:r>
    </w:p>
    <w:p>
      <w:pPr>
        <w:spacing w:after="0" w:line="170"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The offering was made only by means of a prospectus. A copy of the prospectus relating to the offering may be obtained from Morgan Stanley &amp; Co. LLC, Attention: Prospectus Department, 180 Varick Street, 2nd Floor, New York, New York 10014, telephone: 1-866-718-1649, UBS Securities LLC, Attention: Prospectus Specialist, 1285 Avenue of the Americas, New York, New York 10019, telephone: (888) 827-7275, Citigroup Global Markets Inc., c/o Broadridge Financial Solutions, 1155 Long Island Avenue, Edgewood, NY 11717, telephone: (800) 831-9146 and Stifel, Nicolaus &amp; Company, Incorporated, Attention: Syndicate Department, One South Street, 15th Floor, Baltimore, MD 21202, telephone: (855) 300-7136, email: syndprospectus@stifel.com.</w:t>
      </w:r>
    </w:p>
    <w:p>
      <w:pPr>
        <w:spacing w:after="0" w:line="158" w:lineRule="exact"/>
        <w:rPr>
          <w:sz w:val="20"/>
          <w:szCs w:val="20"/>
          <w:color w:val="auto"/>
        </w:rPr>
      </w:pPr>
    </w:p>
    <w:p>
      <w:pPr>
        <w:ind w:right="480"/>
        <w:spacing w:after="0" w:line="312" w:lineRule="auto"/>
        <w:rPr>
          <w:sz w:val="20"/>
          <w:szCs w:val="20"/>
          <w:color w:val="auto"/>
        </w:rPr>
      </w:pPr>
      <w:r>
        <w:rPr>
          <w:rFonts w:ascii="Arial" w:cs="Arial" w:eastAsia="Arial" w:hAnsi="Arial"/>
          <w:sz w:val="16"/>
          <w:szCs w:val="16"/>
          <w:color w:val="auto"/>
        </w:rPr>
        <w:t>A registration statement relating to these securities was declared effective by the U.S. Securities and Exchange Commission on June 8, 2015. This press release does not constitute an offer to sell or the solicitation of an offer to buy securities, and shall not constitute an offer, solicitation or sale in any jurisdiction in which such offer, solicitation or sale would be unlawful prior to registration or qualification under the securities laws of that jurisdiction.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GasLog Partners</w:t>
      </w:r>
    </w:p>
    <w:p>
      <w:pPr>
        <w:spacing w:after="0" w:line="229"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GasLog Partners is a growth-oriented master limited partnership focused on owning, operating and acquiring LNG carriers under multi-year charters. GasLog Partners’ fleet consists of ten LNG carriers with an average carrying capacity of approximately 152,000 cbm, each of which has a multi-year time charter. GasLog Partners’ principal executive offices are located at Gildo Pastor Center, 7 Rue du Gabian, MC 98000, Monaco.</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2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All statements in this press release that are not statements of historical fact are “forward-looking statements” within the meaning of the U.S. Private Securities Litigation Reform Act of 1995. Forward-looking statements include statements that address activities, events or developments that the Partnership expects, projects, believes or anticipates will or may occur in the future, particularly in relation to our operations, cash flows, financial position, liquidity and cash available for dividends or distributions, plans, strategies, business prospects and changes and trends in our business and the markets in which we operate. In some cases, predictive, future-tense or forward-looking words such as “believe”, “intend”, “anticipate”, “estimate”, “project”, “forecast”, “plan”, “potential”, “may”, “should”, “could” and “expect” and similar expressions are intended to identify forward-looking statements, but are not the exclusive means of identifying such statements. In addition, we and our representatives may from time to time make other oral or written statements which are forward-looking statements, including in our periodic reports that we file with the Securities and Exchange Commission, or the “SEC”, other information sent to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46620" cy="342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0" w:name="page111"/>
    <w:bookmarkEnd w:id="110"/>
    <w:p>
      <w:pPr>
        <w:ind w:right="40"/>
        <w:spacing w:after="0" w:line="259" w:lineRule="auto"/>
        <w:rPr>
          <w:sz w:val="20"/>
          <w:szCs w:val="20"/>
          <w:color w:val="auto"/>
        </w:rPr>
      </w:pPr>
      <w:r>
        <w:rPr>
          <w:rFonts w:ascii="Arial" w:cs="Arial" w:eastAsia="Arial" w:hAnsi="Arial"/>
          <w:sz w:val="18"/>
          <w:szCs w:val="18"/>
          <w:color w:val="auto"/>
        </w:rPr>
        <w:t>security holders, and other written materials. We caution that these forward-looking statements represent our estimates and assumptions only as of the date of this press release,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Factors that might cause future results and outcomes to differ include, but are not limited to, the following:</w:t>
      </w:r>
    </w:p>
    <w:p>
      <w:pPr>
        <w:spacing w:after="0" w:line="225" w:lineRule="exact"/>
        <w:rPr>
          <w:sz w:val="20"/>
          <w:szCs w:val="20"/>
          <w:color w:val="auto"/>
        </w:rPr>
      </w:pPr>
    </w:p>
    <w:p>
      <w:pPr>
        <w:ind w:left="520" w:right="220" w:hanging="188"/>
        <w:spacing w:after="0" w:line="277" w:lineRule="auto"/>
        <w:tabs>
          <w:tab w:leader="none" w:pos="5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general LNG shipping market conditions and trends, including spot and long-term charter rates, ship values, factors affecting supply and demand of LNG and LNG shipping, technological advancements and opportunities for the profitable operations of LNG carriers;</w:t>
      </w:r>
    </w:p>
    <w:p>
      <w:pPr>
        <w:spacing w:after="0" w:line="170" w:lineRule="exact"/>
        <w:rPr>
          <w:rFonts w:ascii="Arial" w:cs="Arial" w:eastAsia="Arial" w:hAnsi="Arial"/>
          <w:sz w:val="18"/>
          <w:szCs w:val="18"/>
          <w:color w:val="auto"/>
        </w:rPr>
      </w:pPr>
    </w:p>
    <w:p>
      <w:pPr>
        <w:ind w:left="520" w:hanging="188"/>
        <w:spacing w:after="0"/>
        <w:tabs>
          <w:tab w:leader="none" w:pos="5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continued low prices for crude oil and petroleum products and volatility in gas prices;</w:t>
      </w:r>
    </w:p>
    <w:p>
      <w:pPr>
        <w:spacing w:after="0" w:line="225" w:lineRule="exact"/>
        <w:rPr>
          <w:rFonts w:ascii="Arial" w:cs="Arial" w:eastAsia="Arial" w:hAnsi="Arial"/>
          <w:sz w:val="18"/>
          <w:szCs w:val="18"/>
          <w:color w:val="auto"/>
        </w:rPr>
      </w:pPr>
    </w:p>
    <w:p>
      <w:pPr>
        <w:ind w:left="520" w:hanging="188"/>
        <w:spacing w:after="0"/>
        <w:tabs>
          <w:tab w:leader="none" w:pos="5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our ability to leverage GasLog’s relationships and reputation in the shipping industry;</w:t>
      </w:r>
    </w:p>
    <w:p>
      <w:pPr>
        <w:spacing w:after="0" w:line="225" w:lineRule="exact"/>
        <w:rPr>
          <w:rFonts w:ascii="Arial" w:cs="Arial" w:eastAsia="Arial" w:hAnsi="Arial"/>
          <w:sz w:val="18"/>
          <w:szCs w:val="18"/>
          <w:color w:val="auto"/>
        </w:rPr>
      </w:pPr>
    </w:p>
    <w:p>
      <w:pPr>
        <w:ind w:left="520" w:hanging="188"/>
        <w:spacing w:after="0"/>
        <w:tabs>
          <w:tab w:leader="none" w:pos="5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our ability to enter into time charters with new and existing customers;</w:t>
      </w:r>
    </w:p>
    <w:p>
      <w:pPr>
        <w:spacing w:after="0" w:line="225" w:lineRule="exact"/>
        <w:rPr>
          <w:rFonts w:ascii="Arial" w:cs="Arial" w:eastAsia="Arial" w:hAnsi="Arial"/>
          <w:sz w:val="18"/>
          <w:szCs w:val="18"/>
          <w:color w:val="auto"/>
        </w:rPr>
      </w:pPr>
    </w:p>
    <w:p>
      <w:pPr>
        <w:ind w:left="520" w:hanging="188"/>
        <w:spacing w:after="0"/>
        <w:tabs>
          <w:tab w:leader="none" w:pos="5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changes in the ownership of our charterers;</w:t>
      </w:r>
    </w:p>
    <w:p>
      <w:pPr>
        <w:spacing w:after="0" w:line="225" w:lineRule="exact"/>
        <w:rPr>
          <w:rFonts w:ascii="Arial" w:cs="Arial" w:eastAsia="Arial" w:hAnsi="Arial"/>
          <w:sz w:val="18"/>
          <w:szCs w:val="18"/>
          <w:color w:val="auto"/>
        </w:rPr>
      </w:pPr>
    </w:p>
    <w:p>
      <w:pPr>
        <w:ind w:left="520" w:hanging="188"/>
        <w:spacing w:after="0"/>
        <w:tabs>
          <w:tab w:leader="none" w:pos="5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our customers’ performance of their obligations under our time charters and other contracts;</w:t>
      </w:r>
    </w:p>
    <w:p>
      <w:pPr>
        <w:spacing w:after="0" w:line="225" w:lineRule="exact"/>
        <w:rPr>
          <w:rFonts w:ascii="Arial" w:cs="Arial" w:eastAsia="Arial" w:hAnsi="Arial"/>
          <w:sz w:val="18"/>
          <w:szCs w:val="18"/>
          <w:color w:val="auto"/>
        </w:rPr>
      </w:pPr>
    </w:p>
    <w:p>
      <w:pPr>
        <w:ind w:left="520" w:hanging="188"/>
        <w:spacing w:after="0"/>
        <w:tabs>
          <w:tab w:leader="none" w:pos="5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our future operating performance, financial condition, liquidity and cash available for dividends and distributions;</w:t>
      </w:r>
    </w:p>
    <w:p>
      <w:pPr>
        <w:spacing w:after="0" w:line="225" w:lineRule="exact"/>
        <w:rPr>
          <w:rFonts w:ascii="Arial" w:cs="Arial" w:eastAsia="Arial" w:hAnsi="Arial"/>
          <w:sz w:val="18"/>
          <w:szCs w:val="18"/>
          <w:color w:val="auto"/>
        </w:rPr>
      </w:pPr>
    </w:p>
    <w:p>
      <w:pPr>
        <w:ind w:left="520" w:hanging="188"/>
        <w:spacing w:after="0"/>
        <w:tabs>
          <w:tab w:leader="none" w:pos="5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our ability to purchase vessels from GasLog in the future;</w:t>
      </w:r>
    </w:p>
    <w:p>
      <w:pPr>
        <w:spacing w:after="0" w:line="225" w:lineRule="exact"/>
        <w:rPr>
          <w:rFonts w:ascii="Arial" w:cs="Arial" w:eastAsia="Arial" w:hAnsi="Arial"/>
          <w:sz w:val="18"/>
          <w:szCs w:val="18"/>
          <w:color w:val="auto"/>
        </w:rPr>
      </w:pPr>
    </w:p>
    <w:p>
      <w:pPr>
        <w:ind w:left="520" w:right="340" w:hanging="188"/>
        <w:spacing w:after="0" w:line="264" w:lineRule="auto"/>
        <w:tabs>
          <w:tab w:leader="none" w:pos="5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our ability to obtain financing to fund capital expenditures, acquisitions and other corporate activities, funding by banks of their financial commitments, funding by GasLog of the revolving credit facility with GasLog entered into on April 3, 2017 and our ability to meet our restrictive covenants and other obligations under our credit facilities;</w:t>
      </w:r>
    </w:p>
    <w:p>
      <w:pPr>
        <w:spacing w:after="0" w:line="181" w:lineRule="exact"/>
        <w:rPr>
          <w:rFonts w:ascii="Arial" w:cs="Arial" w:eastAsia="Arial" w:hAnsi="Arial"/>
          <w:sz w:val="18"/>
          <w:szCs w:val="18"/>
          <w:color w:val="auto"/>
        </w:rPr>
      </w:pPr>
    </w:p>
    <w:p>
      <w:pPr>
        <w:ind w:left="520" w:hanging="188"/>
        <w:spacing w:after="0" w:line="277" w:lineRule="auto"/>
        <w:tabs>
          <w:tab w:leader="none" w:pos="5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future, pending or recent acquisitions of ships or other assets, business strategy, areas of possible expansion and expected capital spending or operating expenses;</w:t>
      </w:r>
    </w:p>
    <w:p>
      <w:pPr>
        <w:spacing w:after="0" w:line="170" w:lineRule="exact"/>
        <w:rPr>
          <w:rFonts w:ascii="Arial" w:cs="Arial" w:eastAsia="Arial" w:hAnsi="Arial"/>
          <w:sz w:val="18"/>
          <w:szCs w:val="18"/>
          <w:color w:val="auto"/>
        </w:rPr>
      </w:pPr>
    </w:p>
    <w:p>
      <w:pPr>
        <w:ind w:left="520" w:hanging="188"/>
        <w:spacing w:after="0"/>
        <w:tabs>
          <w:tab w:leader="none" w:pos="5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our expectations about the time that it may take to construct and deliver newbuildings and the useful lives of our ships;</w:t>
      </w:r>
    </w:p>
    <w:p>
      <w:pPr>
        <w:spacing w:after="0" w:line="225" w:lineRule="exact"/>
        <w:rPr>
          <w:rFonts w:ascii="Arial" w:cs="Arial" w:eastAsia="Arial" w:hAnsi="Arial"/>
          <w:sz w:val="18"/>
          <w:szCs w:val="18"/>
          <w:color w:val="auto"/>
        </w:rPr>
      </w:pPr>
    </w:p>
    <w:p>
      <w:pPr>
        <w:ind w:left="520" w:hanging="188"/>
        <w:spacing w:after="0"/>
        <w:tabs>
          <w:tab w:leader="none" w:pos="5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number of off-hire days, dry-docking requirements and insurance costs;</w:t>
      </w:r>
    </w:p>
    <w:p>
      <w:pPr>
        <w:spacing w:after="0" w:line="225" w:lineRule="exact"/>
        <w:rPr>
          <w:rFonts w:ascii="Arial" w:cs="Arial" w:eastAsia="Arial" w:hAnsi="Arial"/>
          <w:sz w:val="18"/>
          <w:szCs w:val="18"/>
          <w:color w:val="auto"/>
        </w:rPr>
      </w:pPr>
    </w:p>
    <w:p>
      <w:pPr>
        <w:ind w:left="520" w:hanging="188"/>
        <w:spacing w:after="0"/>
        <w:tabs>
          <w:tab w:leader="none" w:pos="5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fluctuations in currencies and interest rates;</w:t>
      </w:r>
    </w:p>
    <w:p>
      <w:pPr>
        <w:spacing w:after="0" w:line="225" w:lineRule="exact"/>
        <w:rPr>
          <w:rFonts w:ascii="Arial" w:cs="Arial" w:eastAsia="Arial" w:hAnsi="Arial"/>
          <w:sz w:val="18"/>
          <w:szCs w:val="18"/>
          <w:color w:val="auto"/>
        </w:rPr>
      </w:pPr>
    </w:p>
    <w:p>
      <w:pPr>
        <w:ind w:left="520" w:hanging="188"/>
        <w:spacing w:after="0"/>
        <w:tabs>
          <w:tab w:leader="none" w:pos="5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our ability to maintain long-term relationships with major energy companies;</w:t>
      </w:r>
    </w:p>
    <w:p>
      <w:pPr>
        <w:spacing w:after="0" w:line="225" w:lineRule="exact"/>
        <w:rPr>
          <w:rFonts w:ascii="Arial" w:cs="Arial" w:eastAsia="Arial" w:hAnsi="Arial"/>
          <w:sz w:val="18"/>
          <w:szCs w:val="18"/>
          <w:color w:val="auto"/>
        </w:rPr>
      </w:pPr>
    </w:p>
    <w:p>
      <w:pPr>
        <w:ind w:left="520" w:right="220" w:hanging="188"/>
        <w:spacing w:after="0" w:line="277" w:lineRule="auto"/>
        <w:tabs>
          <w:tab w:leader="none" w:pos="5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our ability to maximize the use of our ships, including the re-employment or disposal of ships no longer under time charter commitments, including the risk that our vessels may no longer have the latest technology at such time;</w:t>
      </w:r>
    </w:p>
    <w:p>
      <w:pPr>
        <w:spacing w:after="0" w:line="170" w:lineRule="exact"/>
        <w:rPr>
          <w:rFonts w:ascii="Arial" w:cs="Arial" w:eastAsia="Arial" w:hAnsi="Arial"/>
          <w:sz w:val="18"/>
          <w:szCs w:val="18"/>
          <w:color w:val="auto"/>
        </w:rPr>
      </w:pPr>
    </w:p>
    <w:p>
      <w:pPr>
        <w:ind w:left="520" w:hanging="188"/>
        <w:spacing w:after="0"/>
        <w:tabs>
          <w:tab w:leader="none" w:pos="5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environmental and regulatory conditions, including changes in laws and regulations or actions taken by regulatory authorities;</w:t>
      </w:r>
    </w:p>
    <w:p>
      <w:pPr>
        <w:spacing w:after="0" w:line="225" w:lineRule="exact"/>
        <w:rPr>
          <w:rFonts w:ascii="Arial" w:cs="Arial" w:eastAsia="Arial" w:hAnsi="Arial"/>
          <w:sz w:val="18"/>
          <w:szCs w:val="18"/>
          <w:color w:val="auto"/>
        </w:rPr>
      </w:pPr>
    </w:p>
    <w:p>
      <w:pPr>
        <w:ind w:left="520" w:right="420" w:hanging="188"/>
        <w:spacing w:after="0" w:line="277" w:lineRule="auto"/>
        <w:tabs>
          <w:tab w:leader="none" w:pos="5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expected cost of, and our ability to comply with, governmental regulations and maritime self-regulatory organization standards, requirements imposed by classification societies and standards imposed by our charterers applicable to our business;</w:t>
      </w:r>
    </w:p>
    <w:p>
      <w:pPr>
        <w:spacing w:after="0" w:line="170" w:lineRule="exact"/>
        <w:rPr>
          <w:rFonts w:ascii="Arial" w:cs="Arial" w:eastAsia="Arial" w:hAnsi="Arial"/>
          <w:sz w:val="18"/>
          <w:szCs w:val="18"/>
          <w:color w:val="auto"/>
        </w:rPr>
      </w:pPr>
    </w:p>
    <w:p>
      <w:pPr>
        <w:ind w:left="520" w:hanging="188"/>
        <w:spacing w:after="0"/>
        <w:tabs>
          <w:tab w:leader="none" w:pos="5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risks inherent in ship operation, including the discharge of pollutants;</w:t>
      </w:r>
    </w:p>
    <w:p>
      <w:pPr>
        <w:spacing w:after="0" w:line="225" w:lineRule="exact"/>
        <w:rPr>
          <w:rFonts w:ascii="Arial" w:cs="Arial" w:eastAsia="Arial" w:hAnsi="Arial"/>
          <w:sz w:val="18"/>
          <w:szCs w:val="18"/>
          <w:color w:val="auto"/>
        </w:rPr>
      </w:pPr>
    </w:p>
    <w:p>
      <w:pPr>
        <w:ind w:left="520" w:hanging="188"/>
        <w:spacing w:after="0"/>
        <w:tabs>
          <w:tab w:leader="none" w:pos="5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GasLog’s ability to retain key employees and provide services to us, and the availability of skilled labor, ship crews and management;</w:t>
      </w:r>
    </w:p>
    <w:p>
      <w:pPr>
        <w:spacing w:after="0" w:line="225" w:lineRule="exact"/>
        <w:rPr>
          <w:rFonts w:ascii="Arial" w:cs="Arial" w:eastAsia="Arial" w:hAnsi="Arial"/>
          <w:sz w:val="18"/>
          <w:szCs w:val="18"/>
          <w:color w:val="auto"/>
        </w:rPr>
      </w:pPr>
    </w:p>
    <w:p>
      <w:pPr>
        <w:ind w:left="520" w:hanging="188"/>
        <w:spacing w:after="0"/>
        <w:tabs>
          <w:tab w:leader="none" w:pos="5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potential disruption of shipping routes due to accidents, political events, piracy or acts by terrorists;</w:t>
      </w:r>
    </w:p>
    <w:p>
      <w:pPr>
        <w:spacing w:after="0" w:line="225" w:lineRule="exact"/>
        <w:rPr>
          <w:rFonts w:ascii="Arial" w:cs="Arial" w:eastAsia="Arial" w:hAnsi="Arial"/>
          <w:sz w:val="18"/>
          <w:szCs w:val="18"/>
          <w:color w:val="auto"/>
        </w:rPr>
      </w:pPr>
    </w:p>
    <w:p>
      <w:pPr>
        <w:ind w:left="520" w:hanging="188"/>
        <w:spacing w:after="0"/>
        <w:tabs>
          <w:tab w:leader="none" w:pos="5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potential liability from future litigation;</w:t>
      </w:r>
    </w:p>
    <w:p>
      <w:pPr>
        <w:spacing w:after="0" w:line="225" w:lineRule="exact"/>
        <w:rPr>
          <w:rFonts w:ascii="Arial" w:cs="Arial" w:eastAsia="Arial" w:hAnsi="Arial"/>
          <w:sz w:val="18"/>
          <w:szCs w:val="18"/>
          <w:color w:val="auto"/>
        </w:rPr>
      </w:pPr>
    </w:p>
    <w:p>
      <w:pPr>
        <w:ind w:left="520" w:hanging="188"/>
        <w:spacing w:after="0"/>
        <w:tabs>
          <w:tab w:leader="none" w:pos="5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our business strategy and other plans and objectives for future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342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80"/>
          </w:cols>
          <w:pgMar w:left="240" w:top="409" w:right="279" w:bottom="1440" w:gutter="0" w:footer="0" w:header="0"/>
        </w:sectPr>
      </w:pPr>
    </w:p>
    <w:bookmarkStart w:id="111" w:name="page112"/>
    <w:bookmarkEnd w:id="111"/>
    <w:p>
      <w:pPr>
        <w:ind w:left="520" w:right="160" w:hanging="188"/>
        <w:spacing w:after="0" w:line="277" w:lineRule="auto"/>
        <w:tabs>
          <w:tab w:leader="none" w:pos="52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any malfunction or disruption of information technology systems and networks that our operations rely on or any impact of a possible cybersecurity breach; and</w:t>
      </w:r>
    </w:p>
    <w:p>
      <w:pPr>
        <w:spacing w:after="0" w:line="170" w:lineRule="exact"/>
        <w:rPr>
          <w:rFonts w:ascii="Arial" w:cs="Arial" w:eastAsia="Arial" w:hAnsi="Arial"/>
          <w:sz w:val="18"/>
          <w:szCs w:val="18"/>
          <w:color w:val="auto"/>
        </w:rPr>
      </w:pPr>
    </w:p>
    <w:p>
      <w:pPr>
        <w:ind w:left="520" w:right="100" w:hanging="188"/>
        <w:spacing w:after="0" w:line="277" w:lineRule="auto"/>
        <w:tabs>
          <w:tab w:leader="none" w:pos="52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 xml:space="preserve">other risks and uncertainties described in the Partnership’s Annual Report on Form 20-F filed with the SEC on February 13, 2017 and the Prospectus Supplement filed with the SEC on May 8, 2017, both available at </w:t>
      </w:r>
      <w:r>
        <w:rPr>
          <w:rFonts w:ascii="Arial" w:cs="Arial" w:eastAsia="Arial" w:hAnsi="Arial"/>
          <w:sz w:val="18"/>
          <w:szCs w:val="18"/>
          <w:u w:val="single" w:color="auto"/>
          <w:color w:val="auto"/>
        </w:rPr>
        <w:t>http://www.sec.gov</w:t>
      </w:r>
      <w:r>
        <w:rPr>
          <w:rFonts w:ascii="Arial" w:cs="Arial" w:eastAsia="Arial" w:hAnsi="Arial"/>
          <w:sz w:val="18"/>
          <w:szCs w:val="18"/>
          <w:color w:val="auto"/>
        </w:rPr>
        <w:t>.</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undertake no obligation to update or revise any forward-looking statements contained in this press release, whether as a result of new information, future events, a change in our views or expectations or otherwise.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Alastair Maxwell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+44-203-388-3100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Jamie Buckland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+44-203-388-3116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ir@gaslogltd.com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Samaan Aziz</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 Manager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+1 212 223 0643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ir@gaslogltd.com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1340"/>
      </w:cols>
      <w:pgMar w:left="240" w:top="409"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7398C89"/>
    <w:multiLevelType w:val="hybridMultilevel"/>
    <w:lvl w:ilvl="0">
      <w:lvlJc w:val="left"/>
      <w:lvlText w:val="(%1)"/>
      <w:numFmt w:val="lowerRoman"/>
      <w:start w:val="2"/>
    </w:lvl>
  </w:abstractNum>
  <w:abstractNum w:abstractNumId="1">
    <w:nsid w:val="354FE9F9"/>
    <w:multiLevelType w:val="hybridMultilevel"/>
    <w:lvl w:ilvl="0">
      <w:lvlJc w:val="left"/>
      <w:lvlText w:val="%1"/>
      <w:numFmt w:val="lowerLetter"/>
      <w:start w:val="1"/>
    </w:lvl>
    <w:lvl w:ilvl="1">
      <w:lvlJc w:val="left"/>
      <w:lvlText w:val="(%2)"/>
      <w:numFmt w:val="lowerLetter"/>
      <w:start w:val="1"/>
    </w:lvl>
  </w:abstractNum>
  <w:abstractNum w:abstractNumId="2">
    <w:nsid w:val="15B5AF5C"/>
    <w:multiLevelType w:val="hybridMultilevel"/>
    <w:lvl w:ilvl="0">
      <w:lvlJc w:val="left"/>
      <w:lvlText w:val="(%1)"/>
      <w:numFmt w:val="lowerLetter"/>
      <w:start w:val="61"/>
    </w:lvl>
    <w:lvl w:ilvl="1">
      <w:lvlJc w:val="left"/>
      <w:lvlText w:val="(%2)"/>
      <w:numFmt w:val="lowerLetter"/>
      <w:start w:val="2"/>
    </w:lvl>
  </w:abstractNum>
  <w:abstractNum w:abstractNumId="3">
    <w:nsid w:val="741226BB"/>
    <w:multiLevelType w:val="hybridMultilevel"/>
    <w:lvl w:ilvl="0">
      <w:lvlJc w:val="left"/>
      <w:lvlText w:val="(%1)"/>
      <w:numFmt w:val="lowerLetter"/>
      <w:start w:val="2"/>
    </w:lvl>
  </w:abstractNum>
  <w:abstractNum w:abstractNumId="4">
    <w:nsid w:val="D34B6A8"/>
    <w:multiLevelType w:val="hybridMultilevel"/>
    <w:lvl w:ilvl="0">
      <w:lvlJc w:val="left"/>
      <w:lvlText w:val="(%1)"/>
      <w:numFmt w:val="lowerRoman"/>
      <w:start w:val="2"/>
    </w:lvl>
  </w:abstractNum>
  <w:abstractNum w:abstractNumId="5">
    <w:nsid w:val="10233C99"/>
    <w:multiLevelType w:val="hybridMultilevel"/>
    <w:lvl w:ilvl="0">
      <w:lvlJc w:val="left"/>
      <w:lvlText w:val="(%1)"/>
      <w:numFmt w:val="lowerLetter"/>
      <w:start w:val="1"/>
    </w:lvl>
  </w:abstractNum>
  <w:abstractNum w:abstractNumId="6">
    <w:nsid w:val="3F6AB60F"/>
    <w:multiLevelType w:val="hybridMultilevel"/>
    <w:lvl w:ilvl="0">
      <w:lvlJc w:val="left"/>
      <w:lvlText w:val="(%1)"/>
      <w:numFmt w:val="lowerLetter"/>
      <w:start w:val="1"/>
    </w:lvl>
  </w:abstractNum>
  <w:abstractNum w:abstractNumId="7">
    <w:nsid w:val="61574095"/>
    <w:multiLevelType w:val="hybridMultilevel"/>
    <w:lvl w:ilvl="0">
      <w:lvlJc w:val="left"/>
      <w:lvlText w:val="(%1)"/>
      <w:numFmt w:val="lowerLetter"/>
      <w:start w:val="2"/>
    </w:lvl>
  </w:abstractNum>
  <w:abstractNum w:abstractNumId="8">
    <w:nsid w:val="7E0C57B1"/>
    <w:multiLevelType w:val="hybridMultilevel"/>
    <w:lvl w:ilvl="0">
      <w:lvlJc w:val="left"/>
      <w:lvlText w:val="(%1)"/>
      <w:numFmt w:val="lowerLetter"/>
      <w:start w:val="2"/>
    </w:lvl>
  </w:abstractNum>
  <w:abstractNum w:abstractNumId="9">
    <w:nsid w:val="77AE35EB"/>
    <w:multiLevelType w:val="hybridMultilevel"/>
    <w:lvl w:ilvl="0">
      <w:lvlJc w:val="left"/>
      <w:lvlText w:val="(%1)"/>
      <w:numFmt w:val="lowerLetter"/>
      <w:start w:val="1"/>
    </w:lvl>
  </w:abstractNum>
  <w:abstractNum w:abstractNumId="10">
    <w:nsid w:val="579BE4F1"/>
    <w:multiLevelType w:val="hybridMultilevel"/>
    <w:lvl w:ilvl="0">
      <w:lvlJc w:val="left"/>
      <w:lvlText w:val="(%1)"/>
      <w:numFmt w:val="lowerRoman"/>
      <w:start w:val="1"/>
    </w:lvl>
  </w:abstractNum>
  <w:abstractNum w:abstractNumId="11">
    <w:nsid w:val="310C50B3"/>
    <w:multiLevelType w:val="hybridMultilevel"/>
    <w:lvl w:ilvl="0">
      <w:lvlJc w:val="left"/>
      <w:lvlText w:val="(%1)"/>
      <w:numFmt w:val="lowerRoman"/>
      <w:start w:val="5"/>
    </w:lvl>
  </w:abstractNum>
  <w:abstractNum w:abstractNumId="12">
    <w:nsid w:val="5FF87E05"/>
    <w:multiLevelType w:val="hybridMultilevel"/>
    <w:lvl w:ilvl="0">
      <w:lvlJc w:val="left"/>
      <w:lvlText w:val="(%1)"/>
      <w:numFmt w:val="lowerLetter"/>
      <w:start w:val="2"/>
    </w:lvl>
  </w:abstractNum>
  <w:abstractNum w:abstractNumId="13">
    <w:nsid w:val="2F305DEF"/>
    <w:multiLevelType w:val="hybridMultilevel"/>
    <w:lvl w:ilvl="0">
      <w:lvlJc w:val="left"/>
      <w:lvlText w:val="(%1)"/>
      <w:numFmt w:val="lowerLetter"/>
      <w:start w:val="2"/>
    </w:lvl>
  </w:abstractNum>
  <w:abstractNum w:abstractNumId="14">
    <w:nsid w:val="25A70BF7"/>
    <w:multiLevelType w:val="hybridMultilevel"/>
    <w:lvl w:ilvl="0">
      <w:lvlJc w:val="left"/>
      <w:lvlText w:val="(%1)"/>
      <w:numFmt w:val="lowerRoman"/>
      <w:start w:val="1"/>
    </w:lvl>
  </w:abstractNum>
  <w:abstractNum w:abstractNumId="15">
    <w:nsid w:val="1DBABF00"/>
    <w:multiLevelType w:val="hybridMultilevel"/>
    <w:lvl w:ilvl="0">
      <w:lvlJc w:val="left"/>
      <w:lvlText w:val="(%1)"/>
      <w:numFmt w:val="lowerLetter"/>
      <w:start w:val="3"/>
    </w:lvl>
  </w:abstractNum>
  <w:abstractNum w:abstractNumId="16">
    <w:nsid w:val="4AD084E9"/>
    <w:multiLevelType w:val="hybridMultilevel"/>
    <w:lvl w:ilvl="0">
      <w:lvlJc w:val="left"/>
      <w:lvlText w:val="(%1)"/>
      <w:numFmt w:val="lowerLetter"/>
      <w:start w:val="2"/>
    </w:lvl>
  </w:abstractNum>
  <w:abstractNum w:abstractNumId="17">
    <w:nsid w:val="1F48EAA1"/>
    <w:multiLevelType w:val="hybridMultilevel"/>
    <w:lvl w:ilvl="0">
      <w:lvlJc w:val="left"/>
      <w:lvlText w:val="(%1)"/>
      <w:numFmt w:val="lowerLetter"/>
      <w:start w:val="2"/>
    </w:lvl>
  </w:abstractNum>
  <w:abstractNum w:abstractNumId="18">
    <w:nsid w:val="1381823A"/>
    <w:multiLevelType w:val="hybridMultilevel"/>
    <w:lvl w:ilvl="0">
      <w:lvlJc w:val="left"/>
      <w:lvlText w:val="(%1)"/>
      <w:numFmt w:val="lowerLetter"/>
      <w:start w:val="35"/>
    </w:lvl>
    <w:lvl w:ilvl="1">
      <w:lvlJc w:val="left"/>
      <w:lvlText w:val="(%2)"/>
      <w:numFmt w:val="lowerLetter"/>
      <w:start w:val="4"/>
    </w:lvl>
  </w:abstractNum>
  <w:abstractNum w:abstractNumId="19">
    <w:nsid w:val="5DB70AE5"/>
    <w:multiLevelType w:val="hybridMultilevel"/>
    <w:lvl w:ilvl="0">
      <w:lvlJc w:val="left"/>
      <w:lvlText w:val="(%1)"/>
      <w:numFmt w:val="lowerLetter"/>
      <w:start w:val="2"/>
    </w:lvl>
  </w:abstractNum>
  <w:abstractNum w:abstractNumId="20">
    <w:nsid w:val="100F8FCA"/>
    <w:multiLevelType w:val="hybridMultilevel"/>
    <w:lvl w:ilvl="0">
      <w:lvlJc w:val="left"/>
      <w:lvlText w:val="(%1)"/>
      <w:numFmt w:val="lowerLetter"/>
      <w:start w:val="2"/>
    </w:lvl>
  </w:abstractNum>
  <w:abstractNum w:abstractNumId="21">
    <w:nsid w:val="6590700B"/>
    <w:multiLevelType w:val="hybridMultilevel"/>
    <w:lvl w:ilvl="0">
      <w:lvlJc w:val="left"/>
      <w:lvlText w:val="(%1)"/>
      <w:numFmt w:val="lowerLetter"/>
      <w:start w:val="2"/>
    </w:lvl>
  </w:abstractNum>
  <w:abstractNum w:abstractNumId="22">
    <w:nsid w:val="15014ACB"/>
    <w:multiLevelType w:val="hybridMultilevel"/>
    <w:lvl w:ilvl="0">
      <w:lvlJc w:val="left"/>
      <w:lvlText w:val="(%1)"/>
      <w:numFmt w:val="lowerLetter"/>
      <w:start w:val="2"/>
    </w:lvl>
  </w:abstractNum>
  <w:abstractNum w:abstractNumId="23">
    <w:nsid w:val="5F5E7FD0"/>
    <w:multiLevelType w:val="hybridMultilevel"/>
    <w:lvl w:ilvl="0">
      <w:lvlJc w:val="left"/>
      <w:lvlText w:val="(%1)"/>
      <w:numFmt w:val="lowerLetter"/>
      <w:start w:val="3"/>
    </w:lvl>
  </w:abstractNum>
  <w:abstractNum w:abstractNumId="24">
    <w:nsid w:val="98A3148"/>
    <w:multiLevelType w:val="hybridMultilevel"/>
    <w:lvl w:ilvl="0">
      <w:lvlJc w:val="left"/>
      <w:lvlText w:val="(%1)"/>
      <w:numFmt w:val="lowerLetter"/>
      <w:start w:val="2"/>
    </w:lvl>
  </w:abstractNum>
  <w:abstractNum w:abstractNumId="25">
    <w:nsid w:val="799D0247"/>
    <w:multiLevelType w:val="hybridMultilevel"/>
    <w:lvl w:ilvl="0">
      <w:lvlJc w:val="left"/>
      <w:lvlText w:val="(%1)"/>
      <w:numFmt w:val="lowerLetter"/>
      <w:start w:val="2"/>
    </w:lvl>
  </w:abstractNum>
  <w:abstractNum w:abstractNumId="26">
    <w:nsid w:val="6B94764"/>
    <w:multiLevelType w:val="hybridMultilevel"/>
    <w:lvl w:ilvl="0">
      <w:lvlJc w:val="left"/>
      <w:lvlText w:val="(%1)"/>
      <w:numFmt w:val="lowerLetter"/>
      <w:start w:val="2"/>
    </w:lvl>
  </w:abstractNum>
  <w:abstractNum w:abstractNumId="27">
    <w:nsid w:val="42C296BD"/>
    <w:multiLevelType w:val="hybridMultilevel"/>
    <w:lvl w:ilvl="0">
      <w:lvlJc w:val="left"/>
      <w:lvlText w:val="(%1)"/>
      <w:numFmt w:val="lowerLetter"/>
      <w:start w:val="3"/>
    </w:lvl>
  </w:abstractNum>
  <w:abstractNum w:abstractNumId="28">
    <w:nsid w:val="168E121F"/>
    <w:multiLevelType w:val="hybridMultilevel"/>
    <w:lvl w:ilvl="0">
      <w:lvlJc w:val="left"/>
      <w:lvlText w:val="(%1)"/>
      <w:numFmt w:val="lowerLetter"/>
      <w:start w:val="2"/>
    </w:lvl>
  </w:abstractNum>
  <w:abstractNum w:abstractNumId="29">
    <w:nsid w:val="1EBA5D23"/>
    <w:multiLevelType w:val="hybridMultilevel"/>
    <w:lvl w:ilvl="0">
      <w:lvlJc w:val="left"/>
      <w:lvlText w:val="(%1)"/>
      <w:numFmt w:val="lowerLetter"/>
      <w:start w:val="5"/>
    </w:lvl>
  </w:abstractNum>
  <w:abstractNum w:abstractNumId="30">
    <w:nsid w:val="661E3F1E"/>
    <w:multiLevelType w:val="hybridMultilevel"/>
    <w:lvl w:ilvl="0">
      <w:lvlJc w:val="left"/>
      <w:lvlText w:val="(%1)"/>
      <w:numFmt w:val="lowerLetter"/>
      <w:start w:val="2"/>
    </w:lvl>
  </w:abstractNum>
  <w:abstractNum w:abstractNumId="31">
    <w:nsid w:val="5DC79EA8"/>
    <w:multiLevelType w:val="hybridMultilevel"/>
    <w:lvl w:ilvl="0">
      <w:lvlJc w:val="left"/>
      <w:lvlText w:val="(%1)"/>
      <w:numFmt w:val="lowerRoman"/>
      <w:start w:val="1"/>
    </w:lvl>
  </w:abstractNum>
  <w:abstractNum w:abstractNumId="32">
    <w:nsid w:val="540A471C"/>
    <w:multiLevelType w:val="hybridMultilevel"/>
    <w:lvl w:ilvl="0">
      <w:lvlJc w:val="left"/>
      <w:lvlText w:val="(%1)"/>
      <w:numFmt w:val="lowerRoman"/>
      <w:start w:val="6"/>
    </w:lvl>
  </w:abstractNum>
  <w:abstractNum w:abstractNumId="33">
    <w:nsid w:val="7BD3EE7B"/>
    <w:multiLevelType w:val="hybridMultilevel"/>
    <w:lvl w:ilvl="0">
      <w:lvlJc w:val="left"/>
      <w:lvlText w:val="(%1)"/>
      <w:numFmt w:val="lowerLetter"/>
      <w:start w:val="2"/>
    </w:lvl>
  </w:abstractNum>
  <w:abstractNum w:abstractNumId="34">
    <w:nsid w:val="51D9C564"/>
    <w:multiLevelType w:val="hybridMultilevel"/>
    <w:lvl w:ilvl="0">
      <w:lvlJc w:val="left"/>
      <w:lvlText w:val="(%1)"/>
      <w:numFmt w:val="lowerRoman"/>
      <w:start w:val="1"/>
    </w:lvl>
  </w:abstractNum>
  <w:abstractNum w:abstractNumId="35">
    <w:nsid w:val="613EFDC5"/>
    <w:multiLevelType w:val="hybridMultilevel"/>
    <w:lvl w:ilvl="0">
      <w:lvlJc w:val="left"/>
      <w:lvlText w:val="(%1)"/>
      <w:numFmt w:val="lowerRoman"/>
      <w:start w:val="4"/>
    </w:lvl>
  </w:abstractNum>
  <w:abstractNum w:abstractNumId="36">
    <w:nsid w:val="BF72B14"/>
    <w:multiLevelType w:val="hybridMultilevel"/>
    <w:lvl w:ilvl="0">
      <w:lvlJc w:val="left"/>
      <w:lvlText w:val="(%1)"/>
      <w:numFmt w:val="lowerLetter"/>
      <w:start w:val="1"/>
    </w:lvl>
  </w:abstractNum>
  <w:abstractNum w:abstractNumId="37">
    <w:nsid w:val="11447B73"/>
    <w:multiLevelType w:val="hybridMultilevel"/>
    <w:lvl w:ilvl="0">
      <w:lvlJc w:val="left"/>
      <w:lvlText w:val="(%1)"/>
      <w:numFmt w:val="lowerLetter"/>
      <w:start w:val="2"/>
    </w:lvl>
  </w:abstractNum>
  <w:abstractNum w:abstractNumId="38">
    <w:nsid w:val="42963E5A"/>
    <w:multiLevelType w:val="hybridMultilevel"/>
    <w:lvl w:ilvl="0">
      <w:lvlJc w:val="left"/>
      <w:lvlText w:val="(%1)"/>
      <w:numFmt w:val="lowerRoman"/>
      <w:start w:val="1"/>
    </w:lvl>
  </w:abstractNum>
  <w:abstractNum w:abstractNumId="39">
    <w:nsid w:val="A0382C5"/>
    <w:multiLevelType w:val="hybridMultilevel"/>
    <w:lvl w:ilvl="0">
      <w:lvlJc w:val="left"/>
      <w:lvlText w:val="(%1)"/>
      <w:numFmt w:val="lowerRoman"/>
      <w:start w:val="2"/>
    </w:lvl>
  </w:abstractNum>
  <w:abstractNum w:abstractNumId="40">
    <w:nsid w:val="8F2B15E"/>
    <w:multiLevelType w:val="hybridMultilevel"/>
    <w:lvl w:ilvl="0">
      <w:lvlJc w:val="left"/>
      <w:lvlText w:val="(%1)"/>
      <w:numFmt w:val="lowerLetter"/>
      <w:start w:val="2"/>
    </w:lvl>
  </w:abstractNum>
  <w:abstractNum w:abstractNumId="41">
    <w:nsid w:val="1A32234B"/>
    <w:multiLevelType w:val="hybridMultilevel"/>
    <w:lvl w:ilvl="0">
      <w:lvlJc w:val="left"/>
      <w:lvlText w:val="(%1)"/>
      <w:numFmt w:val="lowerLetter"/>
      <w:start w:val="7"/>
    </w:lvl>
  </w:abstractNum>
  <w:abstractNum w:abstractNumId="42">
    <w:nsid w:val="3B0FD379"/>
    <w:multiLevelType w:val="hybridMultilevel"/>
    <w:lvl w:ilvl="0">
      <w:lvlJc w:val="left"/>
      <w:lvlText w:val="(%1)"/>
      <w:numFmt w:val="lowerLetter"/>
      <w:start w:val="1"/>
    </w:lvl>
  </w:abstractNum>
  <w:abstractNum w:abstractNumId="43">
    <w:nsid w:val="68EB2F63"/>
    <w:multiLevelType w:val="hybridMultilevel"/>
    <w:lvl w:ilvl="0">
      <w:lvlJc w:val="left"/>
      <w:lvlText w:val="(%1)"/>
      <w:numFmt w:val="lowerLetter"/>
      <w:start w:val="1"/>
    </w:lvl>
  </w:abstractNum>
  <w:abstractNum w:abstractNumId="44">
    <w:nsid w:val="4962813B"/>
    <w:multiLevelType w:val="hybridMultilevel"/>
    <w:lvl w:ilvl="0">
      <w:lvlJc w:val="left"/>
      <w:lvlText w:val="(%1)"/>
      <w:numFmt w:val="lowerLetter"/>
      <w:start w:val="2"/>
    </w:lvl>
  </w:abstractNum>
  <w:abstractNum w:abstractNumId="45">
    <w:nsid w:val="60B6DF70"/>
    <w:multiLevelType w:val="hybridMultilevel"/>
    <w:lvl w:ilvl="0">
      <w:lvlJc w:val="left"/>
      <w:lvlText w:val="(%1)"/>
      <w:numFmt w:val="lowerLetter"/>
      <w:start w:val="3"/>
    </w:lvl>
  </w:abstractNum>
  <w:abstractNum w:abstractNumId="46">
    <w:nsid w:val="6A5EE64"/>
    <w:multiLevelType w:val="hybridMultilevel"/>
    <w:lvl w:ilvl="0">
      <w:lvlJc w:val="left"/>
      <w:lvlText w:val="(%1)"/>
      <w:numFmt w:val="lowerLetter"/>
      <w:start w:val="2"/>
    </w:lvl>
  </w:abstractNum>
  <w:abstractNum w:abstractNumId="47">
    <w:nsid w:val="14330624"/>
    <w:multiLevelType w:val="hybridMultilevel"/>
    <w:lvl w:ilvl="0">
      <w:lvlJc w:val="left"/>
      <w:lvlText w:val="(%1)"/>
      <w:numFmt w:val="lowerLetter"/>
      <w:start w:val="3"/>
    </w:lvl>
  </w:abstractNum>
  <w:abstractNum w:abstractNumId="48">
    <w:nsid w:val="7FFFCA11"/>
    <w:multiLevelType w:val="hybridMultilevel"/>
    <w:lvl w:ilvl="0">
      <w:lvlJc w:val="left"/>
      <w:lvlText w:val="(%1)"/>
      <w:numFmt w:val="lowerLetter"/>
      <w:start w:val="2"/>
    </w:lvl>
  </w:abstractNum>
  <w:abstractNum w:abstractNumId="49">
    <w:nsid w:val="1A27709E"/>
    <w:multiLevelType w:val="hybridMultilevel"/>
    <w:lvl w:ilvl="0">
      <w:lvlJc w:val="left"/>
      <w:lvlText w:val="(%1)"/>
      <w:numFmt w:val="lowerLetter"/>
      <w:start w:val="2"/>
    </w:lvl>
  </w:abstractNum>
  <w:abstractNum w:abstractNumId="50">
    <w:nsid w:val="71EA1109"/>
    <w:multiLevelType w:val="hybridMultilevel"/>
    <w:lvl w:ilvl="0">
      <w:lvlJc w:val="left"/>
      <w:lvlText w:val="(%1)"/>
      <w:numFmt w:val="lowerLetter"/>
      <w:start w:val="2"/>
    </w:lvl>
  </w:abstractNum>
  <w:abstractNum w:abstractNumId="51">
    <w:nsid w:val="100F59DC"/>
    <w:multiLevelType w:val="hybridMultilevel"/>
    <w:lvl w:ilvl="0">
      <w:lvlJc w:val="left"/>
      <w:lvlText w:val="(%1)"/>
      <w:numFmt w:val="lowerLetter"/>
      <w:start w:val="4"/>
    </w:lvl>
  </w:abstractNum>
  <w:abstractNum w:abstractNumId="52">
    <w:nsid w:val="7FB7E0AA"/>
    <w:multiLevelType w:val="hybridMultilevel"/>
    <w:lvl w:ilvl="0">
      <w:lvlJc w:val="left"/>
      <w:lvlText w:val="(%1)"/>
      <w:numFmt w:val="lowerLetter"/>
      <w:start w:val="1"/>
    </w:lvl>
    <w:lvl w:ilvl="1">
      <w:lvlJc w:val="left"/>
      <w:lvlText w:val="(%2)"/>
      <w:numFmt w:val="lowerLetter"/>
      <w:start w:val="2"/>
    </w:lvl>
  </w:abstractNum>
  <w:abstractNum w:abstractNumId="53">
    <w:nsid w:val="6EB5BD4"/>
    <w:multiLevelType w:val="hybridMultilevel"/>
    <w:lvl w:ilvl="0">
      <w:lvlJc w:val="left"/>
      <w:lvlText w:val="(%1)"/>
      <w:numFmt w:val="lowerLetter"/>
      <w:start w:val="2"/>
    </w:lvl>
  </w:abstractNum>
  <w:abstractNum w:abstractNumId="54">
    <w:nsid w:val="6F6DD9AC"/>
    <w:multiLevelType w:val="hybridMultilevel"/>
    <w:lvl w:ilvl="0">
      <w:lvlJc w:val="left"/>
      <w:lvlText w:val="(%1)"/>
      <w:numFmt w:val="lowerLetter"/>
      <w:start w:val="5"/>
    </w:lvl>
  </w:abstractNum>
  <w:abstractNum w:abstractNumId="55">
    <w:nsid w:val="94211F2"/>
    <w:multiLevelType w:val="hybridMultilevel"/>
    <w:lvl w:ilvl="0">
      <w:lvlJc w:val="left"/>
      <w:lvlText w:val="(%1)"/>
      <w:numFmt w:val="lowerLetter"/>
      <w:start w:val="2"/>
    </w:lvl>
  </w:abstractNum>
  <w:abstractNum w:abstractNumId="56">
    <w:nsid w:val="885E1B"/>
    <w:multiLevelType w:val="hybridMultilevel"/>
    <w:lvl w:ilvl="0">
      <w:lvlJc w:val="left"/>
      <w:lvlText w:val="(%1)"/>
      <w:numFmt w:val="lowerLetter"/>
      <w:start w:val="2"/>
    </w:lvl>
  </w:abstractNum>
  <w:abstractNum w:abstractNumId="57">
    <w:nsid w:val="76272110"/>
    <w:multiLevelType w:val="hybridMultilevel"/>
    <w:lvl w:ilvl="0">
      <w:lvlJc w:val="left"/>
      <w:lvlText w:val="(%1)"/>
      <w:numFmt w:val="lowerLetter"/>
      <w:start w:val="4"/>
    </w:lvl>
  </w:abstractNum>
  <w:abstractNum w:abstractNumId="58">
    <w:nsid w:val="4C04A8AF"/>
    <w:multiLevelType w:val="hybridMultilevel"/>
    <w:lvl w:ilvl="0">
      <w:lvlJc w:val="left"/>
      <w:lvlText w:val="(%1)"/>
      <w:numFmt w:val="lowerLetter"/>
      <w:start w:val="2"/>
    </w:lvl>
  </w:abstractNum>
  <w:abstractNum w:abstractNumId="59">
    <w:nsid w:val="1716703B"/>
    <w:multiLevelType w:val="hybridMultilevel"/>
    <w:lvl w:ilvl="0">
      <w:lvlJc w:val="left"/>
      <w:lvlText w:val="(%1)"/>
      <w:numFmt w:val="lowerLetter"/>
      <w:start w:val="2"/>
    </w:lvl>
  </w:abstractNum>
  <w:abstractNum w:abstractNumId="60">
    <w:nsid w:val="14E17E33"/>
    <w:multiLevelType w:val="hybridMultilevel"/>
    <w:lvl w:ilvl="0">
      <w:lvlJc w:val="left"/>
      <w:lvlText w:val="(%1)"/>
      <w:numFmt w:val="lowerLetter"/>
      <w:start w:val="4"/>
    </w:lvl>
  </w:abstractNum>
  <w:abstractNum w:abstractNumId="61">
    <w:nsid w:val="3222E7CD"/>
    <w:multiLevelType w:val="hybridMultilevel"/>
    <w:lvl w:ilvl="0">
      <w:lvlJc w:val="left"/>
      <w:lvlText w:val="(%1)"/>
      <w:numFmt w:val="lowerLetter"/>
      <w:start w:val="2"/>
    </w:lvl>
  </w:abstractNum>
  <w:abstractNum w:abstractNumId="62">
    <w:nsid w:val="74DE0EE3"/>
    <w:multiLevelType w:val="hybridMultilevel"/>
    <w:lvl w:ilvl="0">
      <w:lvlJc w:val="left"/>
      <w:lvlText w:val="(%1)"/>
      <w:numFmt w:val="lowerLetter"/>
      <w:start w:val="2"/>
    </w:lvl>
  </w:abstractNum>
  <w:abstractNum w:abstractNumId="63">
    <w:nsid w:val="68EBC550"/>
    <w:multiLevelType w:val="hybridMultilevel"/>
    <w:lvl w:ilvl="0">
      <w:lvlJc w:val="left"/>
      <w:lvlText w:val="(%1)"/>
      <w:numFmt w:val="lowerLetter"/>
      <w:start w:val="2"/>
    </w:lvl>
  </w:abstractNum>
  <w:abstractNum w:abstractNumId="64">
    <w:nsid w:val="2DF6D648"/>
    <w:multiLevelType w:val="hybridMultilevel"/>
    <w:lvl w:ilvl="0">
      <w:lvlJc w:val="left"/>
      <w:lvlText w:val="(%1)"/>
      <w:numFmt w:val="lowerRoman"/>
      <w:start w:val="1"/>
    </w:lvl>
  </w:abstractNum>
  <w:abstractNum w:abstractNumId="65">
    <w:nsid w:val="46B7D447"/>
    <w:multiLevelType w:val="hybridMultilevel"/>
    <w:lvl w:ilvl="0">
      <w:lvlJc w:val="left"/>
      <w:lvlText w:val="(%1)"/>
      <w:numFmt w:val="lowerRoman"/>
      <w:start w:val="5"/>
    </w:lvl>
  </w:abstractNum>
  <w:abstractNum w:abstractNumId="66">
    <w:nsid w:val="4A2AC315"/>
    <w:multiLevelType w:val="hybridMultilevel"/>
    <w:lvl w:ilvl="0">
      <w:lvlJc w:val="left"/>
      <w:lvlText w:val="(%1)"/>
      <w:numFmt w:val="upperLetter"/>
      <w:start w:val="5"/>
    </w:lvl>
    <w:lvl w:ilvl="1">
      <w:lvlJc w:val="left"/>
      <w:lvlText w:val="(%2)"/>
      <w:numFmt w:val="lowerLetter"/>
      <w:start w:val="2"/>
    </w:lvl>
  </w:abstractNum>
  <w:abstractNum w:abstractNumId="67">
    <w:nsid w:val="39EE015C"/>
    <w:multiLevelType w:val="hybridMultilevel"/>
    <w:lvl w:ilvl="0">
      <w:lvlJc w:val="left"/>
      <w:lvlText w:val="(%1)"/>
      <w:numFmt w:val="lowerRoman"/>
      <w:start w:val="1"/>
    </w:lvl>
  </w:abstractNum>
  <w:abstractNum w:abstractNumId="68">
    <w:nsid w:val="57FC4FBB"/>
    <w:multiLevelType w:val="hybridMultilevel"/>
    <w:lvl w:ilvl="0">
      <w:lvlJc w:val="left"/>
      <w:lvlText w:val="(%1)"/>
      <w:numFmt w:val="upperLetter"/>
      <w:start w:val="2"/>
    </w:lvl>
  </w:abstractNum>
  <w:abstractNum w:abstractNumId="69">
    <w:nsid w:val="CC1016F"/>
    <w:multiLevelType w:val="hybridMultilevel"/>
    <w:lvl w:ilvl="0">
      <w:lvlJc w:val="left"/>
      <w:lvlText w:val="(%1)"/>
      <w:numFmt w:val="lowerLetter"/>
      <w:start w:val="2"/>
    </w:lvl>
  </w:abstractNum>
  <w:abstractNum w:abstractNumId="70">
    <w:nsid w:val="43F18422"/>
    <w:multiLevelType w:val="hybridMultilevel"/>
    <w:lvl w:ilvl="0">
      <w:lvlJc w:val="left"/>
      <w:lvlText w:val="(%1)"/>
      <w:numFmt w:val="lowerLetter"/>
      <w:start w:val="1"/>
    </w:lvl>
  </w:abstractNum>
  <w:abstractNum w:abstractNumId="71">
    <w:nsid w:val="60EF0119"/>
    <w:multiLevelType w:val="hybridMultilevel"/>
    <w:lvl w:ilvl="0">
      <w:lvlJc w:val="left"/>
      <w:lvlText w:val="(%1)"/>
      <w:numFmt w:val="lowerRoman"/>
      <w:start w:val="1"/>
    </w:lvl>
  </w:abstractNum>
  <w:abstractNum w:abstractNumId="72">
    <w:nsid w:val="26F324BA"/>
    <w:multiLevelType w:val="hybridMultilevel"/>
    <w:lvl w:ilvl="0">
      <w:lvlJc w:val="left"/>
      <w:lvlText w:val="(%1)"/>
      <w:numFmt w:val="lowerRoman"/>
      <w:start w:val="2"/>
    </w:lvl>
  </w:abstractNum>
  <w:abstractNum w:abstractNumId="73">
    <w:nsid w:val="7F01579B"/>
    <w:multiLevelType w:val="hybridMultilevel"/>
    <w:lvl w:ilvl="0">
      <w:lvlJc w:val="left"/>
      <w:lvlText w:val="(%1)"/>
      <w:numFmt w:val="lowerLetter"/>
      <w:start w:val="1"/>
    </w:lvl>
  </w:abstractNum>
  <w:abstractNum w:abstractNumId="74">
    <w:nsid w:val="49DA307D"/>
    <w:multiLevelType w:val="hybridMultilevel"/>
    <w:lvl w:ilvl="0">
      <w:lvlJc w:val="left"/>
      <w:lvlText w:val="(%1)"/>
      <w:numFmt w:val="lowerLetter"/>
      <w:start w:val="2"/>
    </w:lvl>
  </w:abstractNum>
  <w:abstractNum w:abstractNumId="75">
    <w:nsid w:val="7055A5F5"/>
    <w:multiLevelType w:val="hybridMultilevel"/>
    <w:lvl w:ilvl="0">
      <w:lvlJc w:val="left"/>
      <w:lvlText w:val="(%1)"/>
      <w:numFmt w:val="lowerRoman"/>
      <w:start w:val="1"/>
    </w:lvl>
    <w:lvl w:ilvl="1">
      <w:lvlJc w:val="left"/>
      <w:lvlText w:val="(%2)"/>
      <w:numFmt w:val="upperLetter"/>
      <w:start w:val="1"/>
    </w:lvl>
  </w:abstractNum>
  <w:abstractNum w:abstractNumId="76">
    <w:nsid w:val="5FB8370B"/>
    <w:multiLevelType w:val="hybridMultilevel"/>
    <w:lvl w:ilvl="0">
      <w:lvlJc w:val="left"/>
      <w:lvlText w:val="(%1)"/>
      <w:numFmt w:val="upperLetter"/>
      <w:start w:val="1"/>
    </w:lvl>
  </w:abstractNum>
  <w:abstractNum w:abstractNumId="77">
    <w:nsid w:val="50801EE1"/>
    <w:multiLevelType w:val="hybridMultilevel"/>
    <w:lvl w:ilvl="0">
      <w:lvlJc w:val="left"/>
      <w:lvlText w:val="(%1)"/>
      <w:numFmt w:val="lowerLetter"/>
      <w:start w:val="1"/>
    </w:lvl>
  </w:abstractNum>
  <w:abstractNum w:abstractNumId="78">
    <w:nsid w:val="488AC1A"/>
    <w:multiLevelType w:val="hybridMultilevel"/>
    <w:lvl w:ilvl="0">
      <w:lvlJc w:val="left"/>
      <w:lvlText w:val="(%1)"/>
      <w:numFmt w:val="lowerLetter"/>
      <w:start w:val="7"/>
    </w:lvl>
    <w:lvl w:ilvl="1">
      <w:lvlJc w:val="left"/>
      <w:lvlText w:val="(%2)"/>
      <w:numFmt w:val="lowerRoman"/>
      <w:start w:val="1"/>
    </w:lvl>
  </w:abstractNum>
  <w:abstractNum w:abstractNumId="79">
    <w:nsid w:val="5FB8011C"/>
    <w:multiLevelType w:val="hybridMultilevel"/>
    <w:lvl w:ilvl="0">
      <w:lvlJc w:val="left"/>
      <w:lvlText w:val="(%1)"/>
      <w:numFmt w:val="lowerLetter"/>
      <w:start w:val="2"/>
    </w:lvl>
  </w:abstractNum>
  <w:abstractNum w:abstractNumId="80">
    <w:nsid w:val="6AA78F7F"/>
    <w:multiLevelType w:val="hybridMultilevel"/>
    <w:lvl w:ilvl="0">
      <w:lvlJc w:val="left"/>
      <w:lvlText w:val="(%1)"/>
      <w:numFmt w:val="lowerLetter"/>
      <w:start w:val="4"/>
    </w:lvl>
  </w:abstractNum>
  <w:abstractNum w:abstractNumId="81">
    <w:nsid w:val="7672BD23"/>
    <w:multiLevelType w:val="hybridMultilevel"/>
    <w:lvl w:ilvl="0">
      <w:lvlJc w:val="left"/>
      <w:lvlText w:val="(%1)"/>
      <w:numFmt w:val="lowerRoman"/>
      <w:start w:val="2"/>
    </w:lvl>
  </w:abstractNum>
  <w:abstractNum w:abstractNumId="82">
    <w:nsid w:val="6FC75AF8"/>
    <w:multiLevelType w:val="hybridMultilevel"/>
    <w:lvl w:ilvl="0">
      <w:lvlJc w:val="left"/>
      <w:lvlText w:val="(%1)"/>
      <w:numFmt w:val="lowerLetter"/>
      <w:start w:val="2"/>
    </w:lvl>
  </w:abstractNum>
  <w:abstractNum w:abstractNumId="83">
    <w:nsid w:val="6A5F7029"/>
    <w:multiLevelType w:val="hybridMultilevel"/>
    <w:lvl w:ilvl="0">
      <w:lvlJc w:val="left"/>
      <w:lvlText w:val="(%1)"/>
      <w:numFmt w:val="lowerLetter"/>
      <w:start w:val="2"/>
    </w:lvl>
  </w:abstractNum>
  <w:abstractNum w:abstractNumId="84">
    <w:nsid w:val="7D5E18F8"/>
    <w:multiLevelType w:val="hybridMultilevel"/>
    <w:lvl w:ilvl="0">
      <w:lvlJc w:val="left"/>
      <w:lvlText w:val="(%1)"/>
      <w:numFmt w:val="lowerRoman"/>
      <w:start w:val="1"/>
    </w:lvl>
  </w:abstractNum>
  <w:abstractNum w:abstractNumId="85">
    <w:nsid w:val="5F3534A4"/>
    <w:multiLevelType w:val="hybridMultilevel"/>
    <w:lvl w:ilvl="0">
      <w:lvlJc w:val="left"/>
      <w:lvlText w:val="(%1)"/>
      <w:numFmt w:val="lowerLetter"/>
      <w:start w:val="3"/>
    </w:lvl>
  </w:abstractNum>
  <w:abstractNum w:abstractNumId="86">
    <w:nsid w:val="73A1821B"/>
    <w:multiLevelType w:val="hybridMultilevel"/>
    <w:lvl w:ilvl="0">
      <w:lvlJc w:val="left"/>
      <w:lvlText w:val="(%1)"/>
      <w:numFmt w:val="lowerRoman"/>
      <w:start w:val="1"/>
    </w:lvl>
  </w:abstractNum>
  <w:abstractNum w:abstractNumId="87">
    <w:nsid w:val="7DE67713"/>
    <w:multiLevelType w:val="hybridMultilevel"/>
    <w:lvl w:ilvl="0">
      <w:lvlJc w:val="left"/>
      <w:lvlText w:val="(%1)"/>
      <w:numFmt w:val="lowerRoman"/>
      <w:start w:val="2"/>
    </w:lvl>
  </w:abstractNum>
  <w:abstractNum w:abstractNumId="88">
    <w:nsid w:val="555C55B5"/>
    <w:multiLevelType w:val="hybridMultilevel"/>
    <w:lvl w:ilvl="0">
      <w:lvlJc w:val="left"/>
      <w:lvlText w:val="(%1)"/>
      <w:numFmt w:val="lowerLetter"/>
      <w:start w:val="2"/>
    </w:lvl>
  </w:abstractNum>
  <w:abstractNum w:abstractNumId="89">
    <w:nsid w:val="3FA62ACA"/>
    <w:multiLevelType w:val="hybridMultilevel"/>
    <w:lvl w:ilvl="0">
      <w:lvlJc w:val="left"/>
      <w:lvlText w:val="(%1)"/>
      <w:numFmt w:val="lowerLetter"/>
      <w:start w:val="4"/>
    </w:lvl>
  </w:abstractNum>
  <w:abstractNum w:abstractNumId="90">
    <w:nsid w:val="14FCE74E"/>
    <w:multiLevelType w:val="hybridMultilevel"/>
    <w:lvl w:ilvl="0">
      <w:lvlJc w:val="left"/>
      <w:lvlText w:val="(%1)"/>
      <w:numFmt w:val="lowerRoman"/>
      <w:start w:val="1"/>
    </w:lvl>
  </w:abstractNum>
  <w:abstractNum w:abstractNumId="91">
    <w:nsid w:val="6A3DD3E8"/>
    <w:multiLevelType w:val="hybridMultilevel"/>
    <w:lvl w:ilvl="0">
      <w:lvlJc w:val="left"/>
      <w:lvlText w:val="(%1)"/>
      <w:numFmt w:val="lowerRoman"/>
      <w:start w:val="2"/>
    </w:lvl>
  </w:abstractNum>
  <w:abstractNum w:abstractNumId="92">
    <w:nsid w:val="71C91298"/>
    <w:multiLevelType w:val="hybridMultilevel"/>
    <w:lvl w:ilvl="0">
      <w:lvlJc w:val="left"/>
      <w:lvlText w:val="(%1)"/>
      <w:numFmt w:val="lowerLetter"/>
      <w:start w:val="2"/>
    </w:lvl>
  </w:abstractNum>
  <w:abstractNum w:abstractNumId="93">
    <w:nsid w:val="9DAF632"/>
    <w:multiLevelType w:val="hybridMultilevel"/>
    <w:lvl w:ilvl="0">
      <w:lvlJc w:val="left"/>
      <w:lvlText w:val="(%1)"/>
      <w:numFmt w:val="lowerRoman"/>
      <w:start w:val="1"/>
    </w:lvl>
  </w:abstractNum>
  <w:abstractNum w:abstractNumId="94">
    <w:nsid w:val="53299938"/>
    <w:multiLevelType w:val="hybridMultilevel"/>
    <w:lvl w:ilvl="0">
      <w:lvlJc w:val="left"/>
      <w:lvlText w:val="(%1)"/>
      <w:numFmt w:val="lowerLetter"/>
      <w:start w:val="2"/>
    </w:lvl>
  </w:abstractNum>
  <w:abstractNum w:abstractNumId="95">
    <w:nsid w:val="1FBFE8E0"/>
    <w:multiLevelType w:val="hybridMultilevel"/>
    <w:lvl w:ilvl="0">
      <w:lvlJc w:val="left"/>
      <w:lvlText w:val="(%1)"/>
      <w:numFmt w:val="lowerLetter"/>
      <w:start w:val="3"/>
    </w:lvl>
  </w:abstractNum>
  <w:abstractNum w:abstractNumId="96">
    <w:nsid w:val="5092CA79"/>
    <w:multiLevelType w:val="hybridMultilevel"/>
    <w:lvl w:ilvl="0">
      <w:lvlJc w:val="left"/>
      <w:lvlText w:val="(%1)"/>
      <w:numFmt w:val="lowerLetter"/>
      <w:start w:val="1"/>
    </w:lvl>
  </w:abstractNum>
  <w:abstractNum w:abstractNumId="97">
    <w:nsid w:val="1D545C4D"/>
    <w:multiLevelType w:val="hybridMultilevel"/>
    <w:lvl w:ilvl="0">
      <w:lvlJc w:val="left"/>
      <w:lvlText w:val="(%1)"/>
      <w:numFmt w:val="lowerLetter"/>
      <w:start w:val="1"/>
    </w:lvl>
  </w:abstractNum>
  <w:abstractNum w:abstractNumId="98">
    <w:nsid w:val="59ADEA3D"/>
    <w:multiLevelType w:val="hybridMultilevel"/>
    <w:lvl w:ilvl="0">
      <w:lvlJc w:val="left"/>
      <w:lvlText w:val="(%1)"/>
      <w:numFmt w:val="lowerLetter"/>
      <w:start w:val="2"/>
    </w:lvl>
  </w:abstractNum>
  <w:abstractNum w:abstractNumId="99">
    <w:nsid w:val="288F1A34"/>
    <w:multiLevelType w:val="hybridMultilevel"/>
    <w:lvl w:ilvl="0">
      <w:lvlJc w:val="left"/>
      <w:lvlText w:val="(%1)"/>
      <w:numFmt w:val="lowerRoman"/>
      <w:start w:val="1"/>
    </w:lvl>
  </w:abstractNum>
  <w:abstractNum w:abstractNumId="100">
    <w:nsid w:val="2A155DBC"/>
    <w:multiLevelType w:val="hybridMultilevel"/>
    <w:lvl w:ilvl="0">
      <w:lvlJc w:val="left"/>
      <w:lvlText w:val="(%1)"/>
      <w:numFmt w:val="lowerLetter"/>
      <w:start w:val="3"/>
    </w:lvl>
  </w:abstractNum>
  <w:abstractNum w:abstractNumId="101">
    <w:nsid w:val="1D9F6E5F"/>
    <w:multiLevelType w:val="hybridMultilevel"/>
    <w:lvl w:ilvl="0">
      <w:lvlJc w:val="left"/>
      <w:lvlText w:val="(%1)"/>
      <w:numFmt w:val="lowerLetter"/>
      <w:start w:val="1"/>
    </w:lvl>
  </w:abstractNum>
  <w:abstractNum w:abstractNumId="102">
    <w:nsid w:val="97E1B4E"/>
    <w:multiLevelType w:val="hybridMultilevel"/>
    <w:lvl w:ilvl="0">
      <w:lvlJc w:val="left"/>
      <w:lvlText w:val="(%1)"/>
      <w:numFmt w:val="lowerLetter"/>
      <w:start w:val="3"/>
    </w:lvl>
  </w:abstractNum>
  <w:abstractNum w:abstractNumId="103">
    <w:nsid w:val="51088277"/>
    <w:multiLevelType w:val="hybridMultilevel"/>
    <w:lvl w:ilvl="0">
      <w:lvlJc w:val="left"/>
      <w:lvlText w:val="(%1)"/>
      <w:numFmt w:val="lowerLetter"/>
      <w:start w:val="1"/>
    </w:lvl>
  </w:abstractNum>
  <w:abstractNum w:abstractNumId="104">
    <w:nsid w:val="1CA0C5FA"/>
    <w:multiLevelType w:val="hybridMultilevel"/>
    <w:lvl w:ilvl="0">
      <w:lvlJc w:val="left"/>
      <w:lvlText w:val="(%1)"/>
      <w:numFmt w:val="lowerRoman"/>
      <w:start w:val="2"/>
    </w:lvl>
  </w:abstractNum>
  <w:abstractNum w:abstractNumId="105">
    <w:nsid w:val="53584BCB"/>
    <w:multiLevelType w:val="hybridMultilevel"/>
    <w:lvl w:ilvl="0">
      <w:lvlJc w:val="left"/>
      <w:lvlText w:val="(%1)"/>
      <w:numFmt w:val="lowerLetter"/>
      <w:start w:val="4"/>
    </w:lvl>
  </w:abstractNum>
  <w:abstractNum w:abstractNumId="106">
    <w:nsid w:val="415E286C"/>
    <w:multiLevelType w:val="hybridMultilevel"/>
    <w:lvl w:ilvl="0">
      <w:lvlJc w:val="left"/>
      <w:lvlText w:val="(%1)"/>
      <w:numFmt w:val="lowerLetter"/>
      <w:start w:val="1"/>
    </w:lvl>
  </w:abstractNum>
  <w:abstractNum w:abstractNumId="107">
    <w:nsid w:val="7C58FD05"/>
    <w:multiLevelType w:val="hybridMultilevel"/>
    <w:lvl w:ilvl="0">
      <w:lvlJc w:val="left"/>
      <w:lvlText w:val="(%1)"/>
      <w:numFmt w:val="lowerLetter"/>
      <w:start w:val="4"/>
    </w:lvl>
  </w:abstractNum>
  <w:abstractNum w:abstractNumId="108">
    <w:nsid w:val="23D86AAC"/>
    <w:multiLevelType w:val="hybridMultilevel"/>
    <w:lvl w:ilvl="0">
      <w:lvlJc w:val="left"/>
      <w:lvlText w:val="(%1)"/>
      <w:numFmt w:val="lowerLetter"/>
      <w:start w:val="6"/>
    </w:lvl>
  </w:abstractNum>
  <w:abstractNum w:abstractNumId="109">
    <w:nsid w:val="45E6D486"/>
    <w:multiLevelType w:val="hybridMultilevel"/>
    <w:lvl w:ilvl="0">
      <w:lvlJc w:val="left"/>
      <w:lvlText w:val="(%1)"/>
      <w:numFmt w:val="lowerLetter"/>
      <w:start w:val="1"/>
    </w:lvl>
  </w:abstractNum>
  <w:abstractNum w:abstractNumId="110">
    <w:nsid w:val="5C10FE21"/>
    <w:multiLevelType w:val="hybridMultilevel"/>
    <w:lvl w:ilvl="0">
      <w:lvlJc w:val="left"/>
      <w:lvlText w:val="(%1)"/>
      <w:numFmt w:val="lowerLetter"/>
      <w:start w:val="2"/>
    </w:lvl>
  </w:abstractNum>
  <w:abstractNum w:abstractNumId="111">
    <w:nsid w:val="E7FFA2B"/>
    <w:multiLevelType w:val="hybridMultilevel"/>
    <w:lvl w:ilvl="0">
      <w:lvlJc w:val="left"/>
      <w:lvlText w:val="(%1)"/>
      <w:numFmt w:val="lowerLetter"/>
      <w:start w:val="2"/>
    </w:lvl>
  </w:abstractNum>
  <w:abstractNum w:abstractNumId="112">
    <w:nsid w:val="3C5991AA"/>
    <w:multiLevelType w:val="hybridMultilevel"/>
    <w:lvl w:ilvl="0">
      <w:lvlJc w:val="left"/>
      <w:lvlText w:val="(%1)"/>
      <w:numFmt w:val="lowerRoman"/>
      <w:start w:val="1"/>
    </w:lvl>
  </w:abstractNum>
  <w:abstractNum w:abstractNumId="113">
    <w:nsid w:val="4BD8591A"/>
    <w:multiLevelType w:val="hybridMultilevel"/>
    <w:lvl w:ilvl="0">
      <w:lvlJc w:val="left"/>
      <w:lvlText w:val="(%1)"/>
      <w:numFmt w:val="lowerRoman"/>
      <w:start w:val="2"/>
    </w:lvl>
  </w:abstractNum>
  <w:abstractNum w:abstractNumId="114">
    <w:nsid w:val="78DF6A55"/>
    <w:multiLevelType w:val="hybridMultilevel"/>
    <w:lvl w:ilvl="0">
      <w:lvlJc w:val="left"/>
      <w:lvlText w:val="•"/>
      <w:numFmt w:val="bullet"/>
      <w:start w:val="1"/>
    </w:lvl>
  </w:abstractNum>
  <w:abstractNum w:abstractNumId="115">
    <w:nsid w:val="39B7AAA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2019-12-07T22:29:24Z</dcterms:created>
  <dcterms:modified xsi:type="dcterms:W3CDTF">2019-12-07T22:29:24Z</dcterms:modified>
</cp:coreProperties>
</file>