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260" w:right="460" w:hanging="8"/>
        <w:spacing w:after="0" w:line="207" w:lineRule="exact"/>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REGISTRATION STATEMENT PURSUANT TO SECTION 12(b) OR (g)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ANNUAL REPORT PURSUANT TO SECTION 13 OR 15(d) OF THE SECURITIES EXCHANGE ACT OF 1934 FOR THE</w:t>
      </w:r>
    </w:p>
    <w:p>
      <w:pPr>
        <w:spacing w:after="0" w:line="1" w:lineRule="exact"/>
        <w:rPr>
          <w:rFonts w:ascii="MS PGothic" w:cs="MS PGothic" w:eastAsia="MS PGothic" w:hAnsi="MS PGothic"/>
          <w:sz w:val="16"/>
          <w:szCs w:val="16"/>
          <w:color w:val="auto"/>
        </w:rPr>
      </w:pPr>
    </w:p>
    <w:p>
      <w:pPr>
        <w:ind w:left="6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FISCAL YEAR ENDED DECEMBER 31, 2024</w:t>
      </w:r>
    </w:p>
    <w:p>
      <w:pPr>
        <w:spacing w:after="0" w:line="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206375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GasLog Partners LP</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Republic of the Marshall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 GasLog LNG Services Ltd 69 Akti Miaouli 18537 Piraeus Greece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1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Alexandros Laios, General Counsel</w:t>
      </w:r>
    </w:p>
    <w:p>
      <w:pPr>
        <w:spacing w:after="0" w:line="2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c/o GasLog LNG Services Ltd,</w:t>
      </w:r>
    </w:p>
    <w:p>
      <w:pPr>
        <w:spacing w:after="0" w:line="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69 Akti Miaouli 18537</w:t>
      </w:r>
    </w:p>
    <w:p>
      <w:pPr>
        <w:spacing w:after="0" w:line="1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Piraeus, Greece</w:t>
      </w:r>
    </w:p>
    <w:p>
      <w:pPr>
        <w:spacing w:after="0" w:line="1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Telephone: +30 210 459 1000</w:t>
      </w:r>
    </w:p>
    <w:p>
      <w:pPr>
        <w:spacing w:after="0" w:line="1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color w:val="auto"/>
        </w:rPr>
        <w:t>Fax: +30 210 459 1242</w:t>
      </w:r>
    </w:p>
    <w:p>
      <w:pPr>
        <w:spacing w:after="0" w:line="1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Series A Preference Units</w:t>
            </w:r>
          </w:p>
        </w:tc>
        <w:tc>
          <w:tcPr>
            <w:tcW w:w="18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GLOP PR A</w:t>
            </w:r>
          </w:p>
        </w:tc>
        <w:tc>
          <w:tcPr>
            <w:tcW w:w="200" w:type="dxa"/>
            <w:vAlign w:val="bottom"/>
          </w:tcPr>
          <w:p>
            <w:pPr>
              <w:spacing w:after="0"/>
              <w:rPr>
                <w:sz w:val="16"/>
                <w:szCs w:val="16"/>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03"/>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Series B Preference Units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GLOP PR B</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0"/>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Series C Preference Units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GLOP PR C</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FOR WHICH THERE IS A REPORTING OBLIGATION PURSUANT TO SECTION 15(d) OF THE ACT: </w:t>
      </w:r>
      <w:r>
        <w:rPr>
          <w:rFonts w:ascii="Times New Roman" w:cs="Times New Roman" w:eastAsia="Times New Roman" w:hAnsi="Times New Roman"/>
          <w:sz w:val="16"/>
          <w:szCs w:val="16"/>
          <w:color w:val="auto"/>
        </w:rPr>
        <w:t>None</w:t>
      </w:r>
    </w:p>
    <w:p>
      <w:pPr>
        <w:spacing w:after="0" w:line="22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51" w:lineRule="exact"/>
        <w:rPr>
          <w:sz w:val="24"/>
          <w:szCs w:val="24"/>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As of December 31, 2024, there were 16,036,602 Partnership Common Units, 1,080,263 General Partner Units, 5,084,984 Series A Preference Units, 3,496,382 Series B Preference Units and 3,061,045 Series C Preference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858520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177" w:lineRule="exact"/>
        <w:rPr>
          <w:sz w:val="20"/>
          <w:szCs w:val="20"/>
          <w:color w:val="auto"/>
        </w:rPr>
      </w:pPr>
    </w:p>
    <w:p>
      <w:pPr>
        <w:ind w:left="420"/>
        <w:spacing w:after="0" w:line="184" w:lineRule="exact"/>
        <w:tabs>
          <w:tab w:leader="none" w:pos="3080" w:val="left"/>
          <w:tab w:leader="none" w:pos="542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38"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MS PGothic" w:cs="MS PGothic" w:eastAsia="MS PGothic" w:hAnsi="MS PGothic"/>
          <w:sz w:val="16"/>
          <w:szCs w:val="16"/>
          <w:color w:val="auto"/>
        </w:rPr>
        <w:t>☐</w:t>
      </w:r>
    </w:p>
    <w:p>
      <w:pPr>
        <w:spacing w:after="0" w:line="169"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51"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10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69" w:lineRule="exact"/>
        <w:rPr>
          <w:sz w:val="20"/>
          <w:szCs w:val="20"/>
          <w:color w:val="auto"/>
        </w:rPr>
      </w:pPr>
    </w:p>
    <w:p>
      <w:pPr>
        <w:ind w:right="12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513" w:right="999" w:bottom="1440" w:gutter="0" w:footer="0" w:header="0"/>
        </w:sectPr>
      </w:pPr>
    </w:p>
    <w:p>
      <w:pPr>
        <w:spacing w:after="0" w:line="185"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80" w:hanging="44"/>
        <w:spacing w:after="0" w:line="220"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71" w:lineRule="exact"/>
        <w:rPr>
          <w:sz w:val="20"/>
          <w:szCs w:val="20"/>
          <w:color w:val="auto"/>
        </w:rPr>
      </w:pPr>
    </w:p>
    <w:p>
      <w:pPr>
        <w:sectPr>
          <w:pgSz w:w="11900" w:h="16838" w:orient="portrait"/>
          <w:cols w:equalWidth="0" w:num="3">
            <w:col w:w="2560" w:space="720"/>
            <w:col w:w="4300" w:space="720"/>
            <w:col w:w="1620"/>
          </w:cols>
          <w:pgMar w:left="980" w:top="513" w:right="999" w:bottom="1440" w:gutter="0" w:footer="0" w:header="0"/>
          <w:type w:val="continuous"/>
        </w:sect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500"/>
        <w:spacing w:after="0" w:line="173" w:lineRule="exact"/>
        <w:rPr>
          <w:sz w:val="20"/>
          <w:szCs w:val="20"/>
          <w:color w:val="auto"/>
        </w:rPr>
      </w:pPr>
      <w:r>
        <w:rPr>
          <w:rFonts w:ascii="Times New Roman" w:cs="Times New Roman" w:eastAsia="Times New Roman" w:hAnsi="Times New Roman"/>
          <w:sz w:val="15"/>
          <w:szCs w:val="15"/>
          <w:color w:val="auto"/>
        </w:rPr>
        <w:t xml:space="preserve">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91440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REPORT</w:t>
            </w:r>
          </w:p>
        </w:tc>
        <w:tc>
          <w:tcPr>
            <w:tcW w:w="7680" w:type="dxa"/>
            <w:vAlign w:val="bottom"/>
            <w:gridSpan w:val="29"/>
            <w:vMerge w:val="restart"/>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1800" w:type="dxa"/>
            <w:vAlign w:val="bottom"/>
            <w:tcBorders>
              <w:bottom w:val="single" w:sz="8" w:color="0000EE"/>
            </w:tcBorders>
            <w:gridSpan w:val="12"/>
            <w:vMerge w:val="continue"/>
          </w:tcPr>
          <w:p>
            <w:pPr>
              <w:spacing w:after="0"/>
              <w:rPr>
                <w:sz w:val="14"/>
                <w:szCs w:val="14"/>
                <w:color w:val="auto"/>
              </w:rPr>
            </w:pPr>
          </w:p>
        </w:tc>
        <w:tc>
          <w:tcPr>
            <w:tcW w:w="7680" w:type="dxa"/>
            <w:vAlign w:val="bottom"/>
            <w:gridSpan w:val="29"/>
            <w:vMerge w:val="continue"/>
          </w:tcPr>
          <w:p>
            <w:pPr>
              <w:spacing w:after="0"/>
              <w:rPr>
                <w:sz w:val="14"/>
                <w:szCs w:val="14"/>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8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09"/>
        </w:trPr>
        <w:tc>
          <w:tcPr>
            <w:tcW w:w="12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PART I</w:t>
            </w:r>
          </w:p>
        </w:tc>
        <w:tc>
          <w:tcPr>
            <w:tcW w:w="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1.</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2.</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OFFER STATISTICS AND EXPECTED TIMETABLE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3.</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4.</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INFORMATION ON THE PARTNERSHIP</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4.A.</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440" w:type="dxa"/>
            <w:vAlign w:val="bottom"/>
            <w:gridSpan w:val="6"/>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6.</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7.</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MAJOR UNITHOLDERS AND RELATED PARTY TRANSACTIONS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8.</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9.</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10.</w:t>
            </w:r>
          </w:p>
        </w:tc>
        <w:tc>
          <w:tcPr>
            <w:tcW w:w="520" w:type="dxa"/>
            <w:vAlign w:val="bottom"/>
            <w:gridSpan w:val="7"/>
          </w:tcPr>
          <w:p>
            <w:pPr>
              <w:spacing w:after="0"/>
              <w:rPr>
                <w:sz w:val="18"/>
                <w:szCs w:val="18"/>
                <w:color w:val="auto"/>
              </w:rPr>
            </w:pPr>
          </w:p>
        </w:tc>
        <w:tc>
          <w:tcPr>
            <w:tcW w:w="24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5820" w:type="dxa"/>
            <w:vAlign w:val="bottom"/>
            <w:gridSpan w:val="18"/>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11.</w:t>
            </w:r>
          </w:p>
        </w:tc>
        <w:tc>
          <w:tcPr>
            <w:tcW w:w="520" w:type="dxa"/>
            <w:vAlign w:val="bottom"/>
            <w:gridSpan w:val="7"/>
          </w:tcPr>
          <w:p>
            <w:pPr>
              <w:spacing w:after="0"/>
              <w:rPr>
                <w:sz w:val="18"/>
                <w:szCs w:val="18"/>
                <w:color w:val="auto"/>
              </w:rPr>
            </w:pPr>
          </w:p>
        </w:tc>
        <w:tc>
          <w:tcPr>
            <w:tcW w:w="61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00" w:type="dxa"/>
            <w:vAlign w:val="bottom"/>
            <w:gridSpan w:val="5"/>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12.</w:t>
            </w:r>
          </w:p>
        </w:tc>
        <w:tc>
          <w:tcPr>
            <w:tcW w:w="520" w:type="dxa"/>
            <w:vAlign w:val="bottom"/>
            <w:gridSpan w:val="7"/>
          </w:tcPr>
          <w:p>
            <w:pPr>
              <w:spacing w:after="0"/>
              <w:rPr>
                <w:sz w:val="18"/>
                <w:szCs w:val="18"/>
                <w:color w:val="auto"/>
              </w:rPr>
            </w:pPr>
          </w:p>
        </w:tc>
        <w:tc>
          <w:tcPr>
            <w:tcW w:w="5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DESCRIPTION OF SECURITIES OTHER THAN EQUITY SECURITIES</w:t>
            </w:r>
          </w:p>
        </w:tc>
        <w:tc>
          <w:tcPr>
            <w:tcW w:w="2760" w:type="dxa"/>
            <w:vAlign w:val="bottom"/>
            <w:gridSpan w:val="7"/>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13.</w:t>
            </w:r>
          </w:p>
        </w:tc>
        <w:tc>
          <w:tcPr>
            <w:tcW w:w="520" w:type="dxa"/>
            <w:vAlign w:val="bottom"/>
            <w:gridSpan w:val="7"/>
          </w:tcPr>
          <w:p>
            <w:pPr>
              <w:spacing w:after="0"/>
              <w:rPr>
                <w:sz w:val="18"/>
                <w:szCs w:val="18"/>
                <w:color w:val="auto"/>
              </w:rPr>
            </w:pPr>
          </w:p>
        </w:tc>
        <w:tc>
          <w:tcPr>
            <w:tcW w:w="5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220" w:type="dxa"/>
            <w:vAlign w:val="bottom"/>
            <w:gridSpan w:val="9"/>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14.</w:t>
            </w:r>
          </w:p>
        </w:tc>
        <w:tc>
          <w:tcPr>
            <w:tcW w:w="520" w:type="dxa"/>
            <w:vAlign w:val="bottom"/>
            <w:gridSpan w:val="7"/>
          </w:tcPr>
          <w:p>
            <w:pPr>
              <w:spacing w:after="0"/>
              <w:rPr>
                <w:sz w:val="18"/>
                <w:szCs w:val="18"/>
                <w:color w:val="auto"/>
              </w:rPr>
            </w:pPr>
          </w:p>
        </w:tc>
        <w:tc>
          <w:tcPr>
            <w:tcW w:w="78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15.</w:t>
            </w:r>
          </w:p>
        </w:tc>
        <w:tc>
          <w:tcPr>
            <w:tcW w:w="520" w:type="dxa"/>
            <w:vAlign w:val="bottom"/>
            <w:gridSpan w:val="7"/>
          </w:tcPr>
          <w:p>
            <w:pPr>
              <w:spacing w:after="0"/>
              <w:rPr>
                <w:sz w:val="18"/>
                <w:szCs w:val="18"/>
                <w:color w:val="auto"/>
              </w:rPr>
            </w:pPr>
          </w:p>
        </w:tc>
        <w:tc>
          <w:tcPr>
            <w:tcW w:w="26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640" w:type="dxa"/>
            <w:vAlign w:val="bottom"/>
            <w:gridSpan w:val="17"/>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16.</w:t>
            </w:r>
          </w:p>
        </w:tc>
        <w:tc>
          <w:tcPr>
            <w:tcW w:w="520" w:type="dxa"/>
            <w:vAlign w:val="bottom"/>
            <w:gridSpan w:val="7"/>
          </w:tcPr>
          <w:p>
            <w:pPr>
              <w:spacing w:after="0"/>
              <w:rPr>
                <w:sz w:val="18"/>
                <w:szCs w:val="18"/>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[RESERVED]</w:t>
            </w:r>
          </w:p>
        </w:tc>
        <w:tc>
          <w:tcPr>
            <w:tcW w:w="7200" w:type="dxa"/>
            <w:vAlign w:val="bottom"/>
            <w:gridSpan w:val="27"/>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0"/>
        </w:trPr>
        <w:tc>
          <w:tcPr>
            <w:tcW w:w="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ITEM 16.A.</w:t>
            </w:r>
          </w:p>
        </w:tc>
        <w:tc>
          <w:tcPr>
            <w:tcW w:w="340" w:type="dxa"/>
            <w:vAlign w:val="bottom"/>
            <w:gridSpan w:val="2"/>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9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ITEM 16.B.</w:t>
            </w:r>
          </w:p>
        </w:tc>
        <w:tc>
          <w:tcPr>
            <w:tcW w:w="20" w:type="dxa"/>
            <w:vAlign w:val="bottom"/>
            <w:tcBorders>
              <w:bottom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CODE OF ETHICS</w:t>
            </w:r>
          </w:p>
        </w:tc>
        <w:tc>
          <w:tcPr>
            <w:tcW w:w="1960" w:type="dxa"/>
            <w:vAlign w:val="bottom"/>
            <w:tcBorders>
              <w:top w:val="single" w:sz="8" w:color="0000EE"/>
            </w:tcBorders>
            <w:gridSpan w:val="13"/>
          </w:tcPr>
          <w:p>
            <w:pPr>
              <w:spacing w:after="0"/>
              <w:rPr>
                <w:sz w:val="18"/>
                <w:szCs w:val="18"/>
                <w:color w:val="auto"/>
              </w:rPr>
            </w:pPr>
          </w:p>
        </w:tc>
        <w:tc>
          <w:tcPr>
            <w:tcW w:w="4840" w:type="dxa"/>
            <w:vAlign w:val="bottom"/>
            <w:gridSpan w:val="13"/>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9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ITEM 16.C.</w:t>
            </w:r>
          </w:p>
        </w:tc>
        <w:tc>
          <w:tcPr>
            <w:tcW w:w="320" w:type="dxa"/>
            <w:vAlign w:val="bottom"/>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080" w:type="dxa"/>
            <w:vAlign w:val="bottom"/>
            <w:gridSpan w:val="4"/>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16.E.</w:t>
            </w:r>
          </w:p>
        </w:tc>
        <w:tc>
          <w:tcPr>
            <w:tcW w:w="360" w:type="dxa"/>
            <w:vAlign w:val="bottom"/>
            <w:gridSpan w:val="3"/>
          </w:tcPr>
          <w:p>
            <w:pPr>
              <w:spacing w:after="0"/>
              <w:rPr>
                <w:sz w:val="18"/>
                <w:szCs w:val="18"/>
                <w:color w:val="auto"/>
              </w:rPr>
            </w:pPr>
          </w:p>
        </w:tc>
        <w:tc>
          <w:tcPr>
            <w:tcW w:w="71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080" w:type="dxa"/>
            <w:vAlign w:val="bottom"/>
            <w:gridSpan w:val="2"/>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8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5"/>
              </w:rPr>
              <w:t>ITEM 16.F.</w:t>
            </w:r>
          </w:p>
        </w:tc>
        <w:tc>
          <w:tcPr>
            <w:tcW w:w="380" w:type="dxa"/>
            <w:vAlign w:val="bottom"/>
            <w:gridSpan w:val="4"/>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CHANGE IN PARTNERSHIP’S CERTIFYING ACCOUNTANT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ITEM 16.G.</w:t>
            </w:r>
          </w:p>
        </w:tc>
        <w:tc>
          <w:tcPr>
            <w:tcW w:w="320" w:type="dxa"/>
            <w:vAlign w:val="bottom"/>
          </w:tcPr>
          <w:p>
            <w:pPr>
              <w:spacing w:after="0"/>
              <w:rPr>
                <w:sz w:val="18"/>
                <w:szCs w:val="18"/>
                <w:color w:val="auto"/>
              </w:rPr>
            </w:pP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5900" w:type="dxa"/>
            <w:vAlign w:val="bottom"/>
            <w:gridSpan w:val="20"/>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16.H.</w:t>
            </w:r>
          </w:p>
        </w:tc>
        <w:tc>
          <w:tcPr>
            <w:tcW w:w="34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w:t>
            </w:r>
          </w:p>
        </w:tc>
        <w:tc>
          <w:tcPr>
            <w:tcW w:w="5900" w:type="dxa"/>
            <w:vAlign w:val="bottom"/>
            <w:gridSpan w:val="20"/>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ITEM 16.I.</w:t>
            </w: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16.J.</w:t>
            </w:r>
          </w:p>
        </w:tc>
        <w:tc>
          <w:tcPr>
            <w:tcW w:w="380" w:type="dxa"/>
            <w:vAlign w:val="bottom"/>
            <w:gridSpan w:val="4"/>
          </w:tcPr>
          <w:p>
            <w:pPr>
              <w:spacing w:after="0"/>
              <w:rPr>
                <w:sz w:val="18"/>
                <w:szCs w:val="18"/>
                <w:color w:val="auto"/>
              </w:rPr>
            </w:pPr>
          </w:p>
        </w:tc>
        <w:tc>
          <w:tcPr>
            <w:tcW w:w="24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INSIDER TRADING POLICIES</w:t>
            </w:r>
          </w:p>
        </w:tc>
        <w:tc>
          <w:tcPr>
            <w:tcW w:w="5840" w:type="dxa"/>
            <w:vAlign w:val="bottom"/>
            <w:gridSpan w:val="19"/>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16.K.</w:t>
            </w:r>
          </w:p>
        </w:tc>
        <w:tc>
          <w:tcPr>
            <w:tcW w:w="340" w:type="dxa"/>
            <w:vAlign w:val="bottom"/>
            <w:gridSpan w:val="2"/>
          </w:tcPr>
          <w:p>
            <w:pPr>
              <w:spacing w:after="0"/>
              <w:rPr>
                <w:sz w:val="18"/>
                <w:szCs w:val="18"/>
                <w:color w:val="auto"/>
              </w:rPr>
            </w:pPr>
          </w:p>
        </w:tc>
        <w:tc>
          <w:tcPr>
            <w:tcW w:w="1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6760" w:type="dxa"/>
            <w:vAlign w:val="bottom"/>
            <w:gridSpan w:val="25"/>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12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PART III</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ITEM 17.</w:t>
            </w:r>
          </w:p>
        </w:tc>
        <w:tc>
          <w:tcPr>
            <w:tcW w:w="520" w:type="dxa"/>
            <w:vAlign w:val="bottom"/>
            <w:gridSpan w:val="7"/>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gridSpan w:val="4"/>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8"/>
              </w:rPr>
              <w:t>ITEM 18.</w:t>
            </w:r>
          </w:p>
        </w:tc>
        <w:tc>
          <w:tcPr>
            <w:tcW w:w="520" w:type="dxa"/>
            <w:vAlign w:val="bottom"/>
            <w:gridSpan w:val="7"/>
          </w:tcPr>
          <w:p>
            <w:pPr>
              <w:spacing w:after="0"/>
              <w:rPr>
                <w:sz w:val="18"/>
                <w:szCs w:val="18"/>
                <w:color w:val="auto"/>
              </w:rPr>
            </w:pPr>
          </w:p>
        </w:tc>
        <w:tc>
          <w:tcPr>
            <w:tcW w:w="82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7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19.</w:t>
            </w:r>
          </w:p>
        </w:tc>
        <w:tc>
          <w:tcPr>
            <w:tcW w:w="520" w:type="dxa"/>
            <w:vAlign w:val="bottom"/>
            <w:gridSpan w:val="7"/>
          </w:tcPr>
          <w:p>
            <w:pPr>
              <w:spacing w:after="0"/>
              <w:rPr>
                <w:sz w:val="18"/>
                <w:szCs w:val="18"/>
                <w:color w:val="auto"/>
              </w:rPr>
            </w:pPr>
          </w:p>
        </w:tc>
        <w:tc>
          <w:tcPr>
            <w:tcW w:w="8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EXHIBITS</w:t>
            </w:r>
          </w:p>
        </w:tc>
        <w:tc>
          <w:tcPr>
            <w:tcW w:w="1320" w:type="dxa"/>
            <w:vAlign w:val="bottom"/>
            <w:tcBorders>
              <w:top w:val="single" w:sz="8" w:color="0000EE"/>
            </w:tcBorders>
            <w:gridSpan w:val="6"/>
          </w:tcPr>
          <w:p>
            <w:pPr>
              <w:spacing w:after="0"/>
              <w:rPr>
                <w:sz w:val="18"/>
                <w:szCs w:val="18"/>
                <w:color w:val="auto"/>
              </w:rPr>
            </w:pPr>
          </w:p>
        </w:tc>
        <w:tc>
          <w:tcPr>
            <w:tcW w:w="6100" w:type="dxa"/>
            <w:vAlign w:val="bottom"/>
            <w:gridSpan w:val="22"/>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5020" w:type="dxa"/>
            <w:vAlign w:val="bottom"/>
            <w:gridSpan w:val="14"/>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this annual report, unless otherwise indicated:</w:t>
      </w:r>
    </w:p>
    <w:p>
      <w:pPr>
        <w:spacing w:after="0" w:line="225" w:lineRule="exact"/>
        <w:rPr>
          <w:sz w:val="20"/>
          <w:szCs w:val="20"/>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the “Partnership”, “we”, “our”, “us” or similar terms refer to GasLog Partners LP or any one or more of its subsidiaries, or to all such entities unless the context otherwise indicates;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depending on the context, refers to GasLog Ltd. and to any one or more of its direct and indirect subsidiaries, other than GasLog Partners;</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Group”, refers to GasLog Ltd. and to any one or more of its direct and indirect subsidiaries, including GasLog Partners;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refers to GasLog Partners GP LLC, the general partner of GasLog Partners and a wholly owned subsidiary of GasLog;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LNG Services” refers to GasLog LNG Services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Carriers” refers to GasLog Carriers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Holdings” refers to GasLog Partners Holdings LLC, a wholly owned subsidiary of GasLog Partners;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72" w:lineRule="auto"/>
        <w:tabs>
          <w:tab w:leader="none" w:pos="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“Merger Agreement with GEPIF”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for a purchase price of $5.80 in cash per share (the “GEPIF Transaction”). Following the consummation of the GEPIF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common shares of GasLog Ltd. Following the GEPIF Transaction, GEPIF held approximately 45% of the outstanding common shares of GasLog Ltd.;</w:t>
      </w:r>
    </w:p>
    <w:p>
      <w:pPr>
        <w:spacing w:after="0" w:line="171" w:lineRule="exact"/>
        <w:rPr>
          <w:rFonts w:ascii="Times New Roman" w:cs="Times New Roman" w:eastAsia="Times New Roman" w:hAnsi="Times New Roman"/>
          <w:sz w:val="17"/>
          <w:szCs w:val="17"/>
          <w:color w:val="auto"/>
        </w:rPr>
      </w:pPr>
    </w:p>
    <w:p>
      <w:pPr>
        <w:ind w:left="680" w:hanging="321"/>
        <w:spacing w:after="0" w:line="254"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with GasLog” refers to the agreement and plan of merger dated as of April 6, 2023, with GasLog, our general partner and Saturn Merger Sub LLC, a wholly owned subsidiary of GasLog (“Merger Sub”), pursuant to which Merger Sub merged with and into the Partnership, with the Partnership surviving as a direct subsidiary of GasLog, and GasLog acquired the outstanding common units of the Partnership not beneficially owned by GasLog for overall consideration of $8.65 per common unit in cash (the “GasLog Partners Transaction”), consisting in part of a special distribution by the Partnership of $3.28 per common unit in cash (the “Special Distribution”) that was distributed to the Partnership’s unitholders in connection with the closing of the GasLog Partners Transaction and the remainder was paid by GasLog as merger consideration at the closing of the GasLog Partners Transaction on July 13, 2023;</w:t>
      </w:r>
    </w:p>
    <w:p>
      <w:pPr>
        <w:spacing w:after="0" w:line="191"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Transaction” refers to the transaction where GIC, a global institutional investor, and a fund managed by GEPIF have entered into an agreement whereby GIC acquired GEPIF’s approximately 45% ownership interest in GasLog. Following the consummation of the GIC Transaction in January 2025, the Rolling Shareholders continue to hold approximately 55% of the outstanding common shares of GasLog Ltd. and GIC holds approximately 45%;</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“Shell” refers to Shell plc or any one or more of its subsidiaries;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“MSL” refers to Methane Services Limited, a subsidiary of Shell;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“Hanwha” refers to Hanwha Ocean Co., Ltd., formerly Daewoo Shipbuilding and Marine Engineering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“CDBL” refers to CL Gas Three Limited, a wholly owned subsidiary of China Development Bank Financial Leasing Co., Ltd.;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charterer” refers to a Southeast Asian charterer;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“Kansai” refers to KE Fuel International Co., Ltd.;</w:t>
      </w:r>
    </w:p>
    <w:p>
      <w:pPr>
        <w:spacing w:after="0" w:line="225"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“Class B Units” refers collectively to the Class B units issued on June 30, 2019 which are no longer outstanding as of December 31, 2023;</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A Preference Units” refers to our 8.625% Series A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B Preference Units” refers to our 8.200% Series B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C Preference Units” refers to our 8.500% Series C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“Preference Units” refers to our Series A Preference Units, our Series B Preference Units and our Series C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“LNG” refers to liquefied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“FSRUs” refers to Floating Storage and Regasification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“FSUs” refers to Floating Storage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“NYSE” refers to the New York Stock Exchange;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 refers to the U.S. Securities and Exchange Commission;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“IPO” refers to the initial public offering of GasLog Partners on May 12, 2014;</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“IFRS” refers to International Financial Reporting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“dollars” and “$” refer to, and amounts are presented in, U.S. dollars;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“TFDE” refers to tri-fuel diesel electric engine propulsion;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“Steam” refers to steam turbine propulsion;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8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charter hire rates, vessel utilization and vessel values;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new multi-year charters at economically attractive rates;</w:t>
      </w:r>
    </w:p>
    <w:p>
      <w:pPr>
        <w:spacing w:after="0" w:line="225" w:lineRule="exact"/>
        <w:rPr>
          <w:rFonts w:ascii="Times New Roman" w:cs="Times New Roman" w:eastAsia="Times New Roman" w:hAnsi="Times New Roman"/>
          <w:sz w:val="18"/>
          <w:szCs w:val="18"/>
          <w:color w:val="auto"/>
        </w:rPr>
      </w:pPr>
    </w:p>
    <w:p>
      <w:pPr>
        <w:jc w:val="both"/>
        <w:ind w:left="680" w:right="22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our operating expenses, including crew wages, maintenance, dry-docking and insurance costs and bunker prices;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number of off-hire days and dry-docking requirements including our ability to complete scheduled dry-dockings on time and within budget;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planned capital expenditures and availability of capital resources to fund capital expenditures;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duration and effects of future pandemics on our workforce, business, operations and financial condition;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prices for crude oil, petroleum products and natural gas, including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exchange rates, especially the U.S. dollar and Euro;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expand our portfolio by acquiring vessels;</w:t>
      </w:r>
    </w:p>
    <w:p>
      <w:pPr>
        <w:spacing w:after="0" w:line="225" w:lineRule="exact"/>
        <w:rPr>
          <w:rFonts w:ascii="Times New Roman" w:cs="Times New Roman" w:eastAsia="Times New Roman" w:hAnsi="Times New Roman"/>
          <w:sz w:val="18"/>
          <w:szCs w:val="18"/>
          <w:color w:val="auto"/>
        </w:rPr>
      </w:pPr>
    </w:p>
    <w:p>
      <w:pPr>
        <w:ind w:left="680" w:right="36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GasLog’s relationships with its employees and ship crews, its ability to retain key employees and provide services to us, and the availability of skilled labor, ship crews and management;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ownership of our charterers;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customers’ performance of their obligations under our time charters and other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operating performance, financial condition, liquidity and cash available for distributions;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make cash distributions on our Preference Units or the impact of changes to cash distributions on our financial position;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debt and equity financing on acceptable terms to fund capital expenditures, acquisitions and other corporate activities and funding by banks of their financial commitments;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future, pending or recent acquisitions of ships or other assets, business strategy, areas of possible expansion and expected capital spending;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inherent in ship operation, including the discharge of pollutants;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malfunction or disruption of information technology systems and networks that our operations rely on or any impact of a possible cybersecurity event;</w:t>
      </w:r>
    </w:p>
    <w:p>
      <w:pPr>
        <w:spacing w:after="0" w:line="161"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expected cost of and our ability to comply with environmental and regulatory requirements related to climate change, including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disruption of shipping routes due to accidents, diseases, pandemics, political events, piracy or acts by terrorists;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from future litigation;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factors discussed in “Item 3. Key Information—D. Risk Factors” of this annual report.</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80" w:hanging="332"/>
        <w:spacing w:after="0" w:line="500"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20" w:hanging="332"/>
        <w:spacing w:after="0" w:line="500"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29" w:lineRule="exact"/>
        <w:rPr>
          <w:sz w:val="20"/>
          <w:szCs w:val="20"/>
          <w:color w:val="auto"/>
        </w:rPr>
      </w:pPr>
    </w:p>
    <w:p>
      <w:pPr>
        <w:ind w:left="680" w:right="180" w:hanging="321"/>
        <w:spacing w:after="0" w:line="25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reduce or eliminate our ability to pay distributions on our Preference Units.</w:t>
      </w:r>
    </w:p>
    <w:p>
      <w:pPr>
        <w:spacing w:after="0" w:line="187"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p>
      <w:pPr>
        <w:spacing w:after="0" w:line="179" w:lineRule="exact"/>
        <w:rPr>
          <w:rFonts w:ascii="Times New Roman" w:cs="Times New Roman" w:eastAsia="Times New Roman" w:hAnsi="Times New Roman"/>
          <w:sz w:val="18"/>
          <w:szCs w:val="18"/>
          <w:color w:val="auto"/>
        </w:rPr>
      </w:pPr>
    </w:p>
    <w:p>
      <w:pPr>
        <w:jc w:val="both"/>
        <w:ind w:left="680" w:right="24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LNG shipping industry is subject to substantial environmental and other regulations which may become increasingly stringent as a result of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Preference Units.</w:t>
      </w:r>
    </w:p>
    <w:p>
      <w:pPr>
        <w:spacing w:after="0" w:line="183"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values may fluctuate substantially, which has resulted in non-cash impairment charges in previous years, including in 2024. A further decline in ship values could cause us to incur an additional loss.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2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COVID-19 or the occurrence of another epidemic and related governmental responses thereto may have further negative effects on the global economy, energy demand and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9" w:lineRule="exact"/>
        <w:rPr>
          <w:sz w:val="20"/>
          <w:szCs w:val="20"/>
          <w:color w:val="auto"/>
        </w:rPr>
      </w:pPr>
    </w:p>
    <w:p>
      <w:pPr>
        <w:ind w:left="680" w:right="14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79"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information systems to conduct our business and failure to protect these systems against security breaches could materially disrupt our business and results of operations.</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certain of its subsidiaries and secured by our vessels, which could have a material adverse effect on our business, financial condition, results of operations and cash flows.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officers are employed by GasLog and face conflicts in the allocation of their time to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may have liability to repay distributions.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Preference Units are subordinated to our indebtedness and other liabilities, and investors’ interests could be diluted by the issuance of additional preference units and by other transactions.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Holders of our Preference Units have extremely limited voting rights.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represent perpetual equity interests, and holders have no right to receive any greater payment than the liquidation preference regardless of the circumstances.</w:t>
      </w:r>
    </w:p>
    <w:p>
      <w:pPr>
        <w:spacing w:after="0" w:line="161" w:lineRule="exact"/>
        <w:rPr>
          <w:rFonts w:ascii="Times New Roman" w:cs="Times New Roman" w:eastAsia="Times New Roman" w:hAnsi="Times New Roman"/>
          <w:sz w:val="18"/>
          <w:szCs w:val="18"/>
          <w:color w:val="auto"/>
        </w:rPr>
      </w:pPr>
    </w:p>
    <w:p>
      <w:pPr>
        <w:ind w:left="680" w:right="70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have not been rated, and ratings of any other of our securities may affect the trading price of the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Market interest rates may adversely affect the value of our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are redeemable at our option.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may adversely affect the value of and return on our Preference Units.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Preference Units.</w:t>
      </w:r>
    </w:p>
    <w:p>
      <w:pPr>
        <w:spacing w:after="0" w:line="1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March 7, 2025, our owned and bareboat fleet consists of 14 LNG carriers. Six of our owned vessels currently operate under long-term time charters (defined as those with initial duration of more than three years) and eight of our owned and bareboat vessels are currently trading in the short-term spot market (defined as contracts with initial duration of less than three years). Six of the eight vessels operating in the short-term spot market, consisting of three Steam vessels and three TFDE vessels, are due to come off charter between March 2025 and July 2025. The bareboat contract of one of the Steam vessels operating in the short-term spot market expires in June 2025, and the vessel will exit our fleet.</w:t>
      </w:r>
    </w:p>
    <w:p>
      <w:pPr>
        <w:spacing w:after="0" w:line="9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Steam vessels are less efficient and have higher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longer-term charters we are able to secure for our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with such charters now generally being anywhere between six months and three years. If we are unable to secure employment for a vessel, we will not receive any revenues from that vessel but we will be required to pay expenses necessary to maintain the vessel in proper operating condition.</w:t>
      </w:r>
    </w:p>
    <w:p>
      <w:pPr>
        <w:spacing w:after="0" w:line="19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distribution to holders of our Preference Units.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we had a total of 1,360 open vessel days during 2025. A failure to obtain charters at acceptable rates on our vessels could adversely affect our business, financial condition, results of operations and cash flows, including cash available for dividends to holders of our Preference Units.</w:t>
      </w:r>
    </w:p>
    <w:p>
      <w:pPr>
        <w:spacing w:after="0" w:line="172"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Preference Units.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These factors could result in a decrease in our revenues and cash flows, including cash available for distribution to holders of our Preference Units.</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supply of LNG carriers has been increasing as a result of the ordering and delivery of new ships. Ordering levels in 2024 did not vary significantly from 2023 levels, with shipyard prices for newbuild vessels facing a minor decline. High prices are a result of a renewed focus on energy security, diversification and investment in LNG infrastructure after the geopolitical events surrounding the Russia-Ukraine conflict and the decline of Russian pipeline flows to Europe.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According to Poten &amp; Partners Group, Inc. (“Poten”), as of January 31, 2024, the global trading fleet of conventional LNG carriers (&gt;100,000 cbm) consisted of 668 vessels, with another 330 LNG carriers on order (with delivery up to 2031), of which 19 do not have multi-year charters. The majority of these vessels are tied to new projects, including about 37% of confirmed vessel orders tied to Qatar’s North Field Expansion project, and therefore likely to not negatively impact the supply-demand for vessels, unless the Qatar project is delayed.</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Any expansion of the global LNG carrier fleet in excess of the demand for LNG shipping will likely have a negative impact on charter hire rates, vessel utilization and vessel values. However, it has become difficult to secure additional berths, due to high prices, scarcity of available slots and available deliveries of new vessels from 2027 onwards. If charter hire rates are lower when we are seeking new employment, or if we are unable to secure employment for our vessels trading in the spot and short-term markets, as a result of increased competition from modern vessels, our revenues and cash flows, including cash available for distribution to holders of our Preference Units, may decline.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become increasingly stringent as the result of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Preference Units.</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Such requirements may amend existing or introduce new regulations which affect the operational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relating to,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Further, they could result in the denial of access to certain jurisdictional waters or ports or detention in certain ports. We are required to obtain governmental approvals and permits to operate our ships. Delays in obtaining or renewing such governmental approvals may increase our expenses, and the terms and conditions of such approvals could materially and adversely affect our operations.</w:t>
      </w:r>
    </w:p>
    <w:p>
      <w:pPr>
        <w:spacing w:after="0" w:line="187"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and the International Maritime Organisation (“IMO”) have implemented regulations and requirements governing ballast water management systems on oceangoing ships. The IMO has also established progressive standards limiting greenhouse gas emissions from ships which began in 2023 and extend towards 2030 and 2050 emissions reduction goals. The EU has incorporated shipping within the greenhouse gas Emissions Trading System (“EU ETS”) which also includes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9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February 2022, new rules were announced by the EU naming natural gas and nuclear power generation as “transitional technologies” (provided they meet certain criteria, such as replacing coal plants, and subject to certain limits and phase put periods) and setting out new disclosure rules for companies regarding annual reporting about compliance with green criteria. The rules came into effect on January 1,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8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pacing w:after="0" w:line="17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Some of these laws and conventions, including OPA and the London Convention,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Increased concern over climate change could negatively affect perception of the oil and gas industry which could impact our ability to attract investors, access financing in the bank and capital markets and attract and retain talent.</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resulted in non-cash impairment in previous years, including in 2024. A further decline in ship values could cause us to incur an additional loss.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 charter-free market values and other impairment indicators;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market values of our ships decline, we may be required to record additional impairment charges in our financial statements, which could adversely affect our results of operations. For a discussion of impairment charges for the year ended December 31, 2024, see “Item 5. Operating and Financial Review and Prospects—E. Critical Accounting Estimates—Impairment of Vessels and Right-of-use Assets”. If a charter contract expires or is terminated by the customer, we may be unable to redeploy the affected ships at attractive rates and, rather than continue to incur costs to maintain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holders of our Preference Units.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emissions restrictions may adversely impact our results of operations, financial condition and ability to pay distributions on our Preference Units.</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greenhouse gas emissions from ships. These regulatory measures may include adoption of cap and trade regimes, carbon taxes, increased efficiency standards and incentives or mandates for renewable energy. Although emissions of greenhouse gases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beyond those already adopted under the International Convention for the Prevention of Marine Pollution from Ships (“MARPOL Convention”). In May 2023, regulations for the EU-wide trading scheme for industrial GHG emissions, the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also apply to methane and nitrous oxide emissions beginning in 2026. Shipping companies will need to buy and surrender allowances that correspond to the emissions covered by the system. The Fuel EU Maritime Regulation, which entered into force on January 1, 2025, sets well-to-wake GHG emission intensity requirements, among other provisions. Shipping companies will need to pay penalties for non-compliant vessels. Compliance with these and any future changes in laws and regulations relating to climate change could increase the costs of operating and maintaining our ships and could require us to install new emission controls, as well as acquire emissions allowances, pay taxes related to our greenhouse gas emissions or administer and manage a greenhouse gas emissions program. Such compliance could also affect our revenues and change significantly the market in which we compete, which may adversely affect any strategic growth opportunities.</w:t>
      </w:r>
    </w:p>
    <w:p>
      <w:pPr>
        <w:spacing w:after="0" w:line="19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There is increasing focus on the environmental (including greenhouse gas emissions) footprint of the energy and transportation sectors from governments, regulators, shareholders, customers, environmental non-governmental organizations and other stakeholders. This has resulted in some of our charterers setting specific greenhouse gas emissions reduction targets covering all of their activities and products and those of their suppliers. Our vessels on charter to those charterers and other energy companies form part of their supply chain and may be captured within such targets. In addition, many large financial institutions are under pressure to both reduce their own environmental footprints and to monitor the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entered into force on November 1, 2022 and require ships to reduce GHG emissions using technological and operational approaches to improve energy efficiency and that provide important building blocks for future GHG reduction measures. Additionally, in July 2023, the IMO adopted the 2023 IMO Strategy on Reduction of GHG Emissions from Ships, a framework for Member States that provides new mid-term emissions reduction goals and guidance. Implementation of framework may require additional capital expenditures to achieve compliance with new emissions reduction targets across the shipping sector and increased use of zero or near-zero GHG emission technologies, among other obligations.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holders of our Preference Units.</w:t>
      </w:r>
    </w:p>
    <w:p>
      <w:pPr>
        <w:spacing w:after="0" w:line="19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continuation of COVID-19 or the occurrence of another epidemic and related governmental responses thereto may have negative effects on the global economy, energy demand and on our results of operations and financial condition.</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introduced uncertainty in a number of areas of our business, including operational, commercial, administrative and financial activities. The continuation of COVID-19, emergence of new variants or the occurrence of another epidemic, may negatively affect our business and operations, the health of our crews and the availability of our fleet, as well as our financial position and prospects. For example, the onset of the COVID-19 pandemic resulted in numerous actions taken by governments and governmental agencies in an attempt to mitigate the spread or any resurgence of the virus, including travel bans, quarantines and other emergency public health measures such as lockdowns. Any future reduction in LNG demand and further closure of, or restricted access to, ports and terminals in regions affected by a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eight of our vessels currently trading in the short-term spot market, any additional exposure to the spot market or extended periods of idle time between charters could adversely affect our future liquidity, results of operations and cash flows.</w:t>
      </w:r>
    </w:p>
    <w:p>
      <w:pPr>
        <w:spacing w:after="0" w:line="192"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The occurrence or reoccurrence of any of the foregoing events or other epidemics or other epidemic or a recession or market correction resulting from a future epidemic could have a material adverse effect on the global economy, energy demand and our business.</w:t>
      </w:r>
    </w:p>
    <w:p>
      <w:pPr>
        <w:spacing w:after="0" w:line="13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75"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or other failures of operational and information technology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caused by mechanical failure, human error, war, terrorism, disease and related government responses thereto, or political action in various countries;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25"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holders of our Preference Units, could be materially and adversely affected. The impact of any limitation in the operation of our ships or any early charter termination would be amplified, as a substantial portion of our cash flows and income is dependent on the revenues earned by the chartering of our 14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holders of our Preference Units.</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dry-docking. Any delay or cost overrun of the dry-docking could have a material adverse effect on our business, results of operations and financial condition and could significantly reduce or eliminate our ability to pay distributions on our Preference Units.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holders of our Preference Units, could be adversely affected. The upcoming dry-dockings of our vessels are expected to be carried out in 2025 (three vessels), 2026 (five vessels), 2028 (one vessel) and 2029 (one vessel). The four bareboat vessels will not be in our bareboat fleet at the time of their next dry-dockings.</w:t>
      </w:r>
    </w:p>
    <w:p>
      <w:pPr>
        <w:spacing w:after="0" w:line="1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Further technological advancements and other innovations affecting LNG carriers could reduce the charter hire rates we are able to obtain when seeking new employment for our vessels and this could adversely impact the value of our assets and our results of operations and cash flows.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distributions to holders of our Preference Units, as well as our ability to obtain debt financing for ships with older technology whose market values have experienced a significant decline.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distributions on our Preference Units.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the demand for shipping. A complete LNG project includes natural gas 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8" w:lineRule="exact"/>
        <w:rPr>
          <w:sz w:val="20"/>
          <w:szCs w:val="20"/>
          <w:color w:val="auto"/>
        </w:rPr>
      </w:pPr>
    </w:p>
    <w:p>
      <w:pPr>
        <w:ind w:left="680" w:right="2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and natural gas. A return to low natural gas prices globally may limit the willingness and ability of developers of new LNG infrastructure projects to approve the development of such new projects;</w:t>
      </w:r>
    </w:p>
    <w:p>
      <w:pPr>
        <w:spacing w:after="0" w:line="161" w:lineRule="exact"/>
        <w:rPr>
          <w:rFonts w:ascii="Times New Roman" w:cs="Times New Roman" w:eastAsia="Times New Roman" w:hAnsi="Times New Roman"/>
          <w:sz w:val="18"/>
          <w:szCs w:val="18"/>
          <w:color w:val="auto"/>
        </w:rPr>
      </w:pPr>
    </w:p>
    <w:p>
      <w:pPr>
        <w:ind w:left="680" w:right="36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such as COVID-19, safety and terrorism;</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leading to warmer winters in the northern hemisphere and lower gas demand in the traditional peak heating season;</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6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or regasification;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25" w:lineRule="exact"/>
        <w:rPr>
          <w:rFonts w:ascii="Times New Roman" w:cs="Times New Roman" w:eastAsia="Times New Roman" w:hAnsi="Times New Roman"/>
          <w:sz w:val="18"/>
          <w:szCs w:val="18"/>
          <w:color w:val="auto"/>
        </w:rPr>
      </w:pPr>
    </w:p>
    <w:p>
      <w:pPr>
        <w:ind w:left="680" w:right="44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and oil prices are subject to volatility due to global events outside of our control, including the events in Russia and Ukraine. A continuation of the recent volatility in natural gas and oil prices may adversely affect our growth prospects and results of operations.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Natural gas prices are likely to continue to face volatility given the constrained supply outlook following the cessation of pipeline flows from Russia to Europe and suspected sabotage of the Nord Stream 1 and 2 pipelines.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p>
      <w:pPr>
        <w:spacing w:after="0" w:line="183"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and petroleum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exploration, development, production, transportation and distribution of natural gas;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military conflicts; and</w:t>
      </w:r>
    </w:p>
    <w:p>
      <w:pPr>
        <w:spacing w:after="0" w:line="225"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With eight vessels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76" w:lineRule="exact"/>
        <w:rPr>
          <w:sz w:val="20"/>
          <w:szCs w:val="20"/>
          <w:color w:val="auto"/>
        </w:rPr>
      </w:pPr>
    </w:p>
    <w:p>
      <w:pPr>
        <w:ind w:left="680" w:right="2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7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benchmarked to the price of crude oil;</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161" w:lineRule="exact"/>
        <w:rPr>
          <w:rFonts w:ascii="Times New Roman" w:cs="Times New Roman" w:eastAsia="Times New Roman" w:hAnsi="Times New Roman"/>
          <w:sz w:val="18"/>
          <w:szCs w:val="18"/>
          <w:color w:val="auto"/>
        </w:rPr>
      </w:pPr>
    </w:p>
    <w:p>
      <w:pPr>
        <w:ind w:left="680" w:right="220" w:hanging="321"/>
        <w:spacing w:after="0" w:line="312" w:lineRule="auto"/>
        <w:tabs>
          <w:tab w:leader="none" w:pos="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5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spacing w:after="0" w:line="175"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The IMO, the United Nations’ agency for regulating shipping, introduced and adopted two measures, the EEXI and CII which entered into force on January 1, 2023, and which have impacted and are expected to continue to impact our fleet in the short and long-term future. Pursuant to the EEXI regulation, Steam vessels require an Engine Power Limitation, which has an impact on the vessels’ maximum attainable speed. The CII regulation affects all vessels, as it directly measures operational efficiency. However, its impact is expected to be more pronounced on Steam vessels, which may face greater challenges in maintaining compliance after 2026 due to their less efficient design and the progressively stricter CII targets set each year. All our vessels have achieved compliant CII ratings. Although the regulatory framework is in place, it includes a review clause requiring the MEPC to review the effectiveness of the regulations by January 1, 2026 and develop and adopt further amendments as required. Currently, there are no direct penalties for non-compliant vessels, and IMO has postponed the review of CII beyond 2026. At the same time, discussions within the industry continue, and some entities are advocating for a complete overhaul of the measure. Given these uncertainties, the mid-term implications for our fleet remain unclear, making it difficult to fully assess the scale and timing of any associated risks to our business, financial position and operations.</w:t>
      </w:r>
    </w:p>
    <w:p>
      <w:pPr>
        <w:spacing w:after="0" w:line="1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high inflation and continued high interest rates.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holders of our Preference Units.</w:t>
      </w:r>
    </w:p>
    <w:p>
      <w:pPr>
        <w:spacing w:after="0" w:line="14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132"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4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holders of our Preference Units.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11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holders of our Preference Units. In particular, our ships frequent LNG terminals in countries including Egypt, Nigeria, Equatorial Guinea and Trinidad, as well as transit through the Gulf of Aden and the Strait of Hormuz. Houthi-led attacks in the Suez Canal region forced LNG shipments to reroute via the Cape of Good Hope, halting canal traffic for much of the year. Although limited transits resumed to serve Egypt’s LNG import terminal, most Qatari and other shipments to Europe continued to bypass the canal. Similarly, Panama Canal transits were constrained due to drought-related restrictions, which were gradually eased. Natural disasters further impacted supply, with a hurricane in the Gulf of Mexico temporarily halting U.S. export operations and unplanned outages affecting production in the U.S., Australia, Brunei, Indonesia, and Malaysia. These outages collectively resulted in a 5.5 million tonnes (“mt”) LNG supply loss, surpassing the prior year’s disruptions.</w:t>
      </w:r>
    </w:p>
    <w:p>
      <w:pPr>
        <w:spacing w:after="0" w:line="1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Future hostilities or other political instability in the geographic regions where we operate or may operate could have a material adverse effect on our business, financial condition, results of operations and cash flows, including cash available for distribution to holders of our Preference Units. General trade tensions between the U.S. and 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second Trump administration imposed new tariffs on China in February 2025, causing China to retaliate with levies on certain U.S. goods. Additionally, the second Trump administration has imposed and may continue to impose tariffs on imports from Canada and Mexico and has announced plans to impose tariffs on imports from the European Union (the “EU”). It is not known whether and to what extent such new tariffs (or other new laws or regulations) will be adopted by the second Trump administration or the effect that any such actions would have on us or on our industry. The hostilities between Russia and Ukraine and attendant sanctions promulgated by the United States, the EU and other countries may also adversely impact our business, given Russia’s role as a major global exporter of crude oil and natural gas and the imposition of a price cap on Russian-origin oil announced by the U.S., the EU and several other countries in December 2022. In addition, political tensions between China and Taiwan may adversely affect our business and may also have the effect of heightening many of the other risks described in our risk factors, such as those relating to data security, supply chain and market conditions, any of which could negatively affect our business, results of operations, and financial condition.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spacing w:after="0" w:line="16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5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Terrorist attacks, piracy and the current conflicts in Russia, Ukraine, the Middle East, Israel, Palestine, the Gulf of Aden, the Red Sea and elsewhere, as well as other current and future conflicts and political change, may adversely affect our business, financial condition, results of operations and cash flows, including cash available for distribution to holders of our Preference Units.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ongoing conflict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Recent events in the conflict between Israel and Hamas and related conflicts in the Middle East have created additional concerns for the stability of the supply of oil as such conflicts may broaden or escalate.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the past, political conflicts have also resulted in attacks on ships, mining of waterways and other efforts to disrupt international shipping, particularly in the Arabian Gulf region and West Africa. The Houthi seizures and attacks on commercial vessels in the Red Sea and the Gulf of Aden have impacted the global economy as some companies have decided to reroute vessels to avoid the Suez Canal and Red Sea. This has caused additional volatility in the energy markets and concerns of supply disruption. Acts of terrorism and piracy have also affected ships trading in regions such as the South China Sea and West Africa. Any terrorist attacks targeted at ships may in the future have a material negative effect on our business, financial condition, results of operations and cash flows and could directly impact our ships or our customers.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w:t>
      </w:r>
    </w:p>
    <w:p>
      <w:pPr>
        <w:spacing w:after="0" w:line="225"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 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or lease could be required to call on ports located in countries that are subject to restrictions imposed by the United States and other governments.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87"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of the U.S.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sections.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18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5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European Union Code of Conduct Group periodically assesses the tax policies of a range of countries including Bermuda, where our vessel owning entities are incorporated. Currently, Bermuda has committed to comply with the European Union Code of Conduct Group’s requirements on economic substance and previously passed legislation in the form of the Bermuda Economic Substance Act of 2018 and the Marshall Islands Economic Substance Regulations, 2018, as amended. In 2023, the European Union Code of Conduct Group decided to include Marshall Islands on the list of non-cooperative jurisdictions for tax purposes from February 2023 to October 2023. If the European Union Code of Conduct Group decides to include Bermuda or Marshall Islands on the non-cooperative jurisdiction list in the future, we may be subject to additional reporting requirements or other requirements that may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incidents,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holders of our Preference Units.</w:t>
      </w:r>
    </w:p>
    <w:p>
      <w:pPr>
        <w:spacing w:after="0" w:line="19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and could have a material adverse effect on our business, financial condition, results of operations and cash flows, including cash available for distribution to holders of our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holders of our Preference Units.</w:t>
      </w:r>
    </w:p>
    <w:p>
      <w:pPr>
        <w:spacing w:after="0" w:line="18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our results of operations, financial condition and ability to pay distributions.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 and the submission of competitive bids. The process is lengthy and the LNG carrier time charters are awarded based upon a variety of factors relating to the ship and the ship operator, including:</w:t>
      </w:r>
    </w:p>
    <w:p>
      <w:pPr>
        <w:spacing w:after="0" w:line="180"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2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holders of our Preference Units.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44% of our revenues derived from wholly owned subsidiaries of Shell.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Accordingly, the existence of any right of termination or the loss of any customer, charter or vessel could have a material adverse effect on our business, financial condition, results of operations and cash flows, including cash available for distribution to holders of our Preference Units.</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(including greenhouse gas emissions) footprint of marine transportation. Our compliance with existing and new standards and quality requirements is vital for our operations. Related risks could materialize in multiple ways, including a sudden and unexpected breach in quality and/or compliance concerning one or more vessels and/or a decrease in the quality concerning one or more LNG carriers occurring over time. Moreover, increasingly burdensome requirements from LNG industry constituents could further complicate our ability to meet applicable standards. We are largely dependent on GasLog for our compliance with the requirements of our customers. Any non-compliance by us, either as an isolated event or over a period of time, on one or more LNG carriers, or an increase in stringency of requirements imposed by our charterers above and beyond what we deliver, may have a material adverse effect on our future performance, results of operations, cash flows, financial position and our ability to make cash distributions to holders of our Preference Units.</w:t>
      </w:r>
    </w:p>
    <w:p>
      <w:pPr>
        <w:spacing w:after="0" w:line="188"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3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either spot/short-term or long-term.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systems to conduct our business and failure to protect these systems against security breaches could materially disrupt our business and adversely affect our results of operations.</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EU’s General Data Protection Regulation (“GDPR”), which regulates the use of personally identifiable information,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9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Changes in the nature of cyber threats and/or changes to industry standards and regulations might require us to adopt additional procedures for monitoring cybersecurity, which could require significant additional expenses and/or capital expenditures.</w:t>
      </w:r>
    </w:p>
    <w:p>
      <w:pPr>
        <w:spacing w:after="0" w:line="15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2024, 44% of our revenues derived from subsidiaries of Shell.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pacing w:after="0" w:line="187"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holders of our Preference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incremental debt financing for future acquisitions of ships may depend on the creditworthiness of our charterers, the terms of our future charters and the performance of our vessels operating in the spot market.</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or may significantly increase our costs of obtaining such capital. Reduced expectations for the utilization and earnings of our vessels operating in the short-term spot market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holders of our Preference Units.</w:t>
      </w:r>
    </w:p>
    <w:p>
      <w:pPr>
        <w:spacing w:after="0" w:line="188"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facility which is guaranteed by the Partnership and secured by our owned vessels, which could have a material adverse effect on our business, financial condition, results of operations and cash flows.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GasLog’s Five-Year Sustainability-Linked Senior Secured Reducing Revolving Credit Facility in the amount of $2.8 billion (the “Facility”) is secured by our vessels and guaranteed by the Partnership. If GasLog defaults in its payment obligations, we may be obligated to make the required payments and we may suffer material adverse financial impacts and our results of operations may be materially adversely affected. Further, in the event of such a default, the lenders in the Facility could terminate their commitments to lend and/or accelerate the outstanding loans and declare all amounts borrowed due and payable. If the Facility lenders were to foreclose on our vessels in the event of such a default, this may adversely affect our ability to finance future operations or capital needs or to engage, expand or pursue our business activities. Any of these events would adversely affect our ability to make distributions to holders of our Preference Units and could cause a decline in the market price of our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are employed by GasLog and face conflicts in the allocation of their time to our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GIC Transaction and the GasLog Partners Transaction could create uncertainty over the future management and direction of the Partnership and could adversely impact the Partnership and our unitholders.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There could be disagreement among major shareholders of GasLog, including the Rolling Shareholders and GIC, with respect to the short- and long-term management, direction and strategy of the Partnership. GasLog has the right to appoint all of our directors and officers, therefore any such disagreements with respect to the Partnership’s strategic direction may have an adverse effect on our business, operations, financial results and unit price.</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Furthermore, since the closing of the GEPIF Transaction, the GasLog Partners Transaction and the full redemption of GasLog’s 8.75% Series A Cumulative Redeemable Perpetual Preference Shares preferred stock in May 2024, GasLog has no public reporting obligations, which could adversely impact the ability of the holders of our Preference Units to assess the management and direction of the Partnership, which may have a negative effect on the price of our Preference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2024, will be payable regardless of our profitability and will reduce our cash available for distribution to holders of our Preference Units.</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Pursuant to the commercial management agreements, GasLog LNG Services provides us with commercial management services for which we pay to GasLog a fixed commission of 1.25% on gross charter revenues in U.S. dollars for costs and expenses incurred in connection with providing services.</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2024 were $6.3 million, $4.5 million and $9.0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holders of our Preference Units.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to distribute funds to us in order to satisfy our financial obligations and to make distributions to holders of our Preference Units.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holders of our Preference Units depends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holders of our Preference Units.</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GasLog for capital support and depend on our relationship with GasLog in order to meet our capital expenditure and other business requirements.</w:t>
      </w:r>
    </w:p>
    <w:p>
      <w:pPr>
        <w:spacing w:after="0" w:line="15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consolidated and wholly owned subsidiary of GasLog and depend on our relationship with GasLog for capital support in order to meet our capital expenditure and other business requirements. We must make substantial capital expenditures to maintain and replace, over the long-term, the operating capacity of our fleet.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GasLog has no obligations under our partnership agreement or any other agreement to provide capital support for our capital expenditure and other business requirements.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do not receive capital support from GasLog and are not otherwise able to raise third-party bank financing or generate sufficient cash flow to meet our capital expenditure and other business requirements, we may be forced to sell assets, potentially at a loss, or reduce, delay or cancel our business activities, acquisitions, investments or capital expenditures. Some of these measures may adversely affect our business and reputation, and could have a material adverse effect on our business, financial condition, results of operations and cash flows, including cash available for distributions to holders of our Preference Units.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securities laws of the United States and the NYSE rules and we only have preferred units listed on the NYSE, and as such we are entitled to exemption from most of the NYSE corporate governance standards, and you may not have the same protections afforded to holders of common units of similarly organized limited partnerships that are subject to all of the NYSE corporate governance requirements.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“foreign private issuers” and issuers who list only preferred units are exempt from most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and a nominating/corporate governance committee be established.</w:t>
      </w:r>
    </w:p>
    <w:p>
      <w:pPr>
        <w:spacing w:after="0" w:line="18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Accordingly, you may not have the same protections afforded to unitholders of similarly organized limited partnerships that are subject to all of the NYSE corporate governance requirements.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Marshall Islands, which does not have a well-developed body of partnership law.</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 limited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similarly organized limited partnership in the United States.</w:t>
      </w:r>
    </w:p>
    <w:p>
      <w:pPr>
        <w:spacing w:after="0" w:line="19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62" w:lineRule="exact"/>
        <w:rPr>
          <w:sz w:val="20"/>
          <w:szCs w:val="20"/>
          <w:color w:val="auto"/>
        </w:rPr>
      </w:pPr>
    </w:p>
    <w:p>
      <w:pPr>
        <w:ind w:left="680" w:right="1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brought in a derivative manner on our behalf;</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of breach of a fiduciary duty owed by any director, officer or other employee of us or our general partner, or owed by our general partner, to us or the limited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arising pursuant to any provision of the Marshall Islands Act; or</w:t>
      </w:r>
    </w:p>
    <w:p>
      <w:pPr>
        <w:spacing w:after="0" w:line="225" w:lineRule="exact"/>
        <w:rPr>
          <w:rFonts w:ascii="Times New Roman" w:cs="Times New Roman" w:eastAsia="Times New Roman" w:hAnsi="Times New Roman"/>
          <w:sz w:val="18"/>
          <w:szCs w:val="18"/>
          <w:color w:val="auto"/>
        </w:rPr>
      </w:pPr>
    </w:p>
    <w:p>
      <w:pPr>
        <w:ind w:left="680" w:right="40" w:hanging="321"/>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Preference Units are subordinated to our indebtedness and other liabilities and investors’ interests could be diluted by the issuance of additional preference units and by other transactions.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Preference Units are subordinated to all of our existing and any future debt obligations. As of December 31, 2024, we had no credit facilities outstanding. As of December 31, 2024, we had an aggregate of $107.6 million of lease liabilities mainly related to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We and certain of our subsidiaries are guarantors of GasLog’s debt obligations under the Facility. If GasLog defaults in its payment obligations, we may be obligated to make the required payments. Any future indebtedness of the Partnership may include restrictions on, our ability to pay distributions to holders of our Preference Units.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Units have extremely limited voting rights.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distributions on the applicable series of Preference Units have been paid in full.</w:t>
      </w:r>
    </w:p>
    <w:p>
      <w:pPr>
        <w:spacing w:after="0" w:line="1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our Preference Units will have no right to receive or to participate in these amounts. Furthermore, if the market price for Preference Units is greater than the liquidation preference, holders of our Preference Units will have no right to receive the market price from us upon our liquidation.</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close of the GasLog Partners Transaction, our corporate actions are controlled by GasLog, who has the ability to effectively control the outcome of important corporate matters. The interests of GasLog may be different than yours.</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Following the consummation of the GasLog Partners Transaction, we are a consolidated and wholly owned subsidiary of GasLog. As noted above the holders of our Preferences Units generally have no voting rights on most matters. See Item 3.D. – Risk Factors – Risks Relating to Our Preference Units. As a result of the foregoing, GasLog has effective control over our corporate strategy and the outcome of significant corporate matters, and investors may be prevented from influencing such matters including:</w:t>
      </w:r>
    </w:p>
    <w:p>
      <w:pPr>
        <w:spacing w:after="0" w:line="180" w:lineRule="exact"/>
        <w:rPr>
          <w:sz w:val="20"/>
          <w:szCs w:val="20"/>
          <w:color w:val="auto"/>
        </w:rPr>
      </w:pPr>
    </w:p>
    <w:p>
      <w:pPr>
        <w:ind w:left="680" w:right="1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our board of directors and, through it, any determinations with respect to our operations, business direction and policies, including the appointment and removal of officers;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or other business combinations;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disposition of substantially all our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for our common units.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interests of GasLog may be different from yours. These actions may take place even if the holders of our Preference Units are opposed and therefore may adversely affect the market value of our Preference Units.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partnership agreement does not restrict our ability to distribute cash or other property to our common unitholders and our general partner unless any quarterly distributions payable on any series of Preference Units are in arrears. Any distributions made to GasLog, as the owner of all of our outstanding common units, and our general partner, will reduce the amount of cash available to operate our business, and significant distributions may have a material adverse effect on our financial condition.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have not been rated, and ratings of any other of our securities may affect the trading price of the Preference Units.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 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adversely affect the value of our Preference Units.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Significant inflation and increased interest rates due to interest raises by the U.S. Federal Reserve and other central banks may lead prospective purchasers of our Preference Units to expect higher distribution yields, and higher interest rates may increase our borrowing costs and potentially decrease funds available for distributions. Accordingly, higher market interest rates could cause the market price of our Preference Units to decrease.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Preference Units are redeemable at our option.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may, at our option, redeem all or, from time to time, part of the Series A Preference Units on or after June 15, 2027, the Series B Preference Units on or after March 15, 2023 or the Series C Preference Units on or after March 15, 2024. If we redeem Series A, Series B or Series C Preference Units, redeemed unitholders will be entitled to receive a redemption price equal to $25.00 per unit plus accumulated and unpaid distributions to the date of redemption. We may elect to exercise our partial redemption right on multiple occasions.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and an increase in SOFR may adversely affect the value of and return on our Preference Units.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distribution rate for the Series B Preference Units has been determined based on the Term Secured Overnight Financing Rate (“SOFR”) for a three-month tenor published by the Chicago Mercantile Exchange (“CME”), from and including March 15, 2023. The distribution rate for the Series C Preference Units has been determined based on three-month SOFR published by the CME, from and including March 15, 2024. The distribution rate for the Series A Preference Units will be determined by the Partnership, from and including June 15, 2027, based on the terms of our partnership agreement and applicable Marshall Islands law regarding amending London Interbank Offered Rate tenors for U.S Dollars (“LIBOR”) based instruments. Under the current LIBOR fallback provisions for the Series A Preference Units, if there is no published LIBOR rate, the floating rate is expected to be the rate set during the prior interest rate period, which would be the current fixed rate of 8.625%.</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past, the level of SOFR has experienced significant fluctuations. Historical levels, fluctuations and trends of three-month SOFR are not necessarily indicative of future levels. Any historical upward or downward trend in SOFR is not an indication that SOFR is more or less likely to increase or decrease at any time during the floating rate period for a series of Preference Units, and you should not take the historical levels of SOFR as an indication of its future performance. Although the actual SOFR on a distribution payment date or at other times during a distribution period with respect to a series of Preference Units may be higher than the SOFR on the applicable distribution determination date for such series, you will not benefit from the SOFR at any time other than on the distribution determination date for such distribution period. As a result, changes in the SOFR may not result in a comparable change in the market value of our Preference Units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Preference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you.</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 Taxation of the Partnership”.</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F.3d 299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 2009), the United States Court of Appeals for the Fifth Circuit, or the “Fifth Circuit”, held that income derived from certain time-chartering activities should be treated as rental income rather than services income for purposes of a provision of the Internal Revenue Code, or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Considerations—Material U.S. Federal Income Tax Considerations—U.S. Federal Income Taxation of U.S. Holders —PFIC Status and Significant Tax Consequences” for a more detailed discussion of the U.S. federal income tax consequences to U.S. unitholders if we are treated as a PFIC.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will reduce our cash flow.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 the exemption under Section 883 of the Code during the 2024 tax year. Even if we do not qualify for such an exemption, we do not currently expect any resulting U.S. federal income tax liability to be material or materially reduce the earnings available for distribution to holders of our Preference Units. For 2024, the estimated U.S. source gross transportation tax was $0.5 million. For a more detailed discussion, see the section entitled “Item 4. Information on the Partnership—B. Business Overview—Taxation of the Partnership— United States”.</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income tax in one or more non-U.S. jurisdictions as a result of owning our Preference Units if, under the laws of any such jurisdiction, we are considered to be carrying on business there. Such laws may require you to file a tax return with, and pay taxes to, those jurisdictions.</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PARTNERSHIP</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Partnership</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March 7, 2025, we have a fleet of 14 LNG carriers, including four vessels sold and leased back under bareboat charters, comprised of ten vessels with modern TFDE propulsion technology and four Steam vessels.</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Since the IPO we have completed additional equity offerings, the proceeds of which have been used (i) to partially fund the acquisition of 12 GasLog vessel owning subsidiaries, (ii) to pay down debt or (iii) for general corporate purposes.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6, 2023, GasLog entered into the Merger Agreement with GasLog, our general partner and the Merger Sub. Pursuant to the Merger Agreement with GasLog, (i) Merger Sub merged with and into the Partnership, with the Partnership surviving as a direct subsidiary of GasLog, and (ii) GasLog acquired the outstanding common units of the Partnership not beneficially owned by GasLog for overall consideration of $8.65 per common unit in cash, consisting in part of a special distribution by the Partnership of $3.28 per common unit in cash that was distributed to the Partnership’s unitholders in connection with the closing of the GasLog Partners Transaction and the remainder was paid by GasLog as merger consideration at the closing of the GasLog Partners Transaction.</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conflicts committee of the Partnership’s board of directors (“Conflicts Committee”), comprised solely of independent directors and advised by its own independent legal and financial advisors, unanimously recommended that the Partnership’s board of directors approve the Merger Agreement with GasLog and determined that the GasLog Partners Transaction was in the best interests of the Partnership and the holders of its common units unaffiliated with GasLog. Acting upon the recommendation and approval of the Conflicts Committee, the Partnership’s board of directors unanimously approved the Merger Agreement with GasLog and the GasLog Partners Transaction and recommended that the common unitholders of the Partnership vote in favor of the GasLog Partners Transaction.</w:t>
      </w:r>
    </w:p>
    <w:p>
      <w:pPr>
        <w:spacing w:after="0" w:line="17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The GasLog Partners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 The payment date for the Special Distribution was July 12, 2023. The GasLog Partners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The Partnership’s Series A Preference Units, Series B Preference Units and Series C Preference Units remain outstanding and continue to trade on the NYSE.</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7, 2025, GasLog holds 100% of the common units of the Partnership.</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210 459 1000.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In accordance with these requirements, we file reports and other information as a foreign private issuer with the SEC. You may inspect reports and other information regarding registrants, such as us, that file electronically with the SEC without charge at a website maintained by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These documents and other important information on our governance are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The information contained on or connected to our website is not a part of this annual report.</w:t>
      </w:r>
    </w:p>
    <w:p>
      <w:pPr>
        <w:spacing w:after="0" w:line="143" w:lineRule="exact"/>
        <w:rPr>
          <w:sz w:val="20"/>
          <w:szCs w:val="20"/>
          <w:color w:val="auto"/>
        </w:rPr>
      </w:pPr>
    </w:p>
    <w:p>
      <w:pPr>
        <w:ind w:right="8140" w:firstLine="8"/>
        <w:spacing w:after="0" w:line="456" w:lineRule="auto"/>
        <w:tabs>
          <w:tab w:leader="none" w:pos="32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Since our IPO in May 2014, we have been an owner, operator and acquirer of LNG carriers. The Partnership’s owned and bareboat fleet consists of 14 LNG carriers, ten vessels with modern TFDE propulsion technology and four Steam vessels.</w:t>
      </w:r>
    </w:p>
    <w:p>
      <w:pPr>
        <w:spacing w:after="0" w:line="135"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All of our vessels were contributed to us by, or acquired by us from, GasLog. Our current charters have initial terms that expire between March 2025 and April 2030. Six of our vessels currently operate under long-term time charters (defined as charters with initial duration of more than three years) and eight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Since the formation of the Partnership and the contribution of the three initial vessels in our fleet in 2014, we grew our fleet and our cash flows from 2014 to 2019 through the acquisition from GasLog of vessels with multi-year charters. However, since that time, as a result of the significant, ongoing challenges facing the entire listed midstream energy Master Limited Partnership (“MLP”) industry, our cost of equity capital has remained significantly elevated for a prolonged period, making the funding of new acquisitions challenging and uneconomic.</w:t>
      </w:r>
    </w:p>
    <w:p>
      <w:pPr>
        <w:spacing w:after="0" w:line="14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As of March 7, 2025, GasLog’s and GasLog Partners’ owned and bareboat fleet includes 36 LNG carriers, including 34 ships on the water and two LNG carriers on order from Hanwha.</w:t>
      </w:r>
    </w:p>
    <w:p>
      <w:pPr>
        <w:spacing w:after="0" w:line="16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22, 2021, GasLog announced that it had entered into a Merger Agreement with GEPIF. Under the Merger Agreement with GEPIF, GEPIF agreed to acquire all of the outstanding common shares of GasLog that were not held by the Rolling Shareholders of GasLog in exchange for $5.80 in cash per common share. On June 9, 2021, GasLog announced the completion of the GEPIF Transaction following the special general meeting of GasLog’s shareholders held virtually on June 4, 2021, where the GEPIF Transaction and the related agreements (i) the previously announced Merger Agreement with GEPIF, (ii) the merger and (iii) the statutory merger agreement contemplated by the Merger Agreement with GEPIF, received the requisite approval of GasLog’s shareholders required by the Merger Agreement with GEPIF. Trading in GasLog’s common shares on the NYSE, was suspended with immediate effect and the delisting of the common shares from the NYSE became effective on June 21, 2021. GasLog’s 8.75% Series A Cumulative Redeemable Perpetual Preference Shares remained outstanding and continued to trade on NYSE until their full redemption in May 2024. Following the consummation of the GEPIF Transaction on June 9, 2021, certain existing shareholders, including Blenheim Holdings, which is wholly owned by the Livanos family, and a wholly owned affiliate of the Onassis Foundation, held approximately 55% of the outstanding common shares of GasLog Ltd. and GEPIF held approximately 44.8%.</w:t>
      </w:r>
    </w:p>
    <w:p>
      <w:pPr>
        <w:spacing w:after="0" w:line="19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October 21, 2024, GasLog announced that GEPIF and GIC, a global institutional investor, entered into an agreement whereby GIC would acquire GEPIF’s approximately 45% ownership interest in GasLog. Following the consummation of the GIC Transaction in January 2025, the Rolling Shareholders continue to hold approximately 55% of the outstanding common shares of GasLog Ltd. and GIC holds approximately 45%.</w:t>
      </w:r>
    </w:p>
    <w:p>
      <w:pPr>
        <w:spacing w:after="0" w:line="17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we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a 145,000 cbm Steam LNG carrier built in 2007, to an unrelated third party.</w:t>
      </w:r>
    </w:p>
    <w:p>
      <w:pPr>
        <w:spacing w:after="0" w:line="15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Οn October 31, 2022, we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a 145,000 cbm Steam LNG carrier built in 2007. The vessel was sold to an unrelated third party and leased back under a bareboat charter until the middle of 2025 with no repurchase option or obligation.</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30, 2023, we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a 155,000 cbm TFDE LNG carrier built in 2013 with a wholly-owned subsidiary of CDBL for a period of five years with no repurchase option or obligation.</w:t>
      </w:r>
    </w:p>
    <w:p>
      <w:pPr>
        <w:spacing w:after="0" w:line="1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GasLog acquired the outstanding common units of the Partnership not already beneficially owned by GasLog. See “Item 4. Information of the Partnership––A. History and Development of the Partnership”.</w:t>
      </w:r>
    </w:p>
    <w:p>
      <w:pPr>
        <w:spacing w:after="0" w:line="17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August 27, 2024, we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a 155,000 cbm TFDE LNG carrier built in 2013 with a wholly-owned subsidiary of CDBL for a period of three years with no repurchase option or obligation.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fleet as of March 7,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1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Charterer (for contracts of</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Charter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388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50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84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80" w:type="dxa"/>
            <w:vAlign w:val="bottom"/>
            <w:gridSpan w:val="2"/>
            <w:vMerge w:val="continue"/>
          </w:tcPr>
          <w:p>
            <w:pPr>
              <w:spacing w:after="0"/>
              <w:rPr>
                <w:sz w:val="15"/>
                <w:szCs w:val="15"/>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more than six months)</w:t>
            </w:r>
          </w:p>
        </w:tc>
        <w:tc>
          <w:tcPr>
            <w:tcW w:w="840" w:type="dxa"/>
            <w:vAlign w:val="bottom"/>
            <w:gridSpan w:val="2"/>
            <w:vMerge w:val="continue"/>
          </w:tcPr>
          <w:p>
            <w:pPr>
              <w:spacing w:after="0"/>
              <w:rPr>
                <w:sz w:val="15"/>
                <w:szCs w:val="15"/>
                <w:color w:val="auto"/>
              </w:rPr>
            </w:pPr>
          </w:p>
        </w:tc>
        <w:tc>
          <w:tcPr>
            <w:tcW w:w="13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9"/>
              </w:rPr>
              <w:t>Expiration</w:t>
            </w:r>
            <w:r>
              <w:rPr>
                <w:rFonts w:ascii="Times New Roman" w:cs="Times New Roman" w:eastAsia="Times New Roman" w:hAnsi="Times New Roman"/>
                <w:sz w:val="20"/>
                <w:szCs w:val="20"/>
                <w:b w:val="1"/>
                <w:bCs w:val="1"/>
                <w:color w:val="auto"/>
                <w:w w:val="99"/>
                <w:vertAlign w:val="superscript"/>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Methane Alison Victoria</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17"/>
                <w:szCs w:val="17"/>
                <w:color w:val="auto"/>
                <w:w w:val="96"/>
              </w:rPr>
              <w:t>n/a</w:t>
            </w:r>
            <w:r>
              <w:rPr>
                <w:rFonts w:ascii="Times New Roman" w:cs="Times New Roman" w:eastAsia="Times New Roman" w:hAnsi="Times New Roman"/>
                <w:sz w:val="24"/>
                <w:szCs w:val="24"/>
                <w:color w:val="auto"/>
                <w:w w:val="96"/>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GasLog Seattle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18"/>
                <w:szCs w:val="18"/>
                <w:color w:val="auto"/>
              </w:rPr>
            </w:pPr>
          </w:p>
        </w:tc>
        <w:tc>
          <w:tcPr>
            <w:tcW w:w="1840" w:type="dxa"/>
            <w:vAlign w:val="bottom"/>
            <w:gridSpan w:val="2"/>
          </w:tcPr>
          <w:p>
            <w:pPr>
              <w:jc w:val="center"/>
              <w:ind w:right="140"/>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1"/>
                <w:szCs w:val="11"/>
                <w:color w:val="auto"/>
              </w:rPr>
              <w:t>(2)</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Methane Jane Elizabeth</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40"/>
              <w:spacing w:after="0" w:line="216" w:lineRule="exact"/>
              <w:rPr>
                <w:sz w:val="20"/>
                <w:szCs w:val="20"/>
                <w:color w:val="auto"/>
              </w:rPr>
            </w:pPr>
            <w:r>
              <w:rPr>
                <w:rFonts w:ascii="Times New Roman" w:cs="Times New Roman" w:eastAsia="Times New Roman" w:hAnsi="Times New Roman"/>
                <w:sz w:val="17"/>
                <w:szCs w:val="17"/>
                <w:color w:val="auto"/>
                <w:w w:val="94"/>
              </w:rPr>
              <w:t>n/a</w:t>
            </w:r>
            <w:r>
              <w:rPr>
                <w:rFonts w:ascii="Times New Roman" w:cs="Times New Roman" w:eastAsia="Times New Roman" w:hAnsi="Times New Roman"/>
                <w:sz w:val="25"/>
                <w:szCs w:val="25"/>
                <w:color w:val="auto"/>
                <w:w w:val="94"/>
                <w:vertAlign w:val="superscript"/>
              </w:rPr>
              <w:t>(2)</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GasLog Greece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2026</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i w:val="1"/>
                <w:iCs w:val="1"/>
                <w:color w:val="auto"/>
              </w:rPr>
              <w:t>Methane Rita Andrea</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Asian LNG buyer</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2026</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i w:val="1"/>
                <w:iCs w:val="1"/>
                <w:color w:val="auto"/>
              </w:rPr>
              <w:t>GasLog Glasgow</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June 2026</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i w:val="1"/>
                <w:iCs w:val="1"/>
                <w:color w:val="auto"/>
              </w:rPr>
              <w:t>GasLog Geneva</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2028</w:t>
            </w:r>
          </w:p>
        </w:tc>
        <w:tc>
          <w:tcPr>
            <w:tcW w:w="7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7"/>
              </w:rPr>
              <w:t>2031</w:t>
            </w:r>
            <w:r>
              <w:rPr>
                <w:rFonts w:ascii="Times New Roman" w:cs="Times New Roman" w:eastAsia="Times New Roman" w:hAnsi="Times New Roman"/>
                <w:sz w:val="25"/>
                <w:szCs w:val="25"/>
                <w:color w:val="auto"/>
                <w:w w:val="97"/>
                <w:vertAlign w:val="superscript"/>
              </w:rPr>
              <w:t>(3)</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i w:val="1"/>
                <w:iCs w:val="1"/>
                <w:color w:val="auto"/>
              </w:rPr>
              <w:t>GasLog Gibraltar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4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October 2028</w:t>
            </w:r>
          </w:p>
        </w:tc>
        <w:tc>
          <w:tcPr>
            <w:tcW w:w="74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7"/>
              </w:rPr>
              <w:t>2031</w:t>
            </w:r>
            <w:r>
              <w:rPr>
                <w:rFonts w:ascii="Times New Roman" w:cs="Times New Roman" w:eastAsia="Times New Roman" w:hAnsi="Times New Roman"/>
                <w:sz w:val="25"/>
                <w:szCs w:val="25"/>
                <w:color w:val="auto"/>
                <w:w w:val="97"/>
                <w:vertAlign w:val="superscript"/>
              </w:rPr>
              <w:t>(3)</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i w:val="1"/>
                <w:iCs w:val="1"/>
                <w:color w:val="auto"/>
              </w:rPr>
              <w:t>Methane Becki Anne</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Shell</w:t>
            </w:r>
          </w:p>
        </w:tc>
        <w:tc>
          <w:tcPr>
            <w:tcW w:w="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2029</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i w:val="1"/>
                <w:iCs w:val="1"/>
                <w:color w:val="auto"/>
              </w:rPr>
              <w:t>Solaris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Kansai</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2030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Indicates the expiration of the initial term.</w:t>
      </w:r>
    </w:p>
    <w:p>
      <w:pPr>
        <w:spacing w:after="0" w:line="203" w:lineRule="exact"/>
        <w:rPr>
          <w:rFonts w:ascii="Times New Roman" w:cs="Times New Roman" w:eastAsia="Times New Roman" w:hAnsi="Times New Roman"/>
          <w:sz w:val="11"/>
          <w:szCs w:val="11"/>
          <w:color w:val="231F20"/>
        </w:rPr>
      </w:pPr>
    </w:p>
    <w:p>
      <w:pPr>
        <w:ind w:left="340" w:hanging="332"/>
        <w:spacing w:after="0"/>
        <w:tabs>
          <w:tab w:leader="none" w:pos="340" w:val="left"/>
        </w:tabs>
        <w:numPr>
          <w:ilvl w:val="0"/>
          <w:numId w:val="25"/>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There is no active contract with initial duration of more than six months.</w:t>
      </w:r>
    </w:p>
    <w:p>
      <w:pPr>
        <w:spacing w:after="0" w:line="201" w:lineRule="exact"/>
        <w:rPr>
          <w:rFonts w:ascii="Times New Roman" w:cs="Times New Roman" w:eastAsia="Times New Roman" w:hAnsi="Times New Roman"/>
          <w:sz w:val="11"/>
          <w:szCs w:val="11"/>
          <w:color w:val="231F20"/>
        </w:rPr>
      </w:pPr>
    </w:p>
    <w:p>
      <w:pPr>
        <w:ind w:left="340" w:right="100" w:hanging="332"/>
        <w:spacing w:after="0" w:line="264" w:lineRule="auto"/>
        <w:tabs>
          <w:tab w:leader="none" w:pos="340" w:val="left"/>
        </w:tabs>
        <w:numPr>
          <w:ilvl w:val="0"/>
          <w:numId w:val="25"/>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 xml:space="preserve">The vessel is chartered to a wholly owned subsidiary of Shell. Shell has the right to extend the charters of the </w:t>
      </w:r>
      <w:r>
        <w:rPr>
          <w:rFonts w:ascii="Times New Roman" w:cs="Times New Roman" w:eastAsia="Times New Roman" w:hAnsi="Times New Roman"/>
          <w:sz w:val="14"/>
          <w:szCs w:val="14"/>
          <w:i w:val="1"/>
          <w:iCs w:val="1"/>
          <w:color w:val="231F20"/>
        </w:rPr>
        <w:t>GasLog Geneva</w:t>
      </w:r>
      <w:r>
        <w:rPr>
          <w:rFonts w:ascii="Times New Roman" w:cs="Times New Roman" w:eastAsia="Times New Roman" w:hAnsi="Times New Roman"/>
          <w:sz w:val="14"/>
          <w:szCs w:val="14"/>
          <w:color w:val="231F20"/>
        </w:rPr>
        <w:t xml:space="preserve"> and the </w:t>
      </w:r>
      <w:r>
        <w:rPr>
          <w:rFonts w:ascii="Times New Roman" w:cs="Times New Roman" w:eastAsia="Times New Roman" w:hAnsi="Times New Roman"/>
          <w:sz w:val="14"/>
          <w:szCs w:val="14"/>
          <w:i w:val="1"/>
          <w:iCs w:val="1"/>
          <w:color w:val="231F20"/>
        </w:rPr>
        <w:t>GasLog Gibraltar</w:t>
      </w:r>
      <w:r>
        <w:rPr>
          <w:rFonts w:ascii="Times New Roman" w:cs="Times New Roman" w:eastAsia="Times New Roman" w:hAnsi="Times New Roman"/>
          <w:sz w:val="14"/>
          <w:szCs w:val="14"/>
          <w:color w:val="231F20"/>
        </w:rPr>
        <w:t xml:space="preserve"> for a period of three years, provided that Shell gives us advance notice of the declarations.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Charterer (for contracts of</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84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Vessel Name</w:t>
            </w:r>
          </w:p>
        </w:tc>
        <w:tc>
          <w:tcPr>
            <w:tcW w:w="1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3080" w:type="dxa"/>
            <w:vAlign w:val="bottom"/>
            <w:vMerge w:val="continue"/>
          </w:tcPr>
          <w:p>
            <w:pPr>
              <w:spacing w:after="0"/>
              <w:rPr>
                <w:sz w:val="12"/>
                <w:szCs w:val="12"/>
                <w:color w:val="auto"/>
              </w:rPr>
            </w:pPr>
          </w:p>
        </w:tc>
        <w:tc>
          <w:tcPr>
            <w:tcW w:w="84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(cbm)</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more than six months)</w:t>
            </w:r>
          </w:p>
        </w:tc>
        <w:tc>
          <w:tcPr>
            <w:tcW w:w="840" w:type="dxa"/>
            <w:vAlign w:val="bottom"/>
            <w:gridSpan w:val="2"/>
            <w:vMerge w:val="continue"/>
          </w:tcPr>
          <w:p>
            <w:pPr>
              <w:spacing w:after="0"/>
              <w:rPr>
                <w:sz w:val="15"/>
                <w:szCs w:val="15"/>
                <w:color w:val="auto"/>
              </w:rPr>
            </w:pPr>
          </w:p>
        </w:tc>
        <w:tc>
          <w:tcPr>
            <w:tcW w:w="1080" w:type="dxa"/>
            <w:vAlign w:val="bottom"/>
            <w:gridSpan w:val="3"/>
          </w:tcPr>
          <w:p>
            <w:pPr>
              <w:jc w:val="center"/>
              <w:ind w:right="20"/>
              <w:spacing w:after="0" w:line="176" w:lineRule="exact"/>
              <w:rPr>
                <w:sz w:val="20"/>
                <w:szCs w:val="20"/>
                <w:color w:val="auto"/>
              </w:rPr>
            </w:pPr>
            <w:r>
              <w:rPr>
                <w:rFonts w:ascii="Times New Roman" w:cs="Times New Roman" w:eastAsia="Times New Roman" w:hAnsi="Times New Roman"/>
                <w:sz w:val="14"/>
                <w:szCs w:val="14"/>
                <w:b w:val="1"/>
                <w:bCs w:val="1"/>
                <w:color w:val="auto"/>
                <w:w w:val="97"/>
              </w:rPr>
              <w:t>Expiration</w:t>
            </w:r>
            <w:r>
              <w:rPr>
                <w:rFonts w:ascii="Times New Roman" w:cs="Times New Roman" w:eastAsia="Times New Roman" w:hAnsi="Times New Roman"/>
                <w:sz w:val="20"/>
                <w:szCs w:val="20"/>
                <w:b w:val="1"/>
                <w:bCs w:val="1"/>
                <w:color w:val="auto"/>
                <w:w w:val="97"/>
                <w:vertAlign w:val="superscript"/>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center"/>
              <w:spacing w:after="0" w:line="210" w:lineRule="exact"/>
              <w:rPr>
                <w:sz w:val="20"/>
                <w:szCs w:val="20"/>
                <w:color w:val="auto"/>
              </w:rPr>
            </w:pPr>
            <w:r>
              <w:rPr>
                <w:rFonts w:ascii="Times New Roman" w:cs="Times New Roman" w:eastAsia="Times New Roman" w:hAnsi="Times New Roman"/>
                <w:sz w:val="24"/>
                <w:szCs w:val="24"/>
                <w:color w:val="auto"/>
                <w:vertAlign w:val="subscript"/>
              </w:rPr>
              <w:t>n/a</w:t>
            </w:r>
            <w:r>
              <w:rPr>
                <w:rFonts w:ascii="Times New Roman" w:cs="Times New Roman" w:eastAsia="Times New Roman" w:hAnsi="Times New Roman"/>
                <w:sz w:val="11"/>
                <w:szCs w:val="11"/>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Petroliam Nasional Berhad (PETRONAS)</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July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5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6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SEA Charterer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Steam</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July 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5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GasLog Santiago</w:t>
            </w:r>
          </w:p>
        </w:tc>
        <w:tc>
          <w:tcPr>
            <w:tcW w:w="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Major Energy Exploration Company</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4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March 2026</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2027</w:t>
            </w:r>
            <w:r>
              <w:rPr>
                <w:rFonts w:ascii="Times New Roman" w:cs="Times New Roman" w:eastAsia="Times New Roman" w:hAnsi="Times New Roman"/>
                <w:sz w:val="26"/>
                <w:szCs w:val="26"/>
                <w:color w:val="auto"/>
                <w:w w:val="92"/>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Indicates the expiration of the initial term.</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There is no active contract with initial duration of more than six months.</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charterer has the right to extend the charter by an additional period of one year, provided that the charterer gives us advance notice of the declaration.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characteristics of our current fleet include the following:</w:t>
      </w:r>
    </w:p>
    <w:p>
      <w:pPr>
        <w:spacing w:after="0" w:line="225" w:lineRule="exact"/>
        <w:rPr>
          <w:sz w:val="20"/>
          <w:szCs w:val="20"/>
          <w:color w:val="auto"/>
        </w:rPr>
      </w:pPr>
    </w:p>
    <w:p>
      <w:pPr>
        <w:jc w:val="both"/>
        <w:ind w:left="680" w:right="2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double-hulled, which is standard in the LNG industry;</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ships is equipped with a steam turbine or TFDE propulsion technology;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Bermuda is the flag state of each ship;</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TFDE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bareboat fleet has an average age of 12.7 years, compared to a current average age of approximately 11.1 years for the global trading LNG carrier fleet including LNG carriers of all sizes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charters for our fleet.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Market (defined as vessels with charter parties with initial duration of more than three years)</w:t>
      </w:r>
    </w:p>
    <w:p>
      <w:pPr>
        <w:spacing w:after="0" w:line="225"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began upon its acquisition by GasLog in 2015 and will terminate in 2029 following the declaration of the five-year option charter period by MSL. There are no other options remaining.</w:t>
      </w:r>
    </w:p>
    <w:p>
      <w:pPr>
        <w:spacing w:after="0" w:line="15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terms of the time charters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began upon delivery of the ships and will each terminate in 2026.</w:t>
      </w:r>
    </w:p>
    <w:p>
      <w:pPr>
        <w:spacing w:after="0" w:line="158"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will both terminate in 2028 following the declaration of the five-year charter extension option by MSL. MSL has the option to further extend the terms of both charters for a period of three years each, all at specified hire rates. These are the final extension options that MSL has.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commenced a multi-year time charter with Kansai in October 2023 which will terminate in March 2030.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Spot Market (defined as vessels with charter parties with initial duration of less than three years)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3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are operating in the spot market, providing flexibility to capitalize on short-term opportunities.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17"/>
          <w:szCs w:val="17"/>
          <w:color w:val="auto"/>
        </w:rPr>
        <w:t xml:space="preserve"> commenced a three-year charter with a SEA charterer in August 2022 which will terminate in July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vessel is owned by an unrelated party and leased back to a subsidiary of GasLog Partners.</w:t>
      </w:r>
    </w:p>
    <w:p>
      <w:pPr>
        <w:spacing w:after="0" w:line="205"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is operating in the spot market, providing flexibility to capitalize on short-term opportunities. The vessel is owned by a wholly owned subsidiary of CDBL and leased back to a subsidiary of GasLog Partners.</w:t>
      </w:r>
    </w:p>
    <w:p>
      <w:pPr>
        <w:spacing w:after="0" w:line="158"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commenced a time charter with Petroliam Nasional Berhad (PETRONAS) in July 2024 which will terminate in July 2025. The vessel is owned by a subsidiary of CDBL and leased back to a subsidiary of GasLog Partners.</w:t>
      </w:r>
    </w:p>
    <w:p>
      <w:pPr>
        <w:spacing w:after="0" w:line="15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commenced a multi-year time charter agreement with an Asian LNG buyer in October 2023 that will be terminated in March 2026.</w:t>
      </w:r>
    </w:p>
    <w:p>
      <w:pPr>
        <w:spacing w:after="0" w:line="158" w:lineRule="exact"/>
        <w:rPr>
          <w:sz w:val="20"/>
          <w:szCs w:val="20"/>
          <w:color w:val="auto"/>
        </w:rPr>
      </w:pPr>
    </w:p>
    <w:p>
      <w:pPr>
        <w:jc w:val="both"/>
        <w:ind w:right="320" w:firstLine="324"/>
        <w:spacing w:after="0" w:line="290" w:lineRule="auto"/>
        <w:rPr>
          <w:sz w:val="20"/>
          <w:szCs w:val="20"/>
          <w:color w:val="auto"/>
        </w:rPr>
      </w:pPr>
      <w:r>
        <w:rPr>
          <w:rFonts w:ascii="Times New Roman" w:cs="Times New Roman" w:eastAsia="Times New Roman" w:hAnsi="Times New Roman"/>
          <w:sz w:val="17"/>
          <w:szCs w:val="17"/>
          <w:color w:val="auto"/>
        </w:rPr>
        <w:t xml:space="preserve">Our time charter to a major energy exploration company for the </w:t>
      </w: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17"/>
          <w:szCs w:val="17"/>
          <w:color w:val="auto"/>
        </w:rPr>
        <w:t xml:space="preserve"> began in December 2023 and will terminate in March 2026. The charterer has the right to extend the charter by an additional period of one year, provided that the charterer gives us advance notice of the declaration. The vessel is owned by a subsidiary of CDBL and leased back to a subsidiary of GasLog Partners.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U.S. dollars.</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hire rates provided for under the time charters of our ships include only one component that is a fixed daily amount that may increase during any optional period.</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Ships are considered to be on a scheduled off-hire under our time charters during such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Management and Maintenance</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Under our time charters, we are responsible for the technical management of our ships.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 owned subsidiary of GasLog. See “Item 7. Major Unitholders and Related Party Transactions—B. Related Party Transactions—Ship Management Agreements”.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Eight of our vessels (four Steam and four TFDE) operate in the spot charter market that covers short-term charters of less than three years. In the future, more of our vessels may operate in the more volatile spot charter market.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2024, GasLog employed (directly and through manning agents) approximately 1,821 seafaring staff who serve on GasLog’s owned and managed vessels (including our fleet) as well as an average of 145 shore-based staff during 2024.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2024, the retention rate was 97.6% for senior seagoing officers, 97.3% for other seagoing officers and 96.5% for shore staff.</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Based on our maintenance standards and the condition of the vessels we expect we will be able to retain the five-year cycle of dry-docking and maintain this assumption for budgeting and operations planning.</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(“ISM”) certification and is currently “in class”.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fleet:</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Dry-docking</w:t>
            </w:r>
          </w:p>
        </w:tc>
        <w:tc>
          <w:tcPr>
            <w:tcW w:w="0" w:type="dxa"/>
            <w:vAlign w:val="bottom"/>
          </w:tcPr>
          <w:p>
            <w:pPr>
              <w:spacing w:after="0"/>
              <w:rPr>
                <w:sz w:val="1"/>
                <w:szCs w:val="1"/>
                <w:color w:val="auto"/>
              </w:rPr>
            </w:pPr>
          </w:p>
        </w:tc>
      </w:tr>
      <w:tr>
        <w:trPr>
          <w:trHeight w:val="148"/>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Ship Name</w:t>
            </w:r>
            <w:r>
              <w:rPr>
                <w:rFonts w:ascii="Times New Roman" w:cs="Times New Roman" w:eastAsia="Times New Roman" w:hAnsi="Times New Roman"/>
                <w:sz w:val="21"/>
                <w:szCs w:val="21"/>
                <w:b w:val="1"/>
                <w:bCs w:val="1"/>
                <w:color w:val="auto"/>
                <w:vertAlign w:val="superscript"/>
              </w:rPr>
              <w:t>(*)</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Special Survey</w:t>
            </w:r>
          </w:p>
        </w:tc>
        <w:tc>
          <w:tcPr>
            <w:tcW w:w="0" w:type="dxa"/>
            <w:vAlign w:val="bottom"/>
          </w:tcPr>
          <w:p>
            <w:pPr>
              <w:spacing w:after="0"/>
              <w:rPr>
                <w:sz w:val="1"/>
                <w:szCs w:val="1"/>
                <w:color w:val="auto"/>
              </w:rPr>
            </w:pP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1568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right="300" w:firstLine="8"/>
        <w:spacing w:after="0" w:line="220" w:lineRule="auto"/>
        <w:tabs>
          <w:tab w:leader="none" w:pos="162"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The next dry-dockings of the bareboat vessels </w:t>
      </w:r>
      <w:r>
        <w:rPr>
          <w:rFonts w:ascii="Times New Roman" w:cs="Times New Roman" w:eastAsia="Times New Roman" w:hAnsi="Times New Roman"/>
          <w:sz w:val="13"/>
          <w:szCs w:val="13"/>
          <w:i w:val="1"/>
          <w:iCs w:val="1"/>
          <w:color w:val="auto"/>
        </w:rPr>
        <w:t>GasLog Shanghai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GasLog Santiago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Methane Heather Sally</w:t>
      </w:r>
      <w:r>
        <w:rPr>
          <w:rFonts w:ascii="Times New Roman" w:cs="Times New Roman" w:eastAsia="Times New Roman" w:hAnsi="Times New Roman"/>
          <w:sz w:val="13"/>
          <w:szCs w:val="13"/>
          <w:color w:val="auto"/>
        </w:rPr>
        <w:t xml:space="preserve"> are not included in the above table since they will not be in our bareboat fleet at the time of their next dry-dockings.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incidents, and the liabilities arising from owning and operating ships in international trade.</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maintain hull and machinery insurance on all our ships against marine and war risks at a Total Loss limit amount determined by the most recent brokers’ valuation and our mortgage’s insurance covenants, as deemed to be prudent. In addition, we maintain protection and indemnity insurance on all our ships up to the maximum insurable limit available at any given time by the International Group of P&amp;I Clubs. We also maintain cyber insurance coverage on all of our ships. The insurance coverage is described in more detail below. While we believe that our insurance coverage is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seven days with a maximum of seven days (which takes it up to the loss of hire deductible of 14 days) for H&amp;M losses, two days with a maximum of 12 days for ship-related perils, and a maximum of 5 days for shoreside perils. The hire rate is aligned with or higher than the loss of hire insurance daily sum insured.</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West Africa, the Indian Ocean and Gulf of Aden to insure against potential losses relating to the hijacking of a ship and its crew by pirates. The cover has a maximum of 180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have insurance coverage for cyber-related vessel hull &amp; machinery risks. Our policy covers physical damage to any of our vessels up to $50.0 million per vessel with a fleet aggregate limit of $150.0 million.</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also purchased an additional cyber product which complements the existing vessel hull &amp; machinery cyber cover for losses in excess of $0.1 million and up to $10.0 million and provides coverage irrespective of cause (malicious act, terror or negligence) for the core Enterprise risks including:</w:t>
      </w:r>
    </w:p>
    <w:p>
      <w:pPr>
        <w:spacing w:after="0" w:line="176"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Defense Costs and Remediation costs (including public relation costs as remediation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repair/replacement of Loss or Damage to IT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Restoration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Loss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(does not need to be caused by a Physical damage event)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Illegal/unlawful demands (ransom)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E-theft financial Loss (instructions for transfer of money, credit, securities etc.)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insurance company also provides pre-risk assessment and advice that may reduce GasLog’s cyber exposure and chance of claim.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GasLog provides intensive onboard and ashore training for its officers and crews to instill a culture of the highest operational and safety standards. During 2024, GasLog Partners’ fleet experienced one lost time incident and three first aid cases.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and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8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water discharges and air emissions. However, because environmental laws and regulations are subject to frequent change and may impose increasingly strict requirements, it is difficult to predict accurately the ultimate cost of complying with these requirements or the impact of these requirements on the resale value or useful lives of our ships. Moreover, additional legislation or regulation applicable to the operation of our ships that may be implemented in the future, such as in response to a serious marine incident like the 2010 Deepwater Horizon oil spill in the Gulf of Mexico, could limit our ability to do business or negatively affect our profitability</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Maritime Regulations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Standards of Training, Certification and Watchkeeping for Seafarers (“STCW”), the International Convention for the Prevention of Pollution From Ships (“MARPOL”), the International Convention on Civil Liability for Oil Pollution Damage, the International Convention on Civil Liability for Bunker Oil Pollution Damage and the Hong Kong International Convention for the Safe and Environmentally Sound Recycling of Ships (the “Hong Kong Convention”).</w:t>
      </w:r>
    </w:p>
    <w:p>
      <w:pPr>
        <w:spacing w:after="0" w:line="187"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these standards, at minimum. The current version of SOLAS is the 1974 version, known as SOLAS 1974, which came into force on May 25, 1980. As of January 2025, SOLAS 1974 had 171 contracting states, which flag about 99.9% of merchant ships around the world in terms of gross tonnage. SOLAS in its successive forms is generally regarded as the most important of all international maritime laws concerning the safety of merchant ships.</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Ships that transport gas, including LNG carriers, are subject to regulations under amendments to SOLAS, including the International Safety Management Code for the Safe Operation of Ships and for Pollution Prevention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 these requirements. GasLog LNG Services is also subject to the International Code for Construction and Equipment of Ships Carrying Liquefied Gases in Bulk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decreased availability of insurance coverage for affected ships and may result in the denial of access to, or detention in, some 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designed to bring the Convention and Code up to date with developments since they were initially adopted and to enable them to address issues that were anticipated to emerge in the foreseeable future.</w:t>
      </w:r>
    </w:p>
    <w:p>
      <w:pPr>
        <w:spacing w:after="0" w:line="18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and such standards are updated and revised periodically.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(“MEPC”) of the IMO approved amendments to Annex VI regarding particulate matter, nitrogen oxide and sulfur oxide emissions standards, which became effective in July 2010. These requirements established a series of progressive standards to further limit the sulfur content in fuel oil, which were phased in between 2012 and 2020, as well as new tiers of nitrogen oxide emission standards for new marine diesel engines, depending on their date of installation. As of January 1, 2020, ships must either use low sulfur fuel (and may, as a result, be required to undertake necessary fuel tank modification) to comply with a global sulfur cap of 0.5 percent m/m or be fitted with exhaust gas scrubbers. Additionally, more stringent emission standards may apply in coastal areas designated as Emission Control Areas(“ECAs”), and new ECAs may be approved by the IMO. For example, IMO “Tier III” emission standards for nitrous oxide apply in North American and U.S. Caribbean Sea ECAs to all marine diesel engines installed on a ship constructed after January 1, 2016, and such standards apply in the Baltic Sea and North Sea ECAs to all marine diesel engines installed on a ship constructed after January 1, 2021. The Mediterranean Sea became an ECA on May 1, 2024 and compliance obligations will begin on May 1, 2025. In October 2024, the MEPC adopted amendments to MARPOL Annex VI to designate the Canadian Arctic and Norwegian Sea as two new ECAs for nitrogen oxides, sulfur oxides and particulate matter. The amendments will enter into force on March 1, 2026. The European Union Directive 2005/33/EC, which became effective on January 1, 2010, parallels Annex VI and requires ships to use reduced sulfur content fuel for their main and auxiliary engines. In 2020, the IMO adopted amendments to MARPOL Annex I to prohibit the use of Heavy Fuel Oil in Arctic waters, which became effective in November 2022 and prohibit such fuel use from July 2024. The amendment prohibits the use of oils having a density at 15°C higher than 900 kg/m3 or a kinematic viscosity at 50°C higher than 180 mm2/s. Parties to MARPOL with coastlines bordering Arctic waters may temporarily waive the requirements for ships flying their flags while operating in waters subject to that Party’s sovereignty or jurisdiction until July 1, 2029. Our vessels are required to adhere to this prohibition. Our fleet complies with the relevant legislation and has the relevant certificates, including certificates evidencing compliance with Annex VI of the MARPOL Convention.</w:t>
      </w:r>
    </w:p>
    <w:p>
      <w:pPr>
        <w:spacing w:after="0" w:line="20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potential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IMO has also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2024, fifteen years after the IMO’s initial adoption of the Hong Kong Convention in 2009, a sufficient number of contracting states ratified the Convention, and it will enter into force on June 26, 2025. The Hong Kong Convention introduces regulations covering the design, construction, operation and preparation of ships in order to facilitate recycling and the operation of ship recycling facilities and establishes an enforcement mechanism for ship recycling, incorporating certification and reporting requirements. Pursuant to the Convention, ships must have an Inventory of Hazardous Materials specific to each ship on board, which must be prepared and verified in line with IMO guidelines. In addition to that initial verification, ships will be subject to additional surveys during the life of the ship, and a final survey prior to recycling.</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spacing w:after="0" w:line="168" w:lineRule="exact"/>
        <w:rPr>
          <w:sz w:val="20"/>
          <w:szCs w:val="20"/>
          <w:color w:val="auto"/>
        </w:rPr>
      </w:pPr>
    </w:p>
    <w:p>
      <w:pPr>
        <w:ind w:right="20" w:firstLine="324"/>
        <w:spacing w:after="0" w:line="217"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(Maritime) Session in 2006, which established minimum working and living conditions for seafarers. The convention entered into force August 20, 2013, and amendments were approved by the International Labour Conference at its 103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Session in 2014. The convention established a single, coherent instrument embodying all up to date standards of existing international maritime labour conventions and recommendations to the extent practicable, as well as the fundamental principles to be found in other international labour conventions.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for all containment and clean up costs and other damages arising from oil spills from their ships (unless the spill results solely from the act or omission of a third party, an act of God or an act of war). Effective March 23, 2023, OPA increased the limit of liability of responsible parties with respect to ships over 3,000 gross tons to the greater of $2,500 per gross ton or $21.5 million per double hull ship and continues to permit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8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$1.0 billion per incident for our ships. We also believe that we will be in substantial compliance with OPA, CERCLA and all applicable state regulations in the ports where our ships will call.</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Clean Water Act of 1972 (“CWA”) prohibits the discharge of oil, hazardous substances and ballast water in U.S. navigable waters unless authorized by a duly 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8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In March 2013, the EPA published a new VGP that included numeric effluent limits for ballast water expressed as the maximum concentration of living organisms in ballast water. The VGP also imposed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required the EPA and Coast Guard to develop new performance standards and enforcement regulations. On October 9, 2024, the EPA issued Vessel Incidental Discharge National Standards of Performance, new final regulations pursuant to VIDA which set discharge standards that are as least as stringent as the VGP. These new standards are enforceable through U.S. Coast Guard regulations, which must be promulgated within two years. Until the Coast Guard’s regulations are final and enforceable, vessels will continue to be subject to the existing discharge requirements under the 2013 VGP. We have submitted NOIs for our fleet and intend to submit NOIs for our ships in the future, where required, and do not believe that the costs associated with obtaining and complying with the VGP will have a material impact on our operations. Management is still assessing the costs associated with complying with the Vessel Incidental Discharge National Standards of Performance and their impact on our operations.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In April 2010, the EPA adopted final emission standards for Category 3 marine diesel engines equivalent to those adopted in the amendments to Annex VI to MARPOL.</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CAA also requires states to adopt State Implementation Plans (“SIPs”), which are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The Mediterranean Sea became an ECA on May 1, 2024 and compliance obligations will begin on May 1, 2025. In October 2024, the MEPC adopted amendments to MARPOL Annex VI to designate the Canadian Arctic and Norwegian Sea as two new ECAs for nitrogen oxides, sulfur oxides and particulate matter. The amendments will enter into force on March 1, 2026. Fuel used by vessels operating in an ECA cannot exceed 0.1% (mass by mass) sulfur, and vessels must comply with NOx after-treatment requirements. Our vessels can store and burn low-sulfur fuel oil or alternatively burn natural gas which contains no sulfur. Additionally, burning natural gas will ensure compliance with IMO Tier III NOx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and the required equipment was installed to all of our remaining ships during their dry-dockings.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July 2011, the MEPC adopted two new sets of mandatory requirements to address greenhouse gas emissions from ships; the Energy Efficiency Design Index, which requires a minimum energy efficiency level per capacity mile and is applicable to new vessels, and the Ship Energy Efficiency Management Plan, which is applicable to currently operating vessels. The requirements, which entered into force in January 2013, were fully implemented by GasLog as of December 2012 and have been implemented by the Partnership as well.</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June 2021, MEPC finalized and adopted amendments to the International Convention for the Prevention of Pollution from Ships (“MARPOL”) Annex VI that require ships to reduce their GHG emissions. These amendments combined technical and operational approaches to improve the energy efficiency of ships via introduction of the Energy Efficiency Existing Ships Index (“EEXI”) and Carbon Intensity Indicator (“CII”), and established a framework for later GHG reduction measures. These amendments entered into force on November 1, 2022, and the requirements for EEXI and CII certification came into effect on January 1, 2023. The EEXI, which indicates the energy efficiency of a ship compared to a baseline, must be implemented for existing ships as technical measures to reduce CO2 emissions. The CII is calculated annually and implemented as an operational carbon intensity measure to benchmark and improve efficiency. The current regulations and framework will be reviewed by MARPOL by January 1, 2026.</w:t>
      </w:r>
    </w:p>
    <w:p>
      <w:pPr>
        <w:spacing w:after="0" w:line="192"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IMO’s efforts to combat climate change, the IMO adopted an initial GHG emissions reduction strategy in April 2018. This strategy established levels of ambition for emissions reductions subject to ongoing reviews by the organization. The ambition levels considered potential improvements on vessel design and operational performance as well as the immediate need to introduce low/zero carbon fuels, and introduced a list of candidate short-term, mid-term and long-term measures to support the IMO’s ambition levels. In July 2023, the IMO adopted the 2023 IMO Strategy on Reduction of GHG Emissions from Ships, a framework for Member States that provided new mid-term emissions reduction goals and guidance. The new strategy built upon the initial greenhouse gas strategy’s levels of ambition. The revised levels of ambition include (1) further decreasing the carbon intensity from ships through improvement of energy efficiency; (2) reducing carbon intensity of international shipping; (3) increasing adoption of zero or near-zero emissions technologies, fuels, and energy sources; and (4) achieving net zero GHG emissions from international shipping. In 2024, the MEPC progressed a net-zero framework and draft mid-term GHG emissions reduction measures; final regulations may include both technical and economic components, and are scheduled for adoption in late 2025 and implementation by 2027.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the EU, the MRV Regulation (Monitoring, Reporting, Verification), which entered into force on July 1, 2015, requires large vessels entering European Union ports to monitor, report and verify their carbon dioxide emissions as of January 1, 2018. In May 2023, regulations for the EU-wide trading scheme for industrial GHG emissions, the EU ETS, were amended in order to include emissions from maritime transport activities and to require the monitoring, reporting and verification of emissions of additional greenhouse gases and emissions from additional ship types. In January 2024, the EU ETS was extended to cover CO2 emissions from all large ships (of 5,000 gross tonnage and above) entering EU ports, and will apply to methane and nitrous oxide emissions beginning in 2026. Shipping companies need to buy and surrender allowances that correspond to the emissions covered by the system. Additionally, in 2023, the Fuel EU Maritime Regulation was adopted, and from January 1, 2025, ships above 5,000 GT transporting cargo or passengers for commercial purposes in the EU are required to meet annual well-to-wake GHG emissions intensity targets, among other provisions. Ships failing to meet the GHG intensity targets will generate negative compliance balance and as a result, entities responsible for ship compliance will have to pay penalties proportional to such compliance deficits.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the EPA has adopted regulations under the CAA to limit greenhouse gas emissions from certain mobile sources, although these requirements do not currently apply to greenhouse gas emissions from ships. In addition, the Paris Agreement, which entered into force on November 4, 2016, established a framework for reducing global greenhouse gas emissions,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two stroke low-pressure engines, can be considered among the cleanest of large ships in terms of emissions and very adaptable to the usage of newly developed lower and/or zero emission fuels.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p>
      <w:pPr>
        <w:spacing w:after="0" w:line="189"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automatic information systems to enhance ship-to-ship and ship-to-shore communications;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ship security alert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development of ship security plans;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flag state security certification requirements.</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U.S. Coast Guard regulations, intended to align with international maritime security standards, exempt non-U.S. ships from MTSA ship security measures, provided such ships have on </w:t>
      </w:r>
      <w:r>
        <w:rPr>
          <w:rFonts w:ascii="Times New Roman" w:cs="Times New Roman" w:eastAsia="Times New Roman" w:hAnsi="Times New Roman"/>
          <w:sz w:val="18"/>
          <w:szCs w:val="18"/>
          <w:color w:val="231F20"/>
        </w:rPr>
        <w:t>board a valid “International Ship Security Certificate” that attests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ship’s compliance with SOLAS security requirements and the ISPS Code. We have implemented the various security measures required by the IMO, SOLAS and the ISPS Code and have approved ISPS certificates and plans certified by the applicable flag state on board all our ships.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Marshall Islands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Preference Units that may be applicable to you.</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In General</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Our Subsidiaries</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Shipping Income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 883 of the Code. The other 50% of the income described in the first sentence of this paragraph would not be subject to U.S. income tax.</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25"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use of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hiring or leasing of ships for use on a time, operating or bareboat charter basis;</w:t>
      </w:r>
    </w:p>
    <w:p>
      <w:pPr>
        <w:spacing w:after="0" w:line="225"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participation in a pool, partnership, strategic alliance, joint operating agreement or other joint venture we directly or indirectly own or participate in that generates such income;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services directly related to those uses.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 the exemption under Section 883 of the Code during the 2024 tax year.</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2024, our accrued U.S. source gross transportation tax was $0.5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U.S. Source International Transportation Income would be considered “effectively connected” with the conduct of a U.S. trade or business only if:</w:t>
      </w:r>
    </w:p>
    <w:p>
      <w:pPr>
        <w:spacing w:after="0" w:line="162" w:lineRule="exact"/>
        <w:rPr>
          <w:sz w:val="20"/>
          <w:szCs w:val="20"/>
          <w:color w:val="auto"/>
        </w:rPr>
      </w:pPr>
    </w:p>
    <w:p>
      <w:pPr>
        <w:ind w:left="680" w:right="160" w:hanging="321"/>
        <w:spacing w:after="0" w:line="282"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had, or were considered to have, a fixed place of business in the United States involved in the earning of U.S. source gross transportation income;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76"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Gain on Sale of Shipping Assets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 and Additional Information</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taxation of our subsidiaries, see Note 20 to our audited consolidated financial statements included elsewhere in this annual report.</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GasLog Partners is a limited partnership formed in the Marshall Islands on January 23, 2014. As of March 7, 2025, we have 16 subsidiaries, one is incorporated in the Marshall Islands, one is incorporated in Malta and 14 are incorporated in Bermuda. Of our subsidiaries, ten own vessels in our fleet. Our subsidiaries are wholly owned by us. A list of our subsidiaries is set forth in Exhibit 8.1 to this annual report.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Other than our ships, we do not own any material property. Our vessels are subject to priority mortgages, which secure GasLog’s obligations under the Facility. For information on our vessels, see “Item 4. Information on the Partnership—B. Business Overview—Our Fleet”. For further details regarding our credit facilities, refer to “Item 5. Operating and Financial Review and Prospects—B. Liquidity and Capital Resources—Credit Facilities”.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of our financial condition and results of operations should be read in conjunction with the financial statements and the notes to those statements included elsewhere in this annual report. This discussion includes forward-looking statements that involve risks and uncertainties. As a result of many factors, such as those set forth under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Item 3. Key Information</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D. Risk Factors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and elsewhere in this annual report, our actual results may differ materially from those anticipated in these forward-looking statements. Please see the section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Forward-Looking Statements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at the beginning of this annual report.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We manage our business and analyze and report our results of operations in a single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Since our IPO in May 2014, we have been an owner, operator and acquirer of LNG carriers. The Partnership’s fleet consists of ten wholly owned LNG carriers, seven vessels with modern TFDE propulsion technology and three Steam vessels. In addition, GasLog Partners has leased under bareboat charters three TFDE vessels and one Steam vessel which were sold and leased back with no purchase option.</w:t>
      </w:r>
    </w:p>
    <w:p>
      <w:pPr>
        <w:spacing w:after="0" w:line="15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All of our vessels were contributed to us by, or acquired by us from, GasLog, which holds 100% of the common units of the Partnership. All vessels have fixed charter terms expiring between March 2025 and April 2030. Six of our vessels currently operate under long-term time charters (defined as charters with initial duration of more than three years) and eight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Industry Overview and Trends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Energy Prices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average annual prices for Title Transfer Facility (“TTF”) ($10.76 per metric million British Thermal Units (“MMBtu”)) and Japan LNG delivered ex-ship (“DES”) ($11.65/MMBtu) declined by 29% and 24%, respectively, compared to 2023. However, these figures do not fully capture the market dynamics. Despite the limited new supply entering the market, the persistent risk of supply disruptions maintained elevated pricing floors throughout the year.</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Global gas and LNG prices began the year on a downward trend, following a peak early in the fourth quarter of 2023. Favorable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including a mild winter and well-stocked gas inventories, contributed to TTF prices reaching a three-year low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$7.3/MMBtu in February and remaining below $10/MMBtu until May. Similarly, Japan LNG DES prices declined in tandem with TTF,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facilitating price-sensitive procurement in Asia, particularly in China and South Asia (India and Pakistan), during this period.</w:t>
      </w:r>
    </w:p>
    <w:p>
      <w:pPr>
        <w:spacing w:after="0" w:line="16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Nevertheless, an unusually hot summer led to Asian LNG prices trading at a premium of over $1.5/MMBtu compared to Europe. Furthermore, logistical challenges such as the closure of the Suez Canal and reduced transit slots through the Panama Canal forced cargoes from the Atlantic Basin to take longer routes via the Cape of Good Hope. Concurrently, low regasification utilization in Europe reduced the price discount between Northwest Europe LNG DES prices and TTF to approximately $0.3/MMBtu, falling below the cost of certain long-term capacity bookings. Additionally, geopolitical tensions in the Middle East and concerns over further supply disruptions contributed to a stronger global gas market.</w:t>
      </w:r>
    </w:p>
    <w:p>
      <w:pPr>
        <w:sectPr>
          <w:pgSz w:w="11900" w:h="16838" w:orient="portrait"/>
          <w:cols w:equalWidth="0" w:num="1">
            <w:col w:w="9860"/>
          </w:cols>
          <w:pgMar w:left="980" w:top="51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Europe entered the winter heating season with near-maximum gas storage levels. However, an early cold spell led to rapid storage withdrawals, driving TTF prices into the $13–15/MMBtu range. This shift altered global pricing dynamics, as elevated prices discouraged most Asian buyers from participating in the market. With Asian LNG prices trading close to parity with European LNG prices, marginal cargoes from the Atlantic were redirected to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2024, global LNG supply reached 411 mt on a delivered basis, representing a modest 0.7% year-on-year increase, according to Wood Mackenzie. This growth was primarily driven by reduced maintenance schedules and higher output from Southeast Asia, Nigeria, and Mozambique, which offset production declines in Egypt, Brunei, Angola, and Trinidad. However, new supply additions remained limited, with marginal contributions from smaller floating units, including Arctic LNG 2, which commenced commissioning in August. The U.S. expanded its LNG infrastructure, with Plaquemines LNG dispatching its first cargo on December 26, 2024, followed by Corpus Christi Train 3 on December 30, 2024.</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Planned maintenance continued to constrain production, accounting for nearly 2% of global nameplate capacity and resulting in an 8.6 mt supply loss. Major Australian facilities, including Gorgon and North-West Shelf, underwent significant maintenance, while infrastructure upgrades in the U.S. at Sabine Pass and Cove Point also reduced output.</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Geopolitical and environmental factors disrupted LNG trade in 2024. Houthi-led attacks in the Suez Canal region forced LNG shipments to reroute via the Cape of Good Hope, halting canal traffic for much of the year. Although limited transits resumed to serve Egypt’s LNG import terminal, most Qatari and other shipments to Europe continued to bypass the canal. Similarly, Panama Canal transits were constrained due to drought-related restrictions, which were gradually eased. Natural disasters further impacted supply, with a hurricane in the Gulf of Mexico temporarily halting U.S. export operations and unplanned outages affecting production in the U.S., Australia, Brunei, Indonesia, and Malaysia. These outages collectively resulted in a 5.5 mt LNG supply loss, surpassing the prior year’s disruptions.</w:t>
      </w:r>
    </w:p>
    <w:p>
      <w:pPr>
        <w:spacing w:after="0" w:line="18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Despite these challenges, the United States retained its position as the leading LNG exporter for the second consecutive year, producing 86 mt and outperforming Australia and Qatar. However, new LNG supply capacity sanctioned in 2024 was significantly lower than in 2023. No U.S. projects reached Final Investment Decision (“FID”), largely due to the Biden Administration’s pause on non-Free Trade Agreements export approvals, announced in January of 2024. Regulatory delays further complicated U.S. LNG development, with environmental reviews postponing FIDs for major projects like Rio Grande LNG and Calcasieu Pass 2 until at least mid-2025.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7"/>
          <w:szCs w:val="17"/>
          <w:color w:val="auto"/>
        </w:rPr>
        <w:t>Asian LNG demand saw robust growth in 2024, rising 7.4% year-on-year, driven by strong economic recovery and increased spot purchases, according to Wood Mackenzie. China remained the world’s largest LNG importer, with imports growing 8% to 78 mt. After strong winter demand, a prolonged summer in Northeast Asia boosted cooling needs, leading to a 3% year-on-year increase in LNG imports across the region. Delayed nuclear restarts in Japan and coal plant congestion in South Korea further supported gas demand.</w:t>
      </w:r>
    </w:p>
    <w:p>
      <w:pPr>
        <w:spacing w:after="0" w:line="16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South and Southeast Asia also recorded significant growth in LNG imports during the summer. Countries such as India and Thailand actively sourced spot cargoes, driving South Asia’s LNG imports up by 16% year-on-year, while Southeast Asia posted 15% growth. Emerging importers like the Philippines and Vietnam continued to expand their LNG markets, with the Philippines importing 1.2 million metric tonnes per annum (“mmtpa”) and Vietnam importing 0.3 mmtpa.</w:t>
      </w:r>
    </w:p>
    <w:p>
      <w:pPr>
        <w:spacing w:after="0" w:line="180"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Meanwhile, European LNG demand contracted by 19% year-on-year, driven by warm weather, weak gas-to-power demand, and strong renewable energy output. Increased Norwegian gas production and continued pipeline imports from Russia further reduced Europe’s LNG needs, despite a 2% rise in industrial non-power demand.</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South America, Brazil experienced severe drought conditions, which led to increased gas-fired power generation and a 41.5% year-on-year surge in LNG imports. Other regional countries, including Chile, Argentina, and Bolivia, maintained stable LNG demand with minimal variation throughout the year.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Spot charter rates have demonstrated a consistent downward trend throughout the year, with 160,000 cbm 0.1% boil-off TFDE headline rates, as reported by Clarkson Research Services Limited (“Clarksons”), averaging $42,236 per day in 2024, a 56% decrease year-on-year, and 48.1% lower compared to the five- year average.</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post-winter decline was particularly evident in the first quarter, while the second quarter market remained relatively stable but at historically low levels. Toward the end of the second quarter and the beginning of the third quarter, initial market movements suggested early signs of a potential winter uptick. This perception was primarily influenced by the opening of inter-basin arbitrage opportunities, which, despite high vessel availability, concentrated supply within the Pacific basin. However, this temporary rate increase corrected within a few weeks, leaving little indication of a sustained winter market for 2024 and 2025, as per Fearnleys AS. This comes despite elevated cargo values and a colder-than-expected start to the winter season in Europe.</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Despite logistical challenges arising from the restrictions at the Suez and Panama Canals, market fundamentals indicate a surplus in vessel supply. Given minimal growth in LNG trade volumes and limited opportunities for floating cargoes, the market is experiencing an oversupply, which is now reflected in availability lists and declining rates. Increased willingness to sublet vessels has further provided charterers with enhanced flexibility. Spot market activity has been notably high, with the number of spot fixtures increasing by over 70% year-on-year, while term fixtures have seen a decline.</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holders of our Preference Units. A sustained decline in charter rates could also adversely affect the market value of our 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According to Poten, as of December 31, 2024, the global fleet of dedicated LNG carriers (&gt;100,000 cbm) consisted of 668 conventional LNG Carriers with another 330 LNG carriers on order, of which 19 vessels (or 5.75%) do not have multi-year charters. Poten estimates that a total of 102 LNG carriers are due to be delivered in 2025. In 2024, 70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76"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b w:val="1"/>
          <w:bCs w:val="1"/>
          <w:color w:val="231F20"/>
        </w:rPr>
        <w:t>A.</w:t>
        <w:tab/>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2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supply and demand for LNG shipping services and the number of vessels available in the short-term or spot LNG carrier charter market;</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future employment, at economically attractive rates, for our eight vessels operating in the short-term spot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acceptable financing in respect of our capital commitments;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maintain good working relationships with our existing customers and our ability to increase the number of our customers through the development of new working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our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 and efficient technical and operational management of our ships;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and maintain regulatory approvals and to satisfy technical, health, safety and compliance standards that meet our customers’ requirements; and</w:t>
      </w:r>
    </w:p>
    <w:p>
      <w:pPr>
        <w:spacing w:after="0" w:line="161"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regulatory, political and governmental conditions that affect the LNG market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62" w:lineRule="exact"/>
        <w:rPr>
          <w:sz w:val="20"/>
          <w:szCs w:val="20"/>
          <w:color w:val="auto"/>
        </w:rPr>
      </w:pPr>
    </w:p>
    <w:p>
      <w:pPr>
        <w:ind w:left="680" w:right="42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hire rate earned by our ships including any of our ships that may trade in the short-term spot market if we are unable to secure new long-term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unscheduled off-hire days;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ship operating expenses, including the costs of crewing, insurance and maintenance;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level of debt, the related interest expense and the timing of required payments of principal;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currency fluctuations;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general and administrative expenses, including costs of consultants.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Principal Components of Revenues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 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w:t>
      </w:r>
      <w:r>
        <w:rPr>
          <w:rFonts w:ascii="Times New Roman" w:cs="Times New Roman" w:eastAsia="Times New Roman" w:hAnsi="Times New Roman"/>
          <w:sz w:val="18"/>
          <w:szCs w:val="18"/>
          <w:color w:val="231F20"/>
        </w:rPr>
        <w:t>off-hire, unless it is recoverable from insurers. Advance payments under time charter contracts are classified as liabilities until such time as the criteria for recognizing the revenue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a time charter. Voyage expenses represent bunkers consumed during vessels’ unemployment and off-hire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Costs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Ship operating expenses are recognized as expenses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 scrap rate per LWT, which represents our estimate of the market value of the ship if it was already at the end of its useful life. We review scrap rates on an annual basis, and may revise the rates in response to changing market conditions.</w:t>
      </w:r>
    </w:p>
    <w:p>
      <w:pPr>
        <w:spacing w:after="0" w:line="187"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right-of-use assets are depreciated over the shorter of the assets’ useful life and the lease term on a straight-line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w:t>
      </w:r>
      <w:r>
        <w:rPr>
          <w:rFonts w:ascii="Times New Roman" w:cs="Times New Roman" w:eastAsia="Times New Roman" w:hAnsi="Times New Roman"/>
          <w:sz w:val="18"/>
          <w:szCs w:val="18"/>
          <w:color w:val="231F20"/>
        </w:rPr>
        <w:t>estimated future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Disposal</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Gain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loss on disposal is determined by comparing proceeds from disposal with the carrying amount of a vessel and is included in our consolidated statements of profit or loss.</w:t>
      </w:r>
    </w:p>
    <w:p>
      <w:pPr>
        <w:sectPr>
          <w:pgSz w:w="11900" w:h="16838" w:orient="portrait"/>
          <w:cols w:equalWidth="0" w:num="1">
            <w:col w:w="9920"/>
          </w:cols>
          <w:pgMar w:left="980" w:top="513"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incurred interest expense on any outstanding indebtedness under our terminated credit facilities and incur interest in our lease liabilities which we include in our financial costs. Financial costs also include amortization of other loan issuance costs incurred in connection with establishing our terminated credit facilities and foreign exchange differences on cash, while all other foreign exchange differences are classified in General and Administrative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and amortization of loan issuance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Derivatives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Any gain or loss derived from the movement in the fair value of the derivatives (interest rate swaps and forward foreign exchange contracts) that we were party to until 2023 or that we may enter into in the future and that have not been designated as hedges, the ineffective portion of changes in the fair value of the derivatives that meet 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set forth below are derived from the annual consolidated financial statements of the Partnership.</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numerical figures included in the tables below have been rounded. Discrepancies in tables between totals and the sums of the amounts listed may occur due to such rounding.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the year ended December 31, 2024</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28"/>
        </w:trPr>
        <w:tc>
          <w:tcPr>
            <w:tcW w:w="5520" w:type="dxa"/>
            <w:vAlign w:val="bottom"/>
          </w:tcPr>
          <w:p>
            <w:pPr>
              <w:spacing w:after="0"/>
              <w:rPr>
                <w:sz w:val="11"/>
                <w:szCs w:val="11"/>
                <w:color w:val="auto"/>
              </w:rPr>
            </w:pPr>
          </w:p>
        </w:tc>
        <w:tc>
          <w:tcPr>
            <w:tcW w:w="2420" w:type="dxa"/>
            <w:vAlign w:val="bottom"/>
            <w:gridSpan w:val="5"/>
          </w:tcPr>
          <w:p>
            <w:pPr>
              <w:jc w:val="right"/>
              <w:ind w:right="25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397,838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356,262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disposal of vessels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196,645</w:t>
            </w:r>
          </w:p>
        </w:tc>
        <w:tc>
          <w:tcPr>
            <w:tcW w:w="1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155,590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(41,055)</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r>
      <w:tr>
        <w:trPr>
          <w:trHeight w:val="209"/>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12,241</w:t>
            </w:r>
          </w:p>
        </w:tc>
      </w:tr>
      <w:tr>
        <w:trPr>
          <w:trHeight w:val="20"/>
        </w:trPr>
        <w:tc>
          <w:tcPr>
            <w:tcW w:w="5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had an average of 14.0 vessels operating in our owned and bareboat fleet having 4,918 available days while during the year ended December 31, 2024, we had an average of 14.0 vessels operating in our owned and bareboat fleet having 5,086 available days.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decreased by $41.5 million, or 10.4%, from $397.8 million for the year ended December 31, 2023 to $356.3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2024. The decrease of $41.5 million is mainly attributable to the 2023 and 2024 fixtures at lower rates and the 85 idle days in the year ended December 31, 2024 (nil idle days for the year ended December 31, 2023). This decrease was partially offset by an increase in revenues resulting from an increase in available days (28 off-hire days due to the scheduled dry-dockings and repairs of one of our vessels in the year ended December 31, 2024 compared to 165 off-hire days due to the scheduled dry-dockings and repairs of five of our vessels in the same period in 2023). As a result, the average daily hire rate we earned decreased from $80,927 for the year ended December 31, 2023 to $71,238 for the year ended December 31, 2024.</w:t>
      </w:r>
    </w:p>
    <w:p>
      <w:pPr>
        <w:spacing w:after="0" w:line="18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Voyage expenses and commissions: </w:t>
      </w:r>
      <w:r>
        <w:rPr>
          <w:rFonts w:ascii="Times New Roman" w:cs="Times New Roman" w:eastAsia="Times New Roman" w:hAnsi="Times New Roman"/>
          <w:sz w:val="18"/>
          <w:szCs w:val="18"/>
          <w:color w:val="auto"/>
        </w:rPr>
        <w:t>Voyage expenses and commissions decreased by $1.9 million, or 17.3%, from $11.0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2023 to $9.1 million for the year ended December 31, 2024. The decrease of $1.9 million is mainly attributable to the decrease in the estimated U.S. source gross transportation tax and the decrease in brokers’ commissions.</w:t>
      </w:r>
    </w:p>
    <w:p>
      <w:pPr>
        <w:spacing w:after="0" w:line="171"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Costs: </w:t>
      </w:r>
      <w:r>
        <w:rPr>
          <w:rFonts w:ascii="Times New Roman" w:cs="Times New Roman" w:eastAsia="Times New Roman" w:hAnsi="Times New Roman"/>
          <w:sz w:val="18"/>
          <w:szCs w:val="18"/>
          <w:color w:val="auto"/>
        </w:rPr>
        <w:t>Vessel operating costs increased by $1.9 million, or 2.8%, from $67.8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to $69.7 million for the year ended December 31, 2024. The increase in vessel operating costs is mainly attributable to an increase in scheduled technical and maintenance costs partially offset by the decreased technical expenses due to the decrease in scheduled dry-docking and repairs (one of our vessels in the year ended December 31, 2024 compared to five in the same period in 2023). As a result, daily operating costs per vessel increased from $13,264 per day during the year ended December 31, 2023 to $13,609 per day during the year ended December 31, 2024.</w:t>
      </w:r>
    </w:p>
    <w:p>
      <w:pPr>
        <w:spacing w:after="0" w:line="18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w:t>
      </w:r>
      <w:r>
        <w:rPr>
          <w:rFonts w:ascii="Times New Roman" w:cs="Times New Roman" w:eastAsia="Times New Roman" w:hAnsi="Times New Roman"/>
          <w:sz w:val="18"/>
          <w:szCs w:val="18"/>
          <w:color w:val="auto"/>
        </w:rPr>
        <w:t>Depreciation increased by $6.4 million, or 6.5%, from $98.5 million for the year ended December 31, 2023 to $104.9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million for the year ended December 31, 2024. The increase in depreciation is mainly attributable to the increase in depreciation of the right-of-use assets as a result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sale and leaseback completed on August 27, 2024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sale and leaseback completed on March 30, 2023.</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by $6.4 million, or 28.1%, from $22.8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2023 to $16.4 million for the year ended December 31, 2024. The decrease in general and administrative expenses is mainly attributable to a decrease of $3.5 million in legal and professional fees and a decrease of $1.4 million in amortization of share-based compensation both relating to the GasLog Partners Transaction. In addition, there was a decrease of $0.6 million in board of directors fees mainly attributable to the new composition of the board and a decrease of $0.4 million in commercial management fees. As a result, daily general and administrative expenses decreased from $4,462 per vessel ownership day for the year ended December 31, 2023 to $3,204 per vessel ownership day for the year ended December 31, 2024.</w:t>
      </w:r>
    </w:p>
    <w:p>
      <w:pPr>
        <w:spacing w:after="0" w:line="183"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(Loss)/gain on disposal of vessels: </w:t>
      </w:r>
      <w:r>
        <w:rPr>
          <w:rFonts w:ascii="Times New Roman" w:cs="Times New Roman" w:eastAsia="Times New Roman" w:hAnsi="Times New Roman"/>
          <w:sz w:val="18"/>
          <w:szCs w:val="18"/>
          <w:color w:val="auto"/>
        </w:rPr>
        <w:t>Loss on disposal of vessels was $1.0 million for the year ended December 31, 2023 and gain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disposal of vessels was $8.2 million for the year ended December 31, 2024. In the year ended December 31, 2023, loss on disposal of vessels of $1.0 million was recognized pursuant to the sale and leaseback transaction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CDBL. In the year ended December 31, 2024, gain on disposal of vessels of $8.2 million was recognized pursuant to the sale and leaseback transaction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CDBL.</w:t>
      </w:r>
    </w:p>
    <w:p>
      <w:pPr>
        <w:spacing w:after="0" w:line="1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w:t>
      </w:r>
      <w:r>
        <w:rPr>
          <w:rFonts w:ascii="Times New Roman" w:cs="Times New Roman" w:eastAsia="Times New Roman" w:hAnsi="Times New Roman"/>
          <w:sz w:val="18"/>
          <w:szCs w:val="18"/>
          <w:color w:val="auto"/>
        </w:rPr>
        <w:t>Impairment loss was $0.1 million for the year ended December 31, 2023 and $8.7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2024. In the year ended December 31, 2023, an impairment loss of $0.1 million was recognized pursuant to the sale and leaseback transaction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CDBL where the vessel was remeasured at the lower of its carrying amount and fair value less costs to sell as of June 30, 2023. In the year ended December 31, 2024, an impairment loss of $8.7 million was recognized with respect to two owned Steam vessels and one bareboat TFDE vessel. The impairment loss occurred as a result of the continuous decline in fair values of Steam and TFDE vessels, driven by reduced demand combined with the decrease in headline rates to historical lows.</w:t>
      </w:r>
    </w:p>
    <w:p>
      <w:pPr>
        <w:spacing w:after="0" w:line="18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decreased by $62.3 million, from $67.1 million for the year ended December 31, 2023 to $4.8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2024. The decrease in financial costs is mainly attributable to a decrease of $53.7 million in interest expense on loans in the year ended December 31, 2024 as compared to the year ended December 31, 2023 and a decrease of $8.9 million in amortization and write-offs of deferred loan issuance costs mainly due to the write-offs of the deferred loan issuance costs in the year ended December 31, 2023 both relating to the prepayment of the Partnership’s loans in November 2023.</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Income: </w:t>
      </w:r>
      <w:r>
        <w:rPr>
          <w:rFonts w:ascii="Times New Roman" w:cs="Times New Roman" w:eastAsia="Times New Roman" w:hAnsi="Times New Roman"/>
          <w:sz w:val="18"/>
          <w:szCs w:val="18"/>
          <w:color w:val="auto"/>
        </w:rPr>
        <w:t>Financial income decreased by $7.4 million, from $7.6 million during the year ended December 31, 2023 to $0.2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year ended December 31, 2024. The decrease in financial income is mainly attributable to the decrease in the cash and cash equivalents and short-term cash deposits balance held on average in the year ended December 31, 2024, compared to the year ended December 31, 2023.</w:t>
      </w:r>
    </w:p>
    <w:p>
      <w:pPr>
        <w:spacing w:after="0" w:line="176"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for the Year: </w:t>
      </w:r>
      <w:r>
        <w:rPr>
          <w:rFonts w:ascii="Times New Roman" w:cs="Times New Roman" w:eastAsia="Times New Roman" w:hAnsi="Times New Roman"/>
          <w:sz w:val="18"/>
          <w:szCs w:val="18"/>
          <w:color w:val="auto"/>
        </w:rPr>
        <w:t>There was an increase of $12.3 million, or 8.9%, from a profit of $138.7 million for the year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to a profit of $151.0 million for the year ended December 31, 2024, as a result of the aforementioned factors.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2023</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2022 compared to the year ended December 31, 2023, please see “Item 5. Operating and Financial Review and Prospects – A. Operating Results – Year ended December 31, 2022, compared to the year ended December 31, 2023” contained in our annual report on Form 20-F for the year ended December 31, 2023, filed with the SEC on March 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Customers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44% of our revenues derived from subsidiaries of Shell, 32% from LNG majors and national oil companies, with the remaining revenues derived from various other charterers.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Seasonality</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revenues of our vessels employed under long-term charter arrangements, are not significantly impacted by seasonal trends during the year ended December 31, 2024. However, our eight vessels trading in the short-term spot market (defined as vessels under contracts of an initial duration of less than three years) are subject to seasonality in spot rates, which has been evident in the LNG shipping market during 2024. In recent years, there has been a significant increase in the seasonality of LNG shipping spot rates with relative strength during the months of September through January and relative weakness during the months of March through May. To the extent that more of our vessels cease to be employed under long-term charter arrangements (defined as charters with an initial duration of more than three years) in the future, there will likely be some additional seasonality in our revenues.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Liquidity and Capital Resources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flow from operations, borrowings under secured credit facilities, equity raisings including issuances of preference units, capital contributions and proceeds from vessel sales and sales and leaseback transactions. Our principal uses of funds have been expenditures for the growth and maintenance of our fleet, fund working capital requirements, interest and principal payments on our outstanding credit facilities and lease liabilities and dividend distributions.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2021, the Partnership established a preference unit repurchase programme (the “Repurchase Programme”),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the repurchase of preference units through March 31, 2023. In the year ended December 31, 2022, GasLog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and cancelled 665,016 Series A Preference Units, 639,189 Series B Preference Units and 669,406 Series C Preference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weighted average price of $24.64, $25.11 and $24.96 per preference unit for Series A, Series B and Series C,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repaid during the year ended December 31, 2022, for repurchases of preference units was $49.2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From inception of the Repurchase Programme through December 31, 2022, GasLog Partners repurchased and 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665,016 Series A Preference Units, 1,103,618 Series B Preference Units and 938,955 Series C Preference Units at a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$24.64, $25.01 and $25.03 per preference unit for Series A, Series B and Series C, respectively, for an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$67.6 million including commissions. There were no Preference Units repurchased and cancelled for the years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2024.</w:t>
      </w:r>
    </w:p>
    <w:p>
      <w:pPr>
        <w:spacing w:after="0" w:line="20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wholly-owned subsidiary of CDBL. The vessel was sold to CDBL for a gross cash consideration of $120.0 million. GasLog Partners leased back the vessel under a bareboat charter from CDBL for a period of five years with no repurchase option or obligation.</w:t>
      </w:r>
    </w:p>
    <w:p>
      <w:pPr>
        <w:spacing w:after="0" w:line="173"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September 14, 2022, GasLog Partners’ subsidiary, GAS-twenty Ltd.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to an unrelated third party for a gross sale price of approximately $54.0 million. The sale resulted in the recognition of a loss on disposal of $0.2 million.</w:t>
      </w:r>
    </w:p>
    <w:p>
      <w:pPr>
        <w:sectPr>
          <w:pgSz w:w="11900" w:h="16838" w:orient="portrait"/>
          <w:cols w:equalWidth="0" w:num="1">
            <w:col w:w="9900"/>
          </w:cols>
          <w:pgMar w:left="980" w:top="513" w:right="101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Sally</w:t>
      </w:r>
      <w:r>
        <w:rPr>
          <w:rFonts w:ascii="Times New Roman" w:cs="Times New Roman" w:eastAsia="Times New Roman" w:hAnsi="Times New Roman"/>
          <w:sz w:val="18"/>
          <w:szCs w:val="18"/>
          <w:color w:val="auto"/>
        </w:rPr>
        <w:t>. The vessel was sold to an unrelated third party for a gross cash consideration of $50.0 million. GasLog Partners leased back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 under a bareboat charter until the middle of 2025 with no repurchase option or obligation.</w:t>
      </w:r>
    </w:p>
    <w:p>
      <w:pPr>
        <w:spacing w:after="0" w:line="17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subsidiary, GAS-five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The vessel was sold to a wholly owned subsidiary of CDBL for $140.0 million and leased back under a bareboat charter for a period of five years with no repurchase option or obligation.</w:t>
      </w:r>
    </w:p>
    <w:p>
      <w:pPr>
        <w:spacing w:after="0" w:line="1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merger consideration under the GasLog Partners Transaction was financed by GasLog’s existing cash and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GasLog Partners Transaction. The aggregate principal amount outstanding under the Bridge Facility Agreement was repaid in full, together with accrued and unpaid interest, on July 26, 2023.</w:t>
      </w:r>
    </w:p>
    <w:p>
      <w:pPr>
        <w:spacing w:after="0" w:line="185"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2024, GasLog Partners’ subsidiary, GAS-four Ltd.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The vessel was sold to a wholly owned subsidiary of CDBL for $151.0 million and leased back under a bareboat charter for a period of three years with no repurchase option or obligation.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we had $7.8 million of cash and cash equivalents, held in current accounts.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our existing charters as of December 31, 2024, we had contracted revenues of $260.5 million for 2025 and $432.4 million thereafter. Although these contracted revenues are based on contracted charter rates, we are dependent on the ability and willingness of our charterers, to meet their obligations under these charters.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2024, we had an aggregate of $107.6 million of lease liabilities mainly related to the sale and leasebacks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Methane Heather Sally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Sydney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Santiago</w:t>
      </w:r>
      <w:r>
        <w:rPr>
          <w:rFonts w:ascii="Times New Roman" w:cs="Times New Roman" w:eastAsia="Times New Roman" w:hAnsi="Times New Roman"/>
          <w:sz w:val="18"/>
          <w:szCs w:val="18"/>
          <w:color w:val="auto"/>
        </w:rPr>
        <w:t>, of which $42.7 million was repayable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Working Capital Position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our current assets totaled $38.3 million and current liabilities totaled $84.3 million, resulting in a negative working capital position of $46.0 million. Current liabilities include an amount of $24.0 million of unearned revenue in relation to vessel hires received in advance (which represents a non-cash liability that will be recognized as revenues after December 31, 2024 as the services are rendered). In considering going concern, management has reviewed the Partnership’s future cash requirements, earnings projections and GasLog’s ability to support potential liquidity needs.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Management monitors the Partnership’s liquidity position throughout the year to ensure that it has access to sufficient funds to meet its forecast cash requirements and its ability to evaluate its future distribution policy with GasLog. We anticipate that our liquidity requirements over the next twelve months include operating costs, working capital requirements, dry-docking costs and other vessel upgrades, interest and principal payments on our lease liabilities and dividend distributions. Our primary sources of funds over the next twelve months will be available cash, cash from operations, future sales and sale and leaseback transactions. We believe that these anticipated sources of funds will be sufficient to meet our liquidity needs for at least twelve months from the date of this report, and therefore it is appropriate to prepare the financial statements on a going concern basis.</w:t>
      </w:r>
    </w:p>
    <w:p>
      <w:pPr>
        <w:spacing w:after="0" w:line="18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long-term liquidity requirements include working capital payments, capital expenditures, interest and principal payments and dividend distributions. Sources of funding for our long-term liquidity requirements include cash from operations, capital contributions from GasLog, new borrowings, future sales and leaseback transactions.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the year ended December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231F20"/>
              </w:rPr>
              <w:t>Change</w:t>
            </w:r>
          </w:p>
        </w:tc>
        <w:tc>
          <w:tcPr>
            <w:tcW w:w="20" w:type="dxa"/>
            <w:vAlign w:val="bottom"/>
          </w:tcPr>
          <w:p>
            <w:pPr>
              <w:spacing w:after="0"/>
              <w:rPr>
                <w:sz w:val="12"/>
                <w:szCs w:val="12"/>
                <w:color w:val="auto"/>
              </w:rPr>
            </w:pPr>
          </w:p>
        </w:tc>
      </w:tr>
      <w:tr>
        <w:trPr>
          <w:trHeight w:val="128"/>
        </w:trPr>
        <w:tc>
          <w:tcPr>
            <w:tcW w:w="6240" w:type="dxa"/>
            <w:vAlign w:val="bottom"/>
          </w:tcPr>
          <w:p>
            <w:pPr>
              <w:spacing w:after="0"/>
              <w:rPr>
                <w:sz w:val="11"/>
                <w:szCs w:val="11"/>
                <w:color w:val="auto"/>
              </w:rPr>
            </w:pPr>
          </w:p>
        </w:tc>
        <w:tc>
          <w:tcPr>
            <w:tcW w:w="2820" w:type="dxa"/>
            <w:vAlign w:val="bottom"/>
            <w:gridSpan w:val="5"/>
          </w:tcPr>
          <w:p>
            <w:pPr>
              <w:jc w:val="center"/>
              <w:ind w:left="797"/>
              <w:spacing w:after="0" w:line="129" w:lineRule="exact"/>
              <w:rPr>
                <w:sz w:val="20"/>
                <w:szCs w:val="20"/>
                <w:color w:val="auto"/>
              </w:rPr>
            </w:pPr>
            <w:r>
              <w:rPr>
                <w:rFonts w:ascii="Times New Roman" w:cs="Times New Roman" w:eastAsia="Times New Roman" w:hAnsi="Times New Roman"/>
                <w:sz w:val="14"/>
                <w:szCs w:val="14"/>
                <w:b w:val="1"/>
                <w:bCs w:val="1"/>
                <w:color w:val="231F20"/>
              </w:rPr>
              <w:t>(in thousands of U.S. dollars)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provided by operating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262,398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269,896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7,498</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231F20"/>
              </w:rPr>
              <w:t>Net cash provided by investing activities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149,437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139,377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(10,060)</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used in financing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(598,376)</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(413,389)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184,987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Operating Activities: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by $7.5 million, from $262.4 million in the year ended December 31, 2023 to $269.9 million in the year ended December 31, 2024. The increase of $7.5 million is mainly attributable to an increase of $44.2 million in working capital movements (mainly due to the decrease in trade receivables and amounts due from related parties) and a decrease of $6.4 million in general and administrative expenses, partially offset by a decrease of $41.5 million in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Investing Activities: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$10.0 million, from $149.4 million in the year ended December 31, 2023 to $139.4 million in the year ended December 31, 2024. The decrease of $10.0 million is attributable to a decrease of $25.0 million in net cash from short-term cash deposits and a decrease in financial income received of $7.7 million, partially offset by a net increase of $11.0 million in proceeds from sale and leaseback transactions, net of commissions and a decrease in payments for tangible fixed asset additions and right-of-use assets of $11.7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used in Financing Activities: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Net cash used in financing activities decreased by $185.0 million, from $598.4 million in the year ended December 31, 2023 to $413.4 million in the year ended December 31, 2024. The decrease of $185.0 million is attributable to a decrease of $217.1 million in bank loan repayments, a decrease of $65.8 million in distributions paid and a decrease of $65.0 million in interest paid, partially offset by the return of capital contributions to GasLog of $148.2 million being equal to the net proceeds from the sale and leaseback of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Santiago</w:t>
      </w:r>
      <w:r>
        <w:rPr>
          <w:rFonts w:ascii="Times New Roman" w:cs="Times New Roman" w:eastAsia="Times New Roman" w:hAnsi="Times New Roman"/>
          <w:sz w:val="18"/>
          <w:szCs w:val="18"/>
          <w:color w:val="auto"/>
        </w:rPr>
        <w:t>, which was a vessel pledged as collateral under the terms of the facility entered into by GasLog in November 2023,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$10.8 million in payments for lease liabilities (principal portion), a decrease of $3.5 million in cash received from interest rate swaps termination and the decrease of $0.4 million in net cash received from loan issuance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Borrowing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Credit Facilities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credit facilities outstanding as of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November 2, 2023, GasLog signed as borrower, the Facility. This financing, involving 14 international banks, includes decarbonization and social key performance targets as a component of the Facility pricing. The Facility refinanced the outstanding debt of $2.1 billion secured by 23 LNG carriers (12 GasLog vessels and eleven GasLog Partners vessels), following the acquisition by GasLog on July 13, 2023 of all the outstanding common units of GasLog Partners not already beneficially owned by GasLog. Citibank, N.A., London Branch and BNP Paribas acted as joint 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 billion and $0.7 million remaining available as of that date, for general corporate purposes. The Facility has a five-year tenor, includes two one-year extension options and can be repaid and redrawn at any time, subject to the outstanding amount immediately after any drawdown not exceeding the total facility amount. On February 10, 2025, GasLog signed a supplemental agreement extending the final reduction date by one year to November 2029.</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obligations under the Facility are secured as follows:</w:t>
      </w:r>
    </w:p>
    <w:p>
      <w:pPr>
        <w:spacing w:after="0" w:line="225"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owned ships included in the Facility;</w:t>
      </w:r>
    </w:p>
    <w:p>
      <w:pPr>
        <w:spacing w:after="0" w:line="27" w:lineRule="exact"/>
        <w:rPr>
          <w:rFonts w:ascii="Times New Roman" w:cs="Times New Roman" w:eastAsia="Times New Roman" w:hAnsi="Times New Roman"/>
          <w:sz w:val="18"/>
          <w:szCs w:val="18"/>
          <w:color w:val="auto"/>
        </w:rPr>
      </w:pPr>
    </w:p>
    <w:p>
      <w:pPr>
        <w:ind w:left="680" w:right="80" w:hanging="321"/>
        <w:spacing w:after="0" w:line="250"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from the 22 vessel owning companies securing the Facility, the Partnership, GasLog Partners Holdings and GasLog Carriers (the “Guarantors”);</w:t>
      </w: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of the share capital of GasLog, the Guarantors and GasLog LNG Services;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owned ships.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76"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120.0% of the then outstanding amount under the applicable facility. If GasLog fails to comply with these covenants and is not able to obtain covenant waivers or modifications, the lenders could require the Partnership to make prepayments or provide additional collateral sufficient to bring GasLog into compliance with such covenants, and if we fail to do so the lenders could accelerate the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Expenditures in Relation to Vessel Acquisitions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there are no commitments for capital expenditures related to our fleet with respect to vessel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Research and Development, Patents and Licenses, etc.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Trend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 Critical Accounting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w:t>
      </w:r>
      <w:r>
        <w:rPr>
          <w:rFonts w:ascii="Times New Roman" w:cs="Times New Roman" w:eastAsia="Times New Roman" w:hAnsi="Times New Roman"/>
          <w:sz w:val="18"/>
          <w:szCs w:val="18"/>
          <w:color w:val="231F20"/>
        </w:rPr>
        <w:t>policies are those that reflect significant judgments of uncertainties and potentially result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materially different results under different assumptions and conditions. For a description of all our principal accounting policies, see Note 2 to our annual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 and Right-of-use Assets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 For a detailed description of our impairment policy for the year ended December 31, 2024, see Note 2 to our annual consolidated financial statements included elsewhere in this annual report. The disclosure below supplements the description in Note 2 to our annual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in U.S. dollars (i) the historical acquisition cost of our Vessels and Right-of-Use assets and (ii) their carrying value as of December 31, 2023 and December 31, 2024, after giving effect to the aggregate impairment charge of $8.7 million recorded against our two Steam vessels and one TFDE vessel for the year ended December 31, 2024.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Carrying values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0" w:type="dxa"/>
            <w:vAlign w:val="bottom"/>
          </w:tcPr>
          <w:p>
            <w:pPr>
              <w:spacing w:after="0"/>
              <w:rPr>
                <w:sz w:val="1"/>
                <w:szCs w:val="1"/>
                <w:color w:val="auto"/>
              </w:rPr>
            </w:pPr>
          </w:p>
        </w:tc>
      </w:tr>
      <w:tr>
        <w:trPr>
          <w:trHeight w:val="117"/>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40" w:type="dxa"/>
            <w:vAlign w:val="bottom"/>
          </w:tcPr>
          <w:p>
            <w:pPr>
              <w:spacing w:after="0"/>
              <w:rPr>
                <w:sz w:val="10"/>
                <w:szCs w:val="10"/>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Built Date</w:t>
            </w:r>
          </w:p>
        </w:tc>
        <w:tc>
          <w:tcPr>
            <w:tcW w:w="11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4"/>
                <w:szCs w:val="24"/>
                <w:color w:val="auto"/>
                <w:vertAlign w:val="superscript"/>
              </w:rPr>
              <w:t>(2)(3)</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2013</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25"/>
                <w:szCs w:val="25"/>
                <w:color w:val="auto"/>
                <w:vertAlign w:val="superscript"/>
              </w:rPr>
              <w:t>(2)</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March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148,298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25"/>
                <w:szCs w:val="25"/>
                <w:color w:val="auto"/>
                <w:vertAlign w:val="superscript"/>
              </w:rPr>
              <w:t>(2)(3)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May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Seattle</w:t>
            </w:r>
            <w:r>
              <w:rPr>
                <w:rFonts w:ascii="Times New Roman" w:cs="Times New Roman" w:eastAsia="Times New Roman" w:hAnsi="Times New Roman"/>
                <w:sz w:val="25"/>
                <w:szCs w:val="25"/>
                <w:color w:val="auto"/>
                <w:vertAlign w:val="superscript"/>
              </w:rPr>
              <w:t>(5)</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December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146,043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25"/>
                <w:szCs w:val="25"/>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150,559</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25"/>
                <w:szCs w:val="25"/>
                <w:color w:val="auto"/>
                <w:vertAlign w:val="superscript"/>
              </w:rPr>
              <w:t>(4)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April 2006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25"/>
                <w:szCs w:val="25"/>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Alison Victoria</w:t>
            </w:r>
            <w:r>
              <w:rPr>
                <w:rFonts w:ascii="Times New Roman" w:cs="Times New Roman" w:eastAsia="Times New Roman" w:hAnsi="Times New Roman"/>
                <w:sz w:val="25"/>
                <w:szCs w:val="25"/>
                <w:color w:val="auto"/>
                <w:vertAlign w:val="superscript"/>
              </w:rPr>
              <w:t>(4)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May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61,642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25"/>
                <w:szCs w:val="25"/>
                <w:color w:val="auto"/>
                <w:vertAlign w:val="superscript"/>
              </w:rPr>
              <w:t>(2)(3)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Becki Anne</w:t>
            </w:r>
            <w:r>
              <w:rPr>
                <w:rFonts w:ascii="Times New Roman" w:cs="Times New Roman" w:eastAsia="Times New Roman" w:hAnsi="Times New Roman"/>
                <w:sz w:val="25"/>
                <w:szCs w:val="25"/>
                <w:color w:val="auto"/>
                <w:vertAlign w:val="superscript"/>
              </w:rPr>
              <w:t>(4)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September 2010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173,508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25"/>
                <w:szCs w:val="25"/>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March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25"/>
                <w:szCs w:val="25"/>
                <w:color w:val="auto"/>
                <w:vertAlign w:val="superscript"/>
              </w:rPr>
              <w:t>(5)</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June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25"/>
                <w:szCs w:val="25"/>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September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25"/>
                <w:szCs w:val="25"/>
                <w:color w:val="auto"/>
                <w:vertAlign w:val="superscript"/>
              </w:rPr>
              <w:t>(5)</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October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203,835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164,232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158,652</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$ 2,819,932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$ 1,595,964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$ 1,398,236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20" w:hanging="372"/>
        <w:spacing w:after="0" w:line="261" w:lineRule="auto"/>
        <w:tabs>
          <w:tab w:leader="none" w:pos="380" w:val="left"/>
        </w:tabs>
        <w:numPr>
          <w:ilvl w:val="0"/>
          <w:numId w:val="37"/>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Our owned and bareboat vessels are stated at carrying values (see Note 3 and Note 4 to our consolidated financial statements included elsewhere in this annual report).</w:t>
      </w:r>
    </w:p>
    <w:p>
      <w:pPr>
        <w:spacing w:after="0" w:line="162" w:lineRule="exact"/>
        <w:rPr>
          <w:rFonts w:ascii="Times New Roman" w:cs="Times New Roman" w:eastAsia="Times New Roman" w:hAnsi="Times New Roman"/>
          <w:sz w:val="11"/>
          <w:szCs w:val="11"/>
          <w:color w:val="231F20"/>
        </w:rPr>
      </w:pPr>
    </w:p>
    <w:p>
      <w:pPr>
        <w:ind w:left="380" w:right="20" w:hanging="372"/>
        <w:spacing w:after="0" w:line="236" w:lineRule="auto"/>
        <w:tabs>
          <w:tab w:leader="none" w:pos="380" w:val="left"/>
        </w:tabs>
        <w:numPr>
          <w:ilvl w:val="0"/>
          <w:numId w:val="37"/>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 xml:space="preserve">Indicates vessels which have been remeasured at the lower of their carrying amounts and fair values less costs to sell, pursuant to sale and leaseback agreements with third parties and are classified as Right-of-Use Assets in the statement of financial position. In the year ended December 31, 2023, an impairment loss of $0.1 million was recognized with respect to the sale and leaseback of the </w:t>
      </w:r>
      <w:r>
        <w:rPr>
          <w:rFonts w:ascii="Times New Roman" w:cs="Times New Roman" w:eastAsia="Times New Roman" w:hAnsi="Times New Roman"/>
          <w:sz w:val="14"/>
          <w:szCs w:val="14"/>
          <w:i w:val="1"/>
          <w:iCs w:val="1"/>
          <w:color w:val="auto"/>
        </w:rPr>
        <w:t>GasLog Sydney</w:t>
      </w:r>
      <w:r>
        <w:rPr>
          <w:rFonts w:ascii="Times New Roman" w:cs="Times New Roman" w:eastAsia="Times New Roman" w:hAnsi="Times New Roman"/>
          <w:sz w:val="14"/>
          <w:szCs w:val="14"/>
          <w:color w:val="auto"/>
        </w:rPr>
        <w:t>. Each vessel sold and leased back is recognized as a Right-of-Use Asset at an amount equal to the proportion of its previous carrying amount that reflects the Right-of-Use Asset retained.</w:t>
      </w:r>
    </w:p>
    <w:p>
      <w:pPr>
        <w:spacing w:after="0" w:line="176" w:lineRule="exact"/>
        <w:rPr>
          <w:rFonts w:ascii="Times New Roman" w:cs="Times New Roman" w:eastAsia="Times New Roman" w:hAnsi="Times New Roman"/>
          <w:sz w:val="11"/>
          <w:szCs w:val="11"/>
          <w:color w:val="231F20"/>
        </w:rPr>
      </w:pPr>
    </w:p>
    <w:p>
      <w:pPr>
        <w:ind w:left="380" w:right="200" w:hanging="372"/>
        <w:spacing w:after="0" w:line="261" w:lineRule="auto"/>
        <w:tabs>
          <w:tab w:leader="none" w:pos="380" w:val="left"/>
        </w:tabs>
        <w:numPr>
          <w:ilvl w:val="0"/>
          <w:numId w:val="37"/>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The decreased market rates for the Steam and TDFE vessels in 2024 were assessed as impairment indicators with respect to right-of-use assets as of December 31, 2024. For one of these vessels, an impairment loss of $0.7 million was recorded for the year ended December 31, 2024.</w:t>
      </w:r>
    </w:p>
    <w:p>
      <w:pPr>
        <w:spacing w:after="0" w:line="162" w:lineRule="exact"/>
        <w:rPr>
          <w:rFonts w:ascii="Times New Roman" w:cs="Times New Roman" w:eastAsia="Times New Roman" w:hAnsi="Times New Roman"/>
          <w:sz w:val="11"/>
          <w:szCs w:val="11"/>
          <w:color w:val="231F20"/>
        </w:rPr>
      </w:pPr>
    </w:p>
    <w:p>
      <w:pPr>
        <w:ind w:left="380" w:right="120" w:hanging="372"/>
        <w:spacing w:after="0" w:line="261" w:lineRule="auto"/>
        <w:tabs>
          <w:tab w:leader="none" w:pos="380" w:val="left"/>
        </w:tabs>
        <w:numPr>
          <w:ilvl w:val="0"/>
          <w:numId w:val="37"/>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Indicates our owned vessels for which, as of December 31, 2024, the basic charter-free market value is lower than the vessel’s carrying value by $49.5 million as of December 31, 2024. For two of the Steam vessels, an aggregate impairment loss of $8.2 million was recognized for the year ended December 31, 2024.</w:t>
      </w:r>
    </w:p>
    <w:p>
      <w:pPr>
        <w:spacing w:after="0" w:line="162" w:lineRule="exact"/>
        <w:rPr>
          <w:rFonts w:ascii="Times New Roman" w:cs="Times New Roman" w:eastAsia="Times New Roman" w:hAnsi="Times New Roman"/>
          <w:sz w:val="11"/>
          <w:szCs w:val="11"/>
          <w:color w:val="231F20"/>
        </w:rPr>
      </w:pPr>
    </w:p>
    <w:p>
      <w:pPr>
        <w:ind w:left="380" w:hanging="372"/>
        <w:spacing w:after="0"/>
        <w:tabs>
          <w:tab w:leader="none" w:pos="380" w:val="left"/>
        </w:tabs>
        <w:numPr>
          <w:ilvl w:val="0"/>
          <w:numId w:val="37"/>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auto"/>
        </w:rPr>
        <w:t>Indicates vessels for which, as of December 31, 2024, the basic charter free market value is higher than the vessel’s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Directors and Senior Management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Despoina Kyritsi and Konstantinos Andreou. Officers are elected from time to time by vote of our board of directors and hold office until a successor is elected.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446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4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Directors/Chief Executive Officer</w:t>
            </w: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Despoina Kyritsi</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Andreou</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108"/>
        </w:trPr>
        <w:tc>
          <w:tcPr>
            <w:tcW w:w="24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60" w:type="dxa"/>
            <w:vAlign w:val="bottom"/>
          </w:tcPr>
          <w:p>
            <w:pPr>
              <w:spacing w:after="0"/>
              <w:rPr>
                <w:sz w:val="9"/>
                <w:szCs w:val="9"/>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was appointed as Chief Executive Officer (“CEO”) of GasLog in March 2022 and Chairman and CEO of GasLog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in August 2021. Prior to that, Paolo held the role of Chief Operating Officer (“COO”) from September 2019. Before joining GasLog, Paolo was Managing Director of Stolt Tankers BV Rotterdam, a subsidiary of Stolt Nielsen Limited (“Stolt Nielsen”), where he was responsible for the operation of over 100 chemical tankers, 200 people ashore and over 4,000 seafarers. Prior to joining Stolt Nielsen in 2008, Mr. Enoizi was Managing Director of a family-owned ship management company. His previous roles also included Director of Technical &amp; Innovation and General Manager of Newbuilding &amp; Technical. Prior to joining Stolt Nielsen in 2008, Paolo was Managing Director of a family-owned ship management company. Paolo brings over 20 years of experience in growth and transformational strategy in ship management, cost optimization, innovative asset solutions and digital tools, with a constant focus on safety, care for people and the development of a more sustainable and more safe environment. He holds a Master’s degree in Naval Architecture and Marine Engineering from the University of Genova.</w:t>
      </w:r>
    </w:p>
    <w:p>
      <w:pPr>
        <w:spacing w:after="0" w:line="185"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Despoina Kyritsi </w:t>
      </w:r>
      <w:r>
        <w:rPr>
          <w:rFonts w:ascii="Times New Roman" w:cs="Times New Roman" w:eastAsia="Times New Roman" w:hAnsi="Times New Roman"/>
          <w:sz w:val="18"/>
          <w:szCs w:val="18"/>
          <w:color w:val="auto"/>
        </w:rPr>
        <w:t>was appointed to the Board of Directors and the Audit Committee in January 2024. Ms. Kyritsi, after 10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Finance, Accounting &amp; Controlling with DHL Global Forwarding, moved on to the shipping industry and DryLog, as a Business Analyst, reporting to its board, leading strategic projects, such as M&amp;A, Corporate Restructuring and Regulatory Compliance. Ms. Kyritsi is a Fellow of the Institute of Chartered Shipbrokers (ICS), and a Certified Accountant (Greek Chamber of Economics), holding a degree in Business Administration from the Athens University of Economics and Business, and an MSc in Financial Analysis for Executives from the University of Piraeus in Greece.</w:t>
      </w:r>
    </w:p>
    <w:p>
      <w:pPr>
        <w:spacing w:after="0" w:line="182" w:lineRule="exact"/>
        <w:rPr>
          <w:sz w:val="20"/>
          <w:szCs w:val="20"/>
          <w:color w:val="auto"/>
        </w:rPr>
      </w:pPr>
    </w:p>
    <w:p>
      <w:pPr>
        <w:ind w:right="220" w:firstLine="324"/>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Konstantinos Andreou </w:t>
      </w:r>
      <w:r>
        <w:rPr>
          <w:rFonts w:ascii="Times New Roman" w:cs="Times New Roman" w:eastAsia="Times New Roman" w:hAnsi="Times New Roman"/>
          <w:sz w:val="18"/>
          <w:szCs w:val="18"/>
          <w:color w:val="auto"/>
        </w:rPr>
        <w:t>was appointed to the Board of Directors and the Audit Committee on January 1, 2024. A corporate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law expert with over 15 years of experience, including more than 10 years as an in-house lawyer for the CERES Group (shipping), acting as Legal Counsel and Chief Compliance Officer. Mr. Andreou is currently leading the Legal, Regulatory Affairs and Grants/Subsidies at EcoLog Ltd., a midstream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and liquid hydrogen services company developing large scale service platforms in CCUS and the LH</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supply. Mr. Andreou has an LL.B./LL.M. from Université Lille II Droit et Santé, an LL.M. from City University London and an E.M.B.A. from HEC Paris Business School.</w:t>
      </w:r>
    </w:p>
    <w:p>
      <w:pPr>
        <w:spacing w:after="0" w:line="19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Achilleas Tasioulas </w:t>
      </w:r>
      <w:r>
        <w:rPr>
          <w:rFonts w:ascii="Times New Roman" w:cs="Times New Roman" w:eastAsia="Times New Roman" w:hAnsi="Times New Roman"/>
          <w:sz w:val="18"/>
          <w:szCs w:val="18"/>
          <w:color w:val="auto"/>
        </w:rPr>
        <w:t>has served as Chief Financial Officer (“CFO”) of GasLog since July 2020. Mr. Tasioulas joined GasLog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2014 as Financial Controller and his role was expanded to Chief Risk Officer, Financial Controller and Head of Tax in August 2017 and Deputy CFO of GasLog in December 2019 and has over 16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Mr. Tasioulas is an ICAEW Fellow Chartered Accountant, has an MSc in Project Analysis, Finance and Investments from the University of York in the UK and a BSc in Economics from the University of Macedonia in Greece. Furthermore, Mr. Tasioulas has completed executive education programs in Advance Corporate Finance in London Business School and Strategic Financial Leadership in Stanford University Graduate School of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Konstantinos Karathanos </w:t>
      </w:r>
      <w:r>
        <w:rPr>
          <w:rFonts w:ascii="Times New Roman" w:cs="Times New Roman" w:eastAsia="Times New Roman" w:hAnsi="Times New Roman"/>
          <w:sz w:val="18"/>
          <w:szCs w:val="18"/>
          <w:color w:val="auto"/>
        </w:rPr>
        <w:t>was appointed COO of GasLog and GasLog Partners on February 11, 2022. Prior to this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 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 of the audit committee.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w:t>
      </w:r>
    </w:p>
    <w:p>
      <w:pPr>
        <w:spacing w:after="0" w:line="179" w:lineRule="exact"/>
        <w:rPr>
          <w:sz w:val="20"/>
          <w:szCs w:val="20"/>
          <w:color w:val="auto"/>
        </w:rPr>
      </w:pPr>
    </w:p>
    <w:p>
      <w:pPr>
        <w:ind w:right="5580" w:firstLine="8"/>
        <w:spacing w:after="0" w:line="503" w:lineRule="auto"/>
        <w:tabs>
          <w:tab w:leader="none" w:pos="324" w:val="left"/>
        </w:tabs>
        <w:numPr>
          <w:ilvl w:val="0"/>
          <w:numId w:val="3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Compensation of Directors and Senior Management Reimbursement of Expenses of Our General Partner</w:t>
      </w: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Compensation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The services of our executive officers and other employees are provided pursuant to the updated/amended administrative services agreement, under which we pay an annual fee. For 2024, our executive officers were Paolo Enoizi, CEO, Achilleas Tasioulas, CFO, Konstantinos Karathanos, COO and Matthew Higgs, CCO.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2024 to provide pension, retirement or similar benefits to our senior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of Directors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2024, our non-executive directors receive an annual fee of $25,000. The aggregate annual fees paid to non-executive directors in 2024 was $50,000. In addition, each director is reimbursed for out-of-pocket expenses in connection with attending meetings of the board of directors or committees.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Compensation Plan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January 2015, our board of directors approved the GasLog Partners LP 2015 Long-Term Incentive Plan (the “Plan”). The purpose of the Plan was to promote the interests of the Partnership and its unitholders by attracting and retaining exceptional directors, officers, employees and consultants and enabling such individuals to participate in the long-term growth and financial success of the Partnership. The Plan provided for the grant of options to purchase our common units, common unit appreciation rights, restricted common units, phantom performance common units, cash incentive awards and other equity-based or equity-related awards. On April 1, 2023, we granted our executive officers and employees an aggregate of 87,919 restricted common units, with a fair value of $735,000 as of the grant date.</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Following the completion of the GasLog Partners Transaction, the previously unvested RCUs and PCUs vested and were settled. The PCUs vested with performance goals deemed achieved based on actual achievement as of immediately prior to the Effective Time. Since the completion of the GasLog Partners Transaction, we do not provide any type of Equity Compensation Plan or Long-Term Incentive Plan.</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Board Practices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83"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Following the GasLog Partners Transaction pursuant to which GasLog acquired 100% of our common units, we amended our Partnership Agreement to provide that all of our directors are appointed by our general partner in its sole discretion. Mr. Enoizi was appointed as a director and our CEO on August 1, 2021. Ms. Kyritsi and Mr. Andreou were appointed by GasLog effective as of January 1, 2024. Our directors, which are all appointed by our general partner serve until a successor is duly appointed by the general partner.</w:t>
      </w:r>
    </w:p>
    <w:p>
      <w:pPr>
        <w:spacing w:after="0" w:line="16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Ms. Kyritsi and Mr. Andreou were determined by our board to be independent under the standards of the NYSE and the rules and regulations of the SEC.</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us and any of our directors providing for benefits upon termination of their employment or service.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and we only have preferred units listed on the NYSE. Under the securities laws of the United States, “foreign private issuers” are subject to different disclosure requirements than U.S. domiciled registrants, as well as different financial reporting requirements. Under the NYSE rules, “foreign private issuers” and issuers who list only preferred units are exempt from most corporate governance requirements. Subject to limited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and a nominating/corporate governance committee be established. Two of our three directors qualify as independent as of January 1, 2025. As a result of the NYSE exemptions,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meets regularly throughout the year. In 2024, the board met three times. As part of our board meetings, our independent directors meet without the non-independent directors in attendance. In addition, when required, the board holds sessions without the CEO and executive officers present.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an audit committee that, among other things, reviews our external financial reporting, engages our external auditors and oversees our internal audit activities and procedures and the adequacy of our internal accounting controls. On January 1, 2024, Mr. Julian R. Metherell and Mr. James Berner stepped down from the audit committee, and Ms. Despoina Kyritsi and Mr. Konstantinos Andreou have been appointed to serve as members of the audit committee. Their service continued throughout 2024, with Ms. Despoina Kyritsi also acting as chair of the committee.</w:t>
      </w:r>
    </w:p>
    <w:p>
      <w:pPr>
        <w:spacing w:after="0" w:line="183"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 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 xml:space="preserve">http://www.gaslogmlp.com. </w:t>
      </w:r>
      <w:r>
        <w:rPr>
          <w:rFonts w:ascii="Times New Roman" w:cs="Times New Roman" w:eastAsia="Times New Roman" w:hAnsi="Times New Roman"/>
          <w:sz w:val="18"/>
          <w:szCs w:val="18"/>
          <w:color w:val="auto"/>
        </w:rPr>
        <w:t>The information contained on or connected to our website is not a part of this annual report. We will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Exemptions from NYSE Corporate Governance Rules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and we only have preferred units listed on the NYSE, we are exempt from most corporate governance requirements of the NYSE. As a “foreign private issuer”,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D.</w:t>
      </w:r>
      <w:r>
        <w:rPr>
          <w:sz w:val="20"/>
          <w:szCs w:val="20"/>
          <w:color w:val="auto"/>
        </w:rPr>
        <w:tab/>
      </w:r>
      <w:r>
        <w:rPr>
          <w:rFonts w:ascii="Times New Roman" w:cs="Times New Roman" w:eastAsia="Times New Roman" w:hAnsi="Times New Roman"/>
          <w:sz w:val="17"/>
          <w:szCs w:val="17"/>
          <w:b w:val="1"/>
          <w:bCs w:val="1"/>
          <w:color w:val="231F20"/>
        </w:rPr>
        <w:t>Employees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2024, GasLog employed (directly and through manning agents) approximately 1,821 seafaring staff who serve on GasLog’s owned and managed vessels (including our fleet) as well as an average of 145 shore-based staff during 2024. As of December 31, 2023, GasLog employed (directly and through manning agents) approximately 2,019 seafaring staff who serve on GasLog’s owned and managed vessels (including our fleet) as well as an average of 149 shore-based staff during 2023. As of December 31, 2022, GasLog employed (directly and through manning agents) approximately 2,204 seafaring staff who serve on GasLog’s owned and managed vessels (including our fleet) as well as an average of 152 shore-based staff during 2022.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engaged, resilient and well-qualified seagoing and shore-based personnel is a top priority, and it offers competitive compensation,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2024, the retention rate was 97.6% for senior seagoing officers, 97.3% for other seagoing officers and 96.5% for shore staff.</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compensation and benefit structure and by certain provisions in our time charters, including automatic periodic adjustment and cost review provisions.</w:t>
      </w:r>
    </w:p>
    <w:p>
      <w:pPr>
        <w:spacing w:after="0" w:line="187"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Share Ownership</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No common units are held by any of our directors and executive officers and/or entities affiliated with these individuals. More information on the Partnership’s ownership is disclosed in “Item 7. Major Unitholders and Related Party Transactions—A. Major Unitholders” below. For information regarding arrangements for involving the employees in the capital of the company, see “Item 6. Directors, Senior Management and Employees- B. Compensation of Directors and Senior Management”.</w:t>
      </w:r>
    </w:p>
    <w:p>
      <w:pPr>
        <w:spacing w:after="0" w:line="176" w:lineRule="exact"/>
        <w:rPr>
          <w:sz w:val="20"/>
          <w:szCs w:val="20"/>
          <w:color w:val="auto"/>
        </w:rPr>
      </w:pPr>
    </w:p>
    <w:p>
      <w:pPr>
        <w:ind w:left="340" w:right="3140" w:hanging="332"/>
        <w:spacing w:after="0" w:line="537" w:lineRule="auto"/>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UNITHOLDERS AND RELATED PARTY TRANSACTIONS</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Major Unitholders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outstanding common units as of March 7, 2025 held by:</w:t>
      </w:r>
    </w:p>
    <w:p>
      <w:pPr>
        <w:spacing w:after="0" w:line="121"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executive officers;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directors;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our directors and officers as a group;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holder known to us to beneficially own 5% or more of our units;</w:t>
      </w:r>
    </w:p>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an aggregate of 16,036,602 common units outstanding as of March 7, 2025. Each issued and outstanding common unit entitles the unitholder to one vote. Information for certain holders is based on their latest filings with the SEC or information delivered to us. Except as noted below, the address of all unitholders, officers and directors identified in the table and the accompanying footnotes below is in care of our principal executive offices.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Common Units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Beneficially</w:t>
            </w:r>
          </w:p>
        </w:tc>
        <w:tc>
          <w:tcPr>
            <w:tcW w:w="0" w:type="dxa"/>
            <w:vAlign w:val="bottom"/>
          </w:tcPr>
          <w:p>
            <w:pPr>
              <w:spacing w:after="0"/>
              <w:rPr>
                <w:sz w:val="1"/>
                <w:szCs w:val="1"/>
                <w:color w:val="auto"/>
              </w:rPr>
            </w:pPr>
          </w:p>
        </w:tc>
      </w:tr>
      <w:tr>
        <w:trPr>
          <w:trHeight w:val="173"/>
        </w:trPr>
        <w:tc>
          <w:tcPr>
            <w:tcW w:w="698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4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4"/>
                <w:szCs w:val="14"/>
                <w:b w:val="1"/>
                <w:bCs w:val="1"/>
                <w:color w:val="231F20"/>
              </w:rPr>
              <w:t>Owned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gridSpan w:val="4"/>
            <w:vMerge w:val="continue"/>
          </w:tcPr>
          <w:p>
            <w:pPr>
              <w:spacing w:after="0"/>
              <w:rPr>
                <w:sz w:val="12"/>
                <w:szCs w:val="12"/>
                <w:color w:val="auto"/>
              </w:rPr>
            </w:pPr>
          </w:p>
        </w:tc>
        <w:tc>
          <w:tcPr>
            <w:tcW w:w="11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Despoina Kyritsi</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Konstantinos Andreou</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Konstantinos Karathanos</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5% beneficial owners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9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GasLog Ltd.</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16,036,602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line="261" w:lineRule="auto"/>
        <w:tabs>
          <w:tab w:leader="none" w:pos="340" w:val="left"/>
        </w:tabs>
        <w:numPr>
          <w:ilvl w:val="0"/>
          <w:numId w:val="41"/>
        </w:numPr>
        <w:rPr>
          <w:rFonts w:ascii="Times New Roman" w:cs="Times New Roman" w:eastAsia="Times New Roman" w:hAnsi="Times New Roman"/>
          <w:sz w:val="11"/>
          <w:szCs w:val="11"/>
          <w:color w:val="231F20"/>
        </w:rPr>
      </w:pPr>
      <w:r>
        <w:rPr>
          <w:rFonts w:ascii="Times New Roman" w:cs="Times New Roman" w:eastAsia="Times New Roman" w:hAnsi="Times New Roman"/>
          <w:sz w:val="14"/>
          <w:szCs w:val="14"/>
          <w:color w:val="231F20"/>
        </w:rPr>
        <w:t>GasLog Ltd. is effectively controlled by its chairman, Peter G. Livanos, who is deemed to beneficially own, directly or indirectly, 43.5% of the issued and outstanding common shares of GasLog Ltd.</w:t>
      </w:r>
    </w:p>
    <w:p>
      <w:pPr>
        <w:spacing w:after="0" w:line="1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July 13, 2023, the GasLog Partners Transaction closed. Pursuant to the Merger Agreement with GasLog, GasLog acquired the outstanding common units of the Partnership not already beneficially owned by GasLog. We are not aware of any other arrangements the operation of which may at a subsequent date result in a change of control of the Company. For additional information, see “Item 4. Information on the Partnership—B. Business Overview—Overview”.</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GasLog Partners Transaction, we have no common unitholders of record located in the United States.</w:t>
      </w:r>
    </w:p>
    <w:p>
      <w:pPr>
        <w:spacing w:after="0" w:line="185"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Each outstanding common unit is entitled to one vote on matters subject to a vote of common unitholders. 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our Preference Units to elect a member of our board of directors will continue until such time as all accumulated and unpaid dividends on the applicable series of Preference Units have been paid in full.</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the completion of the GasLog Partners Transaction, GasLog controls the Partnership’s affairs and policies. See “Item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Senior Management and Employees—C. Board Practices”.</w:t>
      </w:r>
    </w:p>
    <w:p>
      <w:pPr>
        <w:spacing w:after="0" w:line="20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Related Party Transactions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2024 are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Omnibus Agreement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May 12, 2014, we entered into an omnibus agreement with GasLog, our general partner and certain of our other subsidiaries. On July 21, 2023, the omnibus agreement was terminated. The omnibus agreement governed, among other things, (i) when and the extent to which the Partnership and GasLog might compete against each other, (ii) the time and value at which the Partnership might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Administrative Services Agreement</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76"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is a change of control of us or our general partner;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receiver is appointed for all or substantially all of our property;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to wind up our partnership;</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final judgment or order that materially and adversely affects our ability to perform the agreement is obtained or entered and not vacated, discharged or stayed; or</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make a general assignment for the benefit of our creditors, file a petition in bankruptcy or liquidation or commence any reorganization proceedings.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administrative services provided by GasLog include:</w:t>
      </w:r>
    </w:p>
    <w:p>
      <w:pPr>
        <w:spacing w:after="0" w:line="223" w:lineRule="exact"/>
        <w:rPr>
          <w:sz w:val="20"/>
          <w:szCs w:val="20"/>
          <w:color w:val="auto"/>
        </w:rPr>
      </w:pPr>
    </w:p>
    <w:p>
      <w:pPr>
        <w:ind w:left="680" w:right="280" w:hanging="321"/>
        <w:spacing w:after="0" w:line="284"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bookkeeping, audit and accounting services: </w:t>
      </w:r>
      <w:r>
        <w:rPr>
          <w:rFonts w:ascii="Times New Roman" w:cs="Times New Roman" w:eastAsia="Times New Roman" w:hAnsi="Times New Roman"/>
          <w:sz w:val="18"/>
          <w:szCs w:val="18"/>
          <w:color w:val="231F20"/>
        </w:rPr>
        <w:t>assistance with the maintenance of our corporate books and records, assistance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with the preparation of our tax returns and arranging for the provision of audit and accounting services;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legal and insurance services: </w:t>
      </w:r>
      <w:r>
        <w:rPr>
          <w:rFonts w:ascii="Times New Roman" w:cs="Times New Roman" w:eastAsia="Times New Roman" w:hAnsi="Times New Roman"/>
          <w:sz w:val="18"/>
          <w:szCs w:val="18"/>
          <w:color w:val="231F20"/>
        </w:rPr>
        <w:t>arranging for the provision of legal, insurance and other professional services and maintaining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existence and good standing in necessary jurisdictions;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680" w:right="60" w:hanging="321"/>
        <w:spacing w:after="0" w:line="261"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administrative and clerical services: </w:t>
      </w:r>
      <w:r>
        <w:rPr>
          <w:rFonts w:ascii="Times New Roman" w:cs="Times New Roman" w:eastAsia="Times New Roman" w:hAnsi="Times New Roman"/>
          <w:sz w:val="18"/>
          <w:szCs w:val="18"/>
          <w:color w:val="231F20"/>
        </w:rPr>
        <w:t>assistance with personnel administration, payroll and office space, arranging meetings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common 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9" w:lineRule="exact"/>
        <w:rPr>
          <w:rFonts w:ascii="Times New Roman" w:cs="Times New Roman" w:eastAsia="Times New Roman" w:hAnsi="Times New Roman"/>
          <w:sz w:val="18"/>
          <w:szCs w:val="18"/>
          <w:color w:val="auto"/>
        </w:rPr>
      </w:pPr>
    </w:p>
    <w:p>
      <w:pPr>
        <w:ind w:left="680" w:right="140" w:hanging="321"/>
        <w:spacing w:after="0" w:line="267"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banking and financing services: </w:t>
      </w:r>
      <w:r>
        <w:rPr>
          <w:rFonts w:ascii="Times New Roman" w:cs="Times New Roman" w:eastAsia="Times New Roman" w:hAnsi="Times New Roman"/>
          <w:sz w:val="18"/>
          <w:szCs w:val="18"/>
          <w:color w:val="231F20"/>
        </w:rPr>
        <w:t>providing treasury and cash management services including assistance with identifying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accessing sources of capital, preparation of budgets, overseeing banking services and bank accounts, arranging for the deposit of funds and monitoring and maintaining compliance therewith and financial risk management;</w:t>
      </w:r>
    </w:p>
    <w:p>
      <w:pPr>
        <w:spacing w:after="0" w:line="17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advisory services: </w:t>
      </w:r>
      <w:r>
        <w:rPr>
          <w:rFonts w:ascii="Times New Roman" w:cs="Times New Roman" w:eastAsia="Times New Roman" w:hAnsi="Times New Roman"/>
          <w:sz w:val="18"/>
          <w:szCs w:val="18"/>
          <w:color w:val="231F20"/>
        </w:rPr>
        <w:t>assistance in complying with United States and other relevant securities laws;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4"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client and investor relations: </w:t>
      </w:r>
      <w:r>
        <w:rPr>
          <w:rFonts w:ascii="Times New Roman" w:cs="Times New Roman" w:eastAsia="Times New Roman" w:hAnsi="Times New Roman"/>
          <w:sz w:val="18"/>
          <w:szCs w:val="18"/>
          <w:color w:val="231F20"/>
        </w:rPr>
        <w:t>arranging for the provision of advisory, clerical and investor relations services to assist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support us in our communications with our unitholders; and</w:t>
      </w:r>
    </w:p>
    <w:p>
      <w:pPr>
        <w:spacing w:after="0" w:line="16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assistance with the integration of any acquired businesses.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For the year ended December 31, 2024, GasLog received a service fee of $0.64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 under the administrative services agreement for the year ended December 31, 2024 was $9.0 million, which related to all vessels in the GasLog Partners owned and bareboat fleet.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Ship Management Agreements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All vessels in our fleet have entered into a ship management agreement with GasLog LNG Services, pursuant to which certain crew and technical services are provided by GasLog LNG Services. Under these ship management agreements, our operating subsidiaries pay fees to and reimburse the costs and expenses of the manager as described below.</w:t>
      </w:r>
    </w:p>
    <w:p>
      <w:pPr>
        <w:spacing w:after="0" w:line="174"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Management services. </w:t>
      </w:r>
      <w:r>
        <w:rPr>
          <w:rFonts w:ascii="Times New Roman" w:cs="Times New Roman" w:eastAsia="Times New Roman" w:hAnsi="Times New Roman"/>
          <w:sz w:val="18"/>
          <w:szCs w:val="18"/>
          <w:color w:val="auto"/>
        </w:rPr>
        <w:t>Each amended ship management agreement requires that GasLog LNG Services and its subcontractors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best endeavors to perform, among others, the following management services:</w:t>
      </w:r>
    </w:p>
    <w:p>
      <w:pPr>
        <w:spacing w:after="0" w:line="160" w:lineRule="exact"/>
        <w:rPr>
          <w:sz w:val="20"/>
          <w:szCs w:val="20"/>
          <w:color w:val="auto"/>
        </w:rPr>
      </w:pPr>
    </w:p>
    <w:p>
      <w:pPr>
        <w:ind w:left="680" w:right="6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suitably and adequately qualified crew for the vessel in accordance with the requirements of the owner and the attendance to all matters pertaining to training, labor relations, insurance and amenities of the crew;</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1"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applicable documentation of compliance and safety management certificates;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17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procurement of all stores, spares, equipment, provisions, oils, fuels and any other goods, material or services to be supplied to the vessel;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handling and settlement of claims relating to the vessel, including any claims involving the charterers;</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navigation of the vessel, handling of all necessary communication, and management of cargo operations of the vessel;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arrangement, maintenance and preparation for suitable moorings for vessels for lay-up.</w:t>
      </w:r>
    </w:p>
    <w:p>
      <w:pPr>
        <w:spacing w:after="0" w:line="22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Management fee. </w:t>
      </w:r>
      <w:r>
        <w:rPr>
          <w:rFonts w:ascii="Times New Roman" w:cs="Times New Roman" w:eastAsia="Times New Roman" w:hAnsi="Times New Roman"/>
          <w:sz w:val="18"/>
          <w:szCs w:val="18"/>
          <w:color w:val="auto"/>
        </w:rPr>
        <w:t>For the year ended December 31, 2024, pursuant to the amended ship management agreements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2021, the vessel-owning subsidiaries, as owners, paid a management fee of $37,500 per month to GasLog LNG Services, as manager, and will reimburse GasLog LNG Services for all expenses incurred on their behalf. The aggregate fees and expenses for services under these management agreements for the year ended December 31, 2024 were $6.3 million, which related to all vessels in the GasLog Partners owned and bareboat fleet.</w:t>
      </w:r>
    </w:p>
    <w:p>
      <w:pPr>
        <w:spacing w:after="0" w:line="18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Each ship management agreement continues indefinitely until terminated by either party as described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Automatic termination and termination by either party. </w:t>
      </w:r>
      <w:r>
        <w:rPr>
          <w:rFonts w:ascii="Times New Roman" w:cs="Times New Roman" w:eastAsia="Times New Roman" w:hAnsi="Times New Roman"/>
          <w:sz w:val="18"/>
          <w:szCs w:val="18"/>
          <w:color w:val="auto"/>
        </w:rPr>
        <w:t>Each ship management agreement will be deemed to be terminated if:</w:t>
      </w:r>
    </w:p>
    <w:p>
      <w:pPr>
        <w:spacing w:after="0" w:line="227" w:lineRule="exact"/>
        <w:rPr>
          <w:sz w:val="20"/>
          <w:szCs w:val="20"/>
          <w:color w:val="auto"/>
        </w:rPr>
      </w:pPr>
    </w:p>
    <w:p>
      <w:pPr>
        <w:ind w:left="680" w:right="16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vessel is sold, becomes a total loss, is declared as a constructive, compromised or arranged total loss or is requisitioned for hire; or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74"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by the manager. </w:t>
      </w:r>
      <w:r>
        <w:rPr>
          <w:rFonts w:ascii="Times New Roman" w:cs="Times New Roman" w:eastAsia="Times New Roman" w:hAnsi="Times New Roman"/>
          <w:sz w:val="18"/>
          <w:szCs w:val="18"/>
          <w:color w:val="auto"/>
        </w:rPr>
        <w:t>Under each ship management agreement, the manager may terminate the ship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immediate effect by written notice if:</w:t>
      </w:r>
    </w:p>
    <w:p>
      <w:pPr>
        <w:spacing w:after="0" w:line="160" w:lineRule="exact"/>
        <w:rPr>
          <w:sz w:val="20"/>
          <w:szCs w:val="20"/>
          <w:color w:val="auto"/>
        </w:rPr>
      </w:pPr>
    </w:p>
    <w:p>
      <w:pPr>
        <w:ind w:left="680" w:right="6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money payable to the manager pursuant to the agreement has not been paid within 30 days of payment having been requested in writing by the manager;</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fails to cease employment of the vessel in an unlawful trade or on a voyage, which in the reasonable opinion of the manager, is unduly hazardous, within a reasonable time after receiving notice from the manager;</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relevant ship management agreement or any of the owner’s rights or obligations are assigned to any person or entity without the manager’s prior written agreement or approval; or</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7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Termination by the owner. </w:t>
      </w:r>
      <w:r>
        <w:rPr>
          <w:rFonts w:ascii="Times New Roman" w:cs="Times New Roman" w:eastAsia="Times New Roman" w:hAnsi="Times New Roman"/>
          <w:sz w:val="17"/>
          <w:szCs w:val="17"/>
          <w:color w:val="auto"/>
        </w:rPr>
        <w:t>Under each ship management agreement, the owner may terminate the applicable agreement by giving 90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written notice 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Additional fees and provisions. </w:t>
      </w:r>
      <w:r>
        <w:rPr>
          <w:rFonts w:ascii="Times New Roman" w:cs="Times New Roman" w:eastAsia="Times New Roman" w:hAnsi="Times New Roman"/>
          <w:sz w:val="18"/>
          <w:szCs w:val="18"/>
          <w:color w:val="auto"/>
        </w:rPr>
        <w:t>Under each ship management agreement, the manager and its employees, agents and subcontractors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indemnified 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Management Agreements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operating subsidiaries have entered into commercial management agreements with GasLog that were amended upon completion of the IPO, pursuant to which GasLog provides certain commercial management services to us. For the year ended December 31, 2024, pursuant to the amended commercial management agreements approved in November 2021, the commercial management fee was paid as a fixed commission of 1.25% of gross charter revenues of all vessels in the GasLog Partners’ fleet payable monthly in advance. The aggregate fees and expenses under these commercial management agreements for the year ended December 31, 2024 were $4.5 million which related to all vessels in the GasLog Partners owned and bareboat fleet.</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amended commercial management agreements require that GasLog use their best endeavors to perform, among others, the following management services:</w:t>
      </w:r>
    </w:p>
    <w:p>
      <w:pPr>
        <w:spacing w:after="0" w:line="162" w:lineRule="exact"/>
        <w:rPr>
          <w:sz w:val="20"/>
          <w:szCs w:val="20"/>
          <w:color w:val="auto"/>
        </w:rPr>
      </w:pPr>
    </w:p>
    <w:p>
      <w:pPr>
        <w:ind w:left="680" w:right="60" w:hanging="321"/>
        <w:spacing w:after="0" w:line="258"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administration of invoicing and collection of hire payables;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assessment of the market on specific issues and provision of such consultancy services as the owners may from time to time require.</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2020, the Commercial Management Agreements were novated from GasLog Ltd. to GasLog LNG Services. The novation was completed to accurately reflect the Group entity providing the commercial management services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Credit Facilities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November 2, 2023, in connection with GasLog, as Borrower, entering into the Facility in the amount of $2.8 billion, we and GasLog Partners Holdings entered into a guarantee pursuant to which we and GasLog Partners Holdings guaranteed up to the amount of outstanding loan available. As of December 31, 2024 the amount outstanding under the Facility was $2,107.0 million. See “Item 5. Operating and Financial Review and Prospects – B. 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Merger Agreement</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231F20"/>
        </w:rPr>
        <w:t>On April 6, 2023, GasLog entered into the GasLog Partners Merger Agreement with GasLog, the general partner and the Merger Sub. For additional information, see “Item 4. Information of the Partnership––A. History and Development of the Partnership”.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Related Party Transactions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disinterested directors of our board. Neither our general partner nor our board of directors will be in breach of their obligations under the partnership agreement or their duties stated or implied by law or equity if the transaction is approved by the disinterested directors of our board. If approval of the disinterested directors of our board is sought, then the disinterested directors of our board will be authorized to consider any and all factors as it determines to be relevant or appropriate under the circumstances and it will be presumed that, in making its decision, the disinterested directors of our board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Transactions with our affiliates that are not approved by the disinterested directors of our board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disinterested directors of our board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pacing w:after="0" w:line="184" w:lineRule="exact"/>
        <w:rPr>
          <w:sz w:val="20"/>
          <w:szCs w:val="20"/>
          <w:color w:val="auto"/>
        </w:rPr>
      </w:pPr>
    </w:p>
    <w:p>
      <w:pPr>
        <w:ind w:left="340" w:right="7080" w:hanging="332"/>
        <w:spacing w:after="0" w:line="537" w:lineRule="auto"/>
        <w:tabs>
          <w:tab w:leader="none" w:pos="340" w:val="left"/>
        </w:tabs>
        <w:numPr>
          <w:ilvl w:val="0"/>
          <w:numId w:val="5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Interests of Experts and Counsel </w:t>
      </w:r>
      <w:r>
        <w:rPr>
          <w:rFonts w:ascii="Times New Roman" w:cs="Times New Roman" w:eastAsia="Times New Roman" w:hAnsi="Times New Roman"/>
          <w:sz w:val="18"/>
          <w:szCs w:val="18"/>
          <w:color w:val="000000"/>
        </w:rPr>
        <w:t>Not applicable.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Proceedings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Preference Units Distribution Requirements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the Series A Preference Units, from and including May 15, 2017 to, but excluding, June 15, 2027, the distribution rate is 8.625% per annum per $25.00 of liquidation preference per unit (equal to $2.15625 per annum per unit). The terms of the Series A Preference Units provide that the distribution rate will convert from a fixed rate of 8.625% to a floating rate equal to the three-month LIBOR plus a spread of 6.31% per annum on June 15, 2027. The fallback provisions of the Series A Preference Units do not contain a successor rate concept as the units were issued at a time of limited uncertainty regarding the future of LIBOR as a benchmark rate. In the absence of such fallback provisions, from and including June 15, 2027, the distribution rate for the Series A Preference Units will be determined by the Partnership based on the terms of the Partnership Agreement and applicable Marshall Islands law regarding amending LIBOR-based instruments. Under the current LIBOR fallback provisions for the Series A Preference Units, if there is no published LIBOR rate, the floating rate is expected to be the rate set during the prior interest rate period, which would be the current fixed rate of 8.625%. We paid distributions to holders of our Series A Preference Units of $0.5390625 per unit on March 15, 2024, June 17, 2024, September 16, 2024 and December 16, 2024.</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Series B Preference Units, from and including January 17, 2018 to, but excluding, March 15, 2023, the distribution rate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8.200% per annum per $25.00 of liquidation preference per unit (equal to $2.05 per annum per unit). From and including March 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distribution rate was a floating rate equal to three-month LIBOR plus a spread of 5.839% per annum per $25.00 of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per unit. Effective September 15, 2023, in accordance with the terms of the Series B Preference Units, the three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utilized as the base rate for the calculation of the floating rate distributions payable with respect to the Series B Preference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replaced by SOFR for a three month tenor published by the Chicago Mercantile Exchange (“CME”) plus a credit spread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0.26161% (“Credit Adjusted Term SOFR”) plus a spread of 5.839% per annum per $25.00 of liquidation preference per unit.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Term SOFR was used as the base rate for the first time with respect to the distributions payable for the distribution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September 15, 2023 and ending December 15, 2023 and will be calculated every three months going forward. The distribution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are not subject to adjustment. We paid distributions to holders of our Series B Preference Units of $0.725368, $0.7302596,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$0.7311853 and $0.6977798 per unit on March 15, 2024, on June 17, 2024, September 16, 2024 and December 16, 2024, respectively.</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Series C Preference Units, from and including November 15, 2018 to, but excluding, March 15, 2024, the distribution rate was 8.500% per annum per $25.00 of liquidation preference per unit (equal to $2.05 per annum per unit). From and including March 15, 2024, the distribution rate is a floating rate equal to the SOFR for a three month tenor published by the CME plus Credit Adjusted Term SOFR plus a spread of 5.317% per annum per $25.00 of liquidation preference per unit. We paid distributions to holders of our Series C Preference Units of $0.53125, $0.69690960, $0.6978353 and $0.6647923 on March 15, 2024, June 17, 2024, September 16, 2024 and December 16, 2024, respectively.</w:t>
      </w:r>
    </w:p>
    <w:p>
      <w:pPr>
        <w:spacing w:after="0" w:line="18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Our Preference Unit distribution payment obligations impact our future liquidity needs. If we do not pay our Preference Unit distributions, we will not be able to pay distributions to our common unitholders.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Distributions of Available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make distributions of available cash after payment of Preference Unit distributions for any quarter in the following manner:</w:t>
      </w:r>
    </w:p>
    <w:p>
      <w:pPr>
        <w:spacing w:after="0" w:line="223" w:lineRule="exact"/>
        <w:rPr>
          <w:sz w:val="20"/>
          <w:szCs w:val="20"/>
          <w:color w:val="auto"/>
        </w:rPr>
      </w:pPr>
    </w:p>
    <w:p>
      <w:pPr>
        <w:ind w:left="680" w:right="180" w:hanging="321"/>
        <w:spacing w:after="0" w:line="284"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first</w:t>
      </w:r>
      <w:r>
        <w:rPr>
          <w:rFonts w:ascii="Times New Roman" w:cs="Times New Roman" w:eastAsia="Times New Roman" w:hAnsi="Times New Roman"/>
          <w:sz w:val="18"/>
          <w:szCs w:val="18"/>
          <w:color w:val="231F20"/>
        </w:rPr>
        <w:t>, to our general partner, in accordance with its percentage interest in the manner described in “—General Partner Interest”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below; and</w:t>
      </w:r>
    </w:p>
    <w:p>
      <w:pPr>
        <w:spacing w:after="0" w:line="158" w:lineRule="exact"/>
        <w:rPr>
          <w:rFonts w:ascii="Times New Roman" w:cs="Times New Roman" w:eastAsia="Times New Roman" w:hAnsi="Times New Roman"/>
          <w:sz w:val="18"/>
          <w:szCs w:val="18"/>
          <w:color w:val="auto"/>
        </w:rPr>
      </w:pPr>
    </w:p>
    <w:p>
      <w:pPr>
        <w:ind w:left="680" w:right="260" w:hanging="321"/>
        <w:spacing w:after="0" w:line="284"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thereafter</w:t>
      </w:r>
      <w:r>
        <w:rPr>
          <w:rFonts w:ascii="Times New Roman" w:cs="Times New Roman" w:eastAsia="Times New Roman" w:hAnsi="Times New Roman"/>
          <w:sz w:val="18"/>
          <w:szCs w:val="18"/>
          <w:color w:val="231F20"/>
        </w:rPr>
        <w:t>, to all common unitholders pro rata, a percentage equal to 100% less the general partner percentage interest, in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manner described in “—General Partner Interest”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Partner Interest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partnership agreement provides that our general partner will be entitled to distributions that we make prior to our liquidation in accordance with its percentage interest (6.3% as of December 31, 2024). Our general partner has the right, but not the obligation, to contribute a proportionate amount of capital to us to maintain its general partner interest if we issue additional common units. Our general partner’s interest, and the percentage of our cash distributions to which it is entitled, will be proportionately reduced if we issue additional common units in the future and our general partner does not contribute a proportionate amount of capital to us in order to maintain its general partner interest. Our general partner will be entitled to make a capital contribution in order to maintain its general partner interest in the form of the contribution to us of common units based on the current market value of the contributed common units.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Statements—Note 21. Subsequent Events” below.</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New York Stock Exchange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C Preference Units have been trading on the NYSE under the symbol “GLOP PR C” since November 15, 2018.</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jc w:val="both"/>
        <w:ind w:left="340" w:right="8460" w:hanging="332"/>
        <w:spacing w:after="0" w:line="530" w:lineRule="auto"/>
        <w:tabs>
          <w:tab w:leader="none" w:pos="340" w:val="left"/>
        </w:tabs>
        <w:numPr>
          <w:ilvl w:val="0"/>
          <w:numId w:val="5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Share Capital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Memorandum of Association</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under Item 10.B is incorporated by reference to Exhibit 3.2 of our Current Report on Form 6-K furnished with the SEC on June 24, 2019.</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Material Contracts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w:t>
      </w:r>
    </w:p>
    <w:p>
      <w:pPr>
        <w:spacing w:after="0" w:line="176" w:lineRule="exact"/>
        <w:rPr>
          <w:sz w:val="20"/>
          <w:szCs w:val="20"/>
          <w:color w:val="auto"/>
        </w:rPr>
      </w:pPr>
    </w:p>
    <w:p>
      <w:pPr>
        <w:ind w:left="680" w:right="600" w:hanging="321"/>
        <w:spacing w:after="0" w:line="282" w:lineRule="auto"/>
        <w:tabs>
          <w:tab w:leader="none" w:pos="68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Omnibus Agreement; please see “Item 7. Major Unitholders and Related Party Transactions—B. Related Party Transactions—Omnibus Agreement”.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540" w:hanging="321"/>
        <w:spacing w:after="0" w:line="282"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Administrative Services Agreement; please see “Item 7. Major Unitholders and Related Party Transactions—B. Related Party Transactions—Administrative Services Agreement”.</w:t>
      </w:r>
    </w:p>
    <w:p>
      <w:pPr>
        <w:spacing w:after="0" w:line="161" w:lineRule="exact"/>
        <w:rPr>
          <w:rFonts w:ascii="Times New Roman" w:cs="Times New Roman" w:eastAsia="Times New Roman" w:hAnsi="Times New Roman"/>
          <w:sz w:val="18"/>
          <w:szCs w:val="18"/>
          <w:color w:val="231F20"/>
        </w:rPr>
      </w:pPr>
    </w:p>
    <w:p>
      <w:pPr>
        <w:ind w:left="680" w:right="400" w:hanging="321"/>
        <w:spacing w:after="0" w:line="282"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Commercial Management Agreement; please see “Item 7. Major Unitholders and Related Party Transactions—B. Related Party Transactions—Commercial Management Agreement”.</w:t>
      </w:r>
    </w:p>
    <w:p>
      <w:pPr>
        <w:spacing w:after="0" w:line="161" w:lineRule="exact"/>
        <w:rPr>
          <w:rFonts w:ascii="Times New Roman" w:cs="Times New Roman" w:eastAsia="Times New Roman" w:hAnsi="Times New Roman"/>
          <w:sz w:val="18"/>
          <w:szCs w:val="18"/>
          <w:color w:val="231F20"/>
        </w:rPr>
      </w:pPr>
    </w:p>
    <w:p>
      <w:pPr>
        <w:ind w:left="680" w:right="380" w:hanging="321"/>
        <w:spacing w:after="0" w:line="282"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Ship Management Agreement; please see “Item 7. Major Unitholders and Related Party Transactions—B. Related Party Transactions—Ship Management Agreements”.</w:t>
      </w:r>
    </w:p>
    <w:p>
      <w:pPr>
        <w:spacing w:after="0" w:line="161" w:lineRule="exact"/>
        <w:rPr>
          <w:rFonts w:ascii="Times New Roman" w:cs="Times New Roman" w:eastAsia="Times New Roman" w:hAnsi="Times New Roman"/>
          <w:sz w:val="18"/>
          <w:szCs w:val="18"/>
          <w:color w:val="231F20"/>
        </w:rPr>
      </w:pPr>
    </w:p>
    <w:p>
      <w:pPr>
        <w:ind w:left="680" w:right="140" w:hanging="321"/>
        <w:spacing w:after="0" w:line="282"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Indemnification Agreement for the Partnership’s directors and certain officers; please see “Item 7. Major Unitholders and Related Party Transactions—B. Related Party Transactions—Indemnification Agreements”.</w:t>
      </w:r>
    </w:p>
    <w:p>
      <w:pPr>
        <w:spacing w:after="0" w:line="161" w:lineRule="exact"/>
        <w:rPr>
          <w:rFonts w:ascii="Times New Roman" w:cs="Times New Roman" w:eastAsia="Times New Roman" w:hAnsi="Times New Roman"/>
          <w:sz w:val="18"/>
          <w:szCs w:val="18"/>
          <w:color w:val="231F20"/>
        </w:rPr>
      </w:pPr>
    </w:p>
    <w:p>
      <w:pPr>
        <w:ind w:left="680" w:right="200" w:hanging="321"/>
        <w:spacing w:after="0" w:line="282"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GasLog Partners LP 2015 Long-Term Incentive Plan; please see “Item 6. Directors, Senior Management and Employees—B. Compensation of Directors and Senior Management— Equity Compensation Plan”.</w:t>
      </w:r>
    </w:p>
    <w:p>
      <w:pPr>
        <w:spacing w:after="0" w:line="161" w:lineRule="exact"/>
        <w:rPr>
          <w:rFonts w:ascii="Times New Roman" w:cs="Times New Roman" w:eastAsia="Times New Roman" w:hAnsi="Times New Roman"/>
          <w:sz w:val="18"/>
          <w:szCs w:val="18"/>
          <w:color w:val="231F20"/>
        </w:rPr>
      </w:pPr>
    </w:p>
    <w:p>
      <w:pPr>
        <w:ind w:left="680" w:right="180" w:hanging="321"/>
        <w:spacing w:after="0" w:line="266"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Addendum dated April 21, 2015 to the Omnibus Agreement dated May 12, 2014, among GasLog Ltd., GasLog Partners GP LLC and GasLog Partners Holdings LLC; please see “Item 7. Major Unitholders and Related Party Transactions—B. Related Party Transactions— Omnibus Agreement”.</w:t>
      </w:r>
    </w:p>
    <w:p>
      <w:pPr>
        <w:spacing w:after="0" w:line="175" w:lineRule="exact"/>
        <w:rPr>
          <w:rFonts w:ascii="Times New Roman" w:cs="Times New Roman" w:eastAsia="Times New Roman" w:hAnsi="Times New Roman"/>
          <w:sz w:val="18"/>
          <w:szCs w:val="18"/>
          <w:color w:val="231F20"/>
        </w:rPr>
      </w:pPr>
    </w:p>
    <w:p>
      <w:pPr>
        <w:ind w:left="680" w:hanging="321"/>
        <w:spacing w:after="0" w:line="266"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Agreement and Plan of Merger dated April 6, 2023, by and among GasLog Partners LP, GasLog Partners GP LLC, GasLog Ltd. and Saturn Merger Sub LLC; please see “Item 4. Information on the Partnership - A. History and Development of the Partnership”.</w:t>
      </w:r>
    </w:p>
    <w:p>
      <w:pPr>
        <w:spacing w:after="0" w:line="175" w:lineRule="exact"/>
        <w:rPr>
          <w:rFonts w:ascii="Times New Roman" w:cs="Times New Roman" w:eastAsia="Times New Roman" w:hAnsi="Times New Roman"/>
          <w:sz w:val="18"/>
          <w:szCs w:val="18"/>
          <w:color w:val="231F20"/>
        </w:rPr>
      </w:pPr>
    </w:p>
    <w:p>
      <w:pPr>
        <w:ind w:left="680" w:hanging="321"/>
        <w:spacing w:after="0" w:line="253" w:lineRule="auto"/>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Facility Agreement dated November 2, 2023, relating to $2,800,000,000 Reducing Revolving Loan Facility among GasLog Ltd. as borrower, Alpha Bank S.A., ABN Amro Bank N.V., BNP Paribas, Citibank, N.A., London, Branch, Credit Suisse AG, Danish Ship Finance A/S, DNB (UK) Limited, ING Bank N.V., London Branch, National Bank of Greece S.A., Nordea Bank Abp, Filial I Norge, Oversea-Chinese Banking Corporation Limited and Standard Chartered Bank (Singapore) Limited as mandated lead arrangers and bookrunners; National Australia Bank Limited and Skandinaviska Enskilda Banken AB (publ) as mandated lead arrangers; DNB Bank ASA, London Branch as Agent and security agent; ABN Amro Bank N.V. as Sustainability Co-ordinator; BNP Paribas and Citibank, N.A., London, Branch, as Global Co-ordinators and GAS-one Ltd., GAS-two Ltd., GAS-four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as Owners and Guarantors; GasLog Partners LP, GasLog Carriers Ltd. and GasLog Partners Holdings LLC as Guarantors; please see “Item 5. Operating and Financial Review and Prospects—B. Liquidity and Capital Resources—Borrowing Activities—Credit Facilities”.</w:t>
      </w:r>
    </w:p>
    <w:p>
      <w:pPr>
        <w:spacing w:after="0" w:line="187"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Supplemental Agreement dated February 10, 2025 to the Facility Agreement dated November 2, 2023, relating to</w:t>
      </w:r>
    </w:p>
    <w:p>
      <w:pPr>
        <w:spacing w:after="0" w:line="27" w:lineRule="exact"/>
        <w:rPr>
          <w:rFonts w:ascii="Times New Roman" w:cs="Times New Roman" w:eastAsia="Times New Roman" w:hAnsi="Times New Roman"/>
          <w:sz w:val="18"/>
          <w:szCs w:val="18"/>
          <w:color w:val="231F20"/>
        </w:rPr>
      </w:pPr>
    </w:p>
    <w:p>
      <w:pPr>
        <w:ind w:left="680" w:right="20"/>
        <w:spacing w:after="0" w:line="251"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$2,800,000,000 Reducing Revolving Loan Facility among GasLog Ltd. as borrower, Alpha Bank S.A., ABN Amro Bank N.V., BNP Paribas, Citibank, N.A., Jersey Branch, UBS AG, Danish Ship Finance A/S, DNB (UK) Limited, ING Bank N.V., London Branch, National Australia Bank Limited, National Bank of Greece S.A., Nordea Bank Abp, Filial I Norge, Oversea-Chinese Banking Corporation Limited, Skandinaviska Enskilda Banken AB (publ) and Standard Chartered Bank (Singapore) Limited as lenders and GAS-one Ltd., GAS-two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GasLog Partners LP, GasLog Carriers Ltd. and GasLog Partners Holdings LLC as Guarantors; please see “Item 5. Operating and Financial Review and Prospects—B. Liquidity and Capital Resources—Borrowing Activities—Credit Facilities”.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D.</w:t>
      </w:r>
      <w:r>
        <w:rPr>
          <w:sz w:val="20"/>
          <w:szCs w:val="20"/>
          <w:color w:val="auto"/>
        </w:rPr>
        <w:tab/>
      </w:r>
      <w:r>
        <w:rPr>
          <w:rFonts w:ascii="Times New Roman" w:cs="Times New Roman" w:eastAsia="Times New Roman" w:hAnsi="Times New Roman"/>
          <w:sz w:val="17"/>
          <w:szCs w:val="17"/>
          <w:b w:val="1"/>
          <w:bCs w:val="1"/>
          <w:color w:val="231F20"/>
        </w:rPr>
        <w:t>Exchange Controls and Other Limitations Affecting Security Holders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U.S. Federal Income Tax Considerations</w:t>
      </w:r>
    </w:p>
    <w:p>
      <w:pPr>
        <w:spacing w:after="0" w:line="229"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83"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Preference Units that are held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Preference Units, the tax treatment of its partners generally will depend upon the status of the partner and the activities of the partnership. If you are a partner in a partnership holding our Preference Units, you are encouraged to consult your own tax advisor regarding the tax consequences to you of the partnership’s ownership of our Preference Units.</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Preference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Treated as a Corporation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Preference Units that owns (actually or constructively) less than 10.0% of our equity and that is:</w:t>
      </w:r>
    </w:p>
    <w:p>
      <w:pPr>
        <w:spacing w:after="0" w:line="162"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individual U.S. citizen or resident (as determined for U.S. federal income tax purposes);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corporation (or other entity that is classified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estate the income of which is subject to U.S. federal income taxation regardless of its source;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of the rules applicable to PFICs, any distributions to a U.S. Holder made by us with respect to our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Preference Units and thereafter as capital gain. U.S. Holders that are corporations generally will not be entitled to claim a dividend received deduction with respect to distributions they receive from us. Dividends received with respect to our Preference Units generally will be treated as foreign source “passive category income” for purposes of computing allowable foreign tax credits for U.S. federal income tax purposes.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Dividends received with respect to our Preference Units by a U.S. Holder that is an individual, trust or estate, or a “U.S. Individual Holder”, generally will be treated as “qualified dividend income”, which is taxable to such U.S. Individual Holder at preferential tax rates provided that: (i) our Preference Units are readily tradable on an established securities market in the United States (such as the NYSE on which our Preference Units are currently traded); (ii) we are not a PFIC for the tax year during which the dividend is paid or the immediately preceding tax year (which we do not believe we are, have been or will be, as discussed below under “—PFIC Status and Significant Tax Consequences”); (iii) the U.S. Individual Holder has owned the Preference Units for more than 60 days during the 121-day period beginning 60 days before the date on which the Preference Units become ex-dividend (and has not entered into certain risk limiting transactions with respect to such Preference Units); and (iv) the U.S. Individual Holder is not under an obligation to make related payments with respect to positions in substantially similar or related property. There is no assurance that any dividends paid on our Preference Units will be eligible for these preferential rates in the hands of a U.S. Individual Holder, and any distributions paid on our Preference Units that are not eligible for these preferential rates will be taxed at ordinary income rates to a U.S. Individual Holder.</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Preference Units that are treated as “extraordinary dividends”. In general, an extraordinary dividend is a dividend that is equal to or in excess of 5% of a unitholder’s adjusted tax basis (or fair market value upon the unitholder’s election) in such Preference Unit. In addition, extraordinary dividends include dividends received within a one-year period that, in the aggregate, equal or exceed 20.0% of a unitholder’s adjusted tax basis (or fair market value). If we pay an “extraordinary dividend” on our Preference Units that is treated as “qualified dividend income”, then any loss recognized by a U.S. Individual Holder from the sale or exchange of such Preference Units will be treated as long-term capital loss to the extent of the amount of such dividend.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Sale, Exchange or Other Disposition of Preference Units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w:t>
      </w:r>
      <w:r>
        <w:rPr>
          <w:rFonts w:ascii="Times New Roman" w:cs="Times New Roman" w:eastAsia="Times New Roman" w:hAnsi="Times New Roman"/>
          <w:sz w:val="18"/>
          <w:szCs w:val="18"/>
          <w:color w:val="231F20"/>
        </w:rPr>
        <w:t>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Medicare Tax on Net Investment Income</w:t>
      </w:r>
    </w:p>
    <w:p>
      <w:pPr>
        <w:spacing w:after="0" w:line="227"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Preference Units.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PFIC Status and Significant Tax Consequences</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Adverse U.S. federal income tax rules apply to a U.S. Holder that owns an equity interest in a non-U.S. corporation that is classified as a PFIC for U.S. federal income tax purposes. In general, we </w:t>
      </w:r>
      <w:r>
        <w:rPr>
          <w:rFonts w:ascii="Times New Roman" w:cs="Times New Roman" w:eastAsia="Times New Roman" w:hAnsi="Times New Roman"/>
          <w:sz w:val="18"/>
          <w:szCs w:val="18"/>
          <w:color w:val="231F20"/>
        </w:rPr>
        <w:t>will be treated as a PFIC with respect to a U.S. Holder if, for any tax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which the holder held our units, either:</w:t>
      </w:r>
    </w:p>
    <w:p>
      <w:pPr>
        <w:spacing w:after="0" w:line="176" w:lineRule="exact"/>
        <w:rPr>
          <w:sz w:val="20"/>
          <w:szCs w:val="20"/>
          <w:color w:val="auto"/>
        </w:rPr>
      </w:pPr>
    </w:p>
    <w:p>
      <w:pPr>
        <w:jc w:val="both"/>
        <w:ind w:left="680" w:right="60" w:hanging="321"/>
        <w:spacing w:after="0" w:line="266"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50.0% of the average value of the assets held by us (including the assets of our vessel- owning subsidiaries) during such tax year produce, or are held for the production of, passive income.</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Our counsel has indicated to us that the conclusions described above are not free from doubt. While there is legal authority</w:t>
      </w:r>
    </w:p>
    <w:p>
      <w:pPr>
        <w:spacing w:after="0" w:line="2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supporting our conclusions, including IRS pronouncements concerning the characterization of income derived from time charters as services income, the Fifth Circuit held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F.3d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case and, at the same time, announced the position of the IRS that the marine time charter agreements at issue in that case should be treated as service contracts.</w:t>
      </w:r>
    </w:p>
    <w:p>
      <w:pPr>
        <w:spacing w:after="0" w:line="20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Preference Units, as discussed below. In addition, if a U.S. Holder owns our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Preference Units.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Making a Timely QEF Election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Preference Units will be increased to reflect taxed but undistributed earnings and profits. Distributions of earnings and profits that were previously taxed will result in a corresponding reduction in the Electing Holder’s adjusted tax basis in Preference Units and will not be taxed again once distributed. An Electing Holder generally will recognize capital gain or loss on the sale, exchange or other disposition of our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Taxation of U.S. Holders Making a </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Mark-to-Market</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 xml:space="preserve"> Election</w:t>
      </w:r>
    </w:p>
    <w:p>
      <w:pPr>
        <w:spacing w:after="0" w:line="22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were to be treated as a PFIC for any tax year and, as we anticipate, our units were treated as “marketable stock”, then, as an alternative to making a QEF election, a U.S. Holder would be allowed to make a “mark-to-market” election with respect to our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Preference Units at the end of the tax year over the holder’s adjusted tax basis in the Preference Units. The U.S. Holder also would be permitted an ordinary loss in respect of the excess, if any, of the U.S. Holder’s adjusted tax basis in the Preference Units over the fair market value thereof at the end of the tax year, but only to the extent of the net amount previously included in income as a result of the mark-to-market election. A U.S. Holder’s tax basis in its Preference Units would be adjusted to reflect any such income or loss recognized. Gain recognized on the sale, exchange or other disposition of our Preference Units would be treated as ordinary income, and any loss recognized on the sale, exchange or other disposition of the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Not Making a Timely QEF or Mark-to-Market Election</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Preference Units in a tax year in excess of 125.0% of the average annual distributions received by the Non-Electing Holder in the three preceding tax years, or, if shorter, the portion of the Non-Electing Holder’s holding period for the Preference Units before the tax year) and (2) any gain realized on the sale, exchange or other disposition of the units. Under these special rules:</w:t>
      </w:r>
    </w:p>
    <w:p>
      <w:pPr>
        <w:spacing w:after="0" w:line="187" w:lineRule="exact"/>
        <w:rPr>
          <w:sz w:val="20"/>
          <w:szCs w:val="20"/>
          <w:color w:val="auto"/>
        </w:rPr>
      </w:pPr>
    </w:p>
    <w:p>
      <w:pPr>
        <w:ind w:left="680" w:right="42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excess distribution or gain would be allocated ratably over the Non-Electing Holder’s aggregate holding period for the Preference Units;</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the current tax year and any tax year prior to the tax year we were first treated as a PFIC with respect to the Non-Electing Holder would be taxed as ordinary income; and</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penalties would not apply to a qualified pension, profit sharing or other retirement trust or other tax-exempt organization that did not borrow money or otherwise utilize leverage in connection with its acquisition of our Preference Units. If we were treated as a PFIC for any tax year and a Non-Electing Holder who is an individual dies while owning our Preference Units, such holder’s successor generally would not receive a step-up in tax basis with respect to such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beneficial owner of our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Preference Units, you are encouraged to consult your own tax advisor regarding the tax consequences to you of the partnership’s ownership of our Preference Units.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Disposition of Units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Holder is not subject to U.S. federal income tax or withholding tax on any gain resulting from the disposition of our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Preference Units if they are present in the United States for 183 days or more during the tax year in which those units are disposed and meet certain other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Backup Withholding and Information Reporting</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general, payments to a U.S. Individual Holder of distributions or the proceeds of a disposition of Preference Units will be subject to information reporting. These payments to a U.S. Individual Holder also may be subject to backup withholding if the U.S. Individual Holder:</w:t>
      </w:r>
    </w:p>
    <w:p>
      <w:pPr>
        <w:spacing w:after="0" w:line="176"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fails to provide an accurate taxpayer identification number;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 notified by the IRS that it has failed to report all interest or corporate distributions required to be reported on its U.S. federal income tax returns;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certain circumstances, fails to comply with applicable certification requirements.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ectPr>
          <w:pgSz w:w="11900" w:h="16838" w:orient="portrait"/>
          <w:cols w:equalWidth="0" w:num="1">
            <w:col w:w="9860"/>
          </w:cols>
          <w:pgMar w:left="980" w:top="513" w:right="105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w:t>
      </w:r>
      <w:r>
        <w:rPr>
          <w:rFonts w:ascii="Times New Roman" w:cs="Times New Roman" w:eastAsia="Times New Roman" w:hAnsi="Times New Roman"/>
          <w:sz w:val="18"/>
          <w:szCs w:val="18"/>
          <w:color w:val="231F20"/>
        </w:rPr>
        <w:t>Higher reporting thresholds apply to certain individuals living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Marshall Islands Tax Consequences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Because we and our subsidiaries do not and do not expect to conduct business or operations in the Republic of the Marshall Islands, under current Marshall Islands law you will not be subject to </w:t>
      </w:r>
      <w:r>
        <w:rPr>
          <w:rFonts w:ascii="Times New Roman" w:cs="Times New Roman" w:eastAsia="Times New Roman" w:hAnsi="Times New Roman"/>
          <w:sz w:val="18"/>
          <w:szCs w:val="18"/>
          <w:color w:val="231F20"/>
        </w:rPr>
        <w:t>Marshall Islands taxation or withholding on distributions, including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EACH PROSPECTIVE UNITHOLDER IS ENCOURAGED TO CONSULT ITS OWN TAX COUNSEL OR OTHER ADVISOR WITH REGARD TO THE LEGAL AND TAX CONSEQUENCES OF UNIT OWNERSHIP UNDER ITS PARTICULAR CIRCUMSTANCES.</w:t>
      </w:r>
    </w:p>
    <w:p>
      <w:pPr>
        <w:spacing w:after="0" w:line="172" w:lineRule="exact"/>
        <w:rPr>
          <w:sz w:val="20"/>
          <w:szCs w:val="20"/>
          <w:color w:val="auto"/>
        </w:rPr>
      </w:pPr>
    </w:p>
    <w:p>
      <w:pPr>
        <w:ind w:left="340" w:right="7240" w:hanging="332"/>
        <w:spacing w:after="0" w:line="500" w:lineRule="auto"/>
        <w:tabs>
          <w:tab w:leader="none" w:pos="340" w:val="left"/>
        </w:tabs>
        <w:numPr>
          <w:ilvl w:val="0"/>
          <w:numId w:val="6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Dividends and Paying Agents </w:t>
      </w:r>
      <w:r>
        <w:rPr>
          <w:rFonts w:ascii="Times New Roman" w:cs="Times New Roman" w:eastAsia="Times New Roman" w:hAnsi="Times New Roman"/>
          <w:sz w:val="18"/>
          <w:szCs w:val="18"/>
          <w:color w:val="000000"/>
        </w:rPr>
        <w:t>Not applicable.</w:t>
      </w:r>
    </w:p>
    <w:p>
      <w:pPr>
        <w:spacing w:after="0" w:line="1" w:lineRule="exact"/>
        <w:rPr>
          <w:rFonts w:ascii="Times New Roman" w:cs="Times New Roman" w:eastAsia="Times New Roman" w:hAnsi="Times New Roman"/>
          <w:sz w:val="18"/>
          <w:szCs w:val="18"/>
          <w:b w:val="1"/>
          <w:bCs w:val="1"/>
          <w:color w:val="231F20"/>
        </w:rPr>
      </w:pPr>
    </w:p>
    <w:p>
      <w:pPr>
        <w:ind w:left="340" w:right="7820" w:hanging="332"/>
        <w:spacing w:after="0" w:line="530" w:lineRule="auto"/>
        <w:tabs>
          <w:tab w:leader="none" w:pos="340" w:val="left"/>
        </w:tabs>
        <w:numPr>
          <w:ilvl w:val="0"/>
          <w:numId w:val="6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Statement by Experts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Documents on Display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inspect reports and other information regarding companies, such as us, that file electronically with the SEC without charge at a website maintained by the SEC at </w:t>
      </w:r>
      <w:r>
        <w:rPr>
          <w:rFonts w:ascii="Times New Roman" w:cs="Times New Roman" w:eastAsia="Times New Roman" w:hAnsi="Times New Roman"/>
          <w:sz w:val="18"/>
          <w:szCs w:val="18"/>
          <w:i w:val="1"/>
          <w:iCs w:val="1"/>
          <w:color w:val="auto"/>
        </w:rPr>
        <w:t>http://www.sec.gov.</w:t>
      </w:r>
    </w:p>
    <w:p>
      <w:pPr>
        <w:spacing w:after="0" w:line="172" w:lineRule="exact"/>
        <w:rPr>
          <w:sz w:val="20"/>
          <w:szCs w:val="20"/>
          <w:color w:val="auto"/>
        </w:rPr>
      </w:pPr>
    </w:p>
    <w:p>
      <w:pPr>
        <w:ind w:left="340" w:right="7680" w:hanging="332"/>
        <w:spacing w:after="0" w:line="530" w:lineRule="auto"/>
        <w:tabs>
          <w:tab w:leader="none" w:pos="340" w:val="left"/>
        </w:tabs>
        <w:numPr>
          <w:ilvl w:val="0"/>
          <w:numId w:val="6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Subsidiary Information </w:t>
      </w:r>
      <w:r>
        <w:rPr>
          <w:rFonts w:ascii="Times New Roman" w:cs="Times New Roman" w:eastAsia="Times New Roman" w:hAnsi="Times New Roman"/>
          <w:sz w:val="17"/>
          <w:szCs w:val="17"/>
          <w:color w:val="000000"/>
        </w:rPr>
        <w:t>Not applicable.</w:t>
      </w:r>
    </w:p>
    <w:p>
      <w:pPr>
        <w:ind w:left="340" w:right="6800" w:hanging="332"/>
        <w:spacing w:after="0" w:line="537" w:lineRule="auto"/>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3" w:right="11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19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November 27, 2018, we and GasLog entered into an agreement to modify the partnership agreement with respect to the general partner incentive distribution rights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had all of the rights and obligations attached to the common units, except for voting rights and participation in earnings and distributions until such time as GasLog exercises its right to convert the Class B units to common units. On July 1, 2020, July 1, 2021, July 1, 2022 and July 1, 2023, GasLog Partners issued 415,000 common units on each date in connection with GasLog’s option to convert the second tranche of its Class B units. The Class B-5 units and the Class B-6 units were cancelled on July 13, 2023 in accordance with the provisions of the Merger Agreement with GasLog. Following the IDR elimination and until the completion of the GasLog Partners Transaction, the Partnership’s profit allocation was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w:t>
      </w:r>
    </w:p>
    <w:p>
      <w:pPr>
        <w:spacing w:after="0" w:line="18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 In connection with the modification to the number of directors, we entered into a Seventh Amended and Restated Agreement of Limited Partnership which replaced the Sixth Amended and Restated Limited Partnership Agreement in its entirety. On July 21, 2023, the Board approved an amendment to the Partnership’s Seventh Amended and Restated Agreement of Limited Partnership that makes certain changes relating to the composition of the Board and other changes to reflect the ownership of all outstanding common units of the Partnership by GasLog following the consummation of the GasLog Partners Transaction on July 13, 2023. Please see our Eighth Amended and Restated Limited Partnership Agreement, filed as an exhibit hereto,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A.</w:t>
      </w:r>
      <w:r>
        <w:rPr>
          <w:sz w:val="20"/>
          <w:szCs w:val="20"/>
          <w:color w:val="auto"/>
        </w:rPr>
        <w:tab/>
      </w:r>
      <w:r>
        <w:rPr>
          <w:rFonts w:ascii="Times New Roman" w:cs="Times New Roman" w:eastAsia="Times New Roman" w:hAnsi="Times New Roman"/>
          <w:sz w:val="17"/>
          <w:szCs w:val="17"/>
          <w:b w:val="1"/>
          <w:bCs w:val="1"/>
          <w:color w:val="231F20"/>
        </w:rPr>
        <w:t>Disclosure Controls and Procedures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CFO, has evaluated the effectiveness of the design and operation of our disclosure controls and procedures, as defined in Rules 13a-15(e) and 15d-15(e) under the Exchange Act as of December 31, 2024. Based on our evaluation, the CEO and the CFO have concluded that, as of December 31, 2024, our disclosure controls and procedures were effective.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Management’s Annual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using criteria issued by the Committee of Sponsoring Organizations of the Treadway Commission (COSO) in the </w:t>
      </w:r>
      <w:r>
        <w:rPr>
          <w:rFonts w:ascii="Times New Roman" w:cs="Times New Roman" w:eastAsia="Times New Roman" w:hAnsi="Times New Roman"/>
          <w:sz w:val="18"/>
          <w:szCs w:val="18"/>
          <w:i w:val="1"/>
          <w:iCs w:val="1"/>
          <w:color w:val="auto"/>
        </w:rPr>
        <w:t>Internal Control—Integrated Framework</w:t>
      </w: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(2013 framework)</w:t>
      </w:r>
      <w:r>
        <w:rPr>
          <w:rFonts w:ascii="Times New Roman" w:cs="Times New Roman" w:eastAsia="Times New Roman" w:hAnsi="Times New Roman"/>
          <w:sz w:val="18"/>
          <w:szCs w:val="18"/>
          <w:color w:val="auto"/>
        </w:rPr>
        <w:t>. Based on the evaluation, our management concluded that our internal control over financial reporting was effective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w:t>
      </w:r>
    </w:p>
    <w:p>
      <w:pPr>
        <w:spacing w:after="0" w:line="17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C.</w:t>
      </w:r>
      <w:r>
        <w:rPr>
          <w:sz w:val="20"/>
          <w:szCs w:val="20"/>
          <w:color w:val="auto"/>
        </w:rPr>
        <w:tab/>
      </w:r>
      <w:r>
        <w:rPr>
          <w:rFonts w:ascii="Times New Roman" w:cs="Times New Roman" w:eastAsia="Times New Roman" w:hAnsi="Times New Roman"/>
          <w:sz w:val="17"/>
          <w:szCs w:val="17"/>
          <w:b w:val="1"/>
          <w:bCs w:val="1"/>
          <w:color w:val="231F20"/>
        </w:rPr>
        <w:t>Attestation Report of the Registered Public Accounting Firm</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the delisting of our common shares from the NYSE in July 2023, we are a non-accelerated filer. Therefore, an attestation report of our registered public accounting firm is not required.</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D.</w:t>
      </w:r>
      <w:r>
        <w:rPr>
          <w:sz w:val="20"/>
          <w:szCs w:val="20"/>
          <w:color w:val="auto"/>
        </w:rPr>
        <w:tab/>
      </w:r>
      <w:r>
        <w:rPr>
          <w:rFonts w:ascii="Times New Roman" w:cs="Times New Roman" w:eastAsia="Times New Roman" w:hAnsi="Times New Roman"/>
          <w:sz w:val="17"/>
          <w:szCs w:val="17"/>
          <w:b w:val="1"/>
          <w:bCs w:val="1"/>
          <w:color w:val="231F20"/>
        </w:rPr>
        <w:t>Changes in Internal Control over Financial Reporting</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Ms. Despoina Kyritsi and Mr. Konstantinos Andreou, whose biographical details are included in “Item 6. Directors, Senior Management and Employees—A. Directors and Senior Management”, are the audit committee members. Ms. Kyritsi qualifies as an “audit committee financial expert”. Our board of directors has affirmatively determined that each of Ms. Kyritsi and Mr. Andreou meets the definition of “independent director” for purposes of serving on an audit committee under applicable SEC and NYSE rules.</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Partnership, a copy of which is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The information contained on or connected to our website is not a part of this annual report.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2024.</w:t>
      </w:r>
    </w:p>
    <w:p>
      <w:pPr>
        <w:spacing w:after="0" w:line="18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Deloitte Certified Public Accountants S.A. (PCAOB ID No. 1163), an independent registered public accounting firm has audited our annual financial statements acting as our independent auditor for the fiscal years ended December 31, 2023 and December 31, 2024.</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total amount billed and accrued for Deloitte Certified Public Accountants S.A. (PCAOB ID No. 1163) for services performed in 2023 and 2024, respectively, and breaks down these amounts by the category of service. The fees paid to our principal accountant were approved in accordance with the pre-approval policies and procedures described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r>
      <w:tr>
        <w:trPr>
          <w:trHeight w:val="128"/>
        </w:trPr>
        <w:tc>
          <w:tcPr>
            <w:tcW w:w="37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700" w:type="dxa"/>
            <w:vAlign w:val="bottom"/>
            <w:gridSpan w:val="4"/>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(Expressed in millions</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U.S. Dollars)</w:t>
            </w:r>
          </w:p>
        </w:tc>
        <w:tc>
          <w:tcPr>
            <w:tcW w:w="380" w:type="dxa"/>
            <w:vAlign w:val="bottom"/>
          </w:tcPr>
          <w:p>
            <w:pPr>
              <w:spacing w:after="0"/>
              <w:rPr>
                <w:sz w:val="11"/>
                <w:szCs w:val="1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000" w:type="dxa"/>
            <w:vAlign w:val="bottom"/>
            <w:gridSpan w:val="2"/>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0.20</w:t>
            </w: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0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0.20</w:t>
            </w:r>
          </w:p>
        </w:tc>
      </w:tr>
      <w:tr>
        <w:trPr>
          <w:trHeight w:val="20"/>
        </w:trPr>
        <w:tc>
          <w:tcPr>
            <w:tcW w:w="3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2023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2023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2023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0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audits and lawfully permitted non-audit services.</w:t>
      </w:r>
    </w:p>
    <w:p>
      <w:pPr>
        <w:spacing w:after="0" w:line="1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all purchases of our preference units by our affiliated purchasers for the period ended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Series A Preference</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Series B Preference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 Preference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0" w:type="dxa"/>
            <w:vAlign w:val="bottom"/>
          </w:tcPr>
          <w:p>
            <w:pPr>
              <w:spacing w:after="0"/>
              <w:rPr>
                <w:sz w:val="1"/>
                <w:szCs w:val="1"/>
                <w:color w:val="auto"/>
              </w:rPr>
            </w:pPr>
          </w:p>
        </w:tc>
      </w:tr>
      <w:tr>
        <w:trPr>
          <w:trHeight w:val="173"/>
        </w:trPr>
        <w:tc>
          <w:tcPr>
            <w:tcW w:w="5040" w:type="dxa"/>
            <w:vAlign w:val="bottom"/>
            <w:gridSpan w:val="3"/>
            <w:vMerge w:val="continue"/>
          </w:tcPr>
          <w:p>
            <w:pPr>
              <w:spacing w:after="0"/>
              <w:rPr>
                <w:sz w:val="15"/>
                <w:szCs w:val="15"/>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November 2024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December 2024 </w:t>
            </w:r>
            <w:r>
              <w:rPr>
                <w:rFonts w:ascii="Times New Roman" w:cs="Times New Roman" w:eastAsia="Times New Roman" w:hAnsi="Times New Roman"/>
                <w:sz w:val="25"/>
                <w:szCs w:val="25"/>
                <w:color w:val="auto"/>
                <w:vertAlign w:val="superscript"/>
              </w:rPr>
              <w:t>(2)</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195" w:lineRule="auto"/>
        <w:tabs>
          <w:tab w:leader="none" w:pos="34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and Paolo Enoizi, for his own benefit, acquired these shares in open-market transactions.</w:t>
      </w:r>
    </w:p>
    <w:p>
      <w:pPr>
        <w:spacing w:after="0" w:line="162" w:lineRule="exact"/>
        <w:rPr>
          <w:rFonts w:ascii="Times New Roman" w:cs="Times New Roman" w:eastAsia="Times New Roman" w:hAnsi="Times New Roman"/>
          <w:sz w:val="22"/>
          <w:szCs w:val="22"/>
          <w:color w:val="auto"/>
          <w:vertAlign w:val="superscript"/>
        </w:rPr>
      </w:pPr>
    </w:p>
    <w:p>
      <w:pPr>
        <w:ind w:left="340" w:hanging="332"/>
        <w:spacing w:after="0"/>
        <w:tabs>
          <w:tab w:leader="none" w:pos="34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Entities controlled by Peter Livanos, for his own benefit and the benefit of his immediate family members, acquired these shares in open-market transactions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PARTNERSHIP’S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Pursuant to certain exceptions for foreign private issuers and issuers that list only preferred units, the Partnership is not required to comply with most of the corporate governance practices followed by U.S. companies under the NYSE listing standards. However, pursuant to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29"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NYSE rules do not require a listed company that is a foreign private issuer or an issuer that lists only preferred units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Accordingly, our board of directors is not required to be comprised of a majority of independent directors. However, our board of directors has determined that each of Ms. Despoina Kyritsi and Mr. Konstantinos Andreou satisfies the independence standards established by the NYSE as applicable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and Compensation Committee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issuers that list only preferred units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 A copy of our Trading Policy is filed as Exhibit 11.1 to this annual report.</w:t>
      </w:r>
    </w:p>
    <w:p>
      <w:pPr>
        <w:spacing w:after="0" w:line="18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The Partnership’s cybersecurity risk management and governance largely relies on GasLog’s resources.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GasLog has in place safety and security measures on our vessels and onshore operations to secure our vessels against cybersecurity incidents. GasLog’s processes for assessing, identifying and managing material risks from cybersecurity threats include:</w:t>
      </w:r>
    </w:p>
    <w:p>
      <w:pPr>
        <w:spacing w:after="0" w:line="121" w:lineRule="exact"/>
        <w:rPr>
          <w:sz w:val="20"/>
          <w:szCs w:val="20"/>
          <w:color w:val="auto"/>
        </w:rPr>
      </w:pPr>
    </w:p>
    <w:p>
      <w:pPr>
        <w:ind w:left="680" w:right="220" w:hanging="321"/>
        <w:spacing w:after="0" w:line="289" w:lineRule="auto"/>
        <w:tabs>
          <w:tab w:leader="none" w:pos="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processes designed in accordance with international standards guidelines including the National Institute of Standards and Technology (NIST) Core Framework, BS ISO/IEC 27001, BS ISO/IEC 27002, the Tanker Management Self-Assessment (TMSA) 13 Elements, BIMCO, IMO Guidelines and International Ship and Port Facility Security (ISPS) Code;</w:t>
      </w:r>
    </w:p>
    <w:p>
      <w:pPr>
        <w:spacing w:after="0" w:line="130" w:lineRule="exact"/>
        <w:rPr>
          <w:rFonts w:ascii="Times New Roman" w:cs="Times New Roman" w:eastAsia="Times New Roman" w:hAnsi="Times New Roman"/>
          <w:sz w:val="17"/>
          <w:szCs w:val="17"/>
          <w:color w:val="auto"/>
        </w:rPr>
      </w:pPr>
    </w:p>
    <w:p>
      <w:pPr>
        <w:ind w:left="680" w:right="24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protection mechanisms such as access procedures, antivirus programs, endpoint detection &amp; response, maintaining a firewall and antispam, anti-phishing and email filtering processes;</w:t>
      </w:r>
    </w:p>
    <w:p>
      <w:pPr>
        <w:spacing w:after="0" w:line="121"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internal policies and procedures, including an Information Security and Acceptable Use Policy, Information Security Management System Policy, Cyber Incident Response Procedures and Cyber Security Assessments on Policies and Procedures, to manage cybersecurity risk, implement incident reporting procedures and cybersecurity threat responses and regularly assess and monitor the Company’s cybersecurity measures;</w:t>
      </w:r>
    </w:p>
    <w:p>
      <w:pPr>
        <w:spacing w:after="0" w:line="13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procedures to assess personnel’s compliance with information security procedures and to test the condition of the Company’s technology infrastructure;</w:t>
      </w:r>
    </w:p>
    <w:p>
      <w:pPr>
        <w:spacing w:after="0" w:line="134"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vulnerability assessment and penetration testing (“VATP”) on shore and on vessels to review our cybersecurity weaknesses, using either internal competencies or external firms;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multi-vendor approach to reduce the risk of the compromise of a major cybersecurity vendor;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comprehensive cybersecurity training for both ship and shore personnel.</w:t>
      </w:r>
    </w:p>
    <w:p>
      <w:pPr>
        <w:spacing w:after="0" w:line="19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GasLog also has processes to oversee and identify cybersecurity risks from cybersecurity threats associated with our use of suppliers, vendors, third-party service providers and IT support companies. These include the use of cybersecurity questionnaires, the performance of contract reviews to ensure IT-related compliance and the mitigation of identified information security risks and the sharing of our information security and acceptable use policy.</w:t>
      </w:r>
    </w:p>
    <w:p>
      <w:pPr>
        <w:sectPr>
          <w:pgSz w:w="11900" w:h="16838" w:orient="portrait"/>
          <w:cols w:equalWidth="0" w:num="1">
            <w:col w:w="9840"/>
          </w:cols>
          <w:pgMar w:left="980" w:top="513" w:right="1079" w:bottom="1440" w:gutter="0" w:footer="0" w:header="0"/>
        </w:sect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GasLog uses external cybersecurity experts in connection with cybersecurity threat detection and collection of cyber threat intelligence to help us conduct internal training such as unannounced cybersecurity drills and to assist with the management and post-incident analysis of incidents.</w:t>
      </w:r>
    </w:p>
    <w:p>
      <w:pPr>
        <w:spacing w:after="0" w:line="13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GasLog has adopted the internal policies mentioned above to implement reporting procedures for any cybersecurity incident and a cybersecurity management framework to continuously monitor and access risk. These policies are developed and periodically reviewed by GasLog’s IT steering committee. The processes outlined above have also been integrated into our overall risk management strategy.</w:t>
      </w:r>
    </w:p>
    <w:p>
      <w:pPr>
        <w:spacing w:after="0" w:line="13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a description of how risks from cybersecurity threats could materially affect us, including our business strategy, results of operations or financial condition, see “Item 3. Key Information—D. Risk Factors—Risks related to Us—We rely on our information systems to conduct our business and failure to protect these systems against security breaches could materially disrupt our business and adversely affect our results of operations,” which is incorporated by reference into this Item 16K.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has ultimate responsibility for the oversight of cybersecurity risks and responses to cybersecurity incidents, should they arise. The Audit Committee receives quarterly updates about cybersecurity threats and processes from the CEO.</w:t>
      </w:r>
    </w:p>
    <w:p>
      <w:pPr>
        <w:spacing w:after="0" w:line="12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The key management body responsible for accessing and managing material risks from cybersecurity threats is GasLog’s IT steering committee which is made up of the CEO, the COO, the CFO, the Head of Information, Communication and Technology (“ICT”) and the Business Process Innovation Manager of GasLog. The IT steering committee periodically extends invitations to additional participants.</w:t>
      </w:r>
    </w:p>
    <w:p>
      <w:pPr>
        <w:spacing w:after="0" w:line="13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IT steering committee receives information from the Head of ICT regarding the monitoring, prevention, detection, mitigation and remediation of cybersecurity incidents logged by the ICT department, GasLog’s Duty Officer and the Cybersecurity Incident Response Team (“CSIRT”). The Cyber Security Officer (“CySO”) is responsible for researching, developing, implementing, testing and reviewing our information security to protect information and prevent unauthorized access. GasLog’s procedures provide that, to the extent any cybersecurity incident occurs, the Head of ICT or the CySO is the immediate contact. The CSIRT and IT steering committee then take follow-up actions including reporting the incident to relevant stakeholders, carrying out a post-incident review and updating key information, controls and processes. The CEO, who supervises the IT steering committee, then reports to the Audit Committee, as discussed above, which assesses, with the support of the legal team, the materiality of incidents in the context of the Company’s reporting and disclosure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Reference is made to pages F-1 through F-37 included herein by reference.</w:t>
      </w:r>
    </w:p>
    <w:p>
      <w:pPr>
        <w:spacing w:after="0" w:line="2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9900"/>
          </w:cols>
          <w:pgMar w:left="980" w:top="513" w:right="1019" w:bottom="1440" w:gutter="0" w:footer="0" w:header="0"/>
        </w:sectPr>
      </w:pP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858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54775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232" w:lineRule="auto"/>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Certificate of Limited Partnership of GasLog Partners LP</w:t>
        </w:r>
        <w:r>
          <w:rPr>
            <w:rFonts w:ascii="Times New Roman" w:cs="Times New Roman" w:eastAsia="Times New Roman" w:hAnsi="Times New Roman"/>
            <w:sz w:val="26"/>
            <w:szCs w:val="26"/>
            <w:u w:val="single" w:color="auto"/>
            <w:color w:val="0000EE"/>
            <w:vertAlign w:val="superscript"/>
          </w:rPr>
          <w:t>(1)</w:t>
        </w:r>
      </w:hyperlink>
    </w:p>
    <w:p>
      <w:pPr>
        <w:spacing w:after="0" w:line="195" w:lineRule="auto"/>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Eighth Amended and Restated Agreement of Limited Partnership of GasLog Partners LP</w:t>
        </w:r>
        <w:r>
          <w:rPr>
            <w:rFonts w:ascii="Times New Roman" w:cs="Times New Roman" w:eastAsia="Times New Roman" w:hAnsi="Times New Roman"/>
            <w:sz w:val="26"/>
            <w:szCs w:val="26"/>
            <w:u w:val="single" w:color="auto"/>
            <w:color w:val="0000EE"/>
            <w:vertAlign w:val="superscript"/>
          </w:rPr>
          <w:t>(2)</w:t>
        </w:r>
      </w:hyperlink>
    </w:p>
    <w:p>
      <w:pPr>
        <w:spacing w:after="0" w:line="180" w:lineRule="auto"/>
        <w:rPr>
          <w:rFonts w:ascii="Times New Roman" w:cs="Times New Roman" w:eastAsia="Times New Roman" w:hAnsi="Times New Roman"/>
          <w:sz w:val="17"/>
          <w:szCs w:val="17"/>
          <w:u w:val="single" w:color="auto"/>
          <w:color w:val="0000EE"/>
        </w:rPr>
      </w:pPr>
      <w:hyperlink r:id="rId111">
        <w:r>
          <w:rPr>
            <w:rFonts w:ascii="Times New Roman" w:cs="Times New Roman" w:eastAsia="Times New Roman" w:hAnsi="Times New Roman"/>
            <w:sz w:val="17"/>
            <w:szCs w:val="17"/>
            <w:u w:val="single" w:color="auto"/>
            <w:color w:val="0000EE"/>
          </w:rPr>
          <w:t>Certificate of Formation of GasLog Partners GP LLC</w:t>
        </w:r>
        <w:r>
          <w:rPr>
            <w:rFonts w:ascii="Times New Roman" w:cs="Times New Roman" w:eastAsia="Times New Roman" w:hAnsi="Times New Roman"/>
            <w:sz w:val="25"/>
            <w:szCs w:val="25"/>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Limited Liability Company Agreement of GasLog Partners GP LLC</w:t>
        </w:r>
        <w:r>
          <w:rPr>
            <w:rFonts w:ascii="Times New Roman" w:cs="Times New Roman" w:eastAsia="Times New Roman" w:hAnsi="Times New Roman"/>
            <w:sz w:val="26"/>
            <w:szCs w:val="26"/>
            <w:u w:val="single" w:color="auto"/>
            <w:color w:val="0000EE"/>
            <w:vertAlign w:val="superscript"/>
          </w:rPr>
          <w:t>(1)</w:t>
        </w:r>
      </w:hyperlink>
    </w:p>
    <w:p>
      <w:pPr>
        <w:spacing w:after="0"/>
        <w:rPr>
          <w:sz w:val="20"/>
          <w:szCs w:val="20"/>
          <w:color w:val="auto"/>
        </w:rPr>
      </w:pPr>
      <w:r>
        <w:rPr>
          <w:rFonts w:ascii="Times New Roman" w:cs="Times New Roman" w:eastAsia="Times New Roman" w:hAnsi="Times New Roman"/>
          <w:sz w:val="18"/>
          <w:szCs w:val="18"/>
          <w:u w:val="single" w:color="auto"/>
          <w:color w:val="0000EE"/>
        </w:rPr>
        <w:t>Description of Securities</w:t>
      </w:r>
    </w:p>
    <w:p>
      <w:pPr>
        <w:spacing w:after="0" w:line="201" w:lineRule="auto"/>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Form of Administrative Services Agreement</w:t>
        </w:r>
        <w:r>
          <w:rPr>
            <w:rFonts w:ascii="Times New Roman" w:cs="Times New Roman" w:eastAsia="Times New Roman" w:hAnsi="Times New Roman"/>
            <w:sz w:val="26"/>
            <w:szCs w:val="26"/>
            <w:u w:val="single" w:color="auto"/>
            <w:color w:val="0000EE"/>
            <w:vertAlign w:val="superscript"/>
          </w:rPr>
          <w:t>(1)</w:t>
        </w:r>
      </w:hyperlink>
    </w:p>
    <w:p>
      <w:pPr>
        <w:spacing w:after="0" w:line="196" w:lineRule="auto"/>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Form of Commercial Management Agreement</w:t>
        </w:r>
        <w:r>
          <w:rPr>
            <w:rFonts w:ascii="Times New Roman" w:cs="Times New Roman" w:eastAsia="Times New Roman" w:hAnsi="Times New Roman"/>
            <w:sz w:val="26"/>
            <w:szCs w:val="26"/>
            <w:u w:val="single" w:color="auto"/>
            <w:color w:val="0000EE"/>
            <w:vertAlign w:val="superscript"/>
          </w:rPr>
          <w:t>(1)</w:t>
        </w:r>
      </w:hyperlink>
    </w:p>
    <w:p>
      <w:pPr>
        <w:spacing w:after="0" w:line="180" w:lineRule="auto"/>
        <w:rPr>
          <w:rFonts w:ascii="Times New Roman" w:cs="Times New Roman" w:eastAsia="Times New Roman" w:hAnsi="Times New Roman"/>
          <w:sz w:val="17"/>
          <w:szCs w:val="17"/>
          <w:u w:val="single" w:color="auto"/>
          <w:color w:val="0000EE"/>
        </w:rPr>
      </w:pPr>
      <w:hyperlink r:id="rId115">
        <w:r>
          <w:rPr>
            <w:rFonts w:ascii="Times New Roman" w:cs="Times New Roman" w:eastAsia="Times New Roman" w:hAnsi="Times New Roman"/>
            <w:sz w:val="17"/>
            <w:szCs w:val="17"/>
            <w:u w:val="single" w:color="auto"/>
            <w:color w:val="0000EE"/>
          </w:rPr>
          <w:t>Form of Ship Management Agreement</w:t>
        </w:r>
        <w:r>
          <w:rPr>
            <w:rFonts w:ascii="Times New Roman" w:cs="Times New Roman" w:eastAsia="Times New Roman" w:hAnsi="Times New Roman"/>
            <w:sz w:val="25"/>
            <w:szCs w:val="25"/>
            <w:u w:val="single" w:color="auto"/>
            <w:color w:val="0000EE"/>
            <w:vertAlign w:val="superscript"/>
          </w:rPr>
          <w:t>(3)</w:t>
        </w:r>
      </w:hyperlink>
    </w:p>
    <w:p>
      <w:pPr>
        <w:spacing w:after="0" w:line="184" w:lineRule="auto"/>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Form of Indemnification Agreement for the Partnership’s directors and certain officers</w:t>
        </w:r>
        <w:r>
          <w:rPr>
            <w:rFonts w:ascii="Times New Roman" w:cs="Times New Roman" w:eastAsia="Times New Roman" w:hAnsi="Times New Roman"/>
            <w:sz w:val="26"/>
            <w:szCs w:val="26"/>
            <w:u w:val="single" w:color="auto"/>
            <w:color w:val="0000EE"/>
            <w:vertAlign w:val="superscript"/>
          </w:rPr>
          <w:t>(3)</w:t>
        </w:r>
      </w:hyperlink>
    </w:p>
    <w:p>
      <w:pPr>
        <w:spacing w:after="0" w:line="1" w:lineRule="exact"/>
        <w:rPr>
          <w:sz w:val="20"/>
          <w:szCs w:val="20"/>
          <w:color w:val="auto"/>
        </w:rPr>
      </w:pPr>
    </w:p>
    <w:p>
      <w:pPr>
        <w:spacing w:after="0" w:line="242" w:lineRule="auto"/>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Facility Agreement dated November 2, 2023, relating to $2,800,000,000 Reducing Revolving Loan Facility among</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GasLog Ltd. as borrower, Alpha Bank S.A., ABN Amro Bank N.V., BNP Paribas, Citibank, N.A., London, Branch,</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Credit Suisse AG, Danish Ship Finance A/S, DNB (UK) Limited, ING Bank N.V., London Branch, National Bank of</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Greece S.A., Nordea Bank Abp, Filial I Norge, Oversea-Chinese Banking Corporation Limited and Standard Chartered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Bank (Singapore) Limited as mandated lead arrangers and bookrunners; National Australia Bank Limited and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Skandinaviska Enskilda Banken AB (publ) as mandated lead arrangers; DNB Bank ASA, London Branch as Agent and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security agent; ABN Amro Bank N.V. as Sustainability Co-ordinator; BNP Paribas and Citibank, N.A., London,</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Branch, as Global Co-ordinators and GAS-one Ltd., GAS-two Ltd., GAS-four Ltd., GAS-seven Ltd., GAS-eight Ltd.,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GAS-eleven Ltd., GAS-twelve Ltd., GAS-thirteen Ltd., GAS-fourteen Ltd., GAS-sixteen Ltd., GAS-seventeen Ltd.,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GAS-nineteen Ltd., GAS-twenty two Ltd., GAS-twenty three Ltd., GAS-twenty seven Ltd., GAS-twenty eight Ltd.,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GAS-thirty Ltd., GAS-thirty one Ltd., GAS-thirty two Ltd., GAS-thirty three Ltd., GAS-thirty four Ltd., GAS-thirty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five Ltd. and GasLog Hellas-1 Special Maritime Enterprise as Owners and Guarantors; GasLog Partners LP, GasLog</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Carriers Ltd. and GasLog Partners Holdings LLC as Guarantors.</w:t>
        </w:r>
        <w:r>
          <w:rPr>
            <w:rFonts w:ascii="Times New Roman" w:cs="Times New Roman" w:eastAsia="Times New Roman" w:hAnsi="Times New Roman"/>
            <w:sz w:val="26"/>
            <w:szCs w:val="26"/>
            <w:u w:val="single" w:color="auto"/>
            <w:color w:val="0000EE"/>
            <w:vertAlign w:val="superscript"/>
          </w:rPr>
          <w:t>(4)</w:t>
        </w:r>
        <w:r>
          <w:rPr>
            <w:rFonts w:ascii="Times New Roman" w:cs="Times New Roman" w:eastAsia="Times New Roman" w:hAnsi="Times New Roman"/>
            <w:sz w:val="18"/>
            <w:szCs w:val="18"/>
            <w:u w:val="single" w:color="auto"/>
            <w:color w:val="0000EE"/>
          </w:rPr>
          <w:t>*</w:t>
        </w:r>
      </w:hyperlink>
    </w:p>
    <w:p>
      <w:pPr>
        <w:spacing w:after="0" w:line="2" w:lineRule="exact"/>
        <w:rPr>
          <w:rFonts w:ascii="Times New Roman" w:cs="Times New Roman" w:eastAsia="Times New Roman" w:hAnsi="Times New Roman"/>
          <w:sz w:val="18"/>
          <w:szCs w:val="18"/>
          <w:u w:val="single" w:color="auto"/>
          <w:color w:val="0000EE"/>
        </w:rPr>
      </w:pPr>
    </w:p>
    <w:p>
      <w:pPr>
        <w:ind w:right="20"/>
        <w:spacing w:after="0"/>
        <w:rPr>
          <w:sz w:val="20"/>
          <w:szCs w:val="20"/>
          <w:color w:val="auto"/>
        </w:rPr>
      </w:pPr>
      <w:r>
        <w:rPr>
          <w:rFonts w:ascii="Times New Roman" w:cs="Times New Roman" w:eastAsia="Times New Roman" w:hAnsi="Times New Roman"/>
          <w:sz w:val="18"/>
          <w:szCs w:val="18"/>
          <w:u w:val="single" w:color="auto"/>
          <w:color w:val="0000EE"/>
        </w:rPr>
        <w:t>Supplemental Agreement dated February 10, 2025 to the Facility Agreement dated November 2, 2023, relating to $2,800,000,000 Reducing Revolving Loan Facility among GasLog Ltd. as borrower, Alpha Bank S.A., ABN Amro Bank N.V., BNP Paribas, Citibank, N.A., Jersey Branch, UBS AG, Danish Ship Finance A/S, DNB (UK) Limited, ING Bank N.V., London Branch, National Australia Bank Limited, National Bank of Greece S.A., Nordea Bank Abp, Filial I Norge, Oversea-Chinese Banking Corporation Limited, Skandinaviska Enskilda Banken AB (publ) and Standard Chartered Bank (Singapore) Limited as lenders and GAS-one Ltd., GAS-two Ltd., GAS-seven Ltd., GAS-eight Ltd., GAS-eleven Ltd., GAS-twelve Ltd., GAS-thirteen Ltd., GAS-fourteen Ltd., GAS-sixteen Ltd., GAS-seventeen Ltd., GAS-nineteen Ltd., GAS-twenty two Ltd., GAS-twenty three Ltd., GAS-twenty seven Ltd., GAS-twenty eight Ltd., GAS-thirty Ltd., GAS-thirty one Ltd., GAS-thirty two Ltd., GAS-thirty three Ltd., GAS-thirty four Ltd., GAS-thirty five Ltd. and GasLog Hellas-1 Special Maritime Enterprise, GasLog Partners LP, GasLog Carriers Ltd. and GasLog Partners Holdings LLC as Guarantors.</w:t>
      </w:r>
      <w:r>
        <w:rPr>
          <w:rFonts w:ascii="Times New Roman" w:cs="Times New Roman" w:eastAsia="Times New Roman" w:hAnsi="Times New Roman"/>
          <w:sz w:val="26"/>
          <w:szCs w:val="26"/>
          <w:u w:val="single" w:color="auto"/>
          <w:color w:val="0000EE"/>
          <w:vertAlign w:val="superscript"/>
        </w:rPr>
        <w:t>*</w:t>
      </w:r>
    </w:p>
    <w:p>
      <w:pPr>
        <w:spacing w:after="0" w:line="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1080" w:space="220"/>
            <w:col w:w="8600"/>
          </w:cols>
          <w:pgMar w:left="980" w:top="513" w:right="1019" w:bottom="1440" w:gutter="0" w:footer="0" w:header="0"/>
          <w:type w:val="continuous"/>
        </w:sectPr>
      </w:pPr>
    </w:p>
    <w:p>
      <w:pPr>
        <w:ind w:left="8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0000EE"/>
        </w:rPr>
        <w:t>List of Subsidiaries of GasLog Partners LP</w:t>
      </w:r>
    </w:p>
    <w:p>
      <w:pPr>
        <w:spacing w:after="0" w:line="7" w:lineRule="exact"/>
        <w:rPr>
          <w:rFonts w:ascii="Times New Roman" w:cs="Times New Roman" w:eastAsia="Times New Roman" w:hAnsi="Times New Roman"/>
          <w:sz w:val="18"/>
          <w:szCs w:val="18"/>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u w:val="single" w:color="auto"/>
          <w:color w:val="0000EE"/>
        </w:rPr>
        <w:t>Trading Policy</w:t>
      </w:r>
    </w:p>
    <w:p>
      <w:pPr>
        <w:spacing w:after="0" w:line="23" w:lineRule="exact"/>
        <w:rPr>
          <w:rFonts w:ascii="Times New Roman" w:cs="Times New Roman" w:eastAsia="Times New Roman" w:hAnsi="Times New Roman"/>
          <w:sz w:val="18"/>
          <w:szCs w:val="18"/>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Executive Officer</w:t>
      </w:r>
    </w:p>
    <w:p>
      <w:pPr>
        <w:spacing w:after="0" w:line="23" w:lineRule="exact"/>
        <w:rPr>
          <w:rFonts w:ascii="Times New Roman" w:cs="Times New Roman" w:eastAsia="Times New Roman" w:hAnsi="Times New Roman"/>
          <w:sz w:val="18"/>
          <w:szCs w:val="18"/>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Financial Officer</w:t>
      </w:r>
    </w:p>
    <w:p>
      <w:pPr>
        <w:spacing w:after="0" w:line="23" w:lineRule="exact"/>
        <w:rPr>
          <w:rFonts w:ascii="Times New Roman" w:cs="Times New Roman" w:eastAsia="Times New Roman" w:hAnsi="Times New Roman"/>
          <w:sz w:val="18"/>
          <w:szCs w:val="18"/>
          <w:u w:val="single" w:color="auto"/>
          <w:color w:val="0000EE"/>
        </w:rPr>
      </w:pPr>
    </w:p>
    <w:p>
      <w:pPr>
        <w:ind w:left="1300" w:hanging="516"/>
        <w:spacing w:after="0" w:line="292" w:lineRule="auto"/>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0000EE"/>
        </w:rPr>
        <w:t>GasLog Partners LP Certification of Paolo Enoizi, Chief Executive Officer, pursuant to 18 U.S.C. Section 1350, as adopted pursuant to Section 906 of the U.S. Sarbanes- Oxley Act of 2002</w:t>
      </w:r>
    </w:p>
    <w:p>
      <w:pPr>
        <w:spacing w:after="0" w:line="382"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60" w:type="dxa"/>
            <w:vAlign w:val="bottom"/>
            <w:tcBorders>
              <w:top w:val="single" w:sz="8" w:color="auto"/>
            </w:tcBorders>
          </w:tcPr>
          <w:p>
            <w:pPr>
              <w:ind w:left="760"/>
              <w:spacing w:after="0" w:line="176" w:lineRule="exact"/>
              <w:rPr>
                <w:sz w:val="20"/>
                <w:szCs w:val="20"/>
                <w:color w:val="auto"/>
              </w:rPr>
            </w:pPr>
            <w:r>
              <w:rPr>
                <w:rFonts w:ascii="Times New Roman" w:cs="Times New Roman" w:eastAsia="Times New Roman" w:hAnsi="Times New Roman"/>
                <w:sz w:val="18"/>
                <w:szCs w:val="18"/>
                <w:color w:val="auto"/>
                <w:w w:val="88"/>
              </w:rPr>
              <w:t>13.2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auto"/>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GasLog Partners LP Certification of Achilleas Tasioulas, Chief Financial Officer, pursuant to 18 U.S.C. Section 1350,</w:t>
            </w:r>
          </w:p>
        </w:tc>
        <w:tc>
          <w:tcPr>
            <w:tcW w:w="0" w:type="dxa"/>
            <w:vAlign w:val="bottom"/>
          </w:tcPr>
          <w:p>
            <w:pPr>
              <w:spacing w:after="0"/>
              <w:rPr>
                <w:sz w:val="1"/>
                <w:szCs w:val="1"/>
                <w:color w:val="auto"/>
              </w:rPr>
            </w:pPr>
          </w:p>
        </w:tc>
      </w:tr>
      <w:tr>
        <w:trPr>
          <w:trHeight w:val="210"/>
        </w:trPr>
        <w:tc>
          <w:tcPr>
            <w:tcW w:w="12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as adopted pursuant to Section 906 of the U.S. Sarbanes-Oxley Act of 2002</w:t>
            </w:r>
          </w:p>
        </w:tc>
        <w:tc>
          <w:tcPr>
            <w:tcW w:w="0" w:type="dxa"/>
            <w:vAlign w:val="bottom"/>
          </w:tcPr>
          <w:p>
            <w:pPr>
              <w:spacing w:after="0"/>
              <w:rPr>
                <w:sz w:val="1"/>
                <w:szCs w:val="1"/>
                <w:color w:val="auto"/>
              </w:rPr>
            </w:pPr>
          </w:p>
        </w:tc>
      </w:tr>
      <w:tr>
        <w:trPr>
          <w:trHeight w:val="169"/>
        </w:trPr>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EE"/>
              <w:bottom w:val="single" w:sz="8" w:color="0000EE"/>
            </w:tcBorders>
            <w:vMerge w:val="restart"/>
          </w:tcPr>
          <w:p>
            <w:pPr>
              <w:spacing w:after="0"/>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Clawback Policy</w:t>
              </w:r>
            </w:hyperlink>
          </w:p>
        </w:tc>
        <w:tc>
          <w:tcPr>
            <w:tcW w:w="16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3"/>
                <w:szCs w:val="13"/>
                <w:color w:val="0000EE"/>
                <w:w w:val="92"/>
              </w:rPr>
            </w:pPr>
            <w:hyperlink r:id="rId119">
              <w:r>
                <w:rPr>
                  <w:rFonts w:ascii="Times New Roman" w:cs="Times New Roman" w:eastAsia="Times New Roman" w:hAnsi="Times New Roman"/>
                  <w:sz w:val="13"/>
                  <w:szCs w:val="13"/>
                  <w:color w:val="0000EE"/>
                  <w:w w:val="92"/>
                </w:rPr>
                <w:t>(4)</w:t>
              </w:r>
            </w:hyperlink>
          </w:p>
        </w:tc>
        <w:tc>
          <w:tcPr>
            <w:tcW w:w="4040" w:type="dxa"/>
            <w:vAlign w:val="bottom"/>
            <w:tcBorders>
              <w:top w:val="single" w:sz="8" w:color="0000EE"/>
              <w:bottom w:val="single" w:sz="8" w:color="0000EE"/>
            </w:tcBorders>
            <w:vMerge w:val="restart"/>
          </w:tcPr>
          <w:p>
            <w:pPr>
              <w:spacing w:after="0"/>
              <w:rPr>
                <w:sz w:val="14"/>
                <w:szCs w:val="14"/>
                <w:color w:val="auto"/>
              </w:rPr>
            </w:pPr>
          </w:p>
        </w:tc>
        <w:tc>
          <w:tcPr>
            <w:tcW w:w="3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40" w:type="dxa"/>
            <w:vAlign w:val="bottom"/>
            <w:vMerge w:val="continue"/>
          </w:tcPr>
          <w:p>
            <w:pPr>
              <w:spacing w:after="0"/>
              <w:rPr>
                <w:sz w:val="2"/>
                <w:szCs w:val="2"/>
                <w:color w:val="auto"/>
              </w:rPr>
            </w:pPr>
          </w:p>
        </w:tc>
        <w:tc>
          <w:tcPr>
            <w:tcW w:w="3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0"/>
                <w:szCs w:val="20"/>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Instance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101.SCH</w:t>
            </w:r>
          </w:p>
        </w:tc>
        <w:tc>
          <w:tcPr>
            <w:tcW w:w="20" w:type="dxa"/>
            <w:vAlign w:val="bottom"/>
          </w:tcPr>
          <w:p>
            <w:pPr>
              <w:spacing w:after="0"/>
              <w:rPr>
                <w:sz w:val="19"/>
                <w:szCs w:val="19"/>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Taxonomy Extension Schema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101.CAL</w:t>
            </w:r>
          </w:p>
        </w:tc>
        <w:tc>
          <w:tcPr>
            <w:tcW w:w="20" w:type="dxa"/>
            <w:vAlign w:val="bottom"/>
          </w:tcPr>
          <w:p>
            <w:pPr>
              <w:spacing w:after="0"/>
              <w:rPr>
                <w:sz w:val="19"/>
                <w:szCs w:val="19"/>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Taxonomy Extension Scheme Calculation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101.DEF</w:t>
            </w:r>
          </w:p>
        </w:tc>
        <w:tc>
          <w:tcPr>
            <w:tcW w:w="20" w:type="dxa"/>
            <w:vAlign w:val="bottom"/>
          </w:tcPr>
          <w:p>
            <w:pPr>
              <w:spacing w:after="0"/>
              <w:rPr>
                <w:sz w:val="19"/>
                <w:szCs w:val="19"/>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Taxonomy Extension Scheme Definition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101.LAB</w:t>
            </w:r>
          </w:p>
        </w:tc>
        <w:tc>
          <w:tcPr>
            <w:tcW w:w="20" w:type="dxa"/>
            <w:vAlign w:val="bottom"/>
          </w:tcPr>
          <w:p>
            <w:pPr>
              <w:spacing w:after="0"/>
              <w:rPr>
                <w:sz w:val="19"/>
                <w:szCs w:val="19"/>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Taxonomy Extension Scheme Label Linkbase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101.PRE</w:t>
            </w:r>
          </w:p>
        </w:tc>
        <w:tc>
          <w:tcPr>
            <w:tcW w:w="20" w:type="dxa"/>
            <w:vAlign w:val="bottom"/>
          </w:tcPr>
          <w:p>
            <w:pPr>
              <w:spacing w:after="0"/>
              <w:rPr>
                <w:sz w:val="20"/>
                <w:szCs w:val="20"/>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231F20"/>
              </w:rPr>
              <w:t>XBRL Taxonomy Extension Scheme Presentation Linkbase</w:t>
            </w:r>
          </w:p>
        </w:tc>
        <w:tc>
          <w:tcPr>
            <w:tcW w:w="0" w:type="dxa"/>
            <w:vAlign w:val="bottom"/>
          </w:tcPr>
          <w:p>
            <w:pPr>
              <w:spacing w:after="0"/>
              <w:rPr>
                <w:sz w:val="1"/>
                <w:szCs w:val="1"/>
                <w:color w:val="auto"/>
              </w:rPr>
            </w:pPr>
          </w:p>
        </w:tc>
      </w:tr>
    </w:tbl>
    <w:p>
      <w:pPr>
        <w:ind w:left="1300" w:hanging="480"/>
        <w:spacing w:after="0"/>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(formatted as Inline XBRL and included in Exhibit 101)</w:t>
      </w:r>
    </w:p>
    <w:p>
      <w:pPr>
        <w:spacing w:after="0" w:line="233" w:lineRule="exact"/>
        <w:rPr>
          <w:rFonts w:ascii="Times New Roman" w:cs="Times New Roman" w:eastAsia="Times New Roman" w:hAnsi="Times New Roman"/>
          <w:sz w:val="18"/>
          <w:szCs w:val="18"/>
          <w:color w:val="auto"/>
        </w:rPr>
      </w:pPr>
    </w:p>
    <w:p>
      <w:pPr>
        <w:ind w:left="340" w:right="660" w:hanging="332"/>
        <w:spacing w:after="0" w:line="208" w:lineRule="auto"/>
        <w:tabs>
          <w:tab w:leader="none" w:pos="340" w:val="left"/>
        </w:tabs>
        <w:numPr>
          <w:ilvl w:val="0"/>
          <w:numId w:val="66"/>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Registration Statement on Form F-1 (File No. 333-195109), declared effective by the SEC on May 6, 2014, and hereby incorporated by reference to such Registration Statement.</w:t>
      </w:r>
    </w:p>
    <w:p>
      <w:pPr>
        <w:spacing w:after="0" w:line="199" w:lineRule="exact"/>
        <w:rPr>
          <w:rFonts w:ascii="Times New Roman" w:cs="Times New Roman" w:eastAsia="Times New Roman" w:hAnsi="Times New Roman"/>
          <w:sz w:val="27"/>
          <w:szCs w:val="27"/>
          <w:color w:val="231F20"/>
          <w:vertAlign w:val="superscript"/>
        </w:rPr>
      </w:pPr>
    </w:p>
    <w:p>
      <w:pPr>
        <w:ind w:left="340" w:right="220" w:hanging="332"/>
        <w:spacing w:after="0" w:line="208" w:lineRule="auto"/>
        <w:tabs>
          <w:tab w:leader="none" w:pos="340" w:val="left"/>
        </w:tabs>
        <w:numPr>
          <w:ilvl w:val="0"/>
          <w:numId w:val="66"/>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3.2 to GasLog Partners LP’s Report on Form 6-K (File No. 001-36433), filed with the SEC on July 24, 2023,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66"/>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Annual Report on Form 20-F (File No. 001-36433), filed with the SEC on February 12, 2016,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66"/>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Previously filed as an exhibit to GasLog Partners LP’s Annual Report on Form 20-F (File No. 001-36433), filed with the SEC on March 7, 2024,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-1575435</wp:posOffset>
            </wp:positionV>
            <wp:extent cx="1568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0" w:lineRule="exact"/>
        <w:rPr>
          <w:sz w:val="20"/>
          <w:szCs w:val="20"/>
          <w:color w:val="auto"/>
        </w:rPr>
      </w:pPr>
    </w:p>
    <w:p>
      <w:pPr>
        <w:ind w:left="340" w:right="360" w:hanging="332"/>
        <w:spacing w:after="0" w:line="266" w:lineRule="auto"/>
        <w:tabs>
          <w:tab w:leader="none" w:pos="340" w:val="left"/>
        </w:tabs>
        <w:numPr>
          <w:ilvl w:val="0"/>
          <w:numId w:val="6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231F20"/>
        </w:rPr>
        <w:t>GASLOG PARTNERS LP,</w:t>
      </w:r>
    </w:p>
    <w:p>
      <w:pPr>
        <w:spacing w:after="0" w:line="27" w:lineRule="exact"/>
        <w:rPr>
          <w:sz w:val="20"/>
          <w:szCs w:val="20"/>
          <w:color w:val="auto"/>
        </w:rPr>
      </w:pPr>
    </w:p>
    <w:tbl>
      <w:tblPr>
        <w:tblLayout w:type="fixed"/>
        <w:tblInd w:w="432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231F20"/>
              </w:rPr>
              <w:t>/s/ PAOLO ENOIZI</w:t>
            </w:r>
          </w:p>
        </w:tc>
      </w:tr>
      <w:tr>
        <w:trPr>
          <w:trHeight w:val="189"/>
        </w:trPr>
        <w:tc>
          <w:tcPr>
            <w:tcW w:w="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231F20"/>
              </w:rPr>
              <w:t>Name:</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231F20"/>
              </w:rPr>
              <w:t>Paolo Enoizi</w:t>
            </w:r>
          </w:p>
        </w:tc>
      </w:tr>
      <w:tr>
        <w:trPr>
          <w:trHeight w:val="236"/>
        </w:trPr>
        <w:tc>
          <w:tcPr>
            <w:tcW w:w="6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231F20"/>
              </w:rPr>
              <w:t>Chief Executive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Dated: March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 Deloitte Certified Public Accountants S.A. (PCAOB ID No.1163)</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2023 and 2024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total comprehensive income or loss for the years ended December 31, 2022, 2023</w:t>
            </w: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940" w:type="dxa"/>
            <w:vAlign w:val="bottom"/>
            <w:tcBorders>
              <w:top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and 2024</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partners’ equity for the years ended December 31, 2022, 2023 and 2024</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2023 and 2024</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620" w:type="dxa"/>
            <w:vAlign w:val="bottom"/>
            <w:tcBorders>
              <w:top w:val="single" w:sz="8" w:color="CCEEFF"/>
            </w:tcBorders>
            <w:gridSpan w:val="3"/>
          </w:tcPr>
          <w:p>
            <w:pPr>
              <w:spacing w:after="0"/>
              <w:rPr>
                <w:sz w:val="15"/>
                <w:szCs w:val="15"/>
                <w:color w:val="auto"/>
              </w:rPr>
            </w:pPr>
          </w:p>
        </w:tc>
        <w:tc>
          <w:tcPr>
            <w:tcW w:w="5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Partners LP and subsidiaries (the “Partnership”) as of December 31, 2023 and 2024, the related consolidated statements of profit or loss and total comprehensive income or loss, changes in partners’ equity and cash flows, for each of the three years in the period ended December 31, 2024, and the related notes (collectively referred to as the “financial statements”). In our opinion, the financial statements present fairly, in all material respects, the financial position of the Partnership as of December 31, 2023 and 2024, and the results of its operations and its cash flows for each of the three years in the period ended December 31, 2024, in conformity with International Financial Reporting Standards as issued by the International Accounting Standards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&amp; Right-of-Use Assets—Impairment of vessels—Refer to Notes 2, 3 and 4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 Description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December 31, 2024, 4 out of 10 owned vessels and 3 out of 4 bareboat vessels (right-of-use-assets) had impairment indications.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Partnership’s owned vessels and bareboat vessels are evaluated for impairment when events or changes in circumstances indicate that the carrying value may not be recoverable, and conversely, for reversal of impairment. For each vessel (owned and bareboat vessels consisting of Steam and TFDE type vessels), whenever impairment indicators or impairment reversal indicators are identified, management estimates the recoverable amount, which is the higher of fair value less cost to sell and value in use and compares it to the carrying value. As of December 31, 2024, negative indicators were identified for the Partnership’s Steam and TFDE vessels, which triggered the existence of potential impairment of certain Steam and TFDE vessels. The Partnership assesses value in use using discounted future cash flows, which requires management to make estimates and assumptions, of which estimated long-term charter rates for non-contracted revenue days involves the most significant judgment, estimation and subjectivity.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at December 31, 2024, the Partnership performed an impairment assessment for its owned and bareboat TFDE and Steam vessels by calculating each vessel’s value in use which incorporated estimated long-term charter rates for non-contracted revenue days. Estimated long-term charter rates for non-contracted revenue days reflect both (1) the “Period 1” – 2025 assumed Time Charter Equivalent (TCE) rate which aligns with the Partnership’s approved budget and is applied from the end of the vessel’s charter party agreement expiration up to December 31, 2025 and (2) the “Period 2” TCE rate, which is applied from January 1, 2026 until the end of the vessel’s useful life, based on longer-term expectations for the LNG industry.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estimated long-term charter rates for non-contracted days, as defined above, used in the discounted projected net operating cash flows for owned and bareboat vessels with the impairment indicator as a critical audit matter because of the complex judgments made by management to estimate them and the significant impact they have on discounted cash flows expected to be generated over the remaining useful life of the vessel, and due to the sensitivity of it in the value in use calculations. Performing audit procedures to evaluate the reasonableness of management’s estimates of long-term charter rates for non-contracted revenue days required a high degree of auditor judgment and an increased extent of audit effort.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the Critical Audit Matter Was Addressed in the Audit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estimated long-term charter rate assumption for non-contracted revenue days used by management to estimate the recoverable amount of Steam and TFDE owned and bareboat vessels included the following:</w:t>
      </w:r>
    </w:p>
    <w:p>
      <w:pPr>
        <w:spacing w:after="0" w:line="162" w:lineRule="exact"/>
        <w:rPr>
          <w:sz w:val="20"/>
          <w:szCs w:val="20"/>
          <w:color w:val="auto"/>
        </w:rPr>
      </w:pPr>
    </w:p>
    <w:p>
      <w:pPr>
        <w:jc w:val="both"/>
        <w:ind w:left="980" w:hanging="419"/>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implementation of the controls over management’s estimation of the recoverable amount of Steam and TFDE owned and bareboat vessels for which impairment indicators were identified, including controls over the assumption for the estimated long-term charter rate for non-contracted revenue days.</w:t>
      </w:r>
    </w:p>
    <w:p>
      <w:pPr>
        <w:spacing w:after="0" w:line="175" w:lineRule="exact"/>
        <w:rPr>
          <w:rFonts w:ascii="Times New Roman" w:cs="Times New Roman" w:eastAsia="Times New Roman" w:hAnsi="Times New Roman"/>
          <w:sz w:val="18"/>
          <w:szCs w:val="18"/>
          <w:color w:val="auto"/>
        </w:rPr>
      </w:pPr>
    </w:p>
    <w:p>
      <w:pPr>
        <w:jc w:val="both"/>
        <w:ind w:left="980" w:right="20" w:hanging="469"/>
        <w:spacing w:after="0" w:line="266"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Period 1- 2025 TCE rate for each of the Steam and TDFE owned and bareboat vessels for non-contracted revenue days up to December 31, 2025, by comparing management’s assumptions for vessels to market data and considered whether actual time charters agreed with charterers for similar vessels.</w:t>
      </w:r>
    </w:p>
    <w:p>
      <w:pPr>
        <w:spacing w:after="0" w:line="175" w:lineRule="exact"/>
        <w:rPr>
          <w:rFonts w:ascii="Times New Roman" w:cs="Times New Roman" w:eastAsia="Times New Roman" w:hAnsi="Times New Roman"/>
          <w:sz w:val="18"/>
          <w:szCs w:val="18"/>
          <w:color w:val="auto"/>
        </w:rPr>
      </w:pPr>
    </w:p>
    <w:p>
      <w:pPr>
        <w:ind w:left="980" w:right="20" w:hanging="519"/>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estimated Period 2 TCE rates for each of the Steam and TDFE owned and bareboat vessels for non-contracted revenue days assumptions as follows:</w:t>
      </w:r>
    </w:p>
    <w:p>
      <w:pPr>
        <w:spacing w:after="0" w:line="161" w:lineRule="exact"/>
        <w:rPr>
          <w:rFonts w:ascii="Times New Roman" w:cs="Times New Roman" w:eastAsia="Times New Roman" w:hAnsi="Times New Roman"/>
          <w:sz w:val="18"/>
          <w:szCs w:val="18"/>
          <w:color w:val="auto"/>
        </w:rPr>
      </w:pPr>
    </w:p>
    <w:p>
      <w:pPr>
        <w:jc w:val="both"/>
        <w:ind w:left="1340" w:hanging="333"/>
        <w:spacing w:after="0" w:line="258"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the rationale and evidence for the estimated long-term charter rate assumptions. This included examining the differential between the Period 2 TCE rates for each vessel type as assumed by management. Our assessment involved comparing these assumptions to historic new build prices, actual charter rates, and available market data on nearer-term charter rates. We focused particularly on the charter rate differentials between Steam and non-Steam vessels, as well as between TFDE and non-TFDE vessels.</w:t>
      </w:r>
    </w:p>
    <w:p>
      <w:pPr>
        <w:spacing w:after="0" w:line="183" w:lineRule="exact"/>
        <w:rPr>
          <w:rFonts w:ascii="Times New Roman" w:cs="Times New Roman" w:eastAsia="Times New Roman" w:hAnsi="Times New Roman"/>
          <w:sz w:val="18"/>
          <w:szCs w:val="18"/>
          <w:color w:val="auto"/>
        </w:rPr>
      </w:pPr>
    </w:p>
    <w:p>
      <w:pPr>
        <w:jc w:val="both"/>
        <w:ind w:left="1340" w:hanging="333"/>
        <w:spacing w:after="0" w:line="261" w:lineRule="auto"/>
        <w:tabs>
          <w:tab w:leader="none" w:pos="13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them with management’s assumptions for the period up to December 31, 2025,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79" w:lineRule="exact"/>
        <w:rPr>
          <w:rFonts w:ascii="Times New Roman" w:cs="Times New Roman" w:eastAsia="Times New Roman" w:hAnsi="Times New Roman"/>
          <w:sz w:val="18"/>
          <w:szCs w:val="18"/>
          <w:color w:val="auto"/>
        </w:rPr>
      </w:pPr>
    </w:p>
    <w:p>
      <w:pPr>
        <w:ind w:left="980" w:hanging="497"/>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sensitivity disclosures in Notes 3 and 4 based on our own sensitivity analysis and checked management’s calculations of those sensitivities.</w:t>
      </w:r>
    </w:p>
    <w:p>
      <w:pPr>
        <w:spacing w:after="0" w:line="161" w:lineRule="exact"/>
        <w:rPr>
          <w:rFonts w:ascii="Times New Roman" w:cs="Times New Roman" w:eastAsia="Times New Roman" w:hAnsi="Times New Roman"/>
          <w:sz w:val="18"/>
          <w:szCs w:val="18"/>
          <w:color w:val="auto"/>
        </w:rPr>
      </w:pPr>
    </w:p>
    <w:p>
      <w:pPr>
        <w:ind w:right="60" w:firstLine="533"/>
        <w:spacing w:after="0" w:line="500" w:lineRule="auto"/>
        <w:tabs>
          <w:tab w:leader="none" w:pos="9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 /s/ Deloitte Certified Public Accountants S.A.</w:t>
      </w:r>
    </w:p>
    <w:p>
      <w:pPr>
        <w:spacing w:after="0" w:line="1" w:lineRule="exact"/>
        <w:rPr>
          <w:rFonts w:ascii="Times New Roman" w:cs="Times New Roman" w:eastAsia="Times New Roman" w:hAnsi="Times New Roman"/>
          <w:sz w:val="18"/>
          <w:szCs w:val="18"/>
          <w:color w:val="auto"/>
        </w:rPr>
      </w:pPr>
    </w:p>
    <w:p>
      <w:pPr>
        <w:jc w:val="both"/>
        <w:ind w:right="87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Athens, Greece March 14, 2025</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served as the Partnership’s auditor since 2021.</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1,482</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Tangible fixed assets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1,477,458</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1,276,472</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126,549</w:t>
            </w:r>
          </w:p>
        </w:tc>
        <w:tc>
          <w:tcPr>
            <w:tcW w:w="2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129,890</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1,605,995</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1,407,844</w:t>
            </w: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24,444</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13,383</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from related parties</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15,295</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10,408</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5,706</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148"/>
        </w:trPr>
        <w:tc>
          <w:tcPr>
            <w:tcW w:w="67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11,887</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7,771</w:t>
            </w: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60,244</w:t>
            </w:r>
          </w:p>
        </w:tc>
        <w:tc>
          <w:tcPr>
            <w:tcW w:w="2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38,273</w:t>
            </w:r>
          </w:p>
        </w:tc>
        <w:tc>
          <w:tcPr>
            <w:tcW w:w="0" w:type="dxa"/>
            <w:vAlign w:val="bottom"/>
          </w:tcPr>
          <w:p>
            <w:pPr>
              <w:spacing w:after="0"/>
              <w:rPr>
                <w:sz w:val="1"/>
                <w:szCs w:val="1"/>
                <w:color w:val="auto"/>
              </w:rPr>
            </w:pPr>
          </w:p>
        </w:tc>
      </w:tr>
      <w:tr>
        <w:trPr>
          <w:trHeight w:val="18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1,666,239</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1,446,117</w:t>
            </w:r>
          </w:p>
        </w:tc>
        <w:tc>
          <w:tcPr>
            <w:tcW w:w="0" w:type="dxa"/>
            <w:vAlign w:val="bottom"/>
          </w:tcPr>
          <w:p>
            <w:pPr>
              <w:spacing w:after="0"/>
              <w:rPr>
                <w:sz w:val="1"/>
                <w:szCs w:val="1"/>
                <w:color w:val="auto"/>
              </w:rPr>
            </w:pPr>
          </w:p>
        </w:tc>
      </w:tr>
      <w:tr>
        <w:trPr>
          <w:trHeight w:val="129"/>
        </w:trPr>
        <w:tc>
          <w:tcPr>
            <w:tcW w:w="67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Partners’ equity and liabilities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Partners’ equity</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unitholders and general partner (16,036,602 common and 1,080,263 general partner units issued and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1,240,347</w:t>
            </w:r>
          </w:p>
        </w:tc>
        <w:tc>
          <w:tcPr>
            <w:tcW w:w="2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1,016,574</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as of December 31, 2023 and December 31, 2024)</w:t>
            </w:r>
          </w:p>
        </w:tc>
        <w:tc>
          <w:tcPr>
            <w:tcW w:w="8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Preference unitholders (5,084,984 Series A Preference Units, 3,496,382 Series B Preference Units and 3,061,045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280,069</w:t>
            </w:r>
          </w:p>
        </w:tc>
        <w:tc>
          <w:tcPr>
            <w:tcW w:w="200" w:type="dxa"/>
            <w:vAlign w:val="bottom"/>
          </w:tcPr>
          <w:p>
            <w:pPr>
              <w:spacing w:after="0"/>
              <w:rPr>
                <w:sz w:val="10"/>
                <w:szCs w:val="1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280,129</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Series C Preference Units issued and outstanding as of December 31, 2023 and December 31, 2024)</w:t>
            </w:r>
          </w:p>
        </w:tc>
        <w:tc>
          <w:tcPr>
            <w:tcW w:w="8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partners’ equity</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1,520,416</w:t>
            </w:r>
          </w:p>
        </w:tc>
        <w:tc>
          <w:tcPr>
            <w:tcW w:w="2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1,296,703</w:t>
            </w:r>
          </w:p>
        </w:tc>
        <w:tc>
          <w:tcPr>
            <w:tcW w:w="0" w:type="dxa"/>
            <w:vAlign w:val="bottom"/>
          </w:tcPr>
          <w:p>
            <w:pPr>
              <w:spacing w:after="0"/>
              <w:rPr>
                <w:sz w:val="1"/>
                <w:szCs w:val="1"/>
                <w:color w:val="auto"/>
              </w:rPr>
            </w:pP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9,330</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42,188</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33,784</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liabilities—current portion</w:t>
            </w:r>
          </w:p>
        </w:tc>
        <w:tc>
          <w:tcPr>
            <w:tcW w:w="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28,831</w:t>
            </w:r>
          </w:p>
        </w:tc>
        <w:tc>
          <w:tcPr>
            <w:tcW w:w="2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42,741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80,349</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84,258</w:t>
            </w: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liabilities—non-current portion</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65,077</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64,852</w:t>
            </w: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65,474</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65,156</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partners’ equity and liabilities</w:t>
            </w:r>
          </w:p>
        </w:tc>
        <w:tc>
          <w:tcPr>
            <w:tcW w:w="8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1,666,239</w:t>
            </w:r>
          </w:p>
        </w:tc>
        <w:tc>
          <w:tcPr>
            <w:tcW w:w="2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1,446,117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ind w:right="3760"/>
        <w:spacing w:after="0" w:line="268" w:lineRule="auto"/>
        <w:rPr>
          <w:sz w:val="20"/>
          <w:szCs w:val="20"/>
          <w:color w:val="auto"/>
        </w:rPr>
      </w:pPr>
      <w:r>
        <w:rPr>
          <w:rFonts w:ascii="Times New Roman" w:cs="Times New Roman" w:eastAsia="Times New Roman" w:hAnsi="Times New Roman"/>
          <w:sz w:val="18"/>
          <w:szCs w:val="18"/>
          <w:b w:val="1"/>
          <w:bCs w:val="1"/>
          <w:color w:val="auto"/>
        </w:rPr>
        <w:t>Consolidated statements of profit or loss and total comprehensive income or loss For the years ended December 31, 2022, 2023 and 2024 (All amounts expressed in thousands of U.S. Dollars)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371,034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(72,363)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(67,753)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(87,490)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(17,509)</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(22,795)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Gain/(loss) on disposal of vessels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(32,471)</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w:t>
            </w:r>
          </w:p>
        </w:tc>
      </w:tr>
      <w:tr>
        <w:trPr>
          <w:trHeight w:val="20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154,616</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196,645</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155,590</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(57,936)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and total comprehensive income for the year</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138,709</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150,950</w:t>
            </w:r>
          </w:p>
        </w:tc>
      </w:tr>
      <w:tr>
        <w:trPr>
          <w:trHeight w:val="20"/>
        </w:trPr>
        <w:tc>
          <w:tcPr>
            <w:tcW w:w="6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partners’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unitholders and</w:t>
            </w:r>
          </w:p>
        </w:tc>
        <w:tc>
          <w:tcPr>
            <w:tcW w:w="96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590,164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329,334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919,498</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preference units (Note 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of general partner units (Note 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net of accrued distribution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Partnership’s profit and total comprehensive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92,528</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681,561</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279,349</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960,910</w:t>
            </w:r>
          </w:p>
        </w:tc>
        <w:tc>
          <w:tcPr>
            <w:tcW w:w="0" w:type="dxa"/>
            <w:vAlign w:val="bottom"/>
          </w:tcPr>
          <w:p>
            <w:pPr>
              <w:spacing w:after="0"/>
              <w:rPr>
                <w:sz w:val="1"/>
                <w:szCs w:val="1"/>
                <w:color w:val="auto"/>
              </w:rPr>
            </w:pP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GasLog - Borrowings repayments (Note 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764,080</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GasLog ($50,000 loan pay-out by GasLog Partners) (Note 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Stock plan termination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(265,512)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(26,747)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net of accrued distribution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and total comprehensive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138,709</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1,240,347</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280,069</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1,520,416</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 contributions (Note 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and paid (Note 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(197,462)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(226,443)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profit and total comprehensive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121,909</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150,950</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1,016,574</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280,129</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1,296,703</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118,986</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138,709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150,950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for:</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3,4</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87,490</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98,472</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104,900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loss</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3,4</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32,471</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disposal of vessels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3</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Financial costs</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47,639</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67,060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Financial income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(2,363)</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(7,612)</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Gain on derivatives (excluding realized gain on forward foreign exchange contracts held for trading)</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(9,646)</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(1,447)</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Borders>
              <w:bottom w:val="single" w:sz="8" w:color="CCEEFF"/>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760</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1,357</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275,166</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297,714</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260,968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Movements in operating assets and liabilities: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trade and other receivables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361</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(13,590)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inventories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 in related parties, net</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(17,530)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prepayments and other current assets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(1,959)</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(2,314)</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other non-current assets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(1,833)</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 in other non-current liabilities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(1,111)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(Decrease)/increase in trade accounts payable</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4,349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other payables and accruals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3,183</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(3,269)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(9,538)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277,744</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262,398</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269,896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sale of vessel and sale and lease-back, net</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3,4</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101,981</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137,188</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for tangible fixed assets additions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(2,529)</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(15,169)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for right-of-use assets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(5,525)</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Financial income received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1,974</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7,943</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 of short-term cash deposits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(58,000)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Maturity of short-term cash deposits</w:t>
            </w:r>
          </w:p>
        </w:tc>
        <w:tc>
          <w:tcPr>
            <w:tcW w:w="7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83,000</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76,410</w:t>
            </w: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149,437</w:t>
            </w:r>
          </w:p>
        </w:tc>
        <w:tc>
          <w:tcPr>
            <w:tcW w:w="1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139,377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Borrowings repayments</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7,18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(168,585)</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(217,070)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Principal elements of lease payments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4,18</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(12,242)</w:t>
            </w: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(23,103)</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(43,051)</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(69,791)</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 of loan issuance costs, net</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interest rate swaps termination</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3,488</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issuances of general partner units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Repurchases of preference units</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(49,247)</w:t>
            </w: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 of offering costs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paid (including common and preference)</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(29,101)</w:t>
            </w:r>
          </w:p>
        </w:tc>
        <w:tc>
          <w:tcPr>
            <w:tcW w:w="9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(292,259)</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(226,443)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Return of capital contributions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6</w:t>
            </w:r>
          </w:p>
        </w:tc>
        <w:tc>
          <w:tcPr>
            <w:tcW w:w="20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(148,220)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(302,251)</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(598,376)</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(413,389)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Effects of exchange rate changes on cash and cash equivalents</w:t>
            </w:r>
          </w:p>
        </w:tc>
        <w:tc>
          <w:tcPr>
            <w:tcW w:w="7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689</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306</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Increase/(decrease) in cash and cash equivalents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52,592</w:t>
            </w: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(186,235)</w:t>
            </w:r>
          </w:p>
        </w:tc>
        <w:tc>
          <w:tcPr>
            <w:tcW w:w="1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(4,116)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Cash and cash equivalents, beginning of the year</w:t>
            </w:r>
          </w:p>
        </w:tc>
        <w:tc>
          <w:tcPr>
            <w:tcW w:w="7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145,530</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198,122</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11,887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end of the year</w:t>
            </w:r>
          </w:p>
        </w:tc>
        <w:tc>
          <w:tcPr>
            <w:tcW w:w="7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198,122</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11,887</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6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Capital expenditures included in liabilities at the end of the year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8,090</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2,374</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Financing costs included in liabilities at the end of the year</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Loan assumed from Parent through deemed distributions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Borrowings repayments through capital contributions</w:t>
            </w:r>
          </w:p>
        </w:tc>
        <w:tc>
          <w:tcPr>
            <w:tcW w:w="7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7,18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764,080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Non-cash prepayment of lease payments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4</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11,626</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11,979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Capital expenditures included in liabilities at the end of the year - Right-of-use assets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GasLog Partners LP (“GasLog Partners” or the “Partnership”) was formed as a limited partnership under the laws of the Marshall Islands on January 23, 2014, being a wholly owned subsidiary of GasLog Ltd. (“GasLog”) for the purpose of initially acquiring the interests in three liquefied natural gas (“LNG”) carriers that were contributed to the Partnership by GasLog in connection with the initial public offering of its common units (the “IPO”) on May 12, 2014.</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January 24, 2023, the Partnership’s board of directors (the “Board”) received an unsolicited non-binding proposal from GasLog to acquire all of the outstanding common units representing limited partner interests of the Partnership not already beneficially owned by GasLog. On April 6, 2023, the Partnership entered into an Agreement and Plan of Merger (the “Merger Agreement”) with GasLog Partners GP LLC, the general partner of the Partnership, GasLog and Saturn Merger Sub LLC, a wholly owned subsidiary of GasLog (“Merger Sub”). Pursuant to the Merger Agreement, (i) Merger Sub would merge with and into the Partnership, with the Partnership surviving as a direct subsidiary of GasLog, and (ii) 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Transaction was approved at the special meeting of the common unitholders of the Partnership held on July 7, 2023, based on the affirmative vote (in person or by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and Exchange Commission, or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“Series A Preference Units”), 8.200% Series B Cumulative Redeemable Perpetual Fixed to Floating Rate Preference Units (the “Series B Preference Units”) and 8.500% Series C Cumulative Redeemable Perpetual Fixed to Floating Rate Preference Units (the “Series C Preference Units”) remain outstanding and continue to trade on the NYSE.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merger consideration was financed by GasLog’s existing cash and the borrowing of a term loan in an aggregate principal amount of $50,000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2023, Curtis V. Anastasio, Roland Fisher and Kristin H. Holth stepped down from the Board of the Partnership, effective immediately. On July 19, 2023, the Partnership appointed James Berner as a director of the Partnership and a member of the audit committee of the Board. Following these changes, the Board consisted of three directors.</w:t>
      </w:r>
    </w:p>
    <w:p>
      <w:pPr>
        <w:spacing w:after="0" w:line="176"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July 21, 2023, the Board approved an amendment to the Partnership’s Seventh Amended and Restated Agreement of Limited Partnership that made certain changes relating to the composition of the Board and other changes to reflect the ownership of all outstanding common units of the Partnership by GasLog, following the consummation of the previously announced merger involving GasLog and the Partnership on July 13, 2023.</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Effective as of January 1, 2024, Mr. Julian Metherell and Mr. James Berner resigned from the Board. Ms. Despoina Kyritsi and Mr. Konstantinos Andreou were appointed to serve as members of the Partnership’s Board and Audit Committee, effective as of January 1, 2024.</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GIC, a global institutional investor, and a fund managed by BlackRock’s Global Infrastructure Partners (“BlackRock”) have entered into an agreement whereby GIC acquired BlackRock’s approximately 45% shareholding in GasLog, which holds 100% of the common units of the Partnership. Following the consummation of this transaction in January 2025, Blenheim Holdings Ltd., which is wholly owned by the Livanos family, and the Onassis Foundation maintain their respective shareholdings of approximately 55% in the aggregate in GasLog.</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Since its IPO, the Partnership has acquired from GasLog 100% of the ownership interests in 15 vessel-owning entities in aggregate. The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81"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(previously owned by GAS-twenty Ltd.) to an unrelated third party.</w:t>
      </w:r>
    </w:p>
    <w:p>
      <w:pPr>
        <w:spacing w:after="0" w:line="158" w:lineRule="exact"/>
        <w:rPr>
          <w:sz w:val="20"/>
          <w:szCs w:val="20"/>
          <w:color w:val="auto"/>
        </w:rPr>
      </w:pPr>
    </w:p>
    <w:p>
      <w:pPr>
        <w:ind w:right="280" w:firstLine="324"/>
        <w:spacing w:after="0" w:line="315" w:lineRule="auto"/>
        <w:rPr>
          <w:sz w:val="20"/>
          <w:szCs w:val="20"/>
          <w:color w:val="auto"/>
        </w:rPr>
      </w:pPr>
      <w:r>
        <w:rPr>
          <w:rFonts w:ascii="Times New Roman" w:cs="Times New Roman" w:eastAsia="Times New Roman" w:hAnsi="Times New Roman"/>
          <w:sz w:val="17"/>
          <w:szCs w:val="17"/>
          <w:color w:val="auto"/>
        </w:rPr>
        <w:t xml:space="preserve">On October 31, 2022, GasLog Partners completed the sale and lease-back of the </w:t>
      </w: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17"/>
          <w:szCs w:val="17"/>
          <w:color w:val="auto"/>
        </w:rPr>
        <w:t xml:space="preserve"> with an unrelated third party. The vessel was sold and leased back under a bareboat charter until the middle of 2025, with no repurchase option or obligation.</w:t>
      </w:r>
    </w:p>
    <w:p>
      <w:pPr>
        <w:spacing w:after="0" w:line="135"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March 30, 2023, GasLog Partners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a wholly owned subsidiary of China Development Bank Financial Leasing Co., Ltd. (“CDBL”). The vessel was sold and leased back under a bareboat charter with CDBL for a period of five years with no repurchase option or obligation.</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August 27, 2024, GasLog Partners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a wholly owned subsidiary of CDBL. The vessel was sold and leased back under a bareboat charter with CDBL for a period of three years with no repurchase option or obligation.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companies listed below were 100% held by the Partnership. The Partnership wholly owned 10 LNG vessels and operated four LNG vessels leased back under bareboat charters, as described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Vessel</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Cubic Meters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0" w:type="dxa"/>
            <w:vAlign w:val="bottom"/>
          </w:tcPr>
          <w:p>
            <w:pPr>
              <w:spacing w:after="0"/>
              <w:rPr>
                <w:sz w:val="1"/>
                <w:szCs w:val="1"/>
                <w:color w:val="auto"/>
              </w:rPr>
            </w:pPr>
          </w:p>
        </w:tc>
      </w:tr>
      <w:tr>
        <w:trPr>
          <w:trHeight w:val="173"/>
        </w:trPr>
        <w:tc>
          <w:tcPr>
            <w:tcW w:w="2380" w:type="dxa"/>
            <w:vAlign w:val="bottom"/>
            <w:gridSpan w:val="2"/>
            <w:vMerge w:val="continue"/>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78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GAS-three Ltd.</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Bermuda</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2010</w:t>
            </w:r>
          </w:p>
        </w:tc>
        <w:tc>
          <w:tcPr>
            <w:tcW w:w="16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Right-of-use asset company</w:t>
            </w:r>
          </w:p>
        </w:tc>
        <w:tc>
          <w:tcPr>
            <w:tcW w:w="1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GasLog Shanghai</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January 2013</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GAS-four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2010</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Right-of-use asset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Santiago</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2013</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GAS-five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286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February 2011   Right-of-use asset company</w:t>
            </w:r>
          </w:p>
        </w:tc>
        <w:tc>
          <w:tcPr>
            <w:tcW w:w="15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GasLog Sydney</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2013</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GAS-seven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March 2011</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Seattle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2013</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GAS-eight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March 2011</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Solaris</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GAS-eleven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GasLog Greece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2016</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GAS-twelve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Glasgow</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2016</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GAS-thirteen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Geneva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2016</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GAS-fourteen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Gibraltar</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2016</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GAS-sixteen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Rita Andrea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GAS-seventeen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Jane Elizabeth</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GAS-nineteen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Alison Victoria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one Ltd.</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Right-of-use asset company</w:t>
            </w:r>
          </w:p>
        </w:tc>
        <w:tc>
          <w:tcPr>
            <w:tcW w:w="15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i w:val="1"/>
                <w:iCs w:val="1"/>
                <w:color w:val="auto"/>
              </w:rPr>
              <w:t>Methane Heather Sally</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2015</w:t>
            </w:r>
          </w:p>
        </w:tc>
        <w:tc>
          <w:tcPr>
            <w:tcW w:w="1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Becki Anne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2015</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 Partners Holdings LLC</w:t>
            </w:r>
          </w:p>
        </w:tc>
        <w:tc>
          <w:tcPr>
            <w:tcW w:w="112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Marshall Islands</w:t>
            </w:r>
          </w:p>
        </w:tc>
        <w:tc>
          <w:tcPr>
            <w:tcW w:w="10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5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GasLog-two Malta Ltd.</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7"/>
              </w:rPr>
              <w:t>Malta</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August 2022</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Dormant</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Material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right="600" w:firstLine="324"/>
        <w:spacing w:after="0" w:line="312" w:lineRule="auto"/>
        <w:rPr>
          <w:sz w:val="20"/>
          <w:szCs w:val="20"/>
          <w:color w:val="auto"/>
        </w:rPr>
      </w:pPr>
      <w:r>
        <w:rPr>
          <w:rFonts w:ascii="Times New Roman" w:cs="Times New Roman" w:eastAsia="Times New Roman" w:hAnsi="Times New Roman"/>
          <w:sz w:val="17"/>
          <w:szCs w:val="17"/>
          <w:color w:val="auto"/>
        </w:rPr>
        <w:t>The consolidated financial statements have been prepared on the historical cost basis, except for the revaluation of derivative financial instruments. Historical cost is generally based on the fair value of the consideration given in exchange for assets.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Partnership’s current assets totaled $38,273 while current liabilities totaled $84,258, resulting in a negative working capital position of $45,985. Current liabilities include an amount of $23,996 of unearned revenue in relation to vessel hires received in advance (which represents a non-cash liability that will be recognized as revenues after December 31, 2024 as the services are rendered).</w:t>
      </w:r>
    </w:p>
    <w:p>
      <w:pPr>
        <w:spacing w:after="0" w:line="18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considering going concern, management monitors the Partnership’s liquidity position throughout the year to ensure it has access to sufficient funds to meet its forecast cash requirements and its ability to evaluate its future distribution policy with GasLog. Management anticipates that its primary sources of funds over the next twelve months and in the long-term will be available cash, cash from operations, capital contributions from GasLog, new borrowings, future sales and sale and leaseback transactions. Management believes that these anticipated sources of funds will be sufficient to meet its liquidity needs for at least twelve months from the date of this report, and therefore it is appropriate to prepare the financial statements on a going concern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14, 2025, the Partnership’s board of directors authorized the consolidated financial statements for issuance and filing.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Revenues comprise revenues from time charters for the charter hire of the Partnership’s vessels earned during the period in accordance with existing contracts.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revenue is recognized “over time” as the customer (i.e. the charterer) is simultaneously receiving and consuming the benefits of the service.</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Time charter hires are received monthly in advance and are classified as liabilities until such time as the criteria for recognizing the revenue as earned are met.</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to match the recognition of the respective hire revenues realized. All other voyage expenses and vessel operating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with the exception of commissions, which are also recognized on a pro-rata basis over the period of the time charter. Bunkers’ consumption included in voyage expenses represents mainly bunkers consumed during vessels’ unemployment and off-hire.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Interest income, interest expense, other borrowing costs and realized loss/gain on derivatives are recognized on an accrual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are classified in Financial costs, while all other foreign exchange differences are classified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76"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Non-current assets (such as vessels)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Vessels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83"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LNG vessels are also required to undergo an underwater survey in lieu of dry-docking (“intermediate survey”) in order to meet certain classification requirements. The intermediate survey component is estimated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useful lives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396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Intermediate survey component</w:t>
            </w:r>
          </w:p>
        </w:tc>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period until the next dry-docking (i.e. 1-3 years)</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6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Management estimates the residual value of its vessels to be equal to the product of their lightweight tonnage (“LWT”) and an estimated scrap rate per LWT.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When vessels are sold, they are derecognized and any gain or loss resulting from their disposals is included in profit or loss. Gain or loss on disposal is determined by comparing proceeds from sale, net of costs attributable to such sale, with the carrying amount of the vessel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tangible fixed assets and right-of-use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costs of disposal is the amount obtainable from the sale of an asset in an arm’s length transaction less the costs of disposal, while “value in use” is the expected value of all expectations about possible estimated future cash flows, discounted to their present value. Recoverable amounts are estimated for individual assets. Each vessel is considered to be a single cash-generating unit. The fair value less costs of disposal of the vessels is estimated from market-based evidence by appraisal that is normally undertaken by professionally qualified brokers.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Lease income from operating leases of vessels where the Partnership is a lessor is recognized in the statement of profit or loss on a straight-line basis over the lease term. The respective leased assets are included in the statement of financial position based on their nature under “Tangible fixed assets” or “Right-of-use assets”.</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Partnership is a lessee under vessel sale and lease-back arrangements and also leases vessel communication equipment. Rental contracts are typically made for fixed periods but may have extension options. Lease terms are negotiated on an individual basis and contain a wide range of different terms and conditions. On initial recognition, a lease is recognized as a right-of-use asset and a corresponding liability at the date at which the leased asset is available for use by the Partnership.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w:t>
      </w:r>
    </w:p>
    <w:p>
      <w:pPr>
        <w:ind w:firstLine="8"/>
        <w:spacing w:after="0" w:line="251"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which is the Partnership’s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items comprise of vessel equipment with value of less or equal to $5.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time charter, bunkers on board the vessel. Inventories are stated at the lower of cost calculated on a first-in, first-out basis, and net realizable value.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79"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cash deposits</w:t>
      </w:r>
    </w:p>
    <w:p>
      <w:pPr>
        <w:spacing w:after="0" w:line="229"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w:t>
      </w:r>
    </w:p>
    <w:p>
      <w:pPr>
        <w:spacing w:after="0" w:line="183"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58"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ind w:left="340" w:right="600"/>
        <w:spacing w:after="0" w:line="266" w:lineRule="auto"/>
        <w:rPr>
          <w:sz w:val="20"/>
          <w:szCs w:val="20"/>
          <w:color w:val="auto"/>
        </w:rPr>
      </w:pPr>
      <w:r>
        <w:rPr>
          <w:rFonts w:ascii="Times New Roman" w:cs="Times New Roman" w:eastAsia="Times New Roman" w:hAnsi="Times New Roman"/>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72" w:lineRule="exact"/>
        <w:rPr>
          <w:sz w:val="20"/>
          <w:szCs w:val="20"/>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87" w:lineRule="exact"/>
        <w:rPr>
          <w:sz w:val="20"/>
          <w:szCs w:val="20"/>
          <w:color w:val="auto"/>
        </w:rPr>
      </w:pPr>
    </w:p>
    <w:p>
      <w:pPr>
        <w:jc w:val="both"/>
        <w:ind w:left="340" w:right="80"/>
        <w:spacing w:after="0" w:line="281" w:lineRule="auto"/>
        <w:rPr>
          <w:sz w:val="20"/>
          <w:szCs w:val="20"/>
          <w:color w:val="auto"/>
        </w:rPr>
      </w:pPr>
      <w:r>
        <w:rPr>
          <w:rFonts w:ascii="Times New Roman" w:cs="Times New Roman" w:eastAsia="Times New Roman" w:hAnsi="Times New Roman"/>
          <w:sz w:val="17"/>
          <w:szCs w:val="17"/>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Each vessel-owning company owns or leases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5" w:lineRule="exact"/>
        <w:rPr>
          <w:sz w:val="20"/>
          <w:szCs w:val="20"/>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employee benefits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76"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employee benefits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unwinding in the discount reflected in the consolidated statement of profit or loss.</w:t>
      </w:r>
    </w:p>
    <w:p>
      <w:pPr>
        <w:spacing w:after="0" w:line="176" w:lineRule="exact"/>
        <w:rPr>
          <w:sz w:val="20"/>
          <w:szCs w:val="20"/>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to executives and others providing similar services is measured at the fair value of the equity instruments on the grant date. Details regarding the determination of the fair value of share-based transactions are set out in Note 19.</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grant of equity instruments is cancelled or settled during the vesting period (other than a grant cancelled by forfeiture when the vesting conditions are not satisfied) (a) the Partnership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process of applying the Partnership’s accounting policies as of December 31, 2024, management made several critical accounting judgments in preparing its discounted cashflow analysis, that had the most significant effect on the amounts recognized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 are as follows:</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vessels and right-of-use vessels: </w:t>
      </w:r>
      <w:r>
        <w:rPr>
          <w:rFonts w:ascii="Times New Roman" w:cs="Times New Roman" w:eastAsia="Times New Roman" w:hAnsi="Times New Roman"/>
          <w:sz w:val="18"/>
          <w:szCs w:val="18"/>
          <w:color w:val="auto"/>
        </w:rPr>
        <w:t>The Partnership evaluates the carrying amounts of each of its owned and bareboat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to determine whether there is any indication that those 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and right-of-use vessels as of December 31, 2024, was $1,398,232 (December 31, 2023: $1,595,964). Recoverable amount is the higher of fair value less costs to sell and value in use. The Partnership’s estimates of recoverable value assume that the vessels are all in seaworthy condition without need for repair and certified in class without notations of any kind.</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Partnership obtains charter-free market values for its owned vessels from independent and internationally recognized ship brokers on a semi-annual basis, which are also commonly used and accepted by GasLog’s lenders for determining compliance with the relevant covenants in GasLog’s credit facilities. Vessel values can be highly volatile, so the charter-free market values may not be indicative of the current or future market value of the Partnership’s owned vessels, or prices that could be achieved if it were to sell them.</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 number of negative indicators such as the continuous decline of the charter-free market values of the Partnership’s owned steam turbine propulsion (“Steam”) and tri-fuel diesel electric engine propulsion (“TFDE”) vessels as estimated by ship brokers, driven by reduced demand and a decrease in headline rates to historical lows, prompted the Partnership to conclude that events and circumstances triggered the existence of potential impairment for the owned Steam and TFDE vessels.</w:t>
      </w:r>
    </w:p>
    <w:p>
      <w:pPr>
        <w:spacing w:after="0" w:line="178"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As of December 31, 2024, the Partnership had sold and leased back three TFDE vessels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and one Steam vessel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GasLog Santiago</w:t>
      </w:r>
      <w:r>
        <w:rPr>
          <w:rFonts w:ascii="Times New Roman" w:cs="Times New Roman" w:eastAsia="Times New Roman" w:hAnsi="Times New Roman"/>
          <w:sz w:val="18"/>
          <w:szCs w:val="18"/>
          <w:color w:val="auto"/>
        </w:rPr>
        <w:t>, which was sold and leased back in August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impairment assessment was made before its sale without sustaining any impairment charges. Since then, the conditions that could trigger the existence of impairment for this vessel have not changed considering that its charter party expires in March 2026, when a market recovery is expected. Following the above, for the remaining three bareboat vessels (two TFDEs and one Steam) there are indicators for impairment as of December 31, 2024, as described above for the owned vessels.</w:t>
      </w:r>
    </w:p>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Partnership performed an impairment assessment for its owned and bareboat TFDE and Steam vessels by calculating each vessel’s value in use applying the “traditional” approach, i.e. using the single most likely cash flow, for its owned TFDE vessels and the bareboat vessels and the “expected cash flow” approach, i.e. using all expectations about possible cash flows for its owned Steam vessels. The expected cash flow approach was considered more appropriate in light of the increasing uncertainty pertaining to the business outlook for our Steam vessels. As of December 31, 2024, the Partnership’s management established its expectations for recovering each Steam vessel’s carrying amount in the form of two alternative scenarios: (a) continued operation of the vessel until the end of its useful economic life or (b) sale (at fair value less costs to sell) in the middle of 2025. Appropriate probabilities were determined and assigned to each probable outcome, taking into account management’s established strategic goals and tactical objectives with respect to vessels’ operation and residual value risk management.</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2024,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non-contracted periods starting on the second year for already-expired charters or upon the expiration of the firm charter period of a vessel through the end of each vessel’s useful life, the estimated average time charter rates for Steam and TFDE vessels were based on analysis of future supply and demand for LNG, internally estimated and market-derived costs of building and financing newbuild LNG vessels, the technical characteristics of each vessel and an assessment of the appropriate discount for Steam and TFDE vessels’ charter rates compared to modern newbuild LNG carriers, which is driven largely by unit freight cost differentials and utilization of such vessels. The Partnership also considered estimated future time charter rates, taking into account the significant uncertainties regarding future demand for such vessels in light of the continued addition of modern, larger and more fuel-efficient LNG carriers to the global fleet and the anticipated developments in terms of environmental regulations.</w:t>
      </w:r>
    </w:p>
    <w:p>
      <w:pPr>
        <w:spacing w:after="0" w:line="192"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Recognizing that the LNG industry is cyclical and subject to significant volatility based on factors beyond the Partnership’s control, management believes that the use of the revenue estimates discussed above is reasonable as of the reporting date. The Partnership has assumed no inflation nor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6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Partnership used an annual operating expenses escalation factor equal to 1% based on historical data and experience, as well as expectations of future inflation on operating and dry-docking costs. Estimates for the remaining useful lives of the current fleet and residual and scrap values are the same as those used for our depreciation policy. All estimates used and assumptions made were in accordance with the Partnership’s internal budgets and historical experience of the shipping industry, taking into account the effect of observable inflationary pressures as of December 31, 2024.</w:t>
      </w:r>
    </w:p>
    <w:p>
      <w:pPr>
        <w:spacing w:after="0" w:line="183"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In the Partnership’s impairment assessment as of December 31, 2024, the rate used to discount future estimated cash flows to their present values was 7.99%. This was based on an estimated weighted average cost of capital calculated using cost of equity and cost of debt components, adjusted further also for vessel-specific risks and uncertainties, as applicable to each probable outcome.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amounts (values in use) for two of our owned Steam vessels and one of our bareboat TFDE vessels calculated as per above were lower than the respective carrying amounts of those vessels and, consequently, an impairment loss of $8,674 was recognized in the year ended December 31, 2024 (Notes 3 and 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owned and bareboat vessels as of December 31, 2024, we performed a sensitivity analysis on the most difficult, subjective or complex assumptions that have the potential to affect the outcome of the impairment assessment, which is the projected charter hire rate used to forecast future cash flows for non-contracted revenue days and the discount rate used. It is reasonably possible that changes to these assumptions within the next financial year could require a material adjustment of the carrying amount of the Partnership’s vessels and right-of-use vessels.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Standards and interpretations adopted in the current period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standards and amendments relevant to the Partnership were effective in the current year:</w:t>
      </w:r>
    </w:p>
    <w:p>
      <w:pPr>
        <w:spacing w:after="0" w:line="22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2020, the IASB issued a narrow-scope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is effective for annual periods beginning on or after January 1, 2024 and should be applied retrospectively in accordance with IAS 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Changes in Accounting Estimates and Errors</w:t>
      </w:r>
      <w:r>
        <w:rPr>
          <w:rFonts w:ascii="Times New Roman" w:cs="Times New Roman" w:eastAsia="Times New Roman" w:hAnsi="Times New Roman"/>
          <w:sz w:val="18"/>
          <w:szCs w:val="18"/>
          <w:color w:val="auto"/>
        </w:rPr>
        <w:t>. This amendment did not have a material impact on the Partnership’s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18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All other IFRS standards and amendments that became effective in the current year were not relevant to the Partnership or were not material with respect to the Partnership’s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date of authorization of these consolidated financial statements, the following standards and amendments relevant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were in issue but not yet effective:</w:t>
      </w:r>
    </w:p>
    <w:p>
      <w:pPr>
        <w:spacing w:after="0" w:line="2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April 2024, the IASB issued 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the new standard on presentation and disclosure in financial statements, which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 The new standard will be applied from its mandatory effective date of January 1, 2027 and should be applied retrospectively. Earlier application is permitted. Management anticipates that this amendment will not have a material impact on the Partnership’s financial statements.</w:t>
      </w:r>
    </w:p>
    <w:p>
      <w:pPr>
        <w:spacing w:after="0" w:line="18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2024, the IASB issued targeted amendments to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and IFRS 7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clarify the requirements for the timing of recognition and derecognition of some financial assets and liabilities, with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 for some financial liabilities settled through an electronic cash transfer system, to clarify and add further guidance for assessing whether a financial asset meets the solely payments of principal and interest criterion, to add new disclosures for certain instruments with contractual terms that can change cash flows (such as some instruments with features linked to the achievement of environment, social and governance targets), and to make updates to the disclosures for equity instruments designated at fair value through other comprehensive income. The amendments will be effective for annual periods beginning on or after January 1, 2026. Management anticipates that these amendments will not have a material impact on the Partnership’s financial statements.</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Partnership’s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Tangible fixed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tangible fixed assets (i.e. vessels and their associated depot spares)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tangible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200" w:type="dxa"/>
            <w:vAlign w:val="bottom"/>
            <w:gridSpan w:val="3"/>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fixed</w:t>
            </w:r>
          </w:p>
        </w:tc>
        <w:tc>
          <w:tcPr>
            <w:tcW w:w="0" w:type="dxa"/>
            <w:vAlign w:val="bottom"/>
          </w:tcPr>
          <w:p>
            <w:pPr>
              <w:spacing w:after="0"/>
              <w:rPr>
                <w:sz w:val="1"/>
                <w:szCs w:val="1"/>
                <w:color w:val="auto"/>
              </w:rPr>
            </w:pPr>
          </w:p>
        </w:tc>
      </w:tr>
      <w:tr>
        <w:trPr>
          <w:trHeight w:val="173"/>
        </w:trPr>
        <w:tc>
          <w:tcPr>
            <w:tcW w:w="5040" w:type="dxa"/>
            <w:vAlign w:val="bottom"/>
            <w:gridSpan w:val="5"/>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2,358,896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2,155,587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1,961,808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1,969,125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Accumulated depreciation and impairment loss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January 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686,737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685,446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fully amortized drydocking component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692,653</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692,653</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3880" w:type="dxa"/>
            <w:vAlign w:val="bottom"/>
            <w:tcBorders>
              <w:bottom w:val="single" w:sz="8" w:color="CCEEFF"/>
            </w:tcBorders>
            <w:gridSpan w:val="3"/>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1,470,141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1,477,458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1,269,155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All vessels have been pledged as collateral under the terms of the Five-Year Sustainability-Linked Senior Secured Reducing Revolving Credit Facility in the amount of $2.8 billion entered into by GasLog (the “Facility”) (Note 7).</w:t>
      </w:r>
    </w:p>
    <w:p>
      <w:pPr>
        <w:spacing w:after="0" w:line="160" w:lineRule="exact"/>
        <w:rPr>
          <w:sz w:val="20"/>
          <w:szCs w:val="20"/>
          <w:color w:val="auto"/>
        </w:rPr>
      </w:pPr>
    </w:p>
    <w:p>
      <w:pPr>
        <w:ind w:right="3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March 30, 2023, GAS-five Ltd.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a wholly owned subsidiary of CDBL (Note 4).</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2024, GasLog Partners had been pursuing an agreement for the sale and lease-back of a TFDE LNG carrier,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which was completed on August 27, 2024 (Note 4). All criteria outlined by IFRS 5</w:t>
      </w:r>
      <w:r>
        <w:rPr>
          <w:rFonts w:ascii="Times New Roman" w:cs="Times New Roman" w:eastAsia="Times New Roman" w:hAnsi="Times New Roman"/>
          <w:sz w:val="18"/>
          <w:szCs w:val="18"/>
          <w:i w:val="1"/>
          <w:iCs w:val="1"/>
          <w:color w:val="auto"/>
        </w:rPr>
        <w:t xml:space="preserve"> Non-current Assets Held for Sale and Discontinued Operations </w:t>
      </w:r>
      <w:r>
        <w:rPr>
          <w:rFonts w:ascii="Times New Roman" w:cs="Times New Roman" w:eastAsia="Times New Roman" w:hAnsi="Times New Roman"/>
          <w:sz w:val="18"/>
          <w:szCs w:val="18"/>
          <w:color w:val="auto"/>
        </w:rPr>
        <w:t>were deemed to have been met as of June 30, 2024. As a result, the carrying amount of the</w:t>
      </w:r>
      <w:r>
        <w:rPr>
          <w:rFonts w:ascii="Times New Roman" w:cs="Times New Roman" w:eastAsia="Times New Roman" w:hAnsi="Times New Roman"/>
          <w:sz w:val="18"/>
          <w:szCs w:val="18"/>
          <w:i w:val="1"/>
          <w:iCs w:val="1"/>
          <w:color w:val="auto"/>
        </w:rPr>
        <w:t xml:space="preserve"> GasLog Santiago </w:t>
      </w:r>
      <w:r>
        <w:rPr>
          <w:rFonts w:ascii="Times New Roman" w:cs="Times New Roman" w:eastAsia="Times New Roman" w:hAnsi="Times New Roman"/>
          <w:sz w:val="18"/>
          <w:szCs w:val="18"/>
          <w:color w:val="auto"/>
        </w:rPr>
        <w:t>($145,353) was remeasured at the lower between carrying amount and fair value less costs to sell, resulting in no recognition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loss and the vessel was reclassified as “Vessel held for sale” (within current assets) as of June 30, 2024. During the year ended December 31, 2024, a gain on disposal of $8,196 was recognized in profit or loss.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 number of negative indicators such as the continuous decline of the charter-free market values of the Partnership’s owned vessels as estimated by ship brokers, driven by reduced demand, and a decrease in headline rates to historical lows, prompted the Partnership to conclude that events and circumstances triggered the existence of potential impairment for the owned vessels, in accordance with the Partnership’s accounting policy (Note 2).</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amounts (values in use) for two of the Steam vessels owned by the Partnership were lower than the respective carrying amounts of these vessels and, consequently, an aggregate impairment loss of $7,968 was recognized in the consolidated statement of profit or loss in the year ended December 31, 2024.</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55,770</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(7,968)</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109,597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2024, the most sensitive and/or subjective assumptions that have the potential to affect the outcome of the impairment assessment are the projected charter hire rate used to forecast future cash flows for non-contracted revenue days (the “re-chartering rate”) and the discount rate used. The average long-term re-chartering rate over the remaining useful life of the vessels used in our impairment exercise for the Steam vessels was $35 per day and for the TFDE vessels was $65 per day. Increasing/decreasing the average re-chartering rate used by $5 per day would (decrease)/increase the impairment loss by $(7,968)/$14,305. The adjusted discount rate used for the Steam vessels was 8.79% while for the TFDE vessels was 8.39%. Increasing/decreasing the discount rate by 0.5% would increase/(decrease) the impairment loss by $2,121/($2,236),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right-of-use assets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4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7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93,158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93,325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125,823</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126,549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129,077</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March 30, 2023, GasLog Partners completed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with a wholly owned subsidiary of CDBL. The vessel was sold to CDBL for net proceeds of $137,188 and leased back under a bareboat charter for a period of five years with no repurchase option or obligation. This sale and lease-back met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$67,779 and a corresponding lease liability of $55,800.</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August 27, 2024, GasLog Partners completed the sale and lease-back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with a wholly owned subsidiary of CDBL. The vessel was sold to CDBL for net proceeds of $148,220 and leased back under a bareboat charter for a period of three years with no repurchase option or obligation. This sale and lease-back met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$52,310 and a corresponding lease liability of $46,981.</w:t>
      </w:r>
    </w:p>
    <w:p>
      <w:pPr>
        <w:spacing w:after="0" w:line="18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a number of negative indicators, as described in Note 3, triggered the existence of potential impairment for three of the four right-of-use vessels, in accordance with the Partnership’s accounting policy (Note 2). For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which was sold and leased back in August 2024 an impairment assessment was made before its sale without sustaining any impairment charges. Since then, the conditions that could trigger the existence of impairment for this vessel have not changed considering that its charter party expires in March 2026, when a market recovery is expected.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 (value in use) for one of the TFDE vessels chartered by the Partnership was lower than the respective carrying amount of this vessel and, consequently, an aggregate impairment loss of $706 was recognized in the consolidated statement of profit or loss in the year ended December 31, 2024.</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vessel</w:t>
            </w:r>
          </w:p>
        </w:tc>
        <w:tc>
          <w:tcPr>
            <w:tcW w:w="16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described in Note 3, increasing/decreasing the average re-chartering rate used by $5 per day would (decrease)/increase the impairment loss by $(706)/$3,387. Increasing/decreasing the discount rate by 0.5% would increase/(decrease) the impairment loss by $358/($364),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lease liabilities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28,831</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42,741</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65,077</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64,852</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An amount of $85,435 has been recognized in the consolidated statement of profit or loss under Revenues for the year ended December 31, 2024 ($69,082 for the year ended December 31, 2023 and $24,973 for the year ended December 31, 2022), which represents the revenue from subleasing right-of-use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and Other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and other receivables consisted of the following:</w:t>
      </w:r>
    </w:p>
    <w:p>
      <w:pPr>
        <w:spacing w:after="0" w:line="232"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charterers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24,444</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13,383</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Accrued income represents net revenues receivable from charterers, which have not yet been invoiced; all other amounts not yet invoiced are included under Other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Partners’ Equity</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April 1, 2022, GasLog Partners issued 33,700 common units in connection with the vesting of 19,638 Restricted Common Units (“RCUs”) and 14,062 Performance Common Units (“PCUs”) under its 2015 Long-Term Incentive Plan (the “2015 Plan”). On June 30, 2022, GasLog Partners issued 101,964 common units in connection with the vesting of 50,982 RCUs and 50,982 PCUs under its 2015 Plan.</w:t>
      </w:r>
    </w:p>
    <w:p>
      <w:pPr>
        <w:spacing w:after="0" w:line="180"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In connection with the aforementioned transactions during this year ended December 31, 2022, the Partnership also issued 2,769 general partner units to its general partner in order for GasLog to retain its 2.0% general partner interest for net proceeds of $16.</w:t>
      </w:r>
    </w:p>
    <w:p>
      <w:pPr>
        <w:sectPr>
          <w:pgSz w:w="11900" w:h="16838" w:orient="portrait"/>
          <w:cols w:equalWidth="0" w:num="1">
            <w:col w:w="9920"/>
          </w:cols>
          <w:pgMar w:left="980" w:top="513"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On July 1, 2022, GasLog Partners issued 415,000 common units in connection with GasLog’s option to convert the third tranche of its Class B units issued upon the elimination of incentive distribution rights (“IDRs”) in June 2019.</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April 3, 2023, GasLog Partners issued 108,894 common units in connection with the vesting of 92,805 RCUs and 16,089 PCUs under its 2015 Plan.</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July 3, 2023, GasLog Partners issued 415,000 common units in connection with GasLog’s election to convert the fourth tranche of its Class B units issued upon the elimination of IDRs in June 2019.</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further described in Note 1, on July 7, 2023, the Partnership’s common unitholders voted to approve the previously announced merger, with GasLog acquiring all of the outstanding common units of the Partnership not already beneficially owned by GasLog. The payment date for the Special Distribution was July 12, 2023, and the Transaction closed on July 13, 2023 at the Effective Time upon the filing of the certificate of merger with the Marshall Islands Registrar of Corporations.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NYSE was suspended on July 13, 2023, and delisting of the common units took place on July 24, 2023. Upon the completion of the Transaction, 36,175,157 common units and the remaining 830,000 Class B units were cancelled.</w:t>
      </w:r>
    </w:p>
    <w:p>
      <w:pPr>
        <w:spacing w:after="0" w:line="19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Transaction, the previously unvested RCUs and PCUs vested and were settled. The PCUs vested with performance goals deemed achieved based on actual achievement as of immediately prior to the Effective Time. Since the completion of the Transaction, the Partnership does not provide any type of Equity Compensation Plan or Long-Term Incentive Plan.</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Partnership returned to GasLog $148,220 as return of capital contributions being equal to the net proceeds from the sale and leaseback of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which was a vessel pledged as collateral under the terms of the facility entered into by GasLog in November 2023 (Note 7).</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the Partnership’s capital consisted of 16,036,602 outstanding common units, 1,080,263 outstanding general partner units and 11,642,411 Preference Units (5,084,984 Series A Preference Units, 3,496,382 Series B Preference Units and 3,061,045 Series C Preference Units, and together with the Series A Preference Units and the Series B Preference Units, the “Preference Units”).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Partnership’s cash distributions for the years ended December 31, 2022, 2023 and 2024 are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units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paid</w:t>
            </w:r>
          </w:p>
        </w:tc>
      </w:tr>
      <w:tr>
        <w:trPr>
          <w:trHeight w:val="209"/>
        </w:trPr>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26, 2022</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9, 2022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27,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11, 2022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12,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15, 2022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27,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11, 2022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27,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26,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10, 2022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26,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r>
      <w:tr>
        <w:trPr>
          <w:trHeight w:val="210"/>
        </w:trPr>
        <w:tc>
          <w:tcPr>
            <w:tcW w:w="2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6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29,101</w:t>
            </w:r>
          </w:p>
        </w:tc>
      </w:tr>
      <w:tr>
        <w:trPr>
          <w:trHeight w:val="209"/>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2023</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January 25, 2023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0.5390625, $0.5125, $0.53125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16"/>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26, 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11, 2023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10, 2023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0.5390625, $0.6887222, $0.53125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15, 2023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7, 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July 12, 2023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174,797</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 2023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0.5390625, $0.7249747, $0.53125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November 15, 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0.5390625, $0.7274123, $0.53125</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22, 2023</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5.2380174</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22, 2023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89,658</w:t>
            </w:r>
          </w:p>
        </w:tc>
      </w:tr>
      <w:tr>
        <w:trPr>
          <w:trHeight w:val="210"/>
        </w:trPr>
        <w:tc>
          <w:tcPr>
            <w:tcW w:w="2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292,259</w:t>
            </w:r>
          </w:p>
        </w:tc>
      </w:tr>
      <w:tr>
        <w:trPr>
          <w:trHeight w:val="209"/>
        </w:trPr>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26, 2024</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0.5390625, $0.7253680, $0.53125</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2024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16"/>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3.3672969</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57,638</w:t>
            </w:r>
          </w:p>
        </w:tc>
      </w:tr>
      <w:tr>
        <w:trPr>
          <w:trHeight w:val="216"/>
        </w:trPr>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May 9, 2024</w:t>
            </w:r>
          </w:p>
        </w:tc>
        <w:tc>
          <w:tcPr>
            <w:tcW w:w="5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$0.7302596, $0.6969096</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17, 2024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28, 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2.9931528</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28, 2024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51,233</w:t>
            </w:r>
          </w:p>
        </w:tc>
      </w:tr>
      <w:tr>
        <w:trPr>
          <w:trHeight w:val="216"/>
        </w:trPr>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31, 2024</w:t>
            </w:r>
          </w:p>
        </w:tc>
        <w:tc>
          <w:tcPr>
            <w:tcW w:w="5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$0.7311853, $0.6978353</w:t>
            </w: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16, 2024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r>
      <w:tr>
        <w:trPr>
          <w:trHeight w:val="216"/>
        </w:trPr>
        <w:tc>
          <w:tcPr>
            <w:tcW w:w="2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2.8684381</w:t>
            </w:r>
          </w:p>
        </w:tc>
        <w:tc>
          <w:tcPr>
            <w:tcW w:w="14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49,099</w:t>
            </w:r>
          </w:p>
        </w:tc>
      </w:tr>
      <w:tr>
        <w:trPr>
          <w:trHeight w:val="216"/>
        </w:trPr>
        <w:tc>
          <w:tcPr>
            <w:tcW w:w="2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13, 2024</w:t>
            </w:r>
          </w:p>
        </w:tc>
        <w:tc>
          <w:tcPr>
            <w:tcW w:w="5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Preference (Series A, B, C)  $ 0.5390625, $0.6977798, $0.6647923</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16, 2024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16"/>
        </w:trPr>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2.3072219</w:t>
            </w:r>
          </w:p>
        </w:tc>
        <w:tc>
          <w:tcPr>
            <w:tcW w:w="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39,492</w:t>
            </w:r>
          </w:p>
        </w:tc>
      </w:tr>
      <w:tr>
        <w:trPr>
          <w:trHeight w:val="210"/>
        </w:trPr>
        <w:tc>
          <w:tcPr>
            <w:tcW w:w="22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6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226,443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6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The general partner retains the right to appoint all of the directors.</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Partnership Agreement (as amended following the Transaction) provides that the general partner will be entitled to distributions in accordance with its percentage interest. As of December 31, 2024, the percentage interest is 6.3% (6.3% as of December 31, 2023). The general partner has the right, but not the obligation, to contribute a proportionate amount of capital to the Partnership to maintain its percentage interest if the Partnership issues additional common units. The general partner’s interest, and the percentage of the Partnership’s cash distributions to which it is entitled, will be proportionately reduced if the Partnership issues additional common units in the future and the general partner does not contribute a proportionate amount of capital to the Partnership in order to maintain its general partner interest. The general partner will be entitled to make a capital contribution in order to maintain its general partner interest in the form of the contribution to the Partnership of common units based on the current market value of the contributed common units to the Partnership.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determined by the Partnership based on the terms of the Partnership Agreement and applicable Marshall Islands law regarding amending USD London Interbank Offered Rate (“LIBOR”) - based instruments. Under the current fallback provisions, if there is no published LIBOR rate, the floating rate is expected to be the rate set during the prior interest rate period, which would be the current fixed rate of 8.625%.</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2023, distributions on the Series B Preference Units accrued at 8.200% per annum per $25.00 of liquidation preference per unit. From and including March 15, 2023, the Series B Preference Units are redeemable, wholly or partially, at our option, and the distribution rate was a floating rate equal to three-month LIBOR plus a spread of 5.839% per annum per $25.00 of liquidation preference per unit of Series B Preference Units. On June 30, 2023, Intercontinental Exchange (“ICE”) Benchmark Administration, the administrator of LIBOR, ceased to publish the overnight and one, three, six and twelve month LIBOR settings on a representative basis. Effective September 15, 2023, in accordance with the terms of the Series B Preference Units, the three-month LIBOR utilized as the base rate for the calculation of the floating rate distributions payable with respect to the Series B Preference Units was replaced by the Term Secured Overnight Financing Rate (“SOFR”) for a three month tenor published by the Chicago Mercantile Exchange (“CME”) plus a credit spread adjustment of 0.26161% (“Credit Adjusted Term SOFR”) plus a spread of 5.839% per annum per $25.00 of liquidation preference per unit. Credit Adjusted Term SOFR was used as the base rate for the first time with respect to the distributions payable for the distribution period beginning September 15, 2023 and ending December 15, 2023 and is calculated every three months going forward. The distribution rates are not subject to adjustment.</w:t>
      </w:r>
    </w:p>
    <w:p>
      <w:pPr>
        <w:spacing w:after="0" w:line="1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2024, the distributions on the Series C Preference Units accrued at 8.500% per annum per $25.00 of liquidation preference per unit. From and including March 15, 2024, the Series C Preference Units are redeemable, wholly or partially, at our option, and the distribution rate is a floating rate equal to the three-month Credit Adjusted Term SOFR plus a spread of 5.317% per annum per $25.00 of liquidation preference per unit of Series C Preference Units. The distribution rates are not subject to adjustment.</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the Partnership’s preference unit repurchase programme established in 2021, renewed in 2022 and covering the period from March 11, 2021 to March 31, 2023, the preference units repurchased and cancelled as well as the amounts paid including commissions for the year ended December 31, 2022 are presented in the following table, there were no preference units repurchased and cancelled for the years ended December 31, 2024 and December 31, 2023:</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0" w:type="dxa"/>
            <w:vAlign w:val="bottom"/>
          </w:tcPr>
          <w:p>
            <w:pPr>
              <w:spacing w:after="0"/>
              <w:rPr>
                <w:sz w:val="1"/>
                <w:szCs w:val="1"/>
                <w:color w:val="auto"/>
              </w:rPr>
            </w:pPr>
          </w:p>
        </w:tc>
      </w:tr>
      <w:tr>
        <w:trPr>
          <w:trHeight w:val="173"/>
        </w:trPr>
        <w:tc>
          <w:tcPr>
            <w:tcW w:w="53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Series A Preference Units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6"/>
        </w:trPr>
        <w:tc>
          <w:tcPr>
            <w:tcW w:w="5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Series B Preference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Series C Preference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1,973,611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49,247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220" w:firstLine="8"/>
        <w:spacing w:after="0" w:line="530" w:lineRule="auto"/>
        <w:tabs>
          <w:tab w:leader="none" w:pos="18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 Terminated Facilities:</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(a) GAS-eleven Ltd., GAS-twelve Ltd., GAS-thirteen Ltd. and GAS-fourteen Ltd. Facility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 (the “Assumed October 2015 Facility”). Amounts drawn under each applicable tranche bore interest at LIBOR plus a margin.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June 2023, a supplemental agreement to the Assumed October 2015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Credit Adjustment Spread (“CAS”), effective from and including the interest period beginning after June 30, 2023. Additionally, in June 2023, HSBC Bank plc transferred to ING Bank N.V., London Branch via transfer certificate its commitments, rights and obligations under the Assumed October 2015 Facility.</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Securities Covenants and Guarantees section below), the outstanding balances of GAS-eleven Ltd., GAS-twelve Ltd., GAS-thirteen Ltd. and GAS-fourteen Ltd. totaling $320,581 were fully repaid. The existing loan facilities of the specified companies were terminated and the respective unamortized loan fees of $3,655 written-off to the consolidated statement of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2019 GasLog Partners Facility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five-year credit facility of up to $450,000 (the “2019 GasLog Partners Facility”). Subsequently, on the same date, the Development Bank of Japan, Inc. entered the facility as lender via transfer certificate. The vessels covered by the 2019 GasLog Partners Facility were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The 2019 GasLog Partners Facility bore interest at LIBOR plus a margin.</w:t>
      </w:r>
    </w:p>
    <w:p>
      <w:pPr>
        <w:spacing w:after="0" w:line="18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October 26, 2021, the outstanding indebtedness of GAS-three Ltd., in the amount of $97,050 was prepaid pursuant to the sale and lease–back agreement entered into with a wholly owned subsidiary of CDBL.</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March 30, 2023, the outstanding indebtedness of GAS-five Ltd. in the amount of $87,780 was prepaid pursuant to the sale and lease-back agreement entered into with a wholly owned subsidiary of CDBL (refer to Note 4). The relevant advance of the loan agreement was cancelled and the respective unamortized loan fees of $229 written-off to the consolidated statement of profit or loss.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February 2023, a supplemental agreement to the 2019 GasLog Partners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August 21, 2023.</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Securities Covenants and Guarantees section below), the outstanding balances of GAS-four Ltd., GAS-sixteen Ltd. and GAS-seventeen Ltd. totaling $148,194 were fully repaid. The existing loan facilities of the specified companies were terminated and the respective unamortized loan fees of $157 written-off to the consolidated statement of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BNP Paribas, Credit Suisse AG and Alpha Bank S.A.</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five-year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Interest on the GasLog Partners $260.3M Facility was payable at a rate of LIBOR plus a margin.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The relevant advance of the loan agreement was cancelled and the respective unamortized loan fees of $294 written-off to the consolidated statement of profit or loss.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2023, a supplemental agreement to the GasLog Partners $260.3M Facility was entered into, which provided for the transition of the rate of interest on the facility to a risk-free rate. It was agreed that the margin would remain unchanged, and the facility transitioned from LIBOR to the daily non-cumulative compounded SOFR rate as administered by Federal Reserve Bank of New York plus the applicable CAS, effective July 21, 2023.</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Securities Covenants and Guarantees section below), the outstanding balances of GAS-seven Ltd. and GAS-eight Ltd. totaling $181,419 were fully repaid. The existing loan facilities of the specified companies were terminated and the respective unamortized loan fees of $985 written-off to the consolidated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DNB Bank ASA, London Branch, and ING Bank N.V., London Branch</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five-year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Interest on the GasLog Partners $193.7M Facility was payable at a rate of LIBOR plus a margin.</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that the margin would remain unchanged and the facility would be transitioned from the six-month LIBOR to the three-month CME Term SOFR Reference Rates as administered by CME Group Benchmark Administration Limited (“CBA”), effective July 21, 2022.</w:t>
      </w:r>
    </w:p>
    <w:p>
      <w:pPr>
        <w:spacing w:after="0" w:line="18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October 31, 2022, the outstanding indebtedness of GAS-twenty one Ltd., in the amount of $32,939 was prepaid pursuant to the sale and lease-back agreement entered into with an unrelated third party. The relevant advance of the loan agreement was cancelled and the respective unamortized loan fees of $360 written-off to the consolidated statement of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November 14, 2023, pursuant to the Facility entered into by GasLog to refinance all outstanding debt secured by 23 LNG carriers across both GasLog and GasLog Partners (refer to Securities Covenants and Guarantees section below), the outstanding balances of GAS-nineteen Ltd. and GAS-twenty seven Ltd. totaling $113,886 were fully repaid. The existing loan facilities of the specified companies were terminated and the respective unamortized loan fees of $805 written-off to the consolidated statement of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November 2, 2023, GasLog signed, as borrower, the Facility. This financing, involving 14 international banks, includes decarbonization and social key performance targets as a component of the Facility pricing. The Facility refinanced the outstanding debt of $2,123,443 secured by 23 LNG carriers across both GasLog and GasLog Partners, following the acquisition by GasLog on July 13, 2023 of all the outstanding common units of GasLog Partners not already beneficially owned by GasLog. The 23 LNG carriers (12 GasLog vessels and eleven GasLog Partners vessels) included in the Facility were initially comprised of ten dual-fuel two-stroke engine propulsion (“X-DF”) LNG carriers, ten TFDE LNG carriers and three Steam LNG carriers. Citibank, N.A., London Branch and BNP Paribas acted as joint coordinators on the Facility. The transaction was completed on November 13, 2023, with GasLog drawing down an amount of $2,128,000 and $672,000 remaining available as of that date, for general corporate purposes.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obligations under the Facility are secured as follows:</w:t>
      </w:r>
    </w:p>
    <w:p>
      <w:pPr>
        <w:spacing w:after="0" w:line="225" w:lineRule="exact"/>
        <w:rPr>
          <w:sz w:val="20"/>
          <w:szCs w:val="20"/>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owned ships included in the Facility;</w:t>
      </w:r>
    </w:p>
    <w:p>
      <w:pPr>
        <w:spacing w:after="0" w:line="27" w:lineRule="exact"/>
        <w:rPr>
          <w:rFonts w:ascii="Times New Roman" w:cs="Times New Roman" w:eastAsia="Times New Roman" w:hAnsi="Times New Roman"/>
          <w:sz w:val="18"/>
          <w:szCs w:val="18"/>
          <w:color w:val="auto"/>
        </w:rPr>
      </w:pPr>
    </w:p>
    <w:p>
      <w:pPr>
        <w:ind w:left="680" w:right="340" w:hanging="321"/>
        <w:spacing w:after="0" w:line="250"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from the 22 vessel owning companies securing the Facility, the Partnership, GasLog Partners Holdings LLC and GasLog Carriers Ltd. (the “Guarantors”);</w:t>
      </w: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of the share capital of GasLog, the Guarantors and GasLog LNG Services;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owned ships.</w:t>
      </w:r>
    </w:p>
    <w:p>
      <w:pPr>
        <w:spacing w:after="0" w:line="20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Facility also imposes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7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Facility contains customary events of default, including non-payment of principal or interest, breach of covenants or material inaccuracy of representations, default under other material indebtedness and bankruptcy. In addition, the Facility contains covenants requiring GasLog and certain of its subsidiaries to maintain the aggregate of (i) the market value, on a charter exclusive basis, of the mortgaged vessel or vessels and (ii) the market value of any additional security provided to the lenders, at a value of not less than 120.0% of the then outstanding amount under the Facility.</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Compliance with the above covenants is required at all times. GasLog was in compliance with all covenants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Related Parties: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April 3, 2017, GasLog Partners entered into an unsecured five-year term loan of $45,000 and a five-year revolving credit facility of $30,000 with GasLog (together, the “Sponsor Credit Facility”). The term loan facility was terminated on March 23, 2018. The revolving credit facility provided for an availability period of five years and accrued interest at a rate of 9.125% per annum with an annual 1.0% commitment fee on the undrawn balance. On November 14, 2019, the Partnership drew down $10,000 under the revolving credit facility, which was subsequently repaid on December 31, 2019. The Sponsor Credit Facility matured in March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the credit facilities bore interest at variable interest rates, their aggregate fair value was equal to the principal amount outstanding.</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Payables and Accruals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32"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42,188</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33,784</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unearned revenue of $23,996 represents monthly charter hires received in advance as of December 31, 2024 relating to January 2025 (December 31, 2023: $28,469).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has recognized the following amounts relating to revenues: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time charters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183,232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184,177</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spot time charters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233,581</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172,085</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371,034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397,838</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356,262</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Partnership defines long-term time charters as charter party agreements with an initial duration of more than three years (excluding any optional periods), while all charter party agreements of an initial duration of less than (or equal to) three years (excluding any optional periods) are classified as spot time charters.</w:t>
      </w:r>
    </w:p>
    <w:p>
      <w:pPr>
        <w:spacing w:after="0" w:line="176"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technical management service components of revenues from time charters (Revenues from long-term time charters and Revenues from spot time charters) for the years ended December 31, 2022, 2023 and 2024 were $78,149, $69,321 and $72,684, respectively. These figures are not readily quantifiable as the Partnership’s contracts (under time charter arrangements) do not separate these components. The service component amounts are estimated based on the amounts of the vessel operating expenses for each year applying the “cost plus margin” approach.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received include payments for the service components in these time charter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Voyage Expenses and Commissions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10,998</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9,141</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Bunkers’ consumption represents mainly bunkers consumed during periods when a vessel is not employed under a charter or off-hire periods (including bunkers consumed during dry-docking).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 fees (Note 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management fees (Note 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22,795</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16,422</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Other expenses include legal and professional costs relating to the Transaction of $1,799 for the year ended December 31, 2024 ($4,144 for the year ended December 31,2023 and nil for the year ended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Vessel Operating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vessel operating costs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costs</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40,019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35,576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35,590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16,030</w:t>
            </w:r>
          </w:p>
        </w:tc>
        <w:tc>
          <w:tcPr>
            <w:tcW w:w="20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17,591</w:t>
            </w:r>
          </w:p>
        </w:tc>
        <w:tc>
          <w:tcPr>
            <w:tcW w:w="20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19,504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16,314</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14,586</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14,637</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72,363</w:t>
            </w:r>
          </w:p>
        </w:tc>
        <w:tc>
          <w:tcPr>
            <w:tcW w:w="200" w:type="dxa"/>
            <w:vAlign w:val="bottom"/>
          </w:tcPr>
          <w:p>
            <w:pPr>
              <w:spacing w:after="0"/>
              <w:rPr>
                <w:sz w:val="18"/>
                <w:szCs w:val="18"/>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67,753</w:t>
            </w:r>
          </w:p>
        </w:tc>
        <w:tc>
          <w:tcPr>
            <w:tcW w:w="200" w:type="dxa"/>
            <w:vAlign w:val="bottom"/>
          </w:tcPr>
          <w:p>
            <w:pPr>
              <w:spacing w:after="0"/>
              <w:rPr>
                <w:sz w:val="18"/>
                <w:szCs w:val="18"/>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69,731</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financial costs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costs including bank commissions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47,639</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67,060</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an amount of $5,831 representing the write-off of the unamortized deferred loan issuance costs in connection with the termination of all the Partnership’s loans (Note 7) was included in Amortization and write-off of deferred loan issuance costs (December 31, 2022: $654 in connection with the termination of the GAS-twenty Ltd. and the GAS-twenty one Ltd. advances of GasLog Partners $260.3M Facility and GasLog Partners $193.7M Facility).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Partnership has the following balances with related parties which are included in the consolidated statements of financial position: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48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related parties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Due from GasLog LNG Services </w:t>
            </w:r>
            <w:r>
              <w:rPr>
                <w:rFonts w:ascii="Times New Roman" w:cs="Times New Roman" w:eastAsia="Times New Roman" w:hAnsi="Times New Roman"/>
                <w:sz w:val="25"/>
                <w:szCs w:val="25"/>
                <w:color w:val="auto"/>
                <w:vertAlign w:val="superscript"/>
              </w:rPr>
              <w: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Due from GasLog </w:t>
            </w:r>
            <w:r>
              <w:rPr>
                <w:rFonts w:ascii="Times New Roman" w:cs="Times New Roman" w:eastAsia="Times New Roman" w:hAnsi="Times New Roman"/>
                <w:sz w:val="25"/>
                <w:szCs w:val="25"/>
                <w:color w:val="auto"/>
                <w:vertAlign w:val="superscript"/>
              </w:rPr>
              <w:t>(b)</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15,295</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10,408</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balance for the year ended December 31, 2023 represents mainly cash advanced by the Partnership to GasLog LNG Services.</w:t>
      </w:r>
    </w:p>
    <w:p>
      <w:pPr>
        <w:spacing w:after="0" w:line="203"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balances for the years ended December 31, 2023 and December 31, 2024 represent mainly cash advanced by the Partnership to GasLog.</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had the following transactions with related parties for the years ended December 31, 2022, 2023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6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00" w:type="dxa"/>
            <w:vAlign w:val="bottom"/>
          </w:tcPr>
          <w:p>
            <w:pPr>
              <w:spacing w:after="0"/>
              <w:rPr>
                <w:sz w:val="15"/>
                <w:szCs w:val="15"/>
                <w:color w:val="auto"/>
              </w:rPr>
            </w:pPr>
          </w:p>
        </w:tc>
        <w:tc>
          <w:tcPr>
            <w:tcW w:w="252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1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GasLog LNG Services</w:t>
            </w:r>
          </w:p>
        </w:tc>
        <w:tc>
          <w:tcPr>
            <w:tcW w:w="220" w:type="dxa"/>
            <w:vAlign w:val="bottom"/>
            <w:tcBorders>
              <w:top w:val="single" w:sz="8" w:color="CCEEFF"/>
            </w:tcBorders>
            <w:shd w:val="clear" w:color="auto" w:fill="CCEEFF"/>
          </w:tcPr>
          <w:p>
            <w:pPr>
              <w:spacing w:after="0"/>
              <w:rPr>
                <w:sz w:val="12"/>
                <w:szCs w:val="12"/>
                <w:color w:val="auto"/>
              </w:rPr>
            </w:pPr>
          </w:p>
        </w:tc>
        <w:tc>
          <w:tcPr>
            <w:tcW w:w="36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Commercial management fee </w:t>
            </w:r>
            <w:r>
              <w:rPr>
                <w:rFonts w:ascii="Times New Roman" w:cs="Times New Roman" w:eastAsia="Times New Roman" w:hAnsi="Times New Roman"/>
                <w:sz w:val="16"/>
                <w:szCs w:val="16"/>
                <w:color w:val="auto"/>
                <w:vertAlign w:val="superscript"/>
              </w:rPr>
              <w:t>(i)</w:t>
            </w:r>
          </w:p>
        </w:tc>
        <w:tc>
          <w:tcPr>
            <w:tcW w:w="20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4,610</w:t>
            </w: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4,890</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4,463</w:t>
            </w:r>
          </w:p>
        </w:tc>
      </w:tr>
      <w:tr>
        <w:trPr>
          <w:trHeight w:val="149"/>
        </w:trPr>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 xml:space="preserve">Administrative services fee </w:t>
            </w:r>
            <w:r>
              <w:rPr>
                <w:rFonts w:ascii="Times New Roman" w:cs="Times New Roman" w:eastAsia="Times New Roman" w:hAnsi="Times New Roman"/>
                <w:sz w:val="17"/>
                <w:szCs w:val="17"/>
                <w:color w:val="auto"/>
                <w:vertAlign w:val="superscript"/>
              </w:rPr>
              <w:t>(ii)</w:t>
            </w:r>
          </w:p>
        </w:tc>
        <w:tc>
          <w:tcPr>
            <w:tcW w:w="27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8,513</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8,996</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8,998</w:t>
            </w:r>
          </w:p>
        </w:tc>
      </w:tr>
      <w:tr>
        <w:trPr>
          <w:trHeight w:val="148"/>
        </w:trPr>
        <w:tc>
          <w:tcPr>
            <w:tcW w:w="1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 LNG Services</w:t>
            </w: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 xml:space="preserve">Management fees </w:t>
            </w:r>
            <w:r>
              <w:rPr>
                <w:rFonts w:ascii="Times New Roman" w:cs="Times New Roman" w:eastAsia="Times New Roman" w:hAnsi="Times New Roman"/>
                <w:sz w:val="17"/>
                <w:szCs w:val="17"/>
                <w:color w:val="auto"/>
                <w:vertAlign w:val="superscript"/>
              </w:rPr>
              <w:t>(iii)</w:t>
            </w:r>
          </w:p>
        </w:tc>
        <w:tc>
          <w:tcPr>
            <w:tcW w:w="272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Vessel operating costs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w:t>
            </w:r>
          </w:p>
        </w:tc>
      </w:tr>
      <w:tr>
        <w:trPr>
          <w:trHeight w:val="148"/>
        </w:trPr>
        <w:tc>
          <w:tcPr>
            <w:tcW w:w="17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 LNG Services</w:t>
            </w:r>
          </w:p>
        </w:tc>
        <w:tc>
          <w:tcPr>
            <w:tcW w:w="3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vessel operating costs</w:t>
            </w:r>
          </w:p>
        </w:tc>
        <w:tc>
          <w:tcPr>
            <w:tcW w:w="27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Vessel operating costs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17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3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 fee under Sponsor Credit Facility (Note 7)</w:t>
            </w:r>
          </w:p>
        </w:tc>
        <w:tc>
          <w:tcPr>
            <w:tcW w:w="272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Financial costs</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w:t>
            </w:r>
          </w:p>
        </w:tc>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Realized loss on interest rate swaps held for trading (Note 17)</w:t>
            </w:r>
          </w:p>
        </w:tc>
        <w:tc>
          <w:tcPr>
            <w:tcW w:w="27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Gain on derivatives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6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5684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30"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Commercial Management Agreements</w:t>
      </w:r>
    </w:p>
    <w:p>
      <w:pPr>
        <w:spacing w:after="0" w:line="180" w:lineRule="exact"/>
        <w:rPr>
          <w:rFonts w:ascii="Times New Roman" w:cs="Times New Roman" w:eastAsia="Times New Roman" w:hAnsi="Times New Roman"/>
          <w:sz w:val="11"/>
          <w:szCs w:val="11"/>
          <w:color w:val="auto"/>
        </w:rPr>
      </w:pPr>
    </w:p>
    <w:p>
      <w:pPr>
        <w:ind w:left="340" w:right="20"/>
        <w:spacing w:after="0" w:line="23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vessel-owning subsidiaries of GasLog Partners have entered into commercial management agreements with GasLog LNG Services (collectively, the “Commercial Management Agreements”), pursuant to which GasLog LNG Services provides certain commercial management services, including chartering services, consultancy services on market issues and invoicing and collection of hire payables, to the Partnership. The annual commercial management fee is calculated as a fixed commission of 1.25% on the annual gross charter revenues of each vessel, which is payable monthly in advance.</w:t>
      </w:r>
    </w:p>
    <w:p>
      <w:pPr>
        <w:spacing w:after="0" w:line="159"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Administrative Services Agreement</w:t>
      </w:r>
    </w:p>
    <w:p>
      <w:pPr>
        <w:spacing w:after="0" w:line="180" w:lineRule="exact"/>
        <w:rPr>
          <w:rFonts w:ascii="Times New Roman" w:cs="Times New Roman" w:eastAsia="Times New Roman" w:hAnsi="Times New Roman"/>
          <w:sz w:val="11"/>
          <w:szCs w:val="11"/>
          <w:color w:val="auto"/>
        </w:rPr>
      </w:pPr>
    </w:p>
    <w:p>
      <w:pPr>
        <w:ind w:left="340" w:right="240"/>
        <w:spacing w:after="0" w:line="23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Partnership has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years ended December 31, 2022, 2023 and 2024, the annual service fee was $579, $643 and $643 per vessel per year, respectively.</w:t>
      </w:r>
    </w:p>
    <w:p>
      <w:pPr>
        <w:spacing w:after="0" w:line="159"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b w:val="1"/>
          <w:bCs w:val="1"/>
          <w:i w:val="1"/>
          <w:iCs w:val="1"/>
          <w:color w:val="auto"/>
        </w:rPr>
        <w:t>Ship Management Agreements</w:t>
      </w:r>
    </w:p>
    <w:p>
      <w:pPr>
        <w:spacing w:after="0" w:line="194" w:lineRule="exact"/>
        <w:rPr>
          <w:rFonts w:ascii="Times New Roman" w:cs="Times New Roman" w:eastAsia="Times New Roman" w:hAnsi="Times New Roman"/>
          <w:sz w:val="11"/>
          <w:szCs w:val="11"/>
          <w:color w:val="auto"/>
        </w:rPr>
      </w:pPr>
    </w:p>
    <w:p>
      <w:pPr>
        <w:ind w:left="340" w:right="100"/>
        <w:spacing w:after="0" w:line="23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 xml:space="preserve">Each of the vessel owning subsidiaries of GasLog Partners has entered into a ship management agreement and subsequent amendments (collectively, the “Ship Management Agreements”) under which the vessel owning subsidiaries pay a management fee of $37.5 per month to the Manager and reimburse the Manager for all expenses incurred on their behalf and contain clauses for decreased management fees in case of a vessel’s lay-up. The management fees are subject to an annual adjustment, agreed between the parties in good faith, on the basis of general inflation and proof of increases in actual costs incurred by the Manager. Each Ship Management Agreement continues indefinitely until terminated by either party. In April 2022, GAS-eight Ltd. entered into a similar management agreement for the </w:t>
      </w:r>
      <w:r>
        <w:rPr>
          <w:rFonts w:ascii="Times New Roman" w:cs="Times New Roman" w:eastAsia="Times New Roman" w:hAnsi="Times New Roman"/>
          <w:sz w:val="14"/>
          <w:szCs w:val="14"/>
          <w:i w:val="1"/>
          <w:iCs w:val="1"/>
          <w:color w:val="auto"/>
        </w:rPr>
        <w:t>Solaris</w:t>
      </w:r>
      <w:r>
        <w:rPr>
          <w:rFonts w:ascii="Times New Roman" w:cs="Times New Roman" w:eastAsia="Times New Roman" w:hAnsi="Times New Roman"/>
          <w:sz w:val="14"/>
          <w:szCs w:val="14"/>
          <w:color w:val="auto"/>
        </w:rPr>
        <w:t>, previously managed by a subsidiary of Shell plc (“Shell”).</w:t>
      </w:r>
    </w:p>
    <w:p>
      <w:pPr>
        <w:spacing w:after="0" w:line="146"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Omnibus Agreement</w:t>
      </w:r>
    </w:p>
    <w:p>
      <w:pPr>
        <w:spacing w:after="0" w:line="194" w:lineRule="exact"/>
        <w:rPr>
          <w:rFonts w:ascii="Times New Roman" w:cs="Times New Roman" w:eastAsia="Times New Roman" w:hAnsi="Times New Roman"/>
          <w:sz w:val="14"/>
          <w:szCs w:val="14"/>
          <w:color w:val="auto"/>
        </w:rPr>
      </w:pPr>
    </w:p>
    <w:p>
      <w:pPr>
        <w:ind w:left="3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12, 2014, the Partnership entered into an omnibus agreement with GasLog, our general partner and certain of our other subsidiaries. On July 21, 2023, the Board approved the termination of the Omnibus Agreement with GasLog, its general partner and certain other subsidiaries. The omnibus agreement governed among other things (i) when and the extent to which the Partnership and GasLog would compete against each other, (ii) the time and the value at which the Partnership would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59"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Merger Agreement</w:t>
      </w:r>
    </w:p>
    <w:p>
      <w:pPr>
        <w:spacing w:after="0" w:line="180"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details on the Merger Agreement with GasLog, refer to Note 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Future gross minimum lease payments receivable in relation to non-cancellable time charter agreements for vessels in operation, including vessels under a lease (Note 4) as of December 31, 2024,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8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205,809</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123,493</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99,647</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0" w:type="dxa"/>
            <w:vAlign w:val="bottom"/>
          </w:tcPr>
          <w:p>
            <w:pPr>
              <w:spacing w:after="0"/>
              <w:rPr>
                <w:sz w:val="1"/>
                <w:szCs w:val="1"/>
                <w:color w:val="auto"/>
              </w:rPr>
            </w:pPr>
          </w:p>
        </w:tc>
      </w:tr>
      <w:tr>
        <w:trPr>
          <w:trHeight w:val="216"/>
        </w:trPr>
        <w:tc>
          <w:tcPr>
            <w:tcW w:w="8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554,233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Financial Risk Management</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Risk: </w:t>
      </w:r>
      <w:r>
        <w:rPr>
          <w:rFonts w:ascii="Times New Roman" w:cs="Times New Roman" w:eastAsia="Times New Roman" w:hAnsi="Times New Roman"/>
          <w:sz w:val="18"/>
          <w:szCs w:val="18"/>
          <w:color w:val="auto"/>
        </w:rPr>
        <w:t>Currency risk is the risk that the value of financial instruments and/or the cost of commercial transactions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 due to changes 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(“EUR”). Specifically, for the year ended December 31, 2024, approximately $43,311 of the operating and administrative expenses were denominated in euros (December 31, 2023: $49,094 and December 31, 2022: $40,226). As of December 31, 2024, approximately $5,888 of the Partnership’s outstanding trade payables and accruals were denominated in euros (December 31, 2023: $3,946).</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an indication of the extent of the Partnership’s sensitivity to changes in exchange rate, a 10% increase in the average EUR/USD exchange rate would have decreased its profit and cash flows during the year ended December 31, 2024 by $4,331, based upon its expenses during the year (December 31, 2023: $4,909 and December 31, 2022: $4,023).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Partnership manages its liquidity risk by receiving capital contributions to fund its commitments and by maintaining cash and cash equivalents.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tables include both interest and principal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18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9,224</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9,330</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2,306</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7,418</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13,625</w:t>
            </w: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2,717</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5,260</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24,317</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68,862</w:t>
            </w:r>
          </w:p>
        </w:tc>
        <w:tc>
          <w:tcPr>
            <w:tcW w:w="180" w:type="dxa"/>
            <w:vAlign w:val="bottom"/>
          </w:tcPr>
          <w:p>
            <w:pPr>
              <w:spacing w:after="0"/>
              <w:rPr>
                <w:sz w:val="12"/>
                <w:szCs w:val="12"/>
                <w:color w:val="auto"/>
              </w:rPr>
            </w:pPr>
          </w:p>
        </w:tc>
        <w:tc>
          <w:tcPr>
            <w:tcW w:w="118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101,156</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14,247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9,267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68,862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124,111</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7,733</w:t>
            </w:r>
          </w:p>
        </w:tc>
        <w:tc>
          <w:tcPr>
            <w:tcW w:w="0" w:type="dxa"/>
            <w:vAlign w:val="bottom"/>
          </w:tcPr>
          <w:p>
            <w:pPr>
              <w:spacing w:after="0"/>
              <w:rPr>
                <w:sz w:val="1"/>
                <w:szCs w:val="1"/>
                <w:color w:val="auto"/>
              </w:rPr>
            </w:pPr>
          </w:p>
        </w:tc>
      </w:tr>
      <w:tr>
        <w:trPr>
          <w:trHeight w:val="148"/>
        </w:trPr>
        <w:tc>
          <w:tcPr>
            <w:tcW w:w="2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5,170</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3,165</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9,328</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4,359</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8,300</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34,961</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68,215</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115,835</w:t>
            </w: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13,085</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13,470</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38,126</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68,215</w:t>
            </w:r>
          </w:p>
        </w:tc>
        <w:tc>
          <w:tcPr>
            <w:tcW w:w="180" w:type="dxa"/>
            <w:vAlign w:val="bottom"/>
          </w:tcPr>
          <w:p>
            <w:pPr>
              <w:spacing w:after="0"/>
              <w:rPr>
                <w:sz w:val="12"/>
                <w:szCs w:val="12"/>
                <w:color w:val="auto"/>
              </w:rPr>
            </w:pPr>
          </w:p>
        </w:tc>
        <w:tc>
          <w:tcPr>
            <w:tcW w:w="1020" w:type="dxa"/>
            <w:vAlign w:val="bottom"/>
            <w:tcBorders>
              <w:top w:val="single" w:sz="8" w:color="auto"/>
              <w:bottom w:val="single" w:sz="8" w:color="auto"/>
            </w:tcBorders>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132,896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*Non-financial liabilities are excluded.</w:t>
      </w:r>
    </w:p>
    <w:p>
      <w:pPr>
        <w:spacing w:after="0" w:line="21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and arises from cash and cash equivalents, as well as credit exposures to customers, including trade and other receivables and amounts due from related parties. The Partnership is exposed to credit risk in the event of non-performance by any of its counterparties. To limit this risk, the Partnership currently deals exclusively with financial institutions and customers with high credit ratings.</w:t>
      </w:r>
    </w:p>
    <w:p>
      <w:pPr>
        <w:spacing w:after="0" w:line="187"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r>
    </w:tbl>
    <w:p>
      <w:pPr>
        <w:spacing w:after="0" w:line="19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December 31, 2023 and December 31, 2024, 44%, 39% and 44%, respectively, of the Partnership’s revenues were earned from subsidiaries of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2024.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credit risk on liquid funds is limited because the direct and indirect counterparties are banks with high credit ratings assigned by international credit rating agencies.</w:t>
      </w:r>
    </w:p>
    <w:p>
      <w:pPr>
        <w:spacing w:after="0" w:line="158" w:lineRule="exact"/>
        <w:rPr>
          <w:sz w:val="20"/>
          <w:szCs w:val="20"/>
          <w:color w:val="auto"/>
        </w:rPr>
      </w:pPr>
    </w:p>
    <w:p>
      <w:pPr>
        <w:ind w:right="7100" w:firstLine="8"/>
        <w:spacing w:after="0" w:line="532" w:lineRule="auto"/>
        <w:tabs>
          <w:tab w:leader="none" w:pos="27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Derivative Financial Instruments Interest rate swap agreements</w:t>
      </w:r>
    </w:p>
    <w:p>
      <w:pPr>
        <w:spacing w:after="0" w:line="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Partnership had entered into interest rate swap agreements which converted the floating interest rate exposure into a fixed interest rate in order to hedge a portion of the Partnership’s exposure to fluctuations in prevailing market interest rates. Under the interest rate swaps, the counterparty effected quarterly floating-rate payments to the Partnership for the notional amount based on the three-month LIBOR, and the Partnership effected quarterly payments to the counterparty on the notional amount at the respective fixed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May and June 2023, GAS-twenty seven Ltd. amended the International Swaps and Derivatives Association (“ISDA”) agreements of its then outstanding swaps with DNB Bank ASA and ING Bank N.V. in order to transition away from LIBOR, incorporating ISDA standard provisions for three-month daily compounding SOFR which became effective upon LIBOR cessation.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August 2023, GAS-twenty seven Ltd. terminated its four interest rate swap agreements with an aggregate notional amount of $133,333 initially due in 2024 and 2025 with DNB Bank ASA, London Branch and ING Bank N.V., London Branch, receiving an amount of $3,488.</w:t>
      </w:r>
    </w:p>
    <w:p>
      <w:pPr>
        <w:spacing w:after="0" w:line="17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of the Partnership were not designated as cash flow hedging instruments. During the year ended December 31, 2024, the Partnership did not enter into any new interest rate swaps and the change in the fair value of the interest rate swaps for the year ended December 31, 2024 amounted to nil (December 31, 2023: a loss of $88 and December 31, 2022: a gain of $12,821), which was recognized in profit or loss in the year incurred and is included in Gain on derivatives.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Partnership may use non-deliverable forward foreign exchange contracts to mitigate foreign exchange transaction exposures in EUR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foreign exchange contracts held for trading</w:t>
      </w:r>
    </w:p>
    <w:p>
      <w:pPr>
        <w:spacing w:after="0" w:line="20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mentioned above were not designated as cash flow hedging instruments. During the year ended December 31, 2024, the Partnership did not enter into any new forward foreign exchange contracts. During the year ended December 31, 2023, the Partnership entered into 15 new forward foreign exchange contracts with HSBC Bank PLC for a total exchange amount of EUR 11,500 with staggered settlement dates throughout 2023.</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Gain on derivatives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loss/(gain) on interest rate swaps held for trading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on forward foreign exchange contracts held for trading</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on interest rate swaps held for trading</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gain on derivatives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(1,512)</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Partnership’s financial assets and liabilities approximate to their carrying amounts at the reporting date.</w:t>
      </w:r>
    </w:p>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There were no financial instruments in Levels 1, 2 or 3 during the periods presented. The definitions of the levels, provided by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are based on the degree to which the fair value is observable:</w:t>
      </w:r>
    </w:p>
    <w:p>
      <w:pPr>
        <w:spacing w:after="0" w:line="143"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3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Cash Flow Reconciliations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reconciliations of the Partnership’s financing activities for the three years ended December 31, 2024 are presented in the following tables: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 assets</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1,085,758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Borrowings repayments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(168,585)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 (Note 13)</w:t>
            </w:r>
          </w:p>
        </w:tc>
        <w:tc>
          <w:tcPr>
            <w:tcW w:w="10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921,946</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Borrowings drawdowns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 (Note 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(217,070)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(764,080)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(981,150)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 (Note 13)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derivative assets/liabilities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(liabilities)/assets</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Unrealized gain on interest rate swaps held for trading (Note 17)</w:t>
            </w:r>
          </w:p>
        </w:tc>
        <w:tc>
          <w:tcPr>
            <w:tcW w:w="120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interest rate swaps termination (Note 17)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(3,488)</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lease liabilities arising from financing activities is as follows:</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55,898</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(1,668)</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(12,242)</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54,442</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(3,785)</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20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(23,103)</w:t>
            </w:r>
          </w:p>
        </w:tc>
        <w:tc>
          <w:tcPr>
            <w:tcW w:w="134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0" w:type="dxa"/>
            <w:vAlign w:val="bottom"/>
          </w:tcPr>
          <w:p>
            <w:pPr>
              <w:spacing w:after="0"/>
              <w:rPr>
                <w:sz w:val="1"/>
                <w:szCs w:val="1"/>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93,908</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(4,662)</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(33,863)</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107,593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had granted to its executives RCUs and PCUs in accordance with the 2015 Plan.</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Following the completion of the Transaction, the previously unvested RCUs and PCUs vested. The PCUs vested with performance goals deemed achieved based on actual achievement as of immediately prior to the Effective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fair value per common unit of the RCUs and PCUs in accordance with the 2015 Plan was determined by using the grant date closing price and was not further adjusted since the holders were entitled to cash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Movement in RCUs and PCUs during the year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RCUs and PCUs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RCUs</w:t>
            </w: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247,085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(335,004)</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PCUs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133,292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(50,557)</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(82,735)</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total expense recognized in respect of equity-settled employee benefits for the year ended December 31, 2024 was nil ($1,357 for the year ended December 31, 2023 and $760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Taxation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Partnership did not qualify for this exemption for the three years ended December 31, 2024. During the year ended December 31, 2024, the estimated U.S. source gross transportation tax was $530 (December 31, 2023: $1,420 and December 31, 2022: $1,529) included in Other payables and accruals and Voyage expenses and commissions.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February 10, 2025, GasLog signed a supplemental agreement to the Facility, extending the final reduction date by one year to November 2029.</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February 12, 2025, the board of directors of GasLog Partners approved and declared a distribution on the Series A Preference Units of $0.5390625 per preference unit, a distribution on the Series B Preference Units of $0.6530831 per preference unit and a distribution on the Series C Preference Units of $0.6204581 per preference unit. The cash distributions are payable on March 17, 2025 to all unitholders of record as of March 10, 2025.</w:t>
      </w:r>
    </w:p>
    <w:p>
      <w:pPr>
        <w:spacing w:after="0" w:line="1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On March 12, 2025, the board of directors of GasLog Partners approved and declared a quarterly cash distribution of $2.18 per common unit to GasLog that was settled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3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GasLog Partners LP has three classes of securities registered under Section 12 of the Securities Exchange Act of 1934, as amended: our Series A, B and C preference units (together, the “</w:t>
      </w:r>
      <w:r>
        <w:rPr>
          <w:rFonts w:ascii="Times New Roman" w:cs="Times New Roman" w:eastAsia="Times New Roman" w:hAnsi="Times New Roman"/>
          <w:sz w:val="18"/>
          <w:szCs w:val="18"/>
          <w:i w:val="1"/>
          <w:iCs w:val="1"/>
          <w:u w:val="single" w:color="auto"/>
          <w:color w:val="auto"/>
        </w:rPr>
        <w:t>Preference Units</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The following summarizes the material terms of the Preference Units of GasLog Partners LP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as set forth in the Eighth Amended and Restated Partnership Agreement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While we believe that the following description covers the material terms of such securities, such summary may not contain all of the information that may be important to you and is subject to, and qualified in its entirety by, reference to the Partnership Agreement, which is filed as an exhibit to the 20-F of which this Exhibit 2.3 is a part. As used herein, unless otherwise expressly stated or the context otherwise requires, the terms “Partnership”, “we”, “our” and “us” refer to GasLog Partners LP.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The Partnership is organized under the laws of the Republic of the Marshall Islands. The Partnership affairs are governed by the Partnership Agreement and the Marshall Islands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Units</w:t>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Under the Partnership Agreement,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 (subject to any approvals required by the terms of existing Preference Units). The Partnership may issue an unlimited number of Partnership interests (or any options, rights, warrants and appreciation rights relating to the Partnership interests), provided that (1) no fractional units are issued by the Partnership and (2)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the board of directors, and the size of the board of directors will be increased as needed to accommodate such change (unless the size of the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0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Holders of Preference Units are entitled to receive, when, as and if declared by the Partnership’s board of directors out of legally available assets for such purpose, cumulative distributions. No distribution may be declared or paid or set apart for payment on any of our common units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or general partner units unless full cumulative distributions have been or contemporaneously are being paid or provided for on all outstanding Preference Units through the most recent distribution payment date. Holders of Preference Units will not be entitled to any distribution, whether payable in cash, property or units, in excess of full cumulative distributions.</w:t>
      </w:r>
    </w:p>
    <w:p>
      <w:pPr>
        <w:spacing w:after="0" w:line="147"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The Series A Preference Units are senior to all classes of our Common Units and general partner units. From and including May 15, 2017 to, but excluding, June 15, 2027, the distribution rate for the Series A Preference Units will be 8.625% per annum per $25.00 of liquidation preference per unit. From and including June 15, 2027, the distribution rate for the Series A Preference Units will be a floating rate equal to the three-month LIBOR plus a spread of 6.31% per annum per $25.00 of liquidation preference per unit. If the three-month LIBOR is determined not to be available in accordance with the terms of the Series A Preference Units, then the distribution rate is expected to be equal to the distribution rate for the preceding interest rate period, which would be the current rate of 8.625% per annum per $25.00 of liquidation preference per unit. Distributions on Series A Preference Units are payable on the 15th of March, June, September and December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1" w:name="page132"/>
    <w:bookmarkEnd w:id="131"/>
    <w:p>
      <w:pPr>
        <w:ind w:firstLine="1296"/>
        <w:spacing w:after="0" w:line="253" w:lineRule="auto"/>
        <w:rPr>
          <w:sz w:val="20"/>
          <w:szCs w:val="20"/>
          <w:color w:val="auto"/>
        </w:rPr>
      </w:pPr>
      <w:r>
        <w:rPr>
          <w:rFonts w:ascii="Times New Roman" w:cs="Times New Roman" w:eastAsia="Times New Roman" w:hAnsi="Times New Roman"/>
          <w:sz w:val="18"/>
          <w:szCs w:val="18"/>
          <w:color w:val="auto"/>
        </w:rPr>
        <w:t>The Series B Preference Units are senior to all classes of our Common Units and general partner units. From and including January 17, 2018 to, but excluding, March 15, 2023, the distribution rate for the Series B Preference Units was 8.200% per annum per $25.00 of liquidation preference per unit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and including March 15, 2023, the distribution rate for the Series B Preference Units was a floating rate equal to three-month LIBOR plus a spread of 5.839% per annum per $25.00 of liquidation preference per unit. Effective September 15, 2023, in accordance with the terms of the Series B Preference Units, the calculation agent determined the three month LIBOR to be discontinued and chose the Term Secured Overnight Financing Rate (“SOFR”) for a three month tenor published by the Chicago Mercantile Exchange (“CME”) plus a credit spread adjustment of 0.26161% (“Credit Adjusted Term SOFR”) as the successor base rate. Following the calculation agent’s determination, from and including the September 15, 2023, the distribution rate of the Series B Preference Units is equal to the Credit Adjusted Term SOFR plus a spread of 5.839% per annum per $25.00 of liquidation preference per unit. Distributions on Series B Preference Units are payable on the 15th of March, June, September and December of each year.</w:t>
      </w:r>
    </w:p>
    <w:p>
      <w:pPr>
        <w:spacing w:after="0" w:line="15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The Series C Preference Units are senior to all classes of our Common Units and general partner units. From and including November 15, 2018 to, but excluding, March 15, 2024, the distribution rate for the Series C Preference Units was 8.500% per annum per $25.00 of liquidation preference per unit. Per the terms of the Partnership Agreement, from and including March 15, 2024, the distribution rate for the Series C Preference Units is a floating rate equal to three-month LIBOR plus a spread of 5.839% per annum per $25.00 of liquidation preference per unit. However, if the calculation agent determines on the business day preceding March 15, 2024 that the three-month LIBOR has been discontinued, then the calculation agent shall choose a successor base rate that is most comparable to the LIBOR base rate, after consultation with the Partnership; provided that if there is an industry-accepted successor base rate, then the calculation agent shall choose such rate. Following the calculation agent’s determination, from and including March 15, 2024, the distribution rate is a floating rate equal to the SOFR for a three month tenor published by the CME plus Credit Adjusted Term SOFR plus a spread of 5.317% per annum per $25.00 of liquidation preference per unit. Distributions on Series C Preference Units are payable on the 15th of March, June, September and December of each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85"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the event of liquidation, the Preference Units rank senior to any Common Units,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each other and junior to the claims of any creditors. The Preference Unitholders will receive in cash a liquidating distribution or payment in full redemption of such Preference Units in an amount equal to their liquidation preference plus accumulated and unpaid distributions to the date of liquidation. Preference Unitholders shall not be entitled to any other amounts from the Partnership, in their capacity as Unitholders, after they have received the liquidation preference.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0"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The Partnership may, at its option, redeem all or, from time to time, part of the Series A Preference Units on or after June 15, 2027, the Series B Preference Units on or after March 15, 2023 or the Series C Preference Units on or after March 15, 2024. If the Partnership redeems the Series A, Series B or Series C Preference Units, the Preference Unitholders will be entitled to receive a redemption price equal to $25.00 per unit plus accumulated and unpaid distributions to the date of redemption.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00"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The Partnership Agreement provides for a board of directors consisting of not less than three nor more than five individuals appointed by the general partner. The appointed directors may be removed at any time, with or without cause, only by the general partner. Each appointed director shall hold office until his or her successor is duly appointed by the general partner and qualified or until his or her earlier death, resignation or removal. If any appointed director is removed, resigns or is otherwise unable to serve as a member of the board of directors, the general partner shall, in its individual capacity, appoint an individual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&amp;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DATED 10 FEBRUARY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SUPPLEMENTAL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US$2,800,000,000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Reducing Revolving Loan Facility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DNB BANK ASA, LONDON BRANCH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Security Agent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guaranteed by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ENTITIES LISTED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1171575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417195</wp:posOffset>
            </wp:positionV>
            <wp:extent cx="2511425"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2511425" cy="41148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718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560" w:type="dxa"/>
            <w:vAlign w:val="bottom"/>
          </w:tcPr>
          <w:p>
            <w:pPr>
              <w:spacing w:after="0"/>
              <w:rPr>
                <w:sz w:val="20"/>
                <w:szCs w:val="20"/>
                <w:color w:val="auto"/>
              </w:rPr>
            </w:pPr>
          </w:p>
        </w:tc>
      </w:tr>
      <w:tr>
        <w:trPr>
          <w:trHeight w:val="44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Clause</w:t>
            </w: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of the Lenders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to Principal Agreement.</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Documents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 and notices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Applicable law</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 The Guarantors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7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 The Arrangers, Lenders and Hedging Providers</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7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 Documents and evidence required as conditions precedent</w:t>
            </w:r>
          </w:p>
        </w:tc>
        <w:tc>
          <w:tcPr>
            <w:tcW w:w="2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0"/>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 Form of Effective Date Notice</w:t>
            </w:r>
          </w:p>
        </w:tc>
        <w:tc>
          <w:tcPr>
            <w:tcW w:w="2560" w:type="dxa"/>
            <w:vAlign w:val="bottom"/>
          </w:tcPr>
          <w:p>
            <w:pPr>
              <w:spacing w:after="0"/>
              <w:rPr>
                <w:sz w:val="23"/>
                <w:szCs w:val="23"/>
                <w:color w:val="auto"/>
              </w:rPr>
            </w:pPr>
          </w:p>
        </w:tc>
      </w:tr>
      <w:tr>
        <w:trPr>
          <w:trHeight w:val="1047"/>
        </w:trPr>
        <w:tc>
          <w:tcPr>
            <w:tcW w:w="18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 xml:space="preserve">THIS FIRST SUPPLEMENTAL AGREEMENT </w:t>
      </w:r>
      <w:r>
        <w:rPr>
          <w:rFonts w:ascii="Times New Roman" w:cs="Times New Roman" w:eastAsia="Times New Roman" w:hAnsi="Times New Roman"/>
          <w:sz w:val="18"/>
          <w:szCs w:val="18"/>
          <w:color w:val="auto"/>
        </w:rPr>
        <w:t>is dated 10 February 2025 and made</w:t>
      </w:r>
      <w:r>
        <w:rPr>
          <w:rFonts w:ascii="Times New Roman" w:cs="Times New Roman" w:eastAsia="Times New Roman" w:hAnsi="Times New Roman"/>
          <w:sz w:val="18"/>
          <w:szCs w:val="18"/>
          <w:b w:val="1"/>
          <w:bCs w:val="1"/>
          <w:color w:val="auto"/>
        </w:rPr>
        <w:t xml:space="preserve"> BETWEEN:</w:t>
      </w:r>
    </w:p>
    <w:p>
      <w:pPr>
        <w:spacing w:after="0" w:line="225"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LTD. </w:t>
      </w:r>
      <w:r>
        <w:rPr>
          <w:rFonts w:ascii="Times New Roman" w:cs="Times New Roman" w:eastAsia="Times New Roman" w:hAnsi="Times New Roman"/>
          <w:sz w:val="18"/>
          <w:szCs w:val="18"/>
          <w:color w:val="auto"/>
        </w:rPr>
        <w:t>as the Borrower;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ENTITIES LISTED IN SCHEDULE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guarantors (the</w:t>
      </w:r>
      <w:r>
        <w:rPr>
          <w:rFonts w:ascii="Times New Roman" w:cs="Times New Roman" w:eastAsia="Times New Roman" w:hAnsi="Times New Roman"/>
          <w:sz w:val="18"/>
          <w:szCs w:val="18"/>
          <w:b w:val="1"/>
          <w:bCs w:val="1"/>
          <w:color w:val="auto"/>
        </w:rPr>
        <w:t xml:space="preserve"> Guarantors);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GASLOG LNG SERVICES LTD. </w:t>
      </w:r>
      <w:r>
        <w:rPr>
          <w:rFonts w:ascii="Times New Roman" w:cs="Times New Roman" w:eastAsia="Times New Roman" w:hAnsi="Times New Roman"/>
          <w:sz w:val="18"/>
          <w:szCs w:val="18"/>
          <w:color w:val="auto"/>
        </w:rPr>
        <w:t>as manager (the</w:t>
      </w:r>
      <w:r>
        <w:rPr>
          <w:rFonts w:ascii="Times New Roman" w:cs="Times New Roman" w:eastAsia="Times New Roman" w:hAnsi="Times New Roman"/>
          <w:sz w:val="18"/>
          <w:szCs w:val="18"/>
          <w:b w:val="1"/>
          <w:bCs w:val="1"/>
          <w:color w:val="auto"/>
        </w:rPr>
        <w:t xml:space="preserve"> Manager);</w:t>
      </w:r>
    </w:p>
    <w:p>
      <w:pPr>
        <w:spacing w:after="0" w:line="225" w:lineRule="exact"/>
        <w:rPr>
          <w:rFonts w:ascii="Times New Roman" w:cs="Times New Roman" w:eastAsia="Times New Roman" w:hAnsi="Times New Roman"/>
          <w:sz w:val="18"/>
          <w:szCs w:val="18"/>
          <w:color w:val="auto"/>
        </w:rPr>
      </w:pPr>
    </w:p>
    <w:p>
      <w:pPr>
        <w:ind w:left="340" w:right="700" w:hanging="332"/>
        <w:spacing w:after="0" w:line="28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named in Part A of 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Arrangers, Lenders and Hedging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mandated lead arrangers (the </w:t>
      </w:r>
      <w:r>
        <w:rPr>
          <w:rFonts w:ascii="Times New Roman" w:cs="Times New Roman" w:eastAsia="Times New Roman" w:hAnsi="Times New Roman"/>
          <w:sz w:val="18"/>
          <w:szCs w:val="18"/>
          <w:b w:val="1"/>
          <w:bCs w:val="1"/>
          <w:color w:val="auto"/>
        </w:rPr>
        <w:t>Arrangers);</w:t>
      </w:r>
    </w:p>
    <w:p>
      <w:pPr>
        <w:spacing w:after="0" w:line="154" w:lineRule="exact"/>
        <w:rPr>
          <w:rFonts w:ascii="Times New Roman" w:cs="Times New Roman" w:eastAsia="Times New Roman" w:hAnsi="Times New Roman"/>
          <w:sz w:val="18"/>
          <w:szCs w:val="18"/>
          <w:color w:val="auto"/>
        </w:rPr>
      </w:pPr>
    </w:p>
    <w:p>
      <w:pPr>
        <w:ind w:left="340" w:right="3740" w:hanging="332"/>
        <w:spacing w:after="0" w:line="285"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ABN AMRO BANK N.V. </w:t>
      </w:r>
      <w:r>
        <w:rPr>
          <w:rFonts w:ascii="Times New Roman" w:cs="Times New Roman" w:eastAsia="Times New Roman" w:hAnsi="Times New Roman"/>
          <w:sz w:val="18"/>
          <w:szCs w:val="18"/>
          <w:color w:val="auto"/>
        </w:rPr>
        <w:t>as sustainability co-ordinator (the</w:t>
      </w:r>
      <w:r>
        <w:rPr>
          <w:rFonts w:ascii="Times New Roman" w:cs="Times New Roman" w:eastAsia="Times New Roman" w:hAnsi="Times New Roman"/>
          <w:sz w:val="18"/>
          <w:szCs w:val="18"/>
          <w:b w:val="1"/>
          <w:bCs w:val="1"/>
          <w:color w:val="auto"/>
        </w:rPr>
        <w:t xml:space="preserve"> Sustainability Co</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ordinator);</w:t>
      </w:r>
    </w:p>
    <w:p>
      <w:pPr>
        <w:spacing w:after="0" w:line="155" w:lineRule="exact"/>
        <w:rPr>
          <w:rFonts w:ascii="Times New Roman" w:cs="Times New Roman" w:eastAsia="Times New Roman" w:hAnsi="Times New Roman"/>
          <w:sz w:val="18"/>
          <w:szCs w:val="18"/>
          <w:color w:val="auto"/>
        </w:rPr>
      </w:pPr>
    </w:p>
    <w:p>
      <w:pPr>
        <w:ind w:left="340" w:right="560" w:hanging="332"/>
        <w:spacing w:after="0" w:line="285"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BNP PARIBAS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CITIBANK, N.A., LONDON BRANCH </w:t>
      </w:r>
      <w:r>
        <w:rPr>
          <w:rFonts w:ascii="Times New Roman" w:cs="Times New Roman" w:eastAsia="Times New Roman" w:hAnsi="Times New Roman"/>
          <w:sz w:val="18"/>
          <w:szCs w:val="18"/>
          <w:color w:val="auto"/>
        </w:rPr>
        <w:t>as global co</w:t>
      </w:r>
      <w:r>
        <w:rPr>
          <w:rFonts w:ascii="Arial" w:cs="Arial" w:eastAsia="Arial" w:hAnsi="Arial"/>
          <w:sz w:val="18"/>
          <w:szCs w:val="18"/>
          <w:color w:val="auto"/>
        </w:rPr>
        <w:t>­</w:t>
      </w:r>
      <w:r>
        <w:rPr>
          <w:rFonts w:ascii="Times New Roman" w:cs="Times New Roman" w:eastAsia="Times New Roman" w:hAnsi="Times New Roman"/>
          <w:sz w:val="18"/>
          <w:szCs w:val="18"/>
          <w:color w:val="auto"/>
        </w:rPr>
        <w:t>ordinators of the Finance Parties (whether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individually or together, the </w:t>
      </w:r>
      <w:r>
        <w:rPr>
          <w:rFonts w:ascii="Times New Roman" w:cs="Times New Roman" w:eastAsia="Times New Roman" w:hAnsi="Times New Roman"/>
          <w:sz w:val="18"/>
          <w:szCs w:val="18"/>
          <w:b w:val="1"/>
          <w:bCs w:val="1"/>
          <w:color w:val="auto"/>
        </w:rPr>
        <w:t>Global Co-ordinator);</w:t>
      </w:r>
    </w:p>
    <w:p>
      <w:pPr>
        <w:spacing w:after="0" w:line="155" w:lineRule="exact"/>
        <w:rPr>
          <w:rFonts w:ascii="Times New Roman" w:cs="Times New Roman" w:eastAsia="Times New Roman" w:hAnsi="Times New Roman"/>
          <w:sz w:val="18"/>
          <w:szCs w:val="18"/>
          <w:color w:val="auto"/>
        </w:rPr>
      </w:pPr>
    </w:p>
    <w:p>
      <w:pPr>
        <w:ind w:left="340" w:right="140" w:hanging="332"/>
        <w:spacing w:after="0" w:line="28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named in Part B of 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Arrangers, Lenders and Hedging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Lenders);</w:t>
      </w:r>
    </w:p>
    <w:p>
      <w:pPr>
        <w:spacing w:after="0" w:line="154" w:lineRule="exact"/>
        <w:rPr>
          <w:rFonts w:ascii="Times New Roman" w:cs="Times New Roman" w:eastAsia="Times New Roman" w:hAnsi="Times New Roman"/>
          <w:sz w:val="18"/>
          <w:szCs w:val="18"/>
          <w:color w:val="auto"/>
        </w:rPr>
      </w:pPr>
    </w:p>
    <w:p>
      <w:pPr>
        <w:ind w:left="340" w:right="80" w:hanging="332"/>
        <w:spacing w:after="0" w:line="286"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named in Part C of 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Arrangers, Lenders and Hedging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providers (the </w:t>
      </w:r>
      <w:r>
        <w:rPr>
          <w:rFonts w:ascii="Times New Roman" w:cs="Times New Roman" w:eastAsia="Times New Roman" w:hAnsi="Times New Roman"/>
          <w:sz w:val="18"/>
          <w:szCs w:val="18"/>
          <w:b w:val="1"/>
          <w:bCs w:val="1"/>
          <w:color w:val="auto"/>
        </w:rPr>
        <w:t>Hedging Providers);</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DNB BANK ASA, LONDON BRANCH </w:t>
      </w:r>
      <w:r>
        <w:rPr>
          <w:rFonts w:ascii="Times New Roman" w:cs="Times New Roman" w:eastAsia="Times New Roman" w:hAnsi="Times New Roman"/>
          <w:sz w:val="18"/>
          <w:szCs w:val="18"/>
          <w:color w:val="auto"/>
        </w:rPr>
        <w:t>as security trustee for and on behalf of the Finance Parties (the</w:t>
      </w:r>
      <w:r>
        <w:rPr>
          <w:rFonts w:ascii="Times New Roman" w:cs="Times New Roman" w:eastAsia="Times New Roman" w:hAnsi="Times New Roman"/>
          <w:sz w:val="18"/>
          <w:szCs w:val="18"/>
          <w:b w:val="1"/>
          <w:bCs w:val="1"/>
          <w:color w:val="auto"/>
        </w:rPr>
        <w:t xml:space="preserve"> Security Agent); </w:t>
      </w:r>
      <w:r>
        <w:rPr>
          <w:rFonts w:ascii="Times New Roman" w:cs="Times New Roman" w:eastAsia="Times New Roman" w:hAnsi="Times New Roman"/>
          <w:sz w:val="18"/>
          <w:szCs w:val="18"/>
          <w:color w:val="auto"/>
        </w:rPr>
        <w:t>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DNB BANK ASA, LONDON BRANCH </w:t>
      </w:r>
      <w:r>
        <w:rPr>
          <w:rFonts w:ascii="Times New Roman" w:cs="Times New Roman" w:eastAsia="Times New Roman" w:hAnsi="Times New Roman"/>
          <w:sz w:val="18"/>
          <w:szCs w:val="18"/>
          <w:color w:val="auto"/>
        </w:rPr>
        <w:t>as agent for and on behalf of certain of the other Finance Parties (the</w:t>
      </w:r>
      <w:r>
        <w:rPr>
          <w:rFonts w:ascii="Times New Roman" w:cs="Times New Roman" w:eastAsia="Times New Roman" w:hAnsi="Times New Roman"/>
          <w:sz w:val="18"/>
          <w:szCs w:val="18"/>
          <w:b w:val="1"/>
          <w:bCs w:val="1"/>
          <w:color w:val="auto"/>
        </w:rPr>
        <w:t xml:space="preser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left="340" w:hanging="332"/>
        <w:spacing w:after="0" w:line="278" w:lineRule="auto"/>
        <w:tabs>
          <w:tab w:leader="none" w:pos="3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is supplemental to a facility agreement dated 2 November 2023 (the </w:t>
      </w:r>
      <w:r>
        <w:rPr>
          <w:rFonts w:ascii="Times New Roman" w:cs="Times New Roman" w:eastAsia="Times New Roman" w:hAnsi="Times New Roman"/>
          <w:sz w:val="17"/>
          <w:szCs w:val="17"/>
          <w:b w:val="1"/>
          <w:bCs w:val="1"/>
          <w:color w:val="auto"/>
        </w:rPr>
        <w:t>Principal Agreement)</w:t>
      </w:r>
      <w:r>
        <w:rPr>
          <w:rFonts w:ascii="Times New Roman" w:cs="Times New Roman" w:eastAsia="Times New Roman" w:hAnsi="Times New Roman"/>
          <w:sz w:val="17"/>
          <w:szCs w:val="17"/>
          <w:color w:val="auto"/>
        </w:rPr>
        <w:t xml:space="preserve"> and made between, inter alios, (1) the Borrower, (2) the Guarantors and Gas-four Ltd. as guarantors, (3) the Arrangers, (4) the Agent, (5) the Security Agent,</w:t>
      </w:r>
    </w:p>
    <w:p>
      <w:pPr>
        <w:spacing w:after="0" w:line="1" w:lineRule="exact"/>
        <w:rPr>
          <w:rFonts w:ascii="Times New Roman" w:cs="Times New Roman" w:eastAsia="Times New Roman" w:hAnsi="Times New Roman"/>
          <w:sz w:val="17"/>
          <w:szCs w:val="17"/>
          <w:color w:val="auto"/>
        </w:rPr>
      </w:pPr>
    </w:p>
    <w:p>
      <w:pPr>
        <w:ind w:left="340" w:right="2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 the Lenders, (7) the Hedging Providers, (8) the Global Co-ordinators and (9) the Sustainability Co-ordinator, whereby the Lenders agreed to make available to the Borrower a reducing revolving loan facility of up to $2,800,000,000, upon the terms and conditions therein contained;</w:t>
      </w:r>
    </w:p>
    <w:p>
      <w:pPr>
        <w:spacing w:after="0" w:line="185" w:lineRule="exact"/>
        <w:rPr>
          <w:rFonts w:ascii="Times New Roman" w:cs="Times New Roman" w:eastAsia="Times New Roman" w:hAnsi="Times New Roman"/>
          <w:sz w:val="17"/>
          <w:szCs w:val="17"/>
          <w:color w:val="auto"/>
        </w:rPr>
      </w:pPr>
    </w:p>
    <w:p>
      <w:pPr>
        <w:ind w:left="340" w:right="36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deed of release dated 23 August 2024 and made between, inter alios, the Borrower and the Agent, the Lenders released the Owner of m.v. Gaslog Santiago and the Manager (but only with respect to such Ship) from all their respective obligations and liabilities under the Facility Agreement and the other Finance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3" w:right="1039" w:bottom="1440" w:gutter="0" w:footer="0" w:header="0"/>
        </w:sectPr>
      </w:pPr>
    </w:p>
    <w:bookmarkStart w:id="135" w:name="page136"/>
    <w:bookmarkEnd w:id="135"/>
    <w:p>
      <w:pPr>
        <w:jc w:val="both"/>
        <w:ind w:left="340" w:right="5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Request Letter (as defined below), the Borrower has requested the Lenders to provide their consent to extend the Final Reduction Date to the First Extended Final Reduction Date (as each such term is defined in the Principal Agreement, being 2 November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IT IS HEREBY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Defined expressions</w:t>
      </w:r>
    </w:p>
    <w:p>
      <w:pPr>
        <w:spacing w:after="0" w:line="229"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Words and expressions defined in the Principal Agreement shall unless the context otherwise requires or unless otherwise defined herein, have the same meanings when used in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Definitions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Agreement, unless the context otherwise requires:</w:t>
      </w:r>
    </w:p>
    <w:p>
      <w:pPr>
        <w:spacing w:after="0" w:line="221"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determined to be the Effective Date pursuant to clause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(Documents, evidence and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Schedule 3 </w:t>
      </w:r>
      <w:r>
        <w:rPr>
          <w:rFonts w:ascii="Times New Roman" w:cs="Times New Roman" w:eastAsia="Times New Roman" w:hAnsi="Times New Roman"/>
          <w:sz w:val="18"/>
          <w:szCs w:val="18"/>
          <w:i w:val="1"/>
          <w:iCs w:val="1"/>
          <w:color w:val="auto"/>
        </w:rPr>
        <w:t>(Documents and evidence required as conditions precedent).</w:t>
      </w:r>
    </w:p>
    <w:p>
      <w:pPr>
        <w:spacing w:after="0" w:line="155" w:lineRule="exact"/>
        <w:rPr>
          <w:sz w:val="20"/>
          <w:szCs w:val="20"/>
          <w:color w:val="auto"/>
        </w:rPr>
      </w:pPr>
    </w:p>
    <w:p>
      <w:pPr>
        <w:ind w:left="340"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Effective Date Notice </w:t>
      </w:r>
      <w:r>
        <w:rPr>
          <w:rFonts w:ascii="Times New Roman" w:cs="Times New Roman" w:eastAsia="Times New Roman" w:hAnsi="Times New Roman"/>
          <w:sz w:val="18"/>
          <w:szCs w:val="18"/>
          <w:color w:val="auto"/>
        </w:rPr>
        <w:t>means the notice to be signed and delivered to the Borrower by the Agent in accordance with clause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(Conditions) </w:t>
      </w:r>
      <w:r>
        <w:rPr>
          <w:rFonts w:ascii="Times New Roman" w:cs="Times New Roman" w:eastAsia="Times New Roman" w:hAnsi="Times New Roman"/>
          <w:sz w:val="18"/>
          <w:szCs w:val="18"/>
          <w:color w:val="auto"/>
        </w:rPr>
        <w:t>in the form set out in Schedule 4</w:t>
      </w:r>
      <w:r>
        <w:rPr>
          <w:rFonts w:ascii="Times New Roman" w:cs="Times New Roman" w:eastAsia="Times New Roman" w:hAnsi="Times New Roman"/>
          <w:sz w:val="18"/>
          <w:szCs w:val="18"/>
          <w:i w:val="1"/>
          <w:iCs w:val="1"/>
          <w:color w:val="auto"/>
        </w:rPr>
        <w:t xml:space="preserve"> (Form of Effective Date Notice).</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Facility Agreement </w:t>
      </w:r>
      <w:r>
        <w:rPr>
          <w:rFonts w:ascii="Times New Roman" w:cs="Times New Roman" w:eastAsia="Times New Roman" w:hAnsi="Times New Roman"/>
          <w:sz w:val="18"/>
          <w:szCs w:val="18"/>
          <w:color w:val="auto"/>
        </w:rPr>
        <w:t>means the Principal Agreement as amended and supplemented by this Agreement.</w:t>
      </w:r>
    </w:p>
    <w:p>
      <w:pPr>
        <w:spacing w:after="0" w:line="225" w:lineRule="exact"/>
        <w:rPr>
          <w:sz w:val="20"/>
          <w:szCs w:val="20"/>
          <w:color w:val="auto"/>
        </w:rPr>
      </w:pPr>
    </w:p>
    <w:p>
      <w:pP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First Priority Mortgage Addendum </w:t>
      </w:r>
      <w:r>
        <w:rPr>
          <w:rFonts w:ascii="Times New Roman" w:cs="Times New Roman" w:eastAsia="Times New Roman" w:hAnsi="Times New Roman"/>
          <w:sz w:val="18"/>
          <w:szCs w:val="18"/>
          <w:color w:val="auto"/>
        </w:rPr>
        <w:t>means the addendum made or (as the case may be) to be made between the relevant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Lenders in such form as the Agent may in its sole discretion require in respect of the first preferred Greek mortgage over the Relevant Ship.</w:t>
      </w:r>
    </w:p>
    <w:p>
      <w:pPr>
        <w:spacing w:after="0" w:line="171" w:lineRule="exact"/>
        <w:rPr>
          <w:sz w:val="20"/>
          <w:szCs w:val="20"/>
          <w:color w:val="auto"/>
        </w:rPr>
      </w:pPr>
    </w:p>
    <w:p>
      <w:pPr>
        <w:ind w:left="340"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Documents </w:t>
      </w:r>
      <w:r>
        <w:rPr>
          <w:rFonts w:ascii="Times New Roman" w:cs="Times New Roman" w:eastAsia="Times New Roman" w:hAnsi="Times New Roman"/>
          <w:sz w:val="18"/>
          <w:szCs w:val="18"/>
          <w:color w:val="auto"/>
        </w:rPr>
        <w:t>means, together, this Agreement, the First Priority Mortgage Addendum, the Second Priority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Addendum and any other document designated as such by the Agent and the Borrower.</w:t>
      </w:r>
    </w:p>
    <w:p>
      <w:pPr>
        <w:spacing w:after="0" w:line="155"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Relevant Parties </w:t>
      </w:r>
      <w:r>
        <w:rPr>
          <w:rFonts w:ascii="Times New Roman" w:cs="Times New Roman" w:eastAsia="Times New Roman" w:hAnsi="Times New Roman"/>
          <w:sz w:val="18"/>
          <w:szCs w:val="18"/>
          <w:color w:val="auto"/>
        </w:rPr>
        <w:t>means each of the Borrower, the Guarantors and the Manager or, where the context so requires or permits,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or all of them.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Relevant Ship means </w:t>
      </w:r>
      <w:r>
        <w:rPr>
          <w:rFonts w:ascii="Times New Roman" w:cs="Times New Roman" w:eastAsia="Times New Roman" w:hAnsi="Times New Roman"/>
          <w:sz w:val="18"/>
          <w:szCs w:val="18"/>
          <w:color w:val="auto"/>
        </w:rPr>
        <w:t>m.v.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Gaslog Warsaw.</w:t>
      </w:r>
    </w:p>
    <w:p>
      <w:pPr>
        <w:spacing w:after="0" w:line="225" w:lineRule="exact"/>
        <w:rPr>
          <w:sz w:val="20"/>
          <w:szCs w:val="20"/>
          <w:color w:val="auto"/>
        </w:rPr>
      </w:pPr>
    </w:p>
    <w:p>
      <w:pPr>
        <w:ind w:left="34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Request Letter </w:t>
      </w:r>
      <w:r>
        <w:rPr>
          <w:rFonts w:ascii="Times New Roman" w:cs="Times New Roman" w:eastAsia="Times New Roman" w:hAnsi="Times New Roman"/>
          <w:sz w:val="18"/>
          <w:szCs w:val="18"/>
          <w:color w:val="auto"/>
        </w:rPr>
        <w:t>means the business update and one year extension request letter dated November 2024 from the Borrower addressed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Agent, requesting their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consent to the arrangements contained in this Agreement.</w:t>
      </w:r>
    </w:p>
    <w:p>
      <w:pPr>
        <w:spacing w:after="0" w:line="147"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Priority Mortgage Addendum </w:t>
      </w:r>
      <w:r>
        <w:rPr>
          <w:rFonts w:ascii="Times New Roman" w:cs="Times New Roman" w:eastAsia="Times New Roman" w:hAnsi="Times New Roman"/>
          <w:sz w:val="18"/>
          <w:szCs w:val="18"/>
          <w:color w:val="auto"/>
        </w:rPr>
        <w:t>means the addendum made or (as the case may be) to be made between the relevant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36" w:name="page137"/>
    <w:bookmarkEnd w:id="136"/>
    <w:p>
      <w:pPr>
        <w:ind w:left="340" w:right="420"/>
        <w:spacing w:after="0" w:line="282" w:lineRule="auto"/>
        <w:rPr>
          <w:sz w:val="20"/>
          <w:szCs w:val="20"/>
          <w:color w:val="auto"/>
        </w:rPr>
      </w:pPr>
      <w:r>
        <w:rPr>
          <w:rFonts w:ascii="Times New Roman" w:cs="Times New Roman" w:eastAsia="Times New Roman" w:hAnsi="Times New Roman"/>
          <w:sz w:val="18"/>
          <w:szCs w:val="18"/>
          <w:color w:val="auto"/>
        </w:rPr>
        <w:t>Providers in such form as the Agent may in its sole discretion require in respect of the second priority Greek mortgage over the Relevant 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Interpretation of the Facility Agreement</w:t>
      </w:r>
    </w:p>
    <w:p>
      <w:pPr>
        <w:spacing w:after="0" w:line="228" w:lineRule="exact"/>
        <w:rPr>
          <w:sz w:val="20"/>
          <w:szCs w:val="20"/>
          <w:color w:val="auto"/>
        </w:rPr>
      </w:pPr>
    </w:p>
    <w:p>
      <w:pPr>
        <w:ind w:left="340" w:right="200"/>
        <w:spacing w:after="0" w:line="267" w:lineRule="auto"/>
        <w:rPr>
          <w:sz w:val="20"/>
          <w:szCs w:val="20"/>
          <w:color w:val="auto"/>
        </w:rPr>
      </w:pPr>
      <w:r>
        <w:rPr>
          <w:rFonts w:ascii="Times New Roman" w:cs="Times New Roman" w:eastAsia="Times New Roman" w:hAnsi="Times New Roman"/>
          <w:sz w:val="18"/>
          <w:szCs w:val="18"/>
          <w:color w:val="auto"/>
        </w:rPr>
        <w:t xml:space="preserve">References in the Principal Agreement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this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shall, with effect from the Effective Date and unless the context otherwise requires, be references to the Facility Agreement and words such as </w:t>
      </w:r>
      <w:r>
        <w:rPr>
          <w:rFonts w:ascii="Arial" w:cs="Arial" w:eastAsia="Arial" w:hAnsi="Arial"/>
          <w:sz w:val="18"/>
          <w:szCs w:val="18"/>
          <w:color w:val="auto"/>
        </w:rPr>
        <w:t>“</w:t>
      </w:r>
      <w:r>
        <w:rPr>
          <w:rFonts w:ascii="Times New Roman" w:cs="Times New Roman" w:eastAsia="Times New Roman" w:hAnsi="Times New Roman"/>
          <w:sz w:val="18"/>
          <w:szCs w:val="18"/>
          <w:color w:val="auto"/>
        </w:rPr>
        <w:t>herein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hereof</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hereunder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hereafter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hereby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w:t>
      </w:r>
      <w:r>
        <w:rPr>
          <w:rFonts w:ascii="Arial" w:cs="Arial" w:eastAsia="Arial" w:hAnsi="Arial"/>
          <w:sz w:val="18"/>
          <w:szCs w:val="18"/>
          <w:color w:val="auto"/>
        </w:rPr>
        <w:t>“</w:t>
      </w:r>
      <w:r>
        <w:rPr>
          <w:rFonts w:ascii="Times New Roman" w:cs="Times New Roman" w:eastAsia="Times New Roman" w:hAnsi="Times New Roman"/>
          <w:sz w:val="18"/>
          <w:szCs w:val="18"/>
          <w:color w:val="auto"/>
        </w:rPr>
        <w:t>hereto</w:t>
      </w:r>
      <w:r>
        <w:rPr>
          <w:rFonts w:ascii="Arial" w:cs="Arial" w:eastAsia="Arial" w:hAnsi="Arial"/>
          <w:sz w:val="18"/>
          <w:szCs w:val="18"/>
          <w:color w:val="auto"/>
        </w:rPr>
        <w:t>”</w:t>
      </w:r>
      <w:r>
        <w:rPr>
          <w:rFonts w:ascii="Times New Roman" w:cs="Times New Roman" w:eastAsia="Times New Roman" w:hAnsi="Times New Roman"/>
          <w:sz w:val="18"/>
          <w:szCs w:val="18"/>
          <w:color w:val="auto"/>
        </w:rPr>
        <w:t>, where they appear in the Principal Agreement, shall be construed accordingly.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Construction</w:t>
      </w:r>
    </w:p>
    <w:p>
      <w:pPr>
        <w:spacing w:after="0" w:line="227"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 xml:space="preserve">Clauses 1.2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xml:space="preserve"> 1.4 </w:t>
      </w:r>
      <w:r>
        <w:rPr>
          <w:rFonts w:ascii="Times New Roman" w:cs="Times New Roman" w:eastAsia="Times New Roman" w:hAnsi="Times New Roman"/>
          <w:sz w:val="18"/>
          <w:szCs w:val="18"/>
          <w:i w:val="1"/>
          <w:iCs w:val="1"/>
          <w:color w:val="auto"/>
        </w:rPr>
        <w:t>(Third party rights)</w:t>
      </w:r>
      <w:r>
        <w:rPr>
          <w:rFonts w:ascii="Times New Roman" w:cs="Times New Roman" w:eastAsia="Times New Roman" w:hAnsi="Times New Roman"/>
          <w:sz w:val="18"/>
          <w:szCs w:val="18"/>
          <w:color w:val="auto"/>
        </w:rPr>
        <w:t xml:space="preserve"> and 1.5 </w:t>
      </w:r>
      <w:r>
        <w:rPr>
          <w:rFonts w:ascii="Times New Roman" w:cs="Times New Roman" w:eastAsia="Times New Roman" w:hAnsi="Times New Roman"/>
          <w:sz w:val="18"/>
          <w:szCs w:val="18"/>
          <w:i w:val="1"/>
          <w:iCs w:val="1"/>
          <w:color w:val="auto"/>
        </w:rPr>
        <w:t>(Finance Documents)</w:t>
      </w:r>
      <w:r>
        <w:rPr>
          <w:rFonts w:ascii="Times New Roman" w:cs="Times New Roman" w:eastAsia="Times New Roman" w:hAnsi="Times New Roman"/>
          <w:sz w:val="18"/>
          <w:szCs w:val="18"/>
          <w:color w:val="auto"/>
        </w:rPr>
        <w:t xml:space="preserve"> of the Principal Agreement and any other provision of the Principal Agreement which, by its terms, purports to apply to all of the Finance Documents and/or any Obligor shall apply to this Agreement as if set out in it but with all necessary changes and as if references in the provision to Finance Documents referred to this Agreement. This Agreement is a Finance Document.</w:t>
      </w:r>
    </w:p>
    <w:p>
      <w:pPr>
        <w:spacing w:after="0" w:line="178" w:lineRule="exact"/>
        <w:rPr>
          <w:sz w:val="20"/>
          <w:szCs w:val="20"/>
          <w:color w:val="auto"/>
        </w:rPr>
      </w:pPr>
    </w:p>
    <w:p>
      <w:pPr>
        <w:ind w:right="7560" w:firstLine="8"/>
        <w:spacing w:after="0" w:line="503" w:lineRule="auto"/>
        <w:tabs>
          <w:tab w:leader="none" w:pos="32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of the Lenders 2.1 Agreement</w:t>
      </w: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 xml:space="preserve">The Finance Parties, relying upon the representations and warranties on the part of each of the Relevant Parties contained in clause 4 </w:t>
      </w: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agree with the Relevant Parties, subject to the terms and conditions of this Agreement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 but without prejudice to the generality of the foregoing, fulfilment on or before 31 March 2025 (or such later date as the Agent, acting on the instructions of the Majority Lenders, may agree) of the conditions contained in clause 5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and Schedule 3 </w:t>
      </w:r>
      <w:r>
        <w:rPr>
          <w:rFonts w:ascii="Times New Roman" w:cs="Times New Roman" w:eastAsia="Times New Roman" w:hAnsi="Times New Roman"/>
          <w:sz w:val="18"/>
          <w:szCs w:val="18"/>
          <w:i w:val="1"/>
          <w:iCs w:val="1"/>
          <w:color w:val="auto"/>
        </w:rPr>
        <w:t>(Documents and evidence required as conditions precedent),</w:t>
      </w:r>
      <w:r>
        <w:rPr>
          <w:rFonts w:ascii="Times New Roman" w:cs="Times New Roman" w:eastAsia="Times New Roman" w:hAnsi="Times New Roman"/>
          <w:sz w:val="18"/>
          <w:szCs w:val="18"/>
          <w:color w:val="auto"/>
        </w:rPr>
        <w:t xml:space="preserve"> with effect on and from the Effective Date, to extend the Final Reduction Date to the First Extended Final Reduction Date (as each such term is defined in the Principal Agreement, being 2 November 2029) in accordance with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 xml:space="preserve"> of the Facility Agreement.</w:t>
      </w:r>
    </w:p>
    <w:p>
      <w:pPr>
        <w:spacing w:after="0" w:line="185" w:lineRule="exact"/>
        <w:rPr>
          <w:sz w:val="20"/>
          <w:szCs w:val="20"/>
          <w:color w:val="auto"/>
        </w:rPr>
      </w:pPr>
    </w:p>
    <w:p>
      <w:pPr>
        <w:jc w:val="both"/>
        <w:ind w:right="6700" w:firstLine="8"/>
        <w:spacing w:after="0" w:line="503" w:lineRule="auto"/>
        <w:tabs>
          <w:tab w:leader="none" w:pos="324"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Principal Agreement 3.1 Amendments to Principal Agreement</w:t>
      </w: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Principal Agreement shall, with effect on and from the Effective Date, be (and it is hereby) amended so as to read in accordance with the following provisions (and the Principal Agreement (as so amended) will continue to be binding upon the Finance Parties and the Obligors in accordance with its terms as so amended):</w:t>
      </w:r>
    </w:p>
    <w:p>
      <w:pPr>
        <w:spacing w:after="0" w:line="172" w:lineRule="exact"/>
        <w:rPr>
          <w:sz w:val="20"/>
          <w:szCs w:val="20"/>
          <w:color w:val="auto"/>
        </w:rPr>
      </w:pPr>
    </w:p>
    <w:p>
      <w:pPr>
        <w:ind w:left="660" w:right="160" w:hanging="328"/>
        <w:spacing w:after="0" w:line="28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inserting the following new definitions of </w:t>
      </w:r>
      <w:r>
        <w:rPr>
          <w:rFonts w:ascii="Times New Roman" w:cs="Times New Roman" w:eastAsia="Times New Roman" w:hAnsi="Times New Roman"/>
          <w:sz w:val="18"/>
          <w:szCs w:val="18"/>
          <w:b w:val="1"/>
          <w:bCs w:val="1"/>
          <w:color w:val="auto"/>
        </w:rPr>
        <w:t>Effective Date, First Supplemental Agreement Original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Final 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in clause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Principal Agreement in the correct alphabetical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37" w:name="page138"/>
    <w:bookmarkEnd w:id="137"/>
    <w:p>
      <w:pPr>
        <w:ind w:left="328"/>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Effective Date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has the meaning given to</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Effective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the First Supplemental Agreement.</w:t>
      </w:r>
    </w:p>
    <w:p>
      <w:pPr>
        <w:spacing w:after="0" w:line="224" w:lineRule="exact"/>
        <w:rPr>
          <w:sz w:val="20"/>
          <w:szCs w:val="20"/>
          <w:color w:val="auto"/>
        </w:rPr>
      </w:pPr>
    </w:p>
    <w:p>
      <w:pPr>
        <w:ind w:left="328"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Supplemental Agreement </w:t>
      </w:r>
      <w:r>
        <w:rPr>
          <w:rFonts w:ascii="Times New Roman" w:cs="Times New Roman" w:eastAsia="Times New Roman" w:hAnsi="Times New Roman"/>
          <w:sz w:val="18"/>
          <w:szCs w:val="18"/>
          <w:color w:val="auto"/>
        </w:rPr>
        <w:t>means the agreement dated 10 February 2025 made between (inter alios)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Guarantors, the Manager and the Finance Parties, supplemental to this Agreement.</w:t>
      </w:r>
    </w:p>
    <w:p>
      <w:pPr>
        <w:spacing w:after="0" w:line="155" w:lineRule="exact"/>
        <w:rPr>
          <w:sz w:val="20"/>
          <w:szCs w:val="20"/>
          <w:color w:val="auto"/>
        </w:rPr>
      </w:pPr>
    </w:p>
    <w:p>
      <w:pPr>
        <w:ind w:left="328" w:right="4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Original Final Reduction Date </w:t>
      </w:r>
      <w:r>
        <w:rPr>
          <w:rFonts w:ascii="Times New Roman" w:cs="Times New Roman" w:eastAsia="Times New Roman" w:hAnsi="Times New Roman"/>
          <w:sz w:val="18"/>
          <w:szCs w:val="18"/>
          <w:color w:val="auto"/>
        </w:rPr>
        <w:t>means, subject to clause 40.8 (</w:t>
      </w:r>
      <w:r>
        <w:rPr>
          <w:rFonts w:ascii="Times New Roman" w:cs="Times New Roman" w:eastAsia="Times New Roman" w:hAnsi="Times New Roman"/>
          <w:sz w:val="18"/>
          <w:szCs w:val="18"/>
          <w:i w:val="1"/>
          <w:iCs w:val="1"/>
          <w:color w:val="auto"/>
        </w:rPr>
        <w:t>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clause 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2028.</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328" w:hanging="328"/>
        <w:spacing w:after="0" w:line="286"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definition of </w:t>
      </w:r>
      <w:r>
        <w:rPr>
          <w:rFonts w:ascii="Times New Roman" w:cs="Times New Roman" w:eastAsia="Times New Roman" w:hAnsi="Times New Roman"/>
          <w:sz w:val="18"/>
          <w:szCs w:val="18"/>
          <w:b w:val="1"/>
          <w:bCs w:val="1"/>
          <w:color w:val="auto"/>
        </w:rPr>
        <w:t>Final Reduction Date</w:t>
      </w:r>
      <w:r>
        <w:rPr>
          <w:rFonts w:ascii="Times New Roman" w:cs="Times New Roman" w:eastAsia="Times New Roman" w:hAnsi="Times New Roman"/>
          <w:sz w:val="18"/>
          <w:szCs w:val="18"/>
          <w:color w:val="auto"/>
        </w:rPr>
        <w:t xml:space="preserv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 in its entirety and by inserting in its place the following new definition of </w:t>
      </w:r>
      <w:r>
        <w:rPr>
          <w:rFonts w:ascii="Times New Roman" w:cs="Times New Roman" w:eastAsia="Times New Roman" w:hAnsi="Times New Roman"/>
          <w:sz w:val="18"/>
          <w:szCs w:val="18"/>
          <w:b w:val="1"/>
          <w:bCs w:val="1"/>
          <w:color w:val="auto"/>
        </w:rPr>
        <w:t>Final Reduction Date</w:t>
      </w:r>
      <w:r>
        <w:rPr>
          <w:rFonts w:ascii="Times New Roman" w:cs="Times New Roman" w:eastAsia="Times New Roman" w:hAnsi="Times New Roman"/>
          <w:sz w:val="18"/>
          <w:szCs w:val="18"/>
          <w:color w:val="auto"/>
        </w:rPr>
        <w:t xml:space="preserve"> respectively:</w:t>
      </w:r>
    </w:p>
    <w:p>
      <w:pPr>
        <w:spacing w:after="0" w:line="154"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Final Reduction Date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means, subject to clause 40.8 (Business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Days)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 clause 6.4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(Extension options),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 November 2029.</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328" w:right="240" w:hanging="328"/>
        <w:spacing w:after="0" w:line="268"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definition of </w:t>
      </w:r>
      <w:r>
        <w:rPr>
          <w:rFonts w:ascii="Times New Roman" w:cs="Times New Roman" w:eastAsia="Times New Roman" w:hAnsi="Times New Roman"/>
          <w:sz w:val="18"/>
          <w:szCs w:val="18"/>
          <w:b w:val="1"/>
          <w:bCs w:val="1"/>
          <w:color w:val="auto"/>
        </w:rPr>
        <w:t>First Extended Final Reduction Date</w:t>
      </w:r>
      <w:r>
        <w:rPr>
          <w:rFonts w:ascii="Times New Roman" w:cs="Times New Roman" w:eastAsia="Times New Roman" w:hAnsi="Times New Roman"/>
          <w:sz w:val="18"/>
          <w:szCs w:val="18"/>
          <w:color w:val="auto"/>
        </w:rPr>
        <w:t xml:space="preserv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 in its entirety and by inserting in its place the following new definition of </w:t>
      </w:r>
      <w:r>
        <w:rPr>
          <w:rFonts w:ascii="Times New Roman" w:cs="Times New Roman" w:eastAsia="Times New Roman" w:hAnsi="Times New Roman"/>
          <w:sz w:val="18"/>
          <w:szCs w:val="18"/>
          <w:b w:val="1"/>
          <w:bCs w:val="1"/>
          <w:color w:val="auto"/>
        </w:rPr>
        <w:t>First Extended Final Reduction Date</w:t>
      </w:r>
      <w:r>
        <w:rPr>
          <w:rFonts w:ascii="Times New Roman" w:cs="Times New Roman" w:eastAsia="Times New Roman" w:hAnsi="Times New Roman"/>
          <w:sz w:val="18"/>
          <w:szCs w:val="18"/>
          <w:color w:val="auto"/>
        </w:rPr>
        <w:t xml:space="preserve"> respectively:</w:t>
      </w:r>
    </w:p>
    <w:p>
      <w:pPr>
        <w:spacing w:after="0" w:line="170" w:lineRule="exact"/>
        <w:rPr>
          <w:rFonts w:ascii="Times New Roman" w:cs="Times New Roman" w:eastAsia="Times New Roman" w:hAnsi="Times New Roman"/>
          <w:sz w:val="18"/>
          <w:szCs w:val="18"/>
          <w:color w:val="auto"/>
        </w:rPr>
      </w:pPr>
    </w:p>
    <w:p>
      <w:pPr>
        <w:ind w:left="328" w:right="120"/>
        <w:spacing w:after="0" w:line="289"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First Extended Final Reduction Date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means, subject to clause 40.8</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(Business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Days) and clause 6.4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(Extension options),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date falling 12 Months after the Original Final Reduction Date.</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328" w:right="480" w:hanging="328"/>
        <w:spacing w:after="0" w:line="286"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definition of </w:t>
      </w:r>
      <w:r>
        <w:rPr>
          <w:rFonts w:ascii="Times New Roman" w:cs="Times New Roman" w:eastAsia="Times New Roman" w:hAnsi="Times New Roman"/>
          <w:sz w:val="18"/>
          <w:szCs w:val="18"/>
          <w:b w:val="1"/>
          <w:bCs w:val="1"/>
          <w:color w:val="auto"/>
        </w:rPr>
        <w:t>First Extension Option</w:t>
      </w:r>
      <w:r>
        <w:rPr>
          <w:rFonts w:ascii="Times New Roman" w:cs="Times New Roman" w:eastAsia="Times New Roman" w:hAnsi="Times New Roman"/>
          <w:sz w:val="18"/>
          <w:szCs w:val="18"/>
          <w:color w:val="auto"/>
        </w:rPr>
        <w:t xml:space="preserv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 in its entirety and by inserting in its place the following new definition of </w:t>
      </w:r>
      <w:r>
        <w:rPr>
          <w:rFonts w:ascii="Times New Roman" w:cs="Times New Roman" w:eastAsia="Times New Roman" w:hAnsi="Times New Roman"/>
          <w:sz w:val="18"/>
          <w:szCs w:val="18"/>
          <w:b w:val="1"/>
          <w:bCs w:val="1"/>
          <w:color w:val="auto"/>
        </w:rPr>
        <w:t>First Extension Option</w:t>
      </w:r>
      <w:r>
        <w:rPr>
          <w:rFonts w:ascii="Times New Roman" w:cs="Times New Roman" w:eastAsia="Times New Roman" w:hAnsi="Times New Roman"/>
          <w:sz w:val="18"/>
          <w:szCs w:val="18"/>
          <w:color w:val="auto"/>
        </w:rPr>
        <w:t xml:space="preserve"> respectively:</w:t>
      </w:r>
    </w:p>
    <w:p>
      <w:pPr>
        <w:spacing w:after="0" w:line="154" w:lineRule="exact"/>
        <w:rPr>
          <w:rFonts w:ascii="Times New Roman" w:cs="Times New Roman" w:eastAsia="Times New Roman" w:hAnsi="Times New Roman"/>
          <w:sz w:val="18"/>
          <w:szCs w:val="18"/>
          <w:color w:val="auto"/>
        </w:rPr>
      </w:pPr>
    </w:p>
    <w:p>
      <w:pPr>
        <w:ind w:left="328" w:right="180"/>
        <w:spacing w:after="0" w:line="289"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First Extension Option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means the option to extend the Original Final Reduction Date by a period of 12 Months referred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xml:space="preserve">and in accordance with, clause 6.4 </w:t>
      </w:r>
      <w:r>
        <w:rPr>
          <w:rFonts w:ascii="Times New Roman" w:cs="Times New Roman" w:eastAsia="Times New Roman" w:hAnsi="Times New Roman"/>
          <w:sz w:val="18"/>
          <w:szCs w:val="18"/>
          <w:i w:val="1"/>
          <w:iCs w:val="1"/>
          <w:color w:val="auto"/>
        </w:rPr>
        <w:t>(Extension options).</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w:t>
      </w:r>
    </w:p>
    <w:p>
      <w:pPr>
        <w:spacing w:after="0" w:line="147" w:lineRule="exact"/>
        <w:rPr>
          <w:rFonts w:ascii="Times New Roman" w:cs="Times New Roman" w:eastAsia="Times New Roman" w:hAnsi="Times New Roman"/>
          <w:sz w:val="18"/>
          <w:szCs w:val="18"/>
          <w:color w:val="auto"/>
        </w:rPr>
      </w:pPr>
    </w:p>
    <w:p>
      <w:pPr>
        <w:ind w:left="328" w:right="60" w:hanging="328"/>
        <w:spacing w:after="0" w:line="268"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definition of </w:t>
      </w:r>
      <w:r>
        <w:rPr>
          <w:rFonts w:ascii="Times New Roman" w:cs="Times New Roman" w:eastAsia="Times New Roman" w:hAnsi="Times New Roman"/>
          <w:sz w:val="18"/>
          <w:szCs w:val="18"/>
          <w:b w:val="1"/>
          <w:bCs w:val="1"/>
          <w:color w:val="auto"/>
        </w:rPr>
        <w:t>Second Extended Final Reduction Date</w:t>
      </w:r>
      <w:r>
        <w:rPr>
          <w:rFonts w:ascii="Times New Roman" w:cs="Times New Roman" w:eastAsia="Times New Roman" w:hAnsi="Times New Roman"/>
          <w:sz w:val="18"/>
          <w:szCs w:val="18"/>
          <w:color w:val="auto"/>
        </w:rPr>
        <w:t xml:space="preserv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 in its entirety and by inserting in its place the following new definition of </w:t>
      </w:r>
      <w:r>
        <w:rPr>
          <w:rFonts w:ascii="Times New Roman" w:cs="Times New Roman" w:eastAsia="Times New Roman" w:hAnsi="Times New Roman"/>
          <w:sz w:val="18"/>
          <w:szCs w:val="18"/>
          <w:b w:val="1"/>
          <w:bCs w:val="1"/>
          <w:color w:val="auto"/>
        </w:rPr>
        <w:t>Second Extended Final Reduction Date</w:t>
      </w:r>
      <w:r>
        <w:rPr>
          <w:rFonts w:ascii="Times New Roman" w:cs="Times New Roman" w:eastAsia="Times New Roman" w:hAnsi="Times New Roman"/>
          <w:sz w:val="18"/>
          <w:szCs w:val="18"/>
          <w:color w:val="auto"/>
        </w:rPr>
        <w:t xml:space="preserve"> respectively:</w:t>
      </w:r>
    </w:p>
    <w:p>
      <w:pPr>
        <w:spacing w:after="0" w:line="170" w:lineRule="exact"/>
        <w:rPr>
          <w:rFonts w:ascii="Times New Roman" w:cs="Times New Roman" w:eastAsia="Times New Roman" w:hAnsi="Times New Roman"/>
          <w:sz w:val="18"/>
          <w:szCs w:val="18"/>
          <w:color w:val="auto"/>
        </w:rPr>
      </w:pPr>
    </w:p>
    <w:p>
      <w:pPr>
        <w:ind w:left="328" w:right="200"/>
        <w:spacing w:after="0" w:line="289" w:lineRule="auto"/>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Second Extended Final Reduction Date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means, subject to clause 40.8 (Business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Days)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 clause 6.4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i w:val="1"/>
          <w:iCs w:val="1"/>
          <w:color w:val="auto"/>
        </w:rPr>
        <w:t>(Extension options),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date falling 24 Months after the Original Final Reduction Date.</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47" w:lineRule="exact"/>
        <w:rPr>
          <w:rFonts w:ascii="Times New Roman" w:cs="Times New Roman" w:eastAsia="Times New Roman" w:hAnsi="Times New Roman"/>
          <w:sz w:val="18"/>
          <w:szCs w:val="18"/>
          <w:color w:val="auto"/>
        </w:rPr>
      </w:pPr>
    </w:p>
    <w:p>
      <w:pPr>
        <w:ind w:left="328" w:right="300" w:hanging="328"/>
        <w:spacing w:after="0" w:line="286" w:lineRule="auto"/>
        <w:tabs>
          <w:tab w:leader="none" w:pos="3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definition of </w:t>
      </w:r>
      <w:r>
        <w:rPr>
          <w:rFonts w:ascii="Times New Roman" w:cs="Times New Roman" w:eastAsia="Times New Roman" w:hAnsi="Times New Roman"/>
          <w:sz w:val="18"/>
          <w:szCs w:val="18"/>
          <w:b w:val="1"/>
          <w:bCs w:val="1"/>
          <w:color w:val="auto"/>
        </w:rPr>
        <w:t>Second Extension Option</w:t>
      </w:r>
      <w:r>
        <w:rPr>
          <w:rFonts w:ascii="Times New Roman" w:cs="Times New Roman" w:eastAsia="Times New Roman" w:hAnsi="Times New Roman"/>
          <w:sz w:val="18"/>
          <w:szCs w:val="18"/>
          <w:color w:val="auto"/>
        </w:rPr>
        <w:t xml:space="preserve">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 in its entirety and by inserting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8"/>
          </w:cols>
          <w:pgMar w:left="1312" w:top="873" w:right="1039" w:bottom="1440" w:gutter="0" w:footer="0" w:header="0"/>
        </w:sectPr>
      </w:pPr>
    </w:p>
    <w:bookmarkStart w:id="138" w:name="page139"/>
    <w:bookmarkEnd w:id="138"/>
    <w:p>
      <w:pPr>
        <w:ind w:left="328"/>
        <w:spacing w:after="0"/>
        <w:rPr>
          <w:sz w:val="20"/>
          <w:szCs w:val="20"/>
          <w:color w:val="auto"/>
        </w:rPr>
      </w:pPr>
      <w:r>
        <w:rPr>
          <w:rFonts w:ascii="Times New Roman" w:cs="Times New Roman" w:eastAsia="Times New Roman" w:hAnsi="Times New Roman"/>
          <w:sz w:val="18"/>
          <w:szCs w:val="18"/>
          <w:color w:val="auto"/>
        </w:rPr>
        <w:t xml:space="preserve">in its place the following new definition of </w:t>
      </w:r>
      <w:r>
        <w:rPr>
          <w:rFonts w:ascii="Times New Roman" w:cs="Times New Roman" w:eastAsia="Times New Roman" w:hAnsi="Times New Roman"/>
          <w:sz w:val="18"/>
          <w:szCs w:val="18"/>
          <w:b w:val="1"/>
          <w:bCs w:val="1"/>
          <w:color w:val="auto"/>
        </w:rPr>
        <w:t>Second Extension Option</w:t>
      </w:r>
      <w:r>
        <w:rPr>
          <w:rFonts w:ascii="Times New Roman" w:cs="Times New Roman" w:eastAsia="Times New Roman" w:hAnsi="Times New Roman"/>
          <w:sz w:val="18"/>
          <w:szCs w:val="18"/>
          <w:color w:val="auto"/>
        </w:rPr>
        <w:t xml:space="preserve"> respectively:</w:t>
      </w:r>
    </w:p>
    <w:p>
      <w:pPr>
        <w:spacing w:after="0" w:line="225" w:lineRule="exact"/>
        <w:rPr>
          <w:sz w:val="20"/>
          <w:szCs w:val="20"/>
          <w:color w:val="auto"/>
        </w:rPr>
      </w:pPr>
    </w:p>
    <w:p>
      <w:pPr>
        <w:ind w:left="328" w:right="20"/>
        <w:spacing w:after="0" w:line="289" w:lineRule="auto"/>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Second Extension Option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means the option to extend the Original Final Reduction Date by a period of 24 Months referred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 xml:space="preserve">and in accordance with, clause 6.4 </w:t>
      </w:r>
      <w:r>
        <w:rPr>
          <w:rFonts w:ascii="Times New Roman" w:cs="Times New Roman" w:eastAsia="Times New Roman" w:hAnsi="Times New Roman"/>
          <w:sz w:val="18"/>
          <w:szCs w:val="18"/>
          <w:i w:val="1"/>
          <w:iCs w:val="1"/>
          <w:color w:val="auto"/>
        </w:rPr>
        <w:t>(Extension options).</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w:t>
      </w:r>
    </w:p>
    <w:p>
      <w:pPr>
        <w:spacing w:after="0" w:line="151" w:lineRule="exact"/>
        <w:rPr>
          <w:sz w:val="20"/>
          <w:szCs w:val="20"/>
          <w:color w:val="auto"/>
        </w:rPr>
      </w:pPr>
    </w:p>
    <w:p>
      <w:pPr>
        <w:ind w:left="328" w:right="460" w:hanging="328"/>
        <w:spacing w:after="0" w:line="281" w:lineRule="auto"/>
        <w:tabs>
          <w:tab w:leader="none" w:pos="3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inserting the words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the First Supplemental Agreement,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after the words </w:t>
      </w:r>
      <w:r>
        <w:rPr>
          <w:rFonts w:ascii="Arial" w:cs="Arial" w:eastAsia="Arial" w:hAnsi="Arial"/>
          <w:sz w:val="18"/>
          <w:szCs w:val="18"/>
          <w:color w:val="auto"/>
        </w:rPr>
        <w:t>“</w:t>
      </w:r>
      <w:r>
        <w:rPr>
          <w:rFonts w:ascii="Times New Roman" w:cs="Times New Roman" w:eastAsia="Times New Roman" w:hAnsi="Times New Roman"/>
          <w:sz w:val="18"/>
          <w:szCs w:val="18"/>
          <w:color w:val="auto"/>
        </w:rPr>
        <w:t>the Security Documents,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the definition of Finance Documents in clause 1.1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xml:space="preserve"> of the Principal Agreement;</w:t>
      </w:r>
    </w:p>
    <w:p>
      <w:pPr>
        <w:spacing w:after="0" w:line="160" w:lineRule="exact"/>
        <w:rPr>
          <w:rFonts w:ascii="Times New Roman" w:cs="Times New Roman" w:eastAsia="Times New Roman" w:hAnsi="Times New Roman"/>
          <w:sz w:val="18"/>
          <w:szCs w:val="18"/>
          <w:color w:val="auto"/>
        </w:rPr>
      </w:pPr>
    </w:p>
    <w:p>
      <w:pPr>
        <w:ind w:left="328" w:right="640" w:hanging="328"/>
        <w:spacing w:after="0" w:line="283" w:lineRule="auto"/>
        <w:tabs>
          <w:tab w:leader="none" w:pos="3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penultimate line (namely, </w:t>
      </w:r>
      <w:r>
        <w:rPr>
          <w:rFonts w:ascii="Arial" w:cs="Arial" w:eastAsia="Arial" w:hAnsi="Arial"/>
          <w:sz w:val="18"/>
          <w:szCs w:val="18"/>
          <w:color w:val="auto"/>
        </w:rPr>
        <w:t>“</w:t>
      </w:r>
      <w:r>
        <w:rPr>
          <w:rFonts w:ascii="Times New Roman" w:cs="Times New Roman" w:eastAsia="Times New Roman" w:hAnsi="Times New Roman"/>
          <w:sz w:val="18"/>
          <w:szCs w:val="18"/>
          <w:color w:val="auto"/>
        </w:rPr>
        <w:t>Twentieth 1,938,939, 966.15</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from the table set out in clause 6.2 </w:t>
      </w:r>
      <w:r>
        <w:rPr>
          <w:rFonts w:ascii="Times New Roman" w:cs="Times New Roman" w:eastAsia="Times New Roman" w:hAnsi="Times New Roman"/>
          <w:sz w:val="18"/>
          <w:szCs w:val="18"/>
          <w:i w:val="1"/>
          <w:iCs w:val="1"/>
          <w:color w:val="auto"/>
        </w:rPr>
        <w:t>(Scheduled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reduction of Facility) </w:t>
      </w:r>
      <w:r>
        <w:rPr>
          <w:rFonts w:ascii="Times New Roman" w:cs="Times New Roman" w:eastAsia="Times New Roman" w:hAnsi="Times New Roman"/>
          <w:sz w:val="18"/>
          <w:szCs w:val="18"/>
          <w:color w:val="auto"/>
        </w:rPr>
        <w:t>of the Principal Agreement and inserting in its place the following:</w:t>
      </w:r>
    </w:p>
    <w:p>
      <w:pPr>
        <w:spacing w:after="0" w:line="173" w:lineRule="exact"/>
        <w:rPr>
          <w:sz w:val="20"/>
          <w:szCs w:val="20"/>
          <w:color w:val="auto"/>
        </w:rPr>
      </w:pPr>
    </w:p>
    <w:tbl>
      <w:tblPr>
        <w:tblLayout w:type="fixed"/>
        <w:tblInd w:w="1678" w:type="dxa"/>
        <w:tblCellMar>
          <w:top w:w="0" w:type="dxa"/>
          <w:left w:w="0" w:type="dxa"/>
          <w:bottom w:w="0" w:type="dxa"/>
          <w:right w:w="0" w:type="dxa"/>
        </w:tblCellMar>
      </w:tblPr>
      <w:tr>
        <w:trPr>
          <w:trHeight w:val="252"/>
        </w:trPr>
        <w:tc>
          <w:tcPr>
            <w:tcW w:w="32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7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200" w:type="dxa"/>
            <w:vAlign w:val="bottom"/>
            <w:tcBorders>
              <w:left w:val="single" w:sz="8" w:color="auto"/>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r>
      <w:tr>
        <w:trPr>
          <w:trHeight w:val="22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Twentieth</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45,318,949.15</w:t>
            </w:r>
          </w:p>
        </w:tc>
      </w:tr>
      <w:tr>
        <w:trPr>
          <w:trHeight w:val="36"/>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22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Twenty-First</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45,318,949.15</w:t>
            </w:r>
          </w:p>
        </w:tc>
      </w:tr>
      <w:tr>
        <w:trPr>
          <w:trHeight w:val="36"/>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22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Twenty-Second</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45,318,949.15</w:t>
            </w:r>
          </w:p>
        </w:tc>
      </w:tr>
      <w:tr>
        <w:trPr>
          <w:trHeight w:val="36"/>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22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Twenty-Third</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45,318,949.15</w:t>
            </w:r>
          </w:p>
        </w:tc>
      </w:tr>
      <w:tr>
        <w:trPr>
          <w:trHeight w:val="36"/>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r>
        <w:trPr>
          <w:trHeight w:val="228"/>
        </w:trPr>
        <w:tc>
          <w:tcPr>
            <w:tcW w:w="32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Twenty-Fourth</w:t>
            </w:r>
          </w:p>
        </w:tc>
        <w:tc>
          <w:tcPr>
            <w:tcW w:w="27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1,757,664,169.55</w:t>
            </w:r>
          </w:p>
        </w:tc>
      </w:tr>
      <w:tr>
        <w:trPr>
          <w:trHeight w:val="36"/>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r>
    </w:tbl>
    <w:p>
      <w:pPr>
        <w:spacing w:after="0" w:line="196" w:lineRule="exact"/>
        <w:rPr>
          <w:sz w:val="20"/>
          <w:szCs w:val="20"/>
          <w:color w:val="auto"/>
        </w:rPr>
      </w:pPr>
    </w:p>
    <w:p>
      <w:pPr>
        <w:ind w:left="328" w:right="460" w:hanging="328"/>
        <w:spacing w:after="0" w:line="284" w:lineRule="auto"/>
        <w:tabs>
          <w:tab w:leader="none" w:pos="3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deleting the existing clause 6.4 </w:t>
      </w:r>
      <w:r>
        <w:rPr>
          <w:rFonts w:ascii="Times New Roman" w:cs="Times New Roman" w:eastAsia="Times New Roman" w:hAnsi="Times New Roman"/>
          <w:sz w:val="18"/>
          <w:szCs w:val="18"/>
          <w:i w:val="1"/>
          <w:iCs w:val="1"/>
          <w:color w:val="auto"/>
        </w:rPr>
        <w:t>(Extension options)</w:t>
      </w:r>
      <w:r>
        <w:rPr>
          <w:rFonts w:ascii="Times New Roman" w:cs="Times New Roman" w:eastAsia="Times New Roman" w:hAnsi="Times New Roman"/>
          <w:sz w:val="18"/>
          <w:szCs w:val="18"/>
          <w:color w:val="auto"/>
        </w:rPr>
        <w:t xml:space="preserve"> of the Principal Agreement and replacing it with the following new clause 6.4 </w:t>
      </w:r>
      <w:r>
        <w:rPr>
          <w:rFonts w:ascii="Times New Roman" w:cs="Times New Roman" w:eastAsia="Times New Roman" w:hAnsi="Times New Roman"/>
          <w:sz w:val="18"/>
          <w:szCs w:val="18"/>
          <w:i w:val="1"/>
          <w:iCs w:val="1"/>
          <w:color w:val="auto"/>
        </w:rPr>
        <w:t>(Extension options):</w:t>
      </w:r>
    </w:p>
    <w:p>
      <w:pPr>
        <w:spacing w:after="0" w:line="15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6.4 Extension options</w:t>
      </w:r>
    </w:p>
    <w:p>
      <w:pPr>
        <w:spacing w:after="0" w:line="224" w:lineRule="exact"/>
        <w:rPr>
          <w:rFonts w:ascii="Times New Roman" w:cs="Times New Roman" w:eastAsia="Times New Roman" w:hAnsi="Times New Roman"/>
          <w:sz w:val="18"/>
          <w:szCs w:val="18"/>
          <w:color w:val="auto"/>
        </w:rPr>
      </w:pPr>
    </w:p>
    <w:p>
      <w:pPr>
        <w:ind w:left="648" w:right="120" w:hanging="324"/>
        <w:spacing w:after="0" w:line="268" w:lineRule="auto"/>
        <w:tabs>
          <w:tab w:leader="none" w:pos="6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request by written notice to the Agent (the </w:t>
      </w:r>
      <w:r>
        <w:rPr>
          <w:rFonts w:ascii="Times New Roman" w:cs="Times New Roman" w:eastAsia="Times New Roman" w:hAnsi="Times New Roman"/>
          <w:sz w:val="18"/>
          <w:szCs w:val="18"/>
          <w:b w:val="1"/>
          <w:bCs w:val="1"/>
          <w:color w:val="auto"/>
        </w:rPr>
        <w:t>First Extension Request)</w:t>
      </w:r>
      <w:r>
        <w:rPr>
          <w:rFonts w:ascii="Times New Roman" w:cs="Times New Roman" w:eastAsia="Times New Roman" w:hAnsi="Times New Roman"/>
          <w:sz w:val="18"/>
          <w:szCs w:val="18"/>
          <w:color w:val="auto"/>
        </w:rPr>
        <w:t xml:space="preserve"> at any time between the dates falling (i) 12 Months from the date of this Agreement and (ii) 120 days prior to the Original Final Reduction Date, that the Lenders agree to extend the Original Final Reduction Date to the First Extended Final Reduction Date.</w:t>
      </w:r>
    </w:p>
    <w:p>
      <w:pPr>
        <w:spacing w:after="0" w:line="174" w:lineRule="exact"/>
        <w:rPr>
          <w:rFonts w:ascii="Times New Roman" w:cs="Times New Roman" w:eastAsia="Times New Roman" w:hAnsi="Times New Roman"/>
          <w:sz w:val="18"/>
          <w:szCs w:val="18"/>
          <w:color w:val="auto"/>
        </w:rPr>
      </w:pPr>
    </w:p>
    <w:p>
      <w:pPr>
        <w:ind w:left="648" w:hanging="324"/>
        <w:spacing w:after="0" w:line="258" w:lineRule="auto"/>
        <w:tabs>
          <w:tab w:leader="none" w:pos="6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extension referred to in paragraph (a) above has been granted by at least one Lender, the Borrower may request by written notice to the Agent (the </w:t>
      </w:r>
      <w:r>
        <w:rPr>
          <w:rFonts w:ascii="Times New Roman" w:cs="Times New Roman" w:eastAsia="Times New Roman" w:hAnsi="Times New Roman"/>
          <w:sz w:val="18"/>
          <w:szCs w:val="18"/>
          <w:b w:val="1"/>
          <w:bCs w:val="1"/>
          <w:color w:val="auto"/>
        </w:rPr>
        <w:t>Second Extension Request</w:t>
      </w:r>
      <w:r>
        <w:rPr>
          <w:rFonts w:ascii="Times New Roman" w:cs="Times New Roman" w:eastAsia="Times New Roman" w:hAnsi="Times New Roman"/>
          <w:sz w:val="18"/>
          <w:szCs w:val="18"/>
          <w:color w:val="auto"/>
        </w:rPr>
        <w:t xml:space="preserve"> and together with the First Extension Request,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Requests </w:t>
      </w:r>
      <w:r>
        <w:rPr>
          <w:rFonts w:ascii="Times New Roman" w:cs="Times New Roman" w:eastAsia="Times New Roman" w:hAnsi="Times New Roman"/>
          <w:sz w:val="18"/>
          <w:szCs w:val="18"/>
          <w:color w:val="auto"/>
        </w:rPr>
        <w:t>and each, an</w:t>
      </w:r>
      <w:r>
        <w:rPr>
          <w:rFonts w:ascii="Times New Roman" w:cs="Times New Roman" w:eastAsia="Times New Roman" w:hAnsi="Times New Roman"/>
          <w:sz w:val="18"/>
          <w:szCs w:val="18"/>
          <w:b w:val="1"/>
          <w:bCs w:val="1"/>
          <w:color w:val="auto"/>
        </w:rPr>
        <w:t xml:space="preserve"> Extension Request</w:t>
      </w:r>
      <w:r>
        <w:rPr>
          <w:rFonts w:ascii="Times New Roman" w:cs="Times New Roman" w:eastAsia="Times New Roman" w:hAnsi="Times New Roman"/>
          <w:sz w:val="18"/>
          <w:szCs w:val="18"/>
          <w:color w:val="auto"/>
        </w:rPr>
        <w:t>) at any time between the dates falling (i) 24 Months from the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(ii) 120 days prior to the Final Reduction Date, that the Lenders agree to extend the Final Reduction Date to the Second Extended Final Reduction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8"/>
          </w:cols>
          <w:pgMar w:left="1312" w:top="873" w:right="1019" w:bottom="1440" w:gutter="0" w:footer="0" w:header="0"/>
        </w:sectPr>
      </w:pPr>
    </w:p>
    <w:bookmarkStart w:id="139" w:name="page140"/>
    <w:bookmarkEnd w:id="139"/>
    <w:p>
      <w:pPr>
        <w:ind w:left="520" w:hanging="324"/>
        <w:spacing w:after="0"/>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Extension Request is irrevocable and may only be submitted at a time when no Event of Default is continuing.</w:t>
      </w:r>
    </w:p>
    <w:p>
      <w:pPr>
        <w:spacing w:after="0" w:line="224" w:lineRule="exact"/>
        <w:rPr>
          <w:rFonts w:ascii="Times New Roman" w:cs="Times New Roman" w:eastAsia="Times New Roman" w:hAnsi="Times New Roman"/>
          <w:sz w:val="18"/>
          <w:szCs w:val="18"/>
          <w:color w:val="auto"/>
        </w:rPr>
      </w:pPr>
    </w:p>
    <w:p>
      <w:pPr>
        <w:ind w:left="520" w:right="60" w:hanging="324"/>
        <w:spacing w:after="0" w:line="255"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the Lenders with a copy of any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Extension Request and each Lender shall, in its absolute and unfettered discretion, determine whether it is prepared </w:t>
      </w:r>
      <w:r>
        <w:rPr>
          <w:rFonts w:ascii="Times New Roman" w:cs="Times New Roman" w:eastAsia="Times New Roman" w:hAnsi="Times New Roman"/>
          <w:sz w:val="18"/>
          <w:szCs w:val="18"/>
          <w:i w:val="1"/>
          <w:iCs w:val="1"/>
          <w:color w:val="auto"/>
        </w:rPr>
        <w:t>to</w:t>
      </w:r>
      <w:r>
        <w:rPr>
          <w:rFonts w:ascii="Times New Roman" w:cs="Times New Roman" w:eastAsia="Times New Roman" w:hAnsi="Times New Roman"/>
          <w:sz w:val="18"/>
          <w:szCs w:val="18"/>
          <w:color w:val="auto"/>
        </w:rPr>
        <w:t xml:space="preserve"> agree to an Extension Request. For the avoidance of doubt, the Lenders are not obliged to agree to any Extension Option or to respond to any Extension Request nor to assign any reason to their decision. A Lender who does not respond to the Extension Request within the 30 Business Days period referred to below, will be deemed to have not approved it. If a Lender approves an Extension Request and thus grants an Extension Option, such approval may only be made with respect to such Lender</w:t>
      </w:r>
      <w:r>
        <w:rPr>
          <w:rFonts w:ascii="Arial" w:cs="Arial" w:eastAsia="Arial" w:hAnsi="Arial"/>
          <w:sz w:val="18"/>
          <w:szCs w:val="18"/>
          <w:color w:val="auto"/>
        </w:rPr>
        <w:t>’</w:t>
      </w:r>
      <w:r>
        <w:rPr>
          <w:rFonts w:ascii="Times New Roman" w:cs="Times New Roman" w:eastAsia="Times New Roman" w:hAnsi="Times New Roman"/>
          <w:sz w:val="18"/>
          <w:szCs w:val="18"/>
          <w:color w:val="auto"/>
        </w:rPr>
        <w:t>s entire Commitment (and not a part of it) and subject to such conditions as such Lender may require (including as to fees and Margin).</w:t>
      </w:r>
    </w:p>
    <w:p>
      <w:pPr>
        <w:spacing w:after="0" w:line="187" w:lineRule="exact"/>
        <w:rPr>
          <w:rFonts w:ascii="Times New Roman" w:cs="Times New Roman" w:eastAsia="Times New Roman" w:hAnsi="Times New Roman"/>
          <w:sz w:val="18"/>
          <w:szCs w:val="18"/>
          <w:color w:val="auto"/>
        </w:rPr>
      </w:pPr>
    </w:p>
    <w:p>
      <w:pPr>
        <w:ind w:left="520" w:hanging="324"/>
        <w:spacing w:after="0" w:line="253"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wishes to respond shall, within 30 Business Days of the First Extension Request being delivered to the Lenders by the Agent (following receipt by the Agent of the same from the Borrower), provide the Agent with its response to the First Extension Request and the Agent shall notify the Borrower which Lenders are prepared to agree to grant the First Extension Option and within 5 Business Days of the Agent</w:t>
      </w:r>
      <w:r>
        <w:rPr>
          <w:rFonts w:ascii="Arial" w:cs="Arial" w:eastAsia="Arial" w:hAnsi="Arial"/>
          <w:sz w:val="18"/>
          <w:szCs w:val="18"/>
          <w:color w:val="auto"/>
        </w:rPr>
        <w:t>’</w:t>
      </w:r>
      <w:r>
        <w:rPr>
          <w:rFonts w:ascii="Times New Roman" w:cs="Times New Roman" w:eastAsia="Times New Roman" w:hAnsi="Times New Roman"/>
          <w:sz w:val="18"/>
          <w:szCs w:val="18"/>
          <w:color w:val="auto"/>
        </w:rPr>
        <w:t>s notification, the Borrower shall notify the Agent whether it agrees to proceed. On the date of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s notification to the Agent that it so agrees to proceed, the Original Final Reduction Date shall, subject to paragraph (f) and (l) below, be extended to the First Extended Final Reduction Date but only in respect of the Commitment of each Lender which has consented to the First Extension Request (each a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Extension Lender</w:t>
      </w:r>
      <w:r>
        <w:rPr>
          <w:rFonts w:ascii="Times New Roman" w:cs="Times New Roman" w:eastAsia="Times New Roman" w:hAnsi="Times New Roman"/>
          <w:sz w:val="18"/>
          <w:szCs w:val="18"/>
          <w:color w:val="auto"/>
        </w:rPr>
        <w:t>). The Borrower shall, within ten (10) Business Days of notifying the Agent of its agreement to proceed,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to the Agent (for the account of each First Extension Lender) any agreed fees in respect of the Commitment of each First Extension Lender.</w:t>
      </w:r>
    </w:p>
    <w:p>
      <w:pPr>
        <w:spacing w:after="0" w:line="192" w:lineRule="exact"/>
        <w:rPr>
          <w:rFonts w:ascii="Times New Roman" w:cs="Times New Roman" w:eastAsia="Times New Roman" w:hAnsi="Times New Roman"/>
          <w:sz w:val="18"/>
          <w:szCs w:val="18"/>
          <w:color w:val="auto"/>
        </w:rPr>
      </w:pPr>
    </w:p>
    <w:p>
      <w:pPr>
        <w:ind w:left="520" w:right="440" w:hanging="324"/>
        <w:spacing w:after="0" w:line="282"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Commitment of each First Extension Lender will be automatically revoked on the Original Final Reduction Date if, on the Original Final Reduction Date, an Event of Default is continuing.</w:t>
      </w:r>
    </w:p>
    <w:p>
      <w:pPr>
        <w:spacing w:after="0" w:line="161"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wishes to respond shall, within 30 Business Days of the Second Extension Request being delivered to the Lenders by the Agent (following receipt by the Agent of the same from the Borrower), provide the Agent with its response to the Second Extension Request and the Agent shall notify the Borrower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877" w:right="1039" w:bottom="1440" w:gutter="0" w:footer="0" w:header="0"/>
        </w:sectPr>
      </w:pPr>
    </w:p>
    <w:bookmarkStart w:id="140" w:name="page141"/>
    <w:bookmarkEnd w:id="140"/>
    <w:p>
      <w:pPr>
        <w:ind w:left="520"/>
        <w:spacing w:after="0" w:line="258" w:lineRule="auto"/>
        <w:rPr>
          <w:sz w:val="20"/>
          <w:szCs w:val="20"/>
          <w:color w:val="auto"/>
        </w:rPr>
      </w:pPr>
      <w:r>
        <w:rPr>
          <w:rFonts w:ascii="Times New Roman" w:cs="Times New Roman" w:eastAsia="Times New Roman" w:hAnsi="Times New Roman"/>
          <w:sz w:val="18"/>
          <w:szCs w:val="18"/>
          <w:color w:val="auto"/>
        </w:rPr>
        <w:t>Lenders are prepared to agree to grant the Second Extension Option and within 5 Business Days of the Agent</w:t>
      </w:r>
      <w:r>
        <w:rPr>
          <w:rFonts w:ascii="Arial" w:cs="Arial" w:eastAsia="Arial" w:hAnsi="Arial"/>
          <w:sz w:val="18"/>
          <w:szCs w:val="18"/>
          <w:color w:val="auto"/>
        </w:rPr>
        <w:t>’</w:t>
      </w:r>
      <w:r>
        <w:rPr>
          <w:rFonts w:ascii="Times New Roman" w:cs="Times New Roman" w:eastAsia="Times New Roman" w:hAnsi="Times New Roman"/>
          <w:sz w:val="18"/>
          <w:szCs w:val="18"/>
          <w:color w:val="auto"/>
        </w:rPr>
        <w:t>s notification, the Borrower shall notify the Agent whether it agrees to proceed. On the date of the Borrower</w:t>
      </w:r>
      <w:r>
        <w:rPr>
          <w:rFonts w:ascii="Arial" w:cs="Arial" w:eastAsia="Arial" w:hAnsi="Arial"/>
          <w:sz w:val="18"/>
          <w:szCs w:val="18"/>
          <w:color w:val="auto"/>
        </w:rPr>
        <w:t>’</w:t>
      </w:r>
      <w:r>
        <w:rPr>
          <w:rFonts w:ascii="Times New Roman" w:cs="Times New Roman" w:eastAsia="Times New Roman" w:hAnsi="Times New Roman"/>
          <w:sz w:val="18"/>
          <w:szCs w:val="18"/>
          <w:color w:val="auto"/>
        </w:rPr>
        <w:t>s notification to the Agent that it so agrees to proceed, the Original Final Reduction Date shall, subject to paragraphs (h) and (l) below, be extended, but only in respect of the Commitment of each Lender which has consented to the Second Extension Request (each a Second Extension Lender), by:</w:t>
      </w:r>
    </w:p>
    <w:p>
      <w:pPr>
        <w:spacing w:after="0" w:line="182" w:lineRule="exact"/>
        <w:rPr>
          <w:sz w:val="20"/>
          <w:szCs w:val="20"/>
          <w:color w:val="auto"/>
        </w:rPr>
      </w:pPr>
    </w:p>
    <w:p>
      <w:pPr>
        <w:ind w:left="840" w:hanging="320"/>
        <w:spacing w:after="0"/>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period of 12 Months, if the relevant Second Extension Lender was also a First Extension Lender; or</w:t>
      </w:r>
    </w:p>
    <w:p>
      <w:pPr>
        <w:spacing w:after="0" w:line="225"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of 24 Months, if the relevant Second Extension Lender was not a First Extension Lender.</w:t>
      </w:r>
    </w:p>
    <w:p>
      <w:pPr>
        <w:spacing w:after="0" w:line="225" w:lineRule="exact"/>
        <w:rPr>
          <w:sz w:val="20"/>
          <w:szCs w:val="20"/>
          <w:color w:val="auto"/>
        </w:rPr>
      </w:pPr>
    </w:p>
    <w:p>
      <w:pPr>
        <w:ind w:left="520" w:right="260"/>
        <w:spacing w:after="0" w:line="266" w:lineRule="auto"/>
        <w:rPr>
          <w:sz w:val="20"/>
          <w:szCs w:val="20"/>
          <w:color w:val="auto"/>
        </w:rPr>
      </w:pPr>
      <w:r>
        <w:rPr>
          <w:rFonts w:ascii="Times New Roman" w:cs="Times New Roman" w:eastAsia="Times New Roman" w:hAnsi="Times New Roman"/>
          <w:sz w:val="18"/>
          <w:szCs w:val="18"/>
          <w:color w:val="auto"/>
        </w:rPr>
        <w:t>The Borrower shall, within ten (10) Business Days of notifying the Agent of the agreement to proceed, pay to the Agent (for the account of each Lender which is so extended) any agreed fees in respect of the Commitment of each Second Extension Lender.</w:t>
      </w:r>
    </w:p>
    <w:p>
      <w:pPr>
        <w:spacing w:after="0" w:line="176" w:lineRule="exact"/>
        <w:rPr>
          <w:sz w:val="20"/>
          <w:szCs w:val="20"/>
          <w:color w:val="auto"/>
        </w:rPr>
      </w:pPr>
    </w:p>
    <w:p>
      <w:pPr>
        <w:ind w:left="520" w:right="120" w:hanging="324"/>
        <w:spacing w:after="0" w:line="261"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extension of the Commitment of each Second Extension Lender will be automatically revoked on the First Extended Final Reduction Date (as applicable) if, on such date, (i) the participation of each Lender (if any) which has not consented to, or as the case may be, responded to an Extension Request in any Loans is not repaid in full on or before the First Extended Final Reduction Date (as applicable) or (ii) an Event of Default is continuing.</w:t>
      </w:r>
    </w:p>
    <w:p>
      <w:pPr>
        <w:spacing w:after="0" w:line="179" w:lineRule="exact"/>
        <w:rPr>
          <w:rFonts w:ascii="Times New Roman" w:cs="Times New Roman" w:eastAsia="Times New Roman" w:hAnsi="Times New Roman"/>
          <w:sz w:val="18"/>
          <w:szCs w:val="18"/>
          <w:color w:val="auto"/>
        </w:rPr>
      </w:pPr>
    </w:p>
    <w:p>
      <w:pPr>
        <w:ind w:left="520" w:right="60" w:hanging="324"/>
        <w:spacing w:after="0" w:line="261"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and acknowledge that pursuant to the First Supplemental Agreement with effect on the Effective Date all the Lenders have granted the First Extension Option and that they are therefore all First Extension Lenders and that their Commitments have been extended from the Original Final Reduction Date to the Final Reduction Date and the Original Final Reduction Date has been extended to the Final Reduction Date pursuant to this clause 6.4.</w:t>
      </w:r>
    </w:p>
    <w:p>
      <w:pPr>
        <w:spacing w:after="0" w:line="179" w:lineRule="exact"/>
        <w:rPr>
          <w:rFonts w:ascii="Times New Roman" w:cs="Times New Roman" w:eastAsia="Times New Roman" w:hAnsi="Times New Roman"/>
          <w:sz w:val="18"/>
          <w:szCs w:val="18"/>
          <w:color w:val="auto"/>
        </w:rPr>
      </w:pPr>
    </w:p>
    <w:p>
      <w:pPr>
        <w:ind w:left="520" w:right="140" w:hanging="324"/>
        <w:spacing w:after="0" w:line="282" w:lineRule="auto"/>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Lenders approve the Second Extension Option, and such approval has become effective pursuant to the other terms of this clause 6.4, then:</w:t>
      </w:r>
    </w:p>
    <w:p>
      <w:pPr>
        <w:spacing w:after="0" w:line="161" w:lineRule="exact"/>
        <w:rPr>
          <w:rFonts w:ascii="Times New Roman" w:cs="Times New Roman" w:eastAsia="Times New Roman" w:hAnsi="Times New Roman"/>
          <w:sz w:val="18"/>
          <w:szCs w:val="18"/>
          <w:color w:val="auto"/>
        </w:rPr>
      </w:pPr>
    </w:p>
    <w:p>
      <w:pPr>
        <w:ind w:left="840" w:hanging="320"/>
        <w:spacing w:after="0"/>
        <w:tabs>
          <w:tab w:leader="none" w:pos="8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Final Reduction Date for their Commitments shall be the Second Extended Final Reduction Date;</w:t>
      </w:r>
    </w:p>
    <w:p>
      <w:pPr>
        <w:spacing w:after="0" w:line="225" w:lineRule="exact"/>
        <w:rPr>
          <w:rFonts w:ascii="Times New Roman" w:cs="Times New Roman" w:eastAsia="Times New Roman" w:hAnsi="Times New Roman"/>
          <w:sz w:val="18"/>
          <w:szCs w:val="18"/>
          <w:color w:val="auto"/>
        </w:rPr>
      </w:pPr>
    </w:p>
    <w:p>
      <w:pPr>
        <w:ind w:left="840" w:hanging="320"/>
        <w:spacing w:after="0" w:line="266" w:lineRule="auto"/>
        <w:tabs>
          <w:tab w:leader="none" w:pos="8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Commitments shall not reduce to zero on the Final Reduction Date but will reduce by four additional reduction dates, each falling at 3 Monthly intervals after the Final Reduction Date up to and including the Second Extended Final Reduction Date; and the amount of each such reduction of such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877" w:right="1039" w:bottom="1440" w:gutter="0" w:footer="0" w:header="0"/>
        </w:sectPr>
      </w:pPr>
    </w:p>
    <w:bookmarkStart w:id="141" w:name="page142"/>
    <w:bookmarkEnd w:id="141"/>
    <w:p>
      <w:pPr>
        <w:ind w:left="1292"/>
        <w:spacing w:after="0" w:line="261" w:lineRule="auto"/>
        <w:rPr>
          <w:sz w:val="20"/>
          <w:szCs w:val="20"/>
          <w:color w:val="auto"/>
        </w:rPr>
      </w:pPr>
      <w:r>
        <w:rPr>
          <w:rFonts w:ascii="Times New Roman" w:cs="Times New Roman" w:eastAsia="Times New Roman" w:hAnsi="Times New Roman"/>
          <w:sz w:val="18"/>
          <w:szCs w:val="18"/>
          <w:color w:val="auto"/>
        </w:rPr>
        <w:t xml:space="preserve">shall be determined by the Agent (acting on the instructions of all the Lenders) on the same basis as the existing reduction schedule of clause 6.2 </w:t>
      </w:r>
      <w:r>
        <w:rPr>
          <w:rFonts w:ascii="Times New Roman" w:cs="Times New Roman" w:eastAsia="Times New Roman" w:hAnsi="Times New Roman"/>
          <w:sz w:val="18"/>
          <w:szCs w:val="18"/>
          <w:i w:val="1"/>
          <w:iCs w:val="1"/>
          <w:color w:val="auto"/>
        </w:rPr>
        <w:t>(Scheduled reduction of Facility)</w:t>
      </w:r>
      <w:r>
        <w:rPr>
          <w:rFonts w:ascii="Times New Roman" w:cs="Times New Roman" w:eastAsia="Times New Roman" w:hAnsi="Times New Roman"/>
          <w:sz w:val="18"/>
          <w:szCs w:val="18"/>
          <w:color w:val="auto"/>
        </w:rPr>
        <w:t xml:space="preserve"> and rateably as to the amount of Commitments of the Second Extension Lenders and as to the amount of Commitments of the Lenders whose Commitments will be reduced to zero on the Final Reduction Date; and</w:t>
      </w:r>
    </w:p>
    <w:p>
      <w:pPr>
        <w:spacing w:after="0" w:line="180" w:lineRule="exact"/>
        <w:rPr>
          <w:sz w:val="20"/>
          <w:szCs w:val="20"/>
          <w:color w:val="auto"/>
        </w:rPr>
      </w:pPr>
    </w:p>
    <w:p>
      <w:pPr>
        <w:ind w:left="1292" w:right="760" w:hanging="320"/>
        <w:spacing w:after="0" w:line="282" w:lineRule="auto"/>
        <w:tabs>
          <w:tab w:leader="none" w:pos="129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any Lenders who are not Second Extension Lenders will be reduced to zero on the Final Reduction Date.</w:t>
      </w:r>
    </w:p>
    <w:p>
      <w:pPr>
        <w:spacing w:after="0" w:line="161" w:lineRule="exact"/>
        <w:rPr>
          <w:rFonts w:ascii="Times New Roman" w:cs="Times New Roman" w:eastAsia="Times New Roman" w:hAnsi="Times New Roman"/>
          <w:sz w:val="18"/>
          <w:szCs w:val="18"/>
          <w:color w:val="auto"/>
        </w:rPr>
      </w:pPr>
    </w:p>
    <w:p>
      <w:pPr>
        <w:ind w:left="972" w:right="40" w:hanging="324"/>
        <w:spacing w:after="0" w:line="258" w:lineRule="auto"/>
        <w:tabs>
          <w:tab w:leader="none" w:pos="9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Lenders approve an Extension Option, the Obligors agree to enter into such amendment documentation (including an amendment agreement to this Agreement, and amendments to any Mortgage) and the Obligors agree to deliver to the Finance Parties such documents and evidence of the type referred to in Schedule 3 </w:t>
      </w: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xml:space="preserve"> as the Lenders may require in their absolute discretion at the time required by the Lenders and in any event reasonably in advance of the Final Reduction Date and in each case at the cost and expense of the Borrower.</w:t>
      </w:r>
    </w:p>
    <w:p>
      <w:pPr>
        <w:spacing w:after="0" w:line="183" w:lineRule="exact"/>
        <w:rPr>
          <w:rFonts w:ascii="Times New Roman" w:cs="Times New Roman" w:eastAsia="Times New Roman" w:hAnsi="Times New Roman"/>
          <w:sz w:val="18"/>
          <w:szCs w:val="18"/>
          <w:color w:val="auto"/>
        </w:rPr>
      </w:pPr>
    </w:p>
    <w:p>
      <w:pPr>
        <w:jc w:val="both"/>
        <w:ind w:left="972" w:right="240" w:hanging="324"/>
        <w:spacing w:after="0" w:line="268" w:lineRule="auto"/>
        <w:tabs>
          <w:tab w:leader="none" w:pos="97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event, the approval of an Extension Option by a Lender shall not become effective unless and until the documents and evidence referred to in paragraph (k) above in respect of such Extension Option have been executed and delivered to the Agent.</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332" w:hanging="332"/>
        <w:spacing w:after="0"/>
        <w:tabs>
          <w:tab w:leader="none" w:pos="332"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332"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Relevant Parties represents and warrants for the benefit of each Finance Party, each in respect of itself and the other Relevant Parties, that the following statements shall, on the date of this Agreement, on the date when the Effective Date Notice is given, and on the Effective Date, be true and accurate as if made with reference to the facts and circumstances existing on such date (and in respect of the Relevant Documents as if they were Finance Documents):</w:t>
      </w:r>
    </w:p>
    <w:p>
      <w:pPr>
        <w:spacing w:after="0" w:line="17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Repeating Representations are true and correct;</w:t>
      </w:r>
    </w:p>
    <w:p>
      <w:pPr>
        <w:spacing w:after="0" w:line="225" w:lineRule="exact"/>
        <w:rPr>
          <w:rFonts w:ascii="Times New Roman" w:cs="Times New Roman" w:eastAsia="Times New Roman" w:hAnsi="Times New Roman"/>
          <w:sz w:val="18"/>
          <w:szCs w:val="18"/>
          <w:color w:val="auto"/>
        </w:rPr>
      </w:pPr>
    </w:p>
    <w:p>
      <w:pPr>
        <w:ind w:left="652" w:hanging="328"/>
        <w:spacing w:after="0" w:line="282" w:lineRule="auto"/>
        <w:tabs>
          <w:tab w:leader="none" w:pos="6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Party is duly incorporated as a limited liability company or a corporation or a limited partnership (as the case may be) and has power to carry on its business as it is now being conducted and to own its property and other assets; and</w:t>
      </w:r>
    </w:p>
    <w:p>
      <w:pPr>
        <w:spacing w:after="0" w:line="161" w:lineRule="exact"/>
        <w:rPr>
          <w:rFonts w:ascii="Times New Roman" w:cs="Times New Roman" w:eastAsia="Times New Roman" w:hAnsi="Times New Roman"/>
          <w:sz w:val="18"/>
          <w:szCs w:val="18"/>
          <w:color w:val="auto"/>
        </w:rPr>
      </w:pPr>
    </w:p>
    <w:p>
      <w:pPr>
        <w:ind w:left="652" w:right="40" w:hanging="328"/>
        <w:spacing w:after="0" w:line="266" w:lineRule="auto"/>
        <w:tabs>
          <w:tab w:leader="none" w:pos="6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Party has power to execute, deliver and perform its obligations under this Agreement and the other Relevant Documents to which it is or is to be a party and all necessary corporate, shareholder and other action has been taken to authorise the execution, delivery and performance of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142" w:name="page143"/>
    <w:bookmarkEnd w:id="142"/>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Documents, evidence and Effective Date</w:t>
      </w:r>
    </w:p>
    <w:p>
      <w:pPr>
        <w:spacing w:after="0" w:line="227" w:lineRule="exact"/>
        <w:rPr>
          <w:sz w:val="20"/>
          <w:szCs w:val="20"/>
          <w:color w:val="auto"/>
        </w:rPr>
      </w:pPr>
    </w:p>
    <w:p>
      <w:pPr>
        <w:ind w:left="660" w:hanging="328"/>
        <w:spacing w:after="0" w:line="258"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of the Lenders referred to in clause 2 </w:t>
      </w:r>
      <w:r>
        <w:rPr>
          <w:rFonts w:ascii="Times New Roman" w:cs="Times New Roman" w:eastAsia="Times New Roman" w:hAnsi="Times New Roman"/>
          <w:sz w:val="18"/>
          <w:szCs w:val="18"/>
          <w:i w:val="1"/>
          <w:iCs w:val="1"/>
          <w:color w:val="auto"/>
        </w:rPr>
        <w:t>(Agreement of the Lenders)</w:t>
      </w:r>
      <w:r>
        <w:rPr>
          <w:rFonts w:ascii="Times New Roman" w:cs="Times New Roman" w:eastAsia="Times New Roman" w:hAnsi="Times New Roman"/>
          <w:sz w:val="18"/>
          <w:szCs w:val="18"/>
          <w:color w:val="auto"/>
        </w:rPr>
        <w:t xml:space="preserve"> shall be subject to the receipt by the Agent or its duly authorised representative, on or before 31 March 2025 (or such other later date as the Agent acting on the instructions of the Majority Lenders may agree), of the documents and evidence specified in Schedule 3 </w:t>
      </w:r>
      <w:r>
        <w:rPr>
          <w:rFonts w:ascii="Times New Roman" w:cs="Times New Roman" w:eastAsia="Times New Roman" w:hAnsi="Times New Roman"/>
          <w:sz w:val="18"/>
          <w:szCs w:val="18"/>
          <w:i w:val="1"/>
          <w:iCs w:val="1"/>
          <w:color w:val="auto"/>
        </w:rPr>
        <w:t>(Documents and evidence required</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i w:val="1"/>
          <w:iCs w:val="1"/>
          <w:color w:val="auto"/>
        </w:rPr>
        <w:t xml:space="preserve">conditions precedent), </w:t>
      </w:r>
      <w:r>
        <w:rPr>
          <w:rFonts w:ascii="Times New Roman" w:cs="Times New Roman" w:eastAsia="Times New Roman" w:hAnsi="Times New Roman"/>
          <w:sz w:val="18"/>
          <w:szCs w:val="18"/>
          <w:color w:val="auto"/>
        </w:rPr>
        <w:t>in form and substance satisfactory to the Agent and compliance by the Borrower with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this clause 5.</w:t>
      </w:r>
    </w:p>
    <w:p>
      <w:pPr>
        <w:spacing w:after="0" w:line="185"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sign the Effective Date Notice on the date that the Agent has received the documents and evidence specified in this clause 5 and Schedule 3 </w:t>
      </w:r>
      <w:r>
        <w:rPr>
          <w:rFonts w:ascii="Times New Roman" w:cs="Times New Roman" w:eastAsia="Times New Roman" w:hAnsi="Times New Roman"/>
          <w:sz w:val="18"/>
          <w:szCs w:val="18"/>
          <w:i w:val="1"/>
          <w:iCs w:val="1"/>
          <w:color w:val="auto"/>
        </w:rPr>
        <w:t>(Documents and evidence required</w:t>
      </w:r>
      <w:r>
        <w:rPr>
          <w:rFonts w:ascii="Times New Roman" w:cs="Times New Roman" w:eastAsia="Times New Roman" w:hAnsi="Times New Roman"/>
          <w:sz w:val="18"/>
          <w:szCs w:val="18"/>
          <w:color w:val="auto"/>
        </w:rPr>
        <w:t xml:space="preserve"> as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precedent) in a form and substance satisfactory to it and specify that date to be the Effective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General conditions precedent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agreement of the Lenders referred to in clause 2 </w:t>
      </w:r>
      <w:r>
        <w:rPr>
          <w:rFonts w:ascii="Times New Roman" w:cs="Times New Roman" w:eastAsia="Times New Roman" w:hAnsi="Times New Roman"/>
          <w:sz w:val="18"/>
          <w:szCs w:val="18"/>
          <w:i w:val="1"/>
          <w:iCs w:val="1"/>
          <w:color w:val="auto"/>
        </w:rPr>
        <w:t>(Agreement of the Lenders)</w:t>
      </w:r>
      <w:r>
        <w:rPr>
          <w:rFonts w:ascii="Times New Roman" w:cs="Times New Roman" w:eastAsia="Times New Roman" w:hAnsi="Times New Roman"/>
          <w:sz w:val="18"/>
          <w:szCs w:val="18"/>
          <w:color w:val="auto"/>
        </w:rPr>
        <w:t xml:space="preserve"> shall be further subject to:</w:t>
      </w:r>
    </w:p>
    <w:p>
      <w:pPr>
        <w:spacing w:after="0" w:line="225" w:lineRule="exact"/>
        <w:rPr>
          <w:sz w:val="20"/>
          <w:szCs w:val="20"/>
          <w:color w:val="auto"/>
        </w:rPr>
      </w:pPr>
    </w:p>
    <w:p>
      <w:pPr>
        <w:ind w:left="660" w:right="360" w:hanging="328"/>
        <w:spacing w:after="0" w:line="267"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as set out in clause 4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xml:space="preserve"> being true and correct on the date when the Effective Date Notice is sent and on the Effective Date, as if each was made with respect to the facts and circumstances existing at such time;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having occurred and continuing on the date when the Effective Date Notice is sent and on the Effective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Waiver of conditions precedent</w:t>
      </w:r>
    </w:p>
    <w:p>
      <w:pPr>
        <w:spacing w:after="0" w:line="227" w:lineRule="exact"/>
        <w:rPr>
          <w:sz w:val="20"/>
          <w:szCs w:val="20"/>
          <w:color w:val="auto"/>
        </w:rPr>
      </w:pPr>
    </w:p>
    <w:p>
      <w:pPr>
        <w:ind w:left="340" w:right="40"/>
        <w:spacing w:after="0" w:line="284" w:lineRule="auto"/>
        <w:rPr>
          <w:sz w:val="20"/>
          <w:szCs w:val="20"/>
          <w:color w:val="auto"/>
        </w:rPr>
      </w:pPr>
      <w:r>
        <w:rPr>
          <w:rFonts w:ascii="Times New Roman" w:cs="Times New Roman" w:eastAsia="Times New Roman" w:hAnsi="Times New Roman"/>
          <w:sz w:val="18"/>
          <w:szCs w:val="18"/>
          <w:color w:val="auto"/>
        </w:rPr>
        <w:t xml:space="preserve">The conditions specified in this clause 5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are inserted solely for the benefit of the Finance Parties and may be waived by the Agent (acting on the instructions of the Majority Lenders) in whole or in part with or without conditions.</w:t>
      </w:r>
    </w:p>
    <w:p>
      <w:pPr>
        <w:spacing w:after="0" w:line="156"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Finance Documents</w:t>
      </w:r>
    </w:p>
    <w:p>
      <w:pPr>
        <w:spacing w:after="0" w:line="225" w:lineRule="exact"/>
        <w:rPr>
          <w:sz w:val="20"/>
          <w:szCs w:val="20"/>
          <w:color w:val="auto"/>
        </w:rPr>
      </w:pPr>
    </w:p>
    <w:p>
      <w:pPr>
        <w:ind w:left="340" w:right="26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Each of the Relevant Parties confirms its consent to the agreements and amendments made in relation to the Principal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other arrangements contained in this Agreement, and each of the Relevant Parties further acknowledges and agrees that:</w:t>
      </w:r>
    </w:p>
    <w:p>
      <w:pPr>
        <w:spacing w:after="0" w:line="159" w:lineRule="exact"/>
        <w:rPr>
          <w:sz w:val="20"/>
          <w:szCs w:val="20"/>
          <w:color w:val="auto"/>
        </w:rPr>
      </w:pPr>
    </w:p>
    <w:p>
      <w:pPr>
        <w:ind w:left="660" w:right="80" w:hanging="328"/>
        <w:spacing w:after="0" w:line="26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Finance Documents to which it is a party and its obligations thereunder (including the obligations of the Guarantors under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xml:space="preserve"> of the Principal Agreement) shall remain and continue in full force and effect notwithstanding the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43" w:name="page144"/>
    <w:bookmarkEnd w:id="143"/>
    <w:p>
      <w:pPr>
        <w:ind w:left="652"/>
        <w:spacing w:after="0"/>
        <w:rPr>
          <w:sz w:val="20"/>
          <w:szCs w:val="20"/>
          <w:color w:val="auto"/>
        </w:rPr>
      </w:pPr>
      <w:r>
        <w:rPr>
          <w:rFonts w:ascii="Times New Roman" w:cs="Times New Roman" w:eastAsia="Times New Roman" w:hAnsi="Times New Roman"/>
          <w:sz w:val="18"/>
          <w:szCs w:val="18"/>
          <w:color w:val="auto"/>
        </w:rPr>
        <w:t>amendments made in relation to the Principal Agreement and the other arrangements contained in this Agreement;</w:t>
      </w:r>
    </w:p>
    <w:p>
      <w:pPr>
        <w:spacing w:after="0" w:line="225" w:lineRule="exact"/>
        <w:rPr>
          <w:sz w:val="20"/>
          <w:szCs w:val="20"/>
          <w:color w:val="auto"/>
        </w:rPr>
      </w:pPr>
    </w:p>
    <w:p>
      <w:pPr>
        <w:ind w:left="652" w:right="340" w:hanging="328"/>
        <w:spacing w:after="0" w:line="266" w:lineRule="auto"/>
        <w:tabs>
          <w:tab w:leader="none" w:pos="6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created or conferred under the Security Documents to which it is a party will continue to secure all liabilities which are expressed to be secured by them, including the liabilities under the Facility Agreement as amended and supplemented by this Agreement; and</w:t>
      </w:r>
    </w:p>
    <w:p>
      <w:pPr>
        <w:spacing w:after="0" w:line="175" w:lineRule="exact"/>
        <w:rPr>
          <w:rFonts w:ascii="Times New Roman" w:cs="Times New Roman" w:eastAsia="Times New Roman" w:hAnsi="Times New Roman"/>
          <w:sz w:val="18"/>
          <w:szCs w:val="18"/>
          <w:color w:val="auto"/>
        </w:rPr>
      </w:pPr>
    </w:p>
    <w:p>
      <w:pPr>
        <w:ind w:left="652" w:right="300" w:hanging="328"/>
        <w:spacing w:after="0" w:line="266" w:lineRule="auto"/>
        <w:tabs>
          <w:tab w:leader="none" w:pos="6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effect from the Effective Date, references to the </w:t>
      </w:r>
      <w:r>
        <w:rPr>
          <w:rFonts w:ascii="Arial" w:cs="Arial" w:eastAsia="Arial" w:hAnsi="Arial"/>
          <w:sz w:val="18"/>
          <w:szCs w:val="18"/>
          <w:color w:val="auto"/>
        </w:rPr>
        <w:t>“</w:t>
      </w:r>
      <w:r>
        <w:rPr>
          <w:rFonts w:ascii="Times New Roman" w:cs="Times New Roman" w:eastAsia="Times New Roman" w:hAnsi="Times New Roman"/>
          <w:sz w:val="18"/>
          <w:szCs w:val="18"/>
          <w:color w:val="auto"/>
        </w:rPr>
        <w:t>Facility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(or similar or equivalent references) in any of the other Finance Documents to which it is a party shall henceforth be reference to the Principal Agreement as amended and supplemented by this Agreement and as from time to time hereafter amended.</w:t>
      </w:r>
    </w:p>
    <w:p>
      <w:pPr>
        <w:spacing w:after="0" w:line="171" w:lineRule="exact"/>
        <w:rPr>
          <w:sz w:val="20"/>
          <w:szCs w:val="20"/>
          <w:color w:val="auto"/>
        </w:rPr>
      </w:pPr>
    </w:p>
    <w:p>
      <w:pPr>
        <w:ind w:left="332" w:right="48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Without prejudice to the foregoing and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Facility Agreement each of the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acknowledges and agrees that:</w:t>
      </w:r>
    </w:p>
    <w:p>
      <w:pPr>
        <w:spacing w:after="0" w:line="157" w:lineRule="exact"/>
        <w:rPr>
          <w:sz w:val="20"/>
          <w:szCs w:val="20"/>
          <w:color w:val="auto"/>
        </w:rPr>
      </w:pPr>
    </w:p>
    <w:p>
      <w:pPr>
        <w:ind w:left="652" w:right="60" w:hanging="328"/>
        <w:spacing w:after="0" w:line="258" w:lineRule="auto"/>
        <w:tabs>
          <w:tab w:leader="none" w:pos="6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provided by it under clause 17 (</w:t>
      </w:r>
      <w:r>
        <w:rPr>
          <w:rFonts w:ascii="Times New Roman" w:cs="Times New Roman" w:eastAsia="Times New Roman" w:hAnsi="Times New Roman"/>
          <w:sz w:val="18"/>
          <w:szCs w:val="18"/>
          <w:i w:val="1"/>
          <w:iCs w:val="1"/>
          <w:color w:val="auto"/>
        </w:rPr>
        <w:t>Guarantee and indemnity)</w:t>
      </w:r>
      <w:r>
        <w:rPr>
          <w:rFonts w:ascii="Times New Roman" w:cs="Times New Roman" w:eastAsia="Times New Roman" w:hAnsi="Times New Roman"/>
          <w:sz w:val="18"/>
          <w:szCs w:val="18"/>
          <w:color w:val="auto"/>
        </w:rPr>
        <w:t xml:space="preserve"> of the Facility Agreement extends to, and shall continue to extend to, all of the obligations of the Obligors under the Finance Documents, including without limitation those under the Facility Agreement and any provisions or terms thereof, notwithstanding that the Facility Agreement and any provisions or terms thereof have been or will be amended and/or supplemented pursuant to, and any other agreements and other arrangements contained in, this Agreement; and</w:t>
      </w:r>
    </w:p>
    <w:p>
      <w:pPr>
        <w:spacing w:after="0" w:line="183" w:lineRule="exact"/>
        <w:rPr>
          <w:rFonts w:ascii="Times New Roman" w:cs="Times New Roman" w:eastAsia="Times New Roman" w:hAnsi="Times New Roman"/>
          <w:sz w:val="18"/>
          <w:szCs w:val="18"/>
          <w:color w:val="auto"/>
        </w:rPr>
      </w:pPr>
    </w:p>
    <w:p>
      <w:pPr>
        <w:ind w:left="652" w:right="20" w:hanging="328"/>
        <w:spacing w:after="0" w:line="315" w:lineRule="auto"/>
        <w:tabs>
          <w:tab w:leader="none" w:pos="65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clauses 17.1 (</w:t>
      </w:r>
      <w:r>
        <w:rPr>
          <w:rFonts w:ascii="Times New Roman" w:cs="Times New Roman" w:eastAsia="Times New Roman" w:hAnsi="Times New Roman"/>
          <w:sz w:val="17"/>
          <w:szCs w:val="17"/>
          <w:i w:val="1"/>
          <w:iCs w:val="1"/>
          <w:color w:val="auto"/>
        </w:rPr>
        <w:t>Guarantee and indemnity)</w:t>
      </w:r>
      <w:r>
        <w:rPr>
          <w:rFonts w:ascii="Times New Roman" w:cs="Times New Roman" w:eastAsia="Times New Roman" w:hAnsi="Times New Roman"/>
          <w:sz w:val="17"/>
          <w:szCs w:val="17"/>
          <w:color w:val="auto"/>
        </w:rPr>
        <w:t xml:space="preserve"> to 17.11 </w:t>
      </w: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xml:space="preserve"> (inclusive) of the Facility Agreement shall apply to the reconfirmation of the Guarantees by the Guarantors contained in this clause 6, as though incorporated herein in full.</w:t>
      </w:r>
    </w:p>
    <w:p>
      <w:pPr>
        <w:spacing w:after="0" w:line="133" w:lineRule="exact"/>
        <w:rPr>
          <w:sz w:val="20"/>
          <w:szCs w:val="20"/>
          <w:color w:val="auto"/>
        </w:rPr>
      </w:pPr>
    </w:p>
    <w:p>
      <w:pPr>
        <w:jc w:val="both"/>
        <w:ind w:left="-8" w:right="8860" w:firstLine="8"/>
        <w:spacing w:after="0" w:line="503" w:lineRule="auto"/>
        <w:tabs>
          <w:tab w:leader="none" w:pos="316"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7.1 Expenses</w:t>
      </w:r>
    </w:p>
    <w:p>
      <w:pPr>
        <w:ind w:left="332" w:right="220"/>
        <w:spacing w:after="0" w:line="282" w:lineRule="auto"/>
        <w:rPr>
          <w:sz w:val="20"/>
          <w:szCs w:val="20"/>
          <w:color w:val="auto"/>
        </w:rPr>
      </w:pPr>
      <w:r>
        <w:rPr>
          <w:rFonts w:ascii="Times New Roman" w:cs="Times New Roman" w:eastAsia="Times New Roman" w:hAnsi="Times New Roman"/>
          <w:sz w:val="18"/>
          <w:szCs w:val="18"/>
          <w:color w:val="auto"/>
        </w:rPr>
        <w:t>The Borrower agrees to pay to the Finance Parties on a full indemnity basis on demand by the Agent all expenses (including legal and out-of-pocket expenses) reasonably incurred by any of them:</w:t>
      </w:r>
    </w:p>
    <w:p>
      <w:pPr>
        <w:spacing w:after="0" w:line="162" w:lineRule="exact"/>
        <w:rPr>
          <w:sz w:val="20"/>
          <w:szCs w:val="20"/>
          <w:color w:val="auto"/>
        </w:rPr>
      </w:pPr>
    </w:p>
    <w:p>
      <w:pPr>
        <w:ind w:left="652" w:hanging="328"/>
        <w:spacing w:after="0" w:line="266"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negotiation, preparation, execution and, where relevant, registration of this Agreement or any of the other Relevant Documents and any amendment or extension of or the granting of any consent under this Agreement or the other Relevant Documents; and</w:t>
      </w:r>
    </w:p>
    <w:p>
      <w:pPr>
        <w:spacing w:after="0" w:line="175" w:lineRule="exact"/>
        <w:rPr>
          <w:rFonts w:ascii="Times New Roman" w:cs="Times New Roman" w:eastAsia="Times New Roman" w:hAnsi="Times New Roman"/>
          <w:sz w:val="18"/>
          <w:szCs w:val="18"/>
          <w:color w:val="auto"/>
        </w:rPr>
      </w:pPr>
    </w:p>
    <w:p>
      <w:pPr>
        <w:ind w:left="652" w:right="80" w:hanging="328"/>
        <w:spacing w:after="0" w:line="266" w:lineRule="auto"/>
        <w:tabs>
          <w:tab w:leader="none" w:pos="65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contemplation of, or otherwise in connection with, the enforcement of, or preservation of any rights under this Agreement or the other Relevant Documents or otherwise in respect of the monies owing and obligations incurred under this Agreement and the other Relevant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92"/>
          </w:cols>
          <w:pgMar w:left="988" w:top="877" w:right="1019" w:bottom="1440" w:gutter="0" w:footer="0" w:header="0"/>
        </w:sectPr>
      </w:pPr>
    </w:p>
    <w:bookmarkStart w:id="144" w:name="page145"/>
    <w:bookmarkEnd w:id="144"/>
    <w:p>
      <w:pPr>
        <w:ind w:left="660" w:right="180"/>
        <w:spacing w:after="0" w:line="284" w:lineRule="auto"/>
        <w:rPr>
          <w:sz w:val="20"/>
          <w:szCs w:val="20"/>
          <w:color w:val="auto"/>
        </w:rPr>
      </w:pPr>
      <w:r>
        <w:rPr>
          <w:rFonts w:ascii="Times New Roman" w:cs="Times New Roman" w:eastAsia="Times New Roman" w:hAnsi="Times New Roman"/>
          <w:sz w:val="18"/>
          <w:szCs w:val="18"/>
          <w:color w:val="auto"/>
        </w:rPr>
        <w:t xml:space="preserve">together with interest at the rate and in the manner referred to in clause 9.3 </w:t>
      </w:r>
      <w:r>
        <w:rPr>
          <w:rFonts w:ascii="Times New Roman" w:cs="Times New Roman" w:eastAsia="Times New Roman" w:hAnsi="Times New Roman"/>
          <w:sz w:val="18"/>
          <w:szCs w:val="18"/>
          <w:i w:val="1"/>
          <w:iCs w:val="1"/>
          <w:color w:val="auto"/>
        </w:rPr>
        <w:t>(Default interest)</w:t>
      </w:r>
      <w:r>
        <w:rPr>
          <w:rFonts w:ascii="Times New Roman" w:cs="Times New Roman" w:eastAsia="Times New Roman" w:hAnsi="Times New Roman"/>
          <w:sz w:val="18"/>
          <w:szCs w:val="18"/>
          <w:color w:val="auto"/>
        </w:rPr>
        <w:t xml:space="preserve"> of the Principal Agreement from the date on which such expenses were incurred, to the date of payment (after, as well as before judgment).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Value Added Tax</w:t>
      </w:r>
    </w:p>
    <w:p>
      <w:pPr>
        <w:spacing w:after="0" w:line="229" w:lineRule="exact"/>
        <w:rPr>
          <w:sz w:val="20"/>
          <w:szCs w:val="20"/>
          <w:color w:val="auto"/>
        </w:rPr>
      </w:pPr>
    </w:p>
    <w:p>
      <w:pPr>
        <w:ind w:left="340" w:right="380"/>
        <w:spacing w:after="0" w:line="266" w:lineRule="auto"/>
        <w:rPr>
          <w:sz w:val="20"/>
          <w:szCs w:val="20"/>
          <w:color w:val="auto"/>
        </w:rPr>
      </w:pPr>
      <w:r>
        <w:rPr>
          <w:rFonts w:ascii="Times New Roman" w:cs="Times New Roman" w:eastAsia="Times New Roman" w:hAnsi="Times New Roman"/>
          <w:sz w:val="18"/>
          <w:szCs w:val="18"/>
          <w:color w:val="auto"/>
        </w:rPr>
        <w:t>All expenses payable pursuant to this clause 7 shall be paid together with value added tax or any similar tax (if any) properly chargeable thereon. Any value added tax chargeable in respect of any services supplied by any of the Finance Parties under this Agreement shall, on delivery of the value added tax invoice, be paid in addition to any sum agreed to be paid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 Stamp and other duties</w:t>
      </w:r>
    </w:p>
    <w:p>
      <w:pPr>
        <w:spacing w:after="0" w:line="229" w:lineRule="exact"/>
        <w:rPr>
          <w:sz w:val="20"/>
          <w:szCs w:val="20"/>
          <w:color w:val="auto"/>
        </w:rPr>
      </w:pPr>
    </w:p>
    <w:p>
      <w:pPr>
        <w:jc w:val="both"/>
        <w:ind w:left="340" w:right="40"/>
        <w:spacing w:after="0" w:line="266" w:lineRule="auto"/>
        <w:rPr>
          <w:sz w:val="20"/>
          <w:szCs w:val="20"/>
          <w:color w:val="auto"/>
        </w:rPr>
      </w:pPr>
      <w:r>
        <w:rPr>
          <w:rFonts w:ascii="Times New Roman" w:cs="Times New Roman" w:eastAsia="Times New Roman" w:hAnsi="Times New Roman"/>
          <w:sz w:val="18"/>
          <w:szCs w:val="18"/>
          <w:color w:val="auto"/>
        </w:rPr>
        <w:t>The Borrower shall pay and, within five (5) Business Days of demand by the Agent, indemnify each Finance Party against any cost, loss or liability that such Finance Party incurs in relation to all stamp duty, registration and other similar Taxes payable in respect of this Agreement and any of the other Relevant Documents.</w:t>
      </w:r>
    </w:p>
    <w:p>
      <w:pPr>
        <w:spacing w:after="0" w:line="172"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and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Notices, remedies and waivers</w:t>
      </w:r>
    </w:p>
    <w:p>
      <w:pPr>
        <w:spacing w:after="0" w:line="22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 xml:space="preserve">The provisions of clause 42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and clause 45 </w:t>
      </w:r>
      <w:r>
        <w:rPr>
          <w:rFonts w:ascii="Times New Roman" w:cs="Times New Roman" w:eastAsia="Times New Roman" w:hAnsi="Times New Roman"/>
          <w:sz w:val="18"/>
          <w:szCs w:val="18"/>
          <w:i w:val="1"/>
          <w:iCs w:val="1"/>
          <w:color w:val="auto"/>
        </w:rPr>
        <w:t>(Remedies and waivers)</w:t>
      </w:r>
      <w:r>
        <w:rPr>
          <w:rFonts w:ascii="Times New Roman" w:cs="Times New Roman" w:eastAsia="Times New Roman" w:hAnsi="Times New Roman"/>
          <w:sz w:val="18"/>
          <w:szCs w:val="18"/>
          <w:color w:val="auto"/>
        </w:rPr>
        <w:t xml:space="preserve"> of the Facility Agreement shall apply to this Agreement if set out herein.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Counterparts</w:t>
      </w:r>
    </w:p>
    <w:p>
      <w:pPr>
        <w:spacing w:after="0" w:line="229" w:lineRule="exact"/>
        <w:rPr>
          <w:sz w:val="20"/>
          <w:szCs w:val="20"/>
          <w:color w:val="auto"/>
        </w:rPr>
      </w:pPr>
    </w:p>
    <w:p>
      <w:pPr>
        <w:ind w:left="340" w:right="40"/>
        <w:spacing w:after="0" w:line="312" w:lineRule="auto"/>
        <w:rPr>
          <w:sz w:val="20"/>
          <w:szCs w:val="20"/>
          <w:color w:val="auto"/>
        </w:rPr>
      </w:pPr>
      <w:r>
        <w:rPr>
          <w:rFonts w:ascii="Times New Roman" w:cs="Times New Roman" w:eastAsia="Times New Roman" w:hAnsi="Times New Roman"/>
          <w:sz w:val="17"/>
          <w:szCs w:val="17"/>
          <w:color w:val="auto"/>
        </w:rPr>
        <w:t>This Agreement may be executed in any number of counterparts and by the different parties on separate counterparts, each of which when so executed and delivered shall be an original but all counterparts shall together constitute one and the same instrument.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Partial invalidity</w:t>
      </w:r>
    </w:p>
    <w:p>
      <w:pPr>
        <w:spacing w:after="0" w:line="229" w:lineRule="exact"/>
        <w:rPr>
          <w:sz w:val="20"/>
          <w:szCs w:val="20"/>
          <w:color w:val="auto"/>
        </w:rPr>
      </w:pPr>
    </w:p>
    <w:p>
      <w:pPr>
        <w:jc w:val="both"/>
        <w:ind w:left="340" w:right="140"/>
        <w:spacing w:after="0" w:line="289" w:lineRule="auto"/>
        <w:rPr>
          <w:sz w:val="20"/>
          <w:szCs w:val="20"/>
          <w:color w:val="auto"/>
        </w:rPr>
      </w:pPr>
      <w:r>
        <w:rPr>
          <w:rFonts w:ascii="Times New Roman" w:cs="Times New Roman" w:eastAsia="Times New Roman" w:hAnsi="Times New Roman"/>
          <w:sz w:val="17"/>
          <w:szCs w:val="17"/>
          <w:color w:val="auto"/>
        </w:rPr>
        <w:t>If, at any time, any provision of this Agreement is or becomes illegal, invalid or unenforceable in any respect under any law of any jurisdiction, neither the legality, validity or enforceability of the remaining provisions nor the legality, validity or enforceability of such provision in any other respect or under the law of any other jurisdiction will be affected or impaired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5" w:right="10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8.4 No Prejudice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Nothing in this Agreement:</w:t>
      </w:r>
    </w:p>
    <w:p>
      <w:pPr>
        <w:spacing w:after="0" w:line="225" w:lineRule="exact"/>
        <w:rPr>
          <w:sz w:val="20"/>
          <w:szCs w:val="20"/>
          <w:color w:val="auto"/>
        </w:rPr>
      </w:pPr>
    </w:p>
    <w:p>
      <w:pPr>
        <w:ind w:left="660" w:right="80" w:hanging="328"/>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prejudices or adversely affects any right, power, authority, discretion or remedy of a Finance Party arising under any Guarantee or any other Finance Documents before the Effective Date; or</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5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discharges, releases or otherwise affects any liability or obligation of any Guarantor arising under any Guarantee or under any Finance Document or otherwise before the Effective Date.</w:t>
      </w:r>
    </w:p>
    <w:p>
      <w:pPr>
        <w:spacing w:after="0" w:line="158" w:lineRule="exact"/>
        <w:rPr>
          <w:sz w:val="20"/>
          <w:szCs w:val="20"/>
          <w:color w:val="auto"/>
        </w:rPr>
      </w:pPr>
    </w:p>
    <w:p>
      <w:pPr>
        <w:jc w:val="both"/>
        <w:ind w:right="8420" w:firstLine="8"/>
        <w:spacing w:after="0" w:line="503" w:lineRule="auto"/>
        <w:tabs>
          <w:tab w:leader="none" w:pos="32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9.1 Governing law</w:t>
      </w:r>
    </w:p>
    <w:p>
      <w:pPr>
        <w:ind w:left="340"/>
        <w:spacing w:after="0"/>
        <w:rPr>
          <w:sz w:val="20"/>
          <w:szCs w:val="20"/>
          <w:color w:val="auto"/>
        </w:rPr>
      </w:pPr>
      <w:r>
        <w:rPr>
          <w:rFonts w:ascii="Times New Roman" w:cs="Times New Roman" w:eastAsia="Times New Roman" w:hAnsi="Times New Roman"/>
          <w:sz w:val="18"/>
          <w:szCs w:val="18"/>
          <w:color w:val="auto"/>
        </w:rPr>
        <w:t>This Agreement, and any non-contractual obligations connected with it, are governed by English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Jurisdiction of English courts</w:t>
      </w:r>
    </w:p>
    <w:p>
      <w:pPr>
        <w:spacing w:after="0" w:line="229" w:lineRule="exact"/>
        <w:rPr>
          <w:sz w:val="20"/>
          <w:szCs w:val="20"/>
          <w:color w:val="auto"/>
        </w:rPr>
      </w:pPr>
    </w:p>
    <w:p>
      <w:pPr>
        <w:jc w:val="both"/>
        <w:ind w:left="660" w:right="26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England have exclusive jurisdiction to settle any dispute arising out of or in connection with this Agreement or any non-contractual obligations connected with it (including a dispute regarding the existence, validity or termination of this Agreement) (a Dispute).</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9.2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 Service of process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Without prejudice to any other mode of service allowed under any relevant law, each Relevant Party:</w:t>
      </w:r>
    </w:p>
    <w:p>
      <w:pPr>
        <w:spacing w:after="0" w:line="224" w:lineRule="exact"/>
        <w:rPr>
          <w:sz w:val="20"/>
          <w:szCs w:val="20"/>
          <w:color w:val="auto"/>
        </w:rPr>
      </w:pPr>
    </w:p>
    <w:p>
      <w:pPr>
        <w:ind w:left="660" w:hanging="328"/>
        <w:spacing w:after="0" w:line="281"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appoints the person named in Schedule 1 to the Facility Agreement as that Relevant Party</w:t>
      </w:r>
      <w:r>
        <w:rPr>
          <w:rFonts w:ascii="Arial" w:cs="Arial" w:eastAsia="Arial" w:hAnsi="Arial"/>
          <w:sz w:val="18"/>
          <w:szCs w:val="18"/>
          <w:color w:val="auto"/>
        </w:rPr>
        <w:t>’</w:t>
      </w:r>
      <w:r>
        <w:rPr>
          <w:rFonts w:ascii="Times New Roman" w:cs="Times New Roman" w:eastAsia="Times New Roman" w:hAnsi="Times New Roman"/>
          <w:sz w:val="18"/>
          <w:szCs w:val="18"/>
          <w:color w:val="auto"/>
        </w:rPr>
        <w:t>s English process agent as its agent for service of process in relation to any proceedings before the English courts in connection with this Agreement;</w:t>
      </w:r>
    </w:p>
    <w:p>
      <w:pPr>
        <w:spacing w:after="0" w:line="16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 process agent to notify a Relevant Party of the process will not invalidate the proceedings concerned;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process agent for a Relevant Party is unable for any reason to act as agent for service of process, that Relevant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46" w:name="page147"/>
    <w:bookmarkEnd w:id="146"/>
    <w:p>
      <w:pPr>
        <w:ind w:left="660"/>
        <w:spacing w:after="0" w:line="282" w:lineRule="auto"/>
        <w:rPr>
          <w:sz w:val="20"/>
          <w:szCs w:val="20"/>
          <w:color w:val="auto"/>
        </w:rPr>
      </w:pPr>
      <w:r>
        <w:rPr>
          <w:rFonts w:ascii="Times New Roman" w:cs="Times New Roman" w:eastAsia="Times New Roman" w:hAnsi="Times New Roman"/>
          <w:sz w:val="18"/>
          <w:szCs w:val="18"/>
          <w:color w:val="auto"/>
        </w:rPr>
        <w:t>must immediately (and in any event within ten days of such event taking place) appoint another agent on terms acceptable to the Agent. Failing this, the Agent may appoint another agent for this purpose.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Agreement has been duly executed and delivered as a deed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7" w:name="page148"/>
    <w:bookmarkEnd w:id="147"/>
    <w:tbl>
      <w:tblPr>
        <w:tblLayout w:type="fixed"/>
        <w:tblInd w:w="1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680" w:type="dxa"/>
            <w:vAlign w:val="bottom"/>
            <w:gridSpan w:val="2"/>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Schedule 1</w:t>
            </w:r>
          </w:p>
        </w:tc>
      </w:tr>
      <w:tr>
        <w:trPr>
          <w:trHeight w:val="238"/>
        </w:trPr>
        <w:tc>
          <w:tcPr>
            <w:tcW w:w="3260" w:type="dxa"/>
            <w:vAlign w:val="bottom"/>
          </w:tcPr>
          <w:p>
            <w:pPr>
              <w:spacing w:after="0"/>
              <w:rPr>
                <w:sz w:val="20"/>
                <w:szCs w:val="20"/>
                <w:color w:val="auto"/>
              </w:rPr>
            </w:pPr>
          </w:p>
        </w:tc>
        <w:tc>
          <w:tcPr>
            <w:tcW w:w="668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The Guarantors</w:t>
            </w:r>
          </w:p>
        </w:tc>
      </w:tr>
      <w:tr>
        <w:trPr>
          <w:trHeight w:val="445"/>
        </w:trPr>
        <w:tc>
          <w:tcPr>
            <w:tcW w:w="3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68"/>
        </w:trPr>
        <w:tc>
          <w:tcPr>
            <w:tcW w:w="3260" w:type="dxa"/>
            <w:vAlign w:val="bottom"/>
            <w:tcBorders>
              <w:left w:val="single" w:sz="8" w:color="auto"/>
              <w:bottom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20" w:type="dxa"/>
            <w:vAlign w:val="bottom"/>
            <w:tcBorders>
              <w:bottom w:val="single" w:sz="8" w:color="EBEBEB"/>
              <w:right w:val="single" w:sz="8" w:color="EBEBEB"/>
            </w:tcBorders>
            <w:shd w:val="clear" w:color="auto" w:fill="EBEBEB"/>
          </w:tcPr>
          <w:p>
            <w:pPr>
              <w:spacing w:after="0"/>
              <w:rPr>
                <w:sz w:val="22"/>
                <w:szCs w:val="22"/>
                <w:color w:val="auto"/>
              </w:rPr>
            </w:pP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32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1720" w:type="dxa"/>
            <w:vAlign w:val="bottom"/>
            <w:tcBorders>
              <w:top w:val="single" w:sz="8" w:color="auto"/>
              <w:right w:val="single" w:sz="8" w:color="auto"/>
            </w:tcBorders>
          </w:tcPr>
          <w:p>
            <w:pPr>
              <w:spacing w:after="0"/>
              <w:rPr>
                <w:sz w:val="19"/>
                <w:szCs w:val="19"/>
                <w:color w:val="auto"/>
              </w:rPr>
            </w:pP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GAS-twenty two Ltd.</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49075</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3260" w:type="dxa"/>
            <w:vAlign w:val="bottom"/>
            <w:tcBorders>
              <w:left w:val="single" w:sz="8" w:color="auto"/>
              <w:bottom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20" w:type="dxa"/>
            <w:vAlign w:val="bottom"/>
            <w:tcBorders>
              <w:bottom w:val="single" w:sz="8" w:color="EBEBEB"/>
              <w:right w:val="single" w:sz="8" w:color="EBEBEB"/>
            </w:tcBorders>
            <w:shd w:val="clear" w:color="auto" w:fill="EBEBEB"/>
          </w:tcPr>
          <w:p>
            <w:pPr>
              <w:spacing w:after="0"/>
              <w:rPr>
                <w:sz w:val="22"/>
                <w:szCs w:val="22"/>
                <w:color w:val="auto"/>
              </w:rPr>
            </w:pP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32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1720" w:type="dxa"/>
            <w:vAlign w:val="bottom"/>
            <w:tcBorders>
              <w:top w:val="single" w:sz="8" w:color="auto"/>
              <w:right w:val="single" w:sz="8" w:color="auto"/>
            </w:tcBorders>
          </w:tcPr>
          <w:p>
            <w:pPr>
              <w:spacing w:after="0"/>
              <w:rPr>
                <w:sz w:val="19"/>
                <w:szCs w:val="19"/>
                <w:color w:val="auto"/>
              </w:rPr>
            </w:pP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GAS-twenty three Ltd.</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49074</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3260" w:type="dxa"/>
            <w:vAlign w:val="bottom"/>
            <w:tcBorders>
              <w:left w:val="single" w:sz="8" w:color="auto"/>
              <w:bottom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20" w:type="dxa"/>
            <w:vAlign w:val="bottom"/>
            <w:tcBorders>
              <w:bottom w:val="single" w:sz="8" w:color="EBEBEB"/>
              <w:right w:val="single" w:sz="8" w:color="EBEBEB"/>
            </w:tcBorders>
            <w:shd w:val="clear" w:color="auto" w:fill="EBEBEB"/>
          </w:tcPr>
          <w:p>
            <w:pPr>
              <w:spacing w:after="0"/>
              <w:rPr>
                <w:sz w:val="22"/>
                <w:szCs w:val="22"/>
                <w:color w:val="auto"/>
              </w:rPr>
            </w:pP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32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1720" w:type="dxa"/>
            <w:vAlign w:val="bottom"/>
            <w:tcBorders>
              <w:top w:val="single" w:sz="8" w:color="auto"/>
              <w:right w:val="single" w:sz="8" w:color="auto"/>
            </w:tcBorders>
          </w:tcPr>
          <w:p>
            <w:pPr>
              <w:spacing w:after="0"/>
              <w:rPr>
                <w:sz w:val="19"/>
                <w:szCs w:val="19"/>
                <w:color w:val="auto"/>
              </w:rPr>
            </w:pP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Ltd.</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53133</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3260" w:type="dxa"/>
            <w:vAlign w:val="bottom"/>
            <w:tcBorders>
              <w:left w:val="single" w:sz="8" w:color="auto"/>
              <w:bottom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720" w:type="dxa"/>
            <w:vAlign w:val="bottom"/>
            <w:tcBorders>
              <w:bottom w:val="single" w:sz="8" w:color="EBEBEB"/>
              <w:right w:val="single" w:sz="8" w:color="EBEBEB"/>
            </w:tcBorders>
            <w:shd w:val="clear" w:color="auto" w:fill="EBEBEB"/>
          </w:tcPr>
          <w:p>
            <w:pPr>
              <w:spacing w:after="0"/>
              <w:rPr>
                <w:sz w:val="22"/>
                <w:szCs w:val="22"/>
                <w:color w:val="auto"/>
              </w:rPr>
            </w:pP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32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1720" w:type="dxa"/>
            <w:vAlign w:val="bottom"/>
            <w:tcBorders>
              <w:top w:val="single" w:sz="8" w:color="auto"/>
              <w:right w:val="single" w:sz="8" w:color="auto"/>
            </w:tcBorders>
          </w:tcPr>
          <w:p>
            <w:pPr>
              <w:spacing w:after="0"/>
              <w:rPr>
                <w:sz w:val="19"/>
                <w:szCs w:val="19"/>
                <w:color w:val="auto"/>
              </w:rPr>
            </w:pP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GAS-twenty eight Ltd.</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32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1720" w:type="dxa"/>
            <w:vAlign w:val="bottom"/>
            <w:tcBorders>
              <w:right w:val="single" w:sz="8" w:color="auto"/>
            </w:tcBorders>
          </w:tcPr>
          <w:p>
            <w:pPr>
              <w:spacing w:after="0"/>
              <w:rPr>
                <w:sz w:val="19"/>
                <w:szCs w:val="19"/>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51888</w:t>
            </w:r>
          </w:p>
        </w:tc>
      </w:tr>
      <w:tr>
        <w:trPr>
          <w:trHeight w:val="36"/>
        </w:trPr>
        <w:tc>
          <w:tcPr>
            <w:tcW w:w="3260" w:type="dxa"/>
            <w:vAlign w:val="bottom"/>
            <w:tcBorders>
              <w:left w:val="single" w:sz="8" w:color="auto"/>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73" w:right="979"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908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6301105" cy="908685"/>
                    </a:xfrm>
                    <a:prstGeom prst="rect">
                      <a:avLst/>
                    </a:prstGeom>
                    <a:noFill/>
                  </pic:spPr>
                </pic:pic>
              </a:graphicData>
            </a:graphic>
          </wp:anchor>
        </w:drawing>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one Ltd.</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53134</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two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53135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three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53625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four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53626</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908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301105" cy="908685"/>
                    </a:xfrm>
                    <a:prstGeom prst="rect">
                      <a:avLst/>
                    </a:prstGeom>
                    <a:noFill/>
                  </pic:spPr>
                </pic:pic>
              </a:graphicData>
            </a:graphic>
          </wp:anchor>
        </w:drawing>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GAS-thirty five Ltd.</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54252</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GAS-one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41494</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GAS-two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41495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Gaslog Hellas-1 Special Maritime Enterprise</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Greece</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69, Akti Miaouli Street, Piraeus, Greece</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5164</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908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301105" cy="908685"/>
                    </a:xfrm>
                    <a:prstGeom prst="rect">
                      <a:avLst/>
                    </a:prstGeom>
                    <a:noFill/>
                  </pic:spPr>
                </pic:pic>
              </a:graphicData>
            </a:graphic>
          </wp:anchor>
        </w:drawing>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GAS-eleven Ltd.</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47182</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GAS-twelve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47183</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GAS-thirteen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47914</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GAS-fourteen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47915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908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6301105" cy="908685"/>
                    </a:xfrm>
                    <a:prstGeom prst="rect">
                      <a:avLst/>
                    </a:prstGeom>
                    <a:noFill/>
                  </pic:spPr>
                </pic:pic>
              </a:graphicData>
            </a:graphic>
          </wp:anchor>
        </w:drawing>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GAS-sixteen Ltd.</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48624</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GAS-seventeen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48625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GAS-seven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45254</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439"/>
        </w:trPr>
        <w:tc>
          <w:tcPr>
            <w:tcW w:w="49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268"/>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GAS-eight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45255</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908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6301105" cy="908685"/>
                    </a:xfrm>
                    <a:prstGeom prst="rect">
                      <a:avLst/>
                    </a:prstGeom>
                    <a:noFill/>
                  </pic:spPr>
                </pic:pic>
              </a:graphicData>
            </a:graphic>
          </wp:anchor>
        </w:drawing>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GAS-nineteen Ltd.</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48943</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GAS-twenty seven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49900</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the Marshall Islands</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191"/>
        </w:trPr>
        <w:tc>
          <w:tcPr>
            <w:tcW w:w="498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Trust Company Complex, Ajeltake Road, Ajeltake Island, Majuro</w:t>
            </w:r>
          </w:p>
        </w:tc>
      </w:tr>
      <w:tr>
        <w:trPr>
          <w:trHeight w:val="234"/>
        </w:trPr>
        <w:tc>
          <w:tcPr>
            <w:tcW w:w="4980" w:type="dxa"/>
            <w:vAlign w:val="bottom"/>
            <w:tcBorders>
              <w:left w:val="single" w:sz="8" w:color="auto"/>
              <w:right w:val="single" w:sz="8" w:color="auto"/>
            </w:tcBorders>
          </w:tcPr>
          <w:p>
            <w:pPr>
              <w:spacing w:after="0"/>
              <w:rPr>
                <w:sz w:val="20"/>
                <w:szCs w:val="20"/>
                <w:color w:val="auto"/>
              </w:rPr>
            </w:pP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MH96960, Marshall Islands</w:t>
            </w:r>
          </w:p>
        </w:tc>
      </w:tr>
      <w:tr>
        <w:trPr>
          <w:trHeight w:val="54"/>
        </w:trPr>
        <w:tc>
          <w:tcPr>
            <w:tcW w:w="4980" w:type="dxa"/>
            <w:vAlign w:val="bottom"/>
            <w:tcBorders>
              <w:left w:val="single" w:sz="8" w:color="auto"/>
              <w:bottom w:val="single" w:sz="8" w:color="auto"/>
              <w:right w:val="single" w:sz="8" w:color="auto"/>
            </w:tcBorders>
          </w:tcPr>
          <w:p>
            <w:pPr>
              <w:spacing w:after="0"/>
              <w:rPr>
                <w:sz w:val="4"/>
                <w:szCs w:val="4"/>
                <w:color w:val="auto"/>
              </w:rPr>
            </w:pPr>
          </w:p>
        </w:tc>
        <w:tc>
          <w:tcPr>
            <w:tcW w:w="4960" w:type="dxa"/>
            <w:vAlign w:val="bottom"/>
            <w:tcBorders>
              <w:bottom w:val="single" w:sz="8" w:color="auto"/>
              <w:right w:val="single" w:sz="8" w:color="auto"/>
            </w:tcBorders>
          </w:tcPr>
          <w:p>
            <w:pPr>
              <w:spacing w:after="0"/>
              <w:rPr>
                <w:sz w:val="4"/>
                <w:szCs w:val="4"/>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950063</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269"/>
        </w:trPr>
        <w:tc>
          <w:tcPr>
            <w:tcW w:w="4980" w:type="dxa"/>
            <w:vAlign w:val="bottom"/>
            <w:tcBorders>
              <w:left w:val="single" w:sz="8" w:color="auto"/>
              <w:bottom w:val="single" w:sz="8" w:color="EBEBEB"/>
              <w:right w:val="single" w:sz="8" w:color="EBEBEB"/>
            </w:tcBorders>
            <w:shd w:val="clear" w:color="auto" w:fill="EBEBEB"/>
          </w:tcPr>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4960" w:type="dxa"/>
            <w:vAlign w:val="bottom"/>
            <w:tcBorders>
              <w:bottom w:val="single" w:sz="8" w:color="EBEBEB"/>
              <w:right w:val="single" w:sz="8" w:color="auto"/>
            </w:tcBorders>
            <w:shd w:val="clear" w:color="auto" w:fill="EBEBEB"/>
          </w:tcPr>
          <w:p>
            <w:pPr>
              <w:spacing w:after="0"/>
              <w:rPr>
                <w:sz w:val="22"/>
                <w:szCs w:val="22"/>
                <w:color w:val="auto"/>
              </w:rPr>
            </w:pPr>
          </w:p>
        </w:tc>
      </w:tr>
      <w:tr>
        <w:trPr>
          <w:trHeight w:val="228"/>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GasLog Carriers Ltd.</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Bermuda with limited liability</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Clarendon House, 2 Church Street, Hamilton HM 11, Bermuda</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28"/>
        </w:trPr>
        <w:tc>
          <w:tcPr>
            <w:tcW w:w="4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41493</w:t>
            </w:r>
          </w:p>
        </w:tc>
      </w:tr>
      <w:tr>
        <w:trPr>
          <w:trHeight w:val="36"/>
        </w:trPr>
        <w:tc>
          <w:tcPr>
            <w:tcW w:w="4980" w:type="dxa"/>
            <w:vAlign w:val="bottom"/>
            <w:tcBorders>
              <w:left w:val="single" w:sz="8" w:color="auto"/>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16" w:right="979"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301105" cy="1045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6301105" cy="104584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Gaslog Partners Holdings LLC</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Republic of the Marshall Islands</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r>
        <w:trPr>
          <w:trHeight w:val="191"/>
        </w:trPr>
        <w:tc>
          <w:tcPr>
            <w:tcW w:w="49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Registered office:</w:t>
            </w:r>
          </w:p>
        </w:tc>
        <w:tc>
          <w:tcPr>
            <w:tcW w:w="49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Trust Company Complex, Ajeltake Road, Ajeltake Island, Majuro</w:t>
            </w:r>
          </w:p>
        </w:tc>
      </w:tr>
      <w:tr>
        <w:trPr>
          <w:trHeight w:val="234"/>
        </w:trPr>
        <w:tc>
          <w:tcPr>
            <w:tcW w:w="4980" w:type="dxa"/>
            <w:vAlign w:val="bottom"/>
            <w:tcBorders>
              <w:right w:val="single" w:sz="8" w:color="auto"/>
            </w:tcBorders>
          </w:tcPr>
          <w:p>
            <w:pPr>
              <w:spacing w:after="0"/>
              <w:rPr>
                <w:sz w:val="20"/>
                <w:szCs w:val="20"/>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MH96960, Marshall Islands</w:t>
            </w:r>
          </w:p>
        </w:tc>
      </w:tr>
      <w:tr>
        <w:trPr>
          <w:trHeight w:val="54"/>
        </w:trPr>
        <w:tc>
          <w:tcPr>
            <w:tcW w:w="4980" w:type="dxa"/>
            <w:vAlign w:val="bottom"/>
            <w:tcBorders>
              <w:bottom w:val="single" w:sz="8" w:color="auto"/>
              <w:right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28"/>
        </w:trPr>
        <w:tc>
          <w:tcPr>
            <w:tcW w:w="4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Registered number:</w:t>
            </w: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962930</w:t>
            </w:r>
          </w:p>
        </w:tc>
      </w:tr>
      <w:tr>
        <w:trPr>
          <w:trHeight w:val="36"/>
        </w:trPr>
        <w:tc>
          <w:tcPr>
            <w:tcW w:w="498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900" w:right="979" w:bottom="1440" w:gutter="0" w:footer="0" w:header="0"/>
        </w:sectPr>
      </w:pPr>
    </w:p>
    <w:bookmarkStart w:id="154" w:name="page155"/>
    <w:bookmarkEnd w:id="154"/>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The Arrangers, Lenders and Hedging Providers</w:t>
      </w:r>
    </w:p>
    <w:p>
      <w:pPr>
        <w:spacing w:after="0" w:line="24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PART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-125095</wp:posOffset>
            </wp:positionV>
            <wp:extent cx="6301105" cy="2974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6301105" cy="2974340"/>
                    </a:xfrm>
                    <a:prstGeom prst="rect">
                      <a:avLst/>
                    </a:prstGeom>
                    <a:noFill/>
                  </pic:spPr>
                </pic:pic>
              </a:graphicData>
            </a:graphic>
          </wp:anchor>
        </w:drawing>
      </w:r>
    </w:p>
    <w:p>
      <w:pPr>
        <w:spacing w:after="0" w:line="2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The Arrangers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BANK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ABN AMRO BANK N.V.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DANISH SHIP FINANCE 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(UK)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 LONDON BRANCH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AUSTRALIA BANK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BANK OF GREECE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NORDEA BANK ABP, FILIAL I NORGE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OVERSEA-CHINESE BANKING CORPORATION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SKANDINAVISKA ENSKILDA BANKEN AB (PUBL)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 (SINGAPORE)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19"/>
          </w:cols>
          <w:pgMar w:left="1040" w:top="873" w:right="1440" w:bottom="1440" w:gutter="0" w:footer="0" w:header="0"/>
        </w:sectPr>
      </w:pPr>
    </w:p>
    <w:bookmarkStart w:id="155" w:name="page156"/>
    <w:bookmarkEnd w:id="155"/>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PART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-125095</wp:posOffset>
            </wp:positionV>
            <wp:extent cx="6301105" cy="2974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6301105" cy="2974340"/>
                    </a:xfrm>
                    <a:prstGeom prst="rect">
                      <a:avLst/>
                    </a:prstGeom>
                    <a:noFill/>
                  </pic:spPr>
                </pic:pic>
              </a:graphicData>
            </a:graphic>
          </wp:anchor>
        </w:drawing>
      </w:r>
    </w:p>
    <w:p>
      <w:pPr>
        <w:spacing w:after="0" w:line="2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The Lenders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BANK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ABN AMRO BANK N.V.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JERSEY BRANCH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DANISH SHIP FINANCE 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(UK)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 LONDON BRANCH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AUSTRALIA BANK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BANK OF GREECE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NORDEA BANK ABP, FILIAL I NORGE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OVERSEA-CHINESE BANKING CORPORATION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SKANDINAVISKA ENSKILDA BANKEN AB (PUBL)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 (SINGAPORE)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19"/>
          </w:cols>
          <w:pgMar w:left="1040" w:top="900" w:right="1440" w:bottom="1440" w:gutter="0" w:footer="0" w:header="0"/>
        </w:sectPr>
      </w:pPr>
    </w:p>
    <w:bookmarkStart w:id="156" w:name="page157"/>
    <w:bookmarkEnd w:id="156"/>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-125095</wp:posOffset>
            </wp:positionV>
            <wp:extent cx="6301105" cy="2802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301105" cy="2802890"/>
                    </a:xfrm>
                    <a:prstGeom prst="rect">
                      <a:avLst/>
                    </a:prstGeom>
                    <a:noFill/>
                  </pic:spPr>
                </pic:pic>
              </a:graphicData>
            </a:graphic>
          </wp:anchor>
        </w:drawing>
      </w:r>
    </w:p>
    <w:p>
      <w:pPr>
        <w:spacing w:after="0" w:line="20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The Hedging Providers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BANK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ABN AMRO BANK N.V.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EUROPE PLC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BANK ASA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BANK N.V.</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AUSTRALIA BANK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BANK OF GREECE 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NORDEA BANK ABP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OVERSEA-CHINESE BANKING CORPORATION LIMITED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SKANDINAVISKA ENSKILDA BANKEN AB (PUBL)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CHARTERED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19"/>
          </w:cols>
          <w:pgMar w:left="1040" w:top="900" w:right="1440" w:bottom="1440" w:gutter="0" w:footer="0" w:header="0"/>
        </w:sectPr>
      </w:pPr>
    </w:p>
    <w:bookmarkStart w:id="157" w:name="page158"/>
    <w:bookmarkEnd w:id="157"/>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Documents and evidence required as conditions precedent</w:t>
      </w: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 xml:space="preserve">(referred to in clause 5.1 </w:t>
      </w:r>
      <w:r>
        <w:rPr>
          <w:rFonts w:ascii="Times New Roman" w:cs="Times New Roman" w:eastAsia="Times New Roman" w:hAnsi="Times New Roman"/>
          <w:sz w:val="18"/>
          <w:szCs w:val="18"/>
          <w:i w:val="1"/>
          <w:iCs w:val="1"/>
          <w:color w:val="auto"/>
        </w:rPr>
        <w:t>(Documents, evidence and Effective Date))</w:t>
      </w:r>
    </w:p>
    <w:p>
      <w:pPr>
        <w:spacing w:after="0" w:line="223" w:lineRule="exact"/>
        <w:rPr>
          <w:sz w:val="20"/>
          <w:szCs w:val="20"/>
          <w:color w:val="auto"/>
        </w:rPr>
      </w:pPr>
    </w:p>
    <w:p>
      <w:pPr>
        <w:ind w:left="332" w:hanging="332"/>
        <w:spacing w:after="0"/>
        <w:tabs>
          <w:tab w:leader="none" w:pos="33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Relevant Parties</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xml:space="preserve"> corporate documents</w:t>
      </w:r>
    </w:p>
    <w:p>
      <w:pPr>
        <w:spacing w:after="0" w:line="228" w:lineRule="exact"/>
        <w:rPr>
          <w:rFonts w:ascii="Times New Roman" w:cs="Times New Roman" w:eastAsia="Times New Roman" w:hAnsi="Times New Roman"/>
          <w:sz w:val="18"/>
          <w:szCs w:val="18"/>
          <w:b w:val="1"/>
          <w:bCs w:val="1"/>
          <w:color w:val="auto"/>
        </w:rPr>
      </w:pPr>
    </w:p>
    <w:p>
      <w:pPr>
        <w:ind w:left="652" w:hanging="328"/>
        <w:spacing w:after="0" w:line="266"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from an officer of each Relevant Party that no changes have been made to the Constitutional Documents of each Relevant Party from the copies previously provided to the Agent under the Facility Agreement (or if any such changes have been made, the relevant amended Constitutional Documents).</w:t>
      </w:r>
    </w:p>
    <w:p>
      <w:pPr>
        <w:spacing w:after="0" w:line="175"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in respect of GasLog Partners Holdings LLC and GasLog Partners LP.</w:t>
      </w:r>
    </w:p>
    <w:p>
      <w:pPr>
        <w:spacing w:after="0" w:line="225" w:lineRule="exact"/>
        <w:rPr>
          <w:rFonts w:ascii="Times New Roman" w:cs="Times New Roman" w:eastAsia="Times New Roman" w:hAnsi="Times New Roman"/>
          <w:sz w:val="18"/>
          <w:szCs w:val="18"/>
          <w:color w:val="auto"/>
        </w:rPr>
      </w:pPr>
    </w:p>
    <w:p>
      <w:pPr>
        <w:ind w:left="652" w:right="80" w:hanging="328"/>
        <w:spacing w:after="0" w:line="282"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resolution of the board of directors of each Relevant Party (or any committee of such board empowered to approve and authorise the following matters):</w:t>
      </w:r>
    </w:p>
    <w:p>
      <w:pPr>
        <w:spacing w:after="0" w:line="161" w:lineRule="exact"/>
        <w:rPr>
          <w:rFonts w:ascii="Times New Roman" w:cs="Times New Roman" w:eastAsia="Times New Roman" w:hAnsi="Times New Roman"/>
          <w:sz w:val="18"/>
          <w:szCs w:val="18"/>
          <w:color w:val="auto"/>
        </w:rPr>
      </w:pPr>
    </w:p>
    <w:p>
      <w:pPr>
        <w:ind w:left="972" w:right="480" w:hanging="324"/>
        <w:spacing w:after="0" w:line="312" w:lineRule="auto"/>
        <w:tabs>
          <w:tab w:leader="none" w:pos="972" w:val="left"/>
        </w:tabs>
        <w:numPr>
          <w:ilvl w:val="2"/>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and/or ratifying the terms of, and the transactions contemplated by, this Agreement and the other Relevant Documents to which it is a party and resolving that it execute the Relevant Documents to which it is a party;</w:t>
      </w:r>
    </w:p>
    <w:p>
      <w:pPr>
        <w:spacing w:after="0" w:line="139" w:lineRule="exact"/>
        <w:rPr>
          <w:rFonts w:ascii="Times New Roman" w:cs="Times New Roman" w:eastAsia="Times New Roman" w:hAnsi="Times New Roman"/>
          <w:sz w:val="17"/>
          <w:szCs w:val="17"/>
          <w:color w:val="auto"/>
        </w:rPr>
      </w:pPr>
    </w:p>
    <w:p>
      <w:pPr>
        <w:ind w:left="972" w:right="60" w:hanging="324"/>
        <w:spacing w:after="0" w:line="282" w:lineRule="auto"/>
        <w:tabs>
          <w:tab w:leader="none" w:pos="97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to execute the Relevant Documents on its behalf and/or ratifying the execution of the Relevant Documents; and</w:t>
      </w:r>
    </w:p>
    <w:p>
      <w:pPr>
        <w:spacing w:after="0" w:line="161" w:lineRule="exact"/>
        <w:rPr>
          <w:rFonts w:ascii="Times New Roman" w:cs="Times New Roman" w:eastAsia="Times New Roman" w:hAnsi="Times New Roman"/>
          <w:sz w:val="18"/>
          <w:szCs w:val="18"/>
          <w:color w:val="auto"/>
        </w:rPr>
      </w:pPr>
    </w:p>
    <w:p>
      <w:pPr>
        <w:jc w:val="both"/>
        <w:ind w:left="972" w:right="420" w:hanging="324"/>
        <w:spacing w:after="0" w:line="266" w:lineRule="auto"/>
        <w:tabs>
          <w:tab w:leader="none" w:pos="97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authorising a specified person or persons, on its behalf, to sign and/or dispatch all documents and notices to be signed and/or dispatched by it under or in connection with the Relevant Documents to which it is a party and/or ratifying the signing and/or dispatch of all such documents and notices.</w:t>
      </w:r>
    </w:p>
    <w:p>
      <w:pPr>
        <w:spacing w:after="0" w:line="175" w:lineRule="exact"/>
        <w:rPr>
          <w:rFonts w:ascii="Times New Roman" w:cs="Times New Roman" w:eastAsia="Times New Roman" w:hAnsi="Times New Roman"/>
          <w:sz w:val="18"/>
          <w:szCs w:val="18"/>
          <w:color w:val="auto"/>
        </w:rPr>
      </w:pPr>
    </w:p>
    <w:p>
      <w:pPr>
        <w:ind w:left="652" w:right="700" w:hanging="328"/>
        <w:spacing w:after="0" w:line="282"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copy of a resolution of the board of directors of the relevant company or other person, establishing any committee referred to in paragraph (b) above and conferring authority on that committee.</w:t>
      </w:r>
    </w:p>
    <w:p>
      <w:pPr>
        <w:spacing w:after="0" w:line="161" w:lineRule="exact"/>
        <w:rPr>
          <w:rFonts w:ascii="Times New Roman" w:cs="Times New Roman" w:eastAsia="Times New Roman" w:hAnsi="Times New Roman"/>
          <w:sz w:val="18"/>
          <w:szCs w:val="18"/>
          <w:color w:val="auto"/>
        </w:rPr>
      </w:pPr>
    </w:p>
    <w:p>
      <w:pPr>
        <w:jc w:val="both"/>
        <w:ind w:left="652" w:right="340" w:hanging="328"/>
        <w:spacing w:after="0" w:line="266"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the Constitutional Documents of the Relevant Parties or Marshall Islands or Bermudian law), a copy of a resolution signed by all the holders of the issued shares in each Relevant Party, approving the terms of, and the transactions contemplated by, the Relevant Documents to which such Relevant Party is a party.</w:t>
      </w:r>
    </w:p>
    <w:p>
      <w:pPr>
        <w:spacing w:after="0" w:line="175" w:lineRule="exact"/>
        <w:rPr>
          <w:rFonts w:ascii="Times New Roman" w:cs="Times New Roman" w:eastAsia="Times New Roman" w:hAnsi="Times New Roman"/>
          <w:sz w:val="18"/>
          <w:szCs w:val="18"/>
          <w:color w:val="auto"/>
        </w:rPr>
      </w:pPr>
    </w:p>
    <w:p>
      <w:pPr>
        <w:ind w:left="652" w:right="620" w:hanging="328"/>
        <w:spacing w:after="0" w:line="282"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power of attorney under which any person is to execute any of the Relevant Documents on behalf of any Relevant Party.</w:t>
      </w:r>
    </w:p>
    <w:p>
      <w:pPr>
        <w:spacing w:after="0" w:line="161" w:lineRule="exact"/>
        <w:rPr>
          <w:rFonts w:ascii="Times New Roman" w:cs="Times New Roman" w:eastAsia="Times New Roman" w:hAnsi="Times New Roman"/>
          <w:sz w:val="18"/>
          <w:szCs w:val="18"/>
          <w:color w:val="auto"/>
        </w:rPr>
      </w:pPr>
    </w:p>
    <w:p>
      <w:pPr>
        <w:ind w:left="652" w:right="40" w:hanging="328"/>
        <w:spacing w:after="0" w:line="282" w:lineRule="auto"/>
        <w:tabs>
          <w:tab w:leader="none" w:pos="65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authorised signatory of each Relevant Party certifying that each copy document relating to it specified in this Schedule is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158" w:name="page159"/>
    <w:bookmarkEnd w:id="158"/>
    <w:p>
      <w:pPr>
        <w:ind w:left="652" w:right="400"/>
        <w:spacing w:after="0" w:line="282" w:lineRule="auto"/>
        <w:rPr>
          <w:sz w:val="20"/>
          <w:szCs w:val="20"/>
          <w:color w:val="auto"/>
        </w:rPr>
      </w:pPr>
      <w:r>
        <w:rPr>
          <w:rFonts w:ascii="Times New Roman" w:cs="Times New Roman" w:eastAsia="Times New Roman" w:hAnsi="Times New Roman"/>
          <w:sz w:val="18"/>
          <w:szCs w:val="18"/>
          <w:color w:val="auto"/>
        </w:rPr>
        <w:t>complete and in full force and effect as at a date no earlier than the date of this Agreement and that any such resolutions or power of attorney have not been revoked.</w:t>
      </w:r>
    </w:p>
    <w:p>
      <w:pPr>
        <w:spacing w:after="0" w:line="158" w:lineRule="exact"/>
        <w:rPr>
          <w:sz w:val="20"/>
          <w:szCs w:val="20"/>
          <w:color w:val="auto"/>
        </w:rPr>
      </w:pPr>
    </w:p>
    <w:p>
      <w:pPr>
        <w:ind w:left="332" w:hanging="332"/>
        <w:spacing w:after="0"/>
        <w:tabs>
          <w:tab w:leader="none" w:pos="332"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opinions</w:t>
      </w:r>
    </w:p>
    <w:p>
      <w:pPr>
        <w:spacing w:after="0" w:line="229" w:lineRule="exact"/>
        <w:rPr>
          <w:rFonts w:ascii="Times New Roman" w:cs="Times New Roman" w:eastAsia="Times New Roman" w:hAnsi="Times New Roman"/>
          <w:sz w:val="18"/>
          <w:szCs w:val="18"/>
          <w:b w:val="1"/>
          <w:bCs w:val="1"/>
          <w:color w:val="auto"/>
        </w:rPr>
      </w:pPr>
    </w:p>
    <w:p>
      <w:pPr>
        <w:jc w:val="both"/>
        <w:ind w:left="652" w:right="440" w:hanging="328"/>
        <w:spacing w:after="0" w:line="266"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Norton Rose Fulbright Greece addressed to the Arranger, the Security Agent and the Agent and for the benefit of all the Finance Parties on matters of English law, substantially in the form approved by the Agent (acting on the instructions of the Majority Lenders) prior to signing this Agreement in relation to the Relevant Documents.</w:t>
      </w:r>
    </w:p>
    <w:p>
      <w:pPr>
        <w:spacing w:after="0" w:line="175" w:lineRule="exact"/>
        <w:rPr>
          <w:rFonts w:ascii="Times New Roman" w:cs="Times New Roman" w:eastAsia="Times New Roman" w:hAnsi="Times New Roman"/>
          <w:sz w:val="18"/>
          <w:szCs w:val="18"/>
          <w:color w:val="auto"/>
        </w:rPr>
      </w:pPr>
    </w:p>
    <w:p>
      <w:pPr>
        <w:ind w:left="652" w:hanging="328"/>
        <w:spacing w:after="0" w:line="266"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the legal advisers to the Arranger, the Security Agent and the Agent in each jurisdiction in which each Relevant Party is incorporated or which is required by the Lenders in substantially in the form approved by the Agent (acting on the instructions of the Majority Lenders) prior to signing this Agreement in relation to the Relevant Documents.</w:t>
      </w:r>
    </w:p>
    <w:p>
      <w:pPr>
        <w:spacing w:after="0" w:line="175" w:lineRule="exact"/>
        <w:rPr>
          <w:rFonts w:ascii="Times New Roman" w:cs="Times New Roman" w:eastAsia="Times New Roman" w:hAnsi="Times New Roman"/>
          <w:sz w:val="18"/>
          <w:szCs w:val="18"/>
          <w:color w:val="auto"/>
        </w:rPr>
      </w:pPr>
    </w:p>
    <w:p>
      <w:pPr>
        <w:ind w:left="652" w:right="260" w:hanging="328"/>
        <w:spacing w:after="0" w:line="282" w:lineRule="auto"/>
        <w:tabs>
          <w:tab w:leader="none" w:pos="65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Norton Rose Fulbright Greece to the Arranger, the Security Agent and the Agent on matters of Greek law which is the Flag State of the Relevant Ship substantially in the form approved by the Agent.</w:t>
      </w:r>
    </w:p>
    <w:p>
      <w:pPr>
        <w:spacing w:after="0" w:line="158" w:lineRule="exact"/>
        <w:rPr>
          <w:sz w:val="20"/>
          <w:szCs w:val="20"/>
          <w:color w:val="auto"/>
        </w:rPr>
      </w:pPr>
    </w:p>
    <w:p>
      <w:pPr>
        <w:ind w:left="332" w:hanging="332"/>
        <w:spacing w:after="0"/>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addenda registration</w:t>
      </w:r>
    </w:p>
    <w:p>
      <w:pPr>
        <w:spacing w:after="0" w:line="229" w:lineRule="exact"/>
        <w:rPr>
          <w:sz w:val="20"/>
          <w:szCs w:val="20"/>
          <w:color w:val="auto"/>
        </w:rPr>
      </w:pPr>
    </w:p>
    <w:p>
      <w:pPr>
        <w:ind w:left="332" w:right="280"/>
        <w:spacing w:after="0" w:line="282" w:lineRule="auto"/>
        <w:rPr>
          <w:sz w:val="20"/>
          <w:szCs w:val="20"/>
          <w:color w:val="auto"/>
        </w:rPr>
      </w:pPr>
      <w:r>
        <w:rPr>
          <w:rFonts w:ascii="Times New Roman" w:cs="Times New Roman" w:eastAsia="Times New Roman" w:hAnsi="Times New Roman"/>
          <w:sz w:val="18"/>
          <w:szCs w:val="18"/>
          <w:color w:val="auto"/>
        </w:rPr>
        <w:t>Evidence that the First Priority Mortgage Addendum and the Second Priority Mortgage Addendum have been duly executed and permanently registered against the Relevant Ship through the Registry under the relevant Flag State.</w:t>
      </w:r>
    </w:p>
    <w:p>
      <w:pPr>
        <w:spacing w:after="0" w:line="158" w:lineRule="exact"/>
        <w:rPr>
          <w:sz w:val="20"/>
          <w:szCs w:val="20"/>
          <w:color w:val="auto"/>
        </w:rPr>
      </w:pPr>
    </w:p>
    <w:p>
      <w:pPr>
        <w:ind w:left="332" w:hanging="332"/>
        <w:spacing w:after="0"/>
        <w:tabs>
          <w:tab w:leader="none" w:pos="33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 and evidence</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any process agent referred to in the Relevant Documents has accepted its appointment.</w:t>
      </w:r>
    </w:p>
    <w:p>
      <w:pPr>
        <w:spacing w:after="0" w:line="225" w:lineRule="exact"/>
        <w:rPr>
          <w:rFonts w:ascii="Times New Roman" w:cs="Times New Roman" w:eastAsia="Times New Roman" w:hAnsi="Times New Roman"/>
          <w:sz w:val="18"/>
          <w:szCs w:val="18"/>
          <w:color w:val="auto"/>
        </w:rPr>
      </w:pPr>
    </w:p>
    <w:p>
      <w:pPr>
        <w:ind w:left="652" w:right="400" w:hanging="328"/>
        <w:spacing w:after="0" w:line="266" w:lineRule="auto"/>
        <w:tabs>
          <w:tab w:leader="none" w:pos="65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other authorisation or other document, opinion or assurance which the Agent reasonably considers to be necessary or desirable in connection with the entry into and performance of the transactions contemplated by any Relevant Document or for the validity and enforceability of any Relevant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7" w:right="10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Borrower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GASLOG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Owners and Guarantors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GAS-TWENTY TWO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GAS-TWENTY THREE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GAS-TWENTY EIGHT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ONE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TWO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THREE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FOUR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GAS-THIRTY FIVE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GAS-ONE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GAS-TWO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87"/>
        </w:trPr>
        <w:tc>
          <w:tcPr>
            <w:tcW w:w="57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GASLOG HELLAS-1 SPECIAL</w:t>
            </w:r>
          </w:p>
        </w:tc>
        <w:tc>
          <w:tcPr>
            <w:tcW w:w="32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attorney-in-fact</w:t>
            </w:r>
          </w:p>
        </w:tc>
      </w:t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MARITIME ENTERPRISE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GAS-ELEVEN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643"/>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GAS-TWELVE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GAS-THIRTEEN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GAS-FOURTEEN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GAS-SIXTEEN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GAS-SEVENTEEN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GAS-SEVEN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GAS-EIGHT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GAS-NINETEEN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GAS-TWENTY SEVEN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Guarantors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GASLOG PARTNERS LP</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GASLOG CARRIERS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GASLOG PARTNERS HOLDINGS LLC</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Occupation: Asia Charter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Haruo Kikkawa</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Haruo Kikkawa</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GASLOG LNG SERVICES LTD.</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Nikki Chen</w:t>
            </w: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Nikki Chen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#24-02A, Asia Square Tower 2, Marina View, Singapore, 018961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Occupation: Asia Charter Manager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ARRANGERS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27"/>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490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ALPHA BANK S.A.</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490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ABN AMRO BANK N.V.</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43"/>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490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BNP PARIBAS</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490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PARKER</w:t>
            </w:r>
          </w:p>
        </w:tc>
      </w:tr>
      <w:tr>
        <w:trPr>
          <w:trHeight w:val="191"/>
        </w:trPr>
        <w:tc>
          <w:tcPr>
            <w:tcW w:w="57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CITIBANK N.A., LONDON BRANCH</w:t>
            </w:r>
          </w:p>
        </w:tc>
        <w:tc>
          <w:tcPr>
            <w:tcW w:w="320" w:type="dxa"/>
            <w:vAlign w:val="bottom"/>
            <w:gridSpan w:val="2"/>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MICHAEL PARKER</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87"/>
        </w:trPr>
        <w:tc>
          <w:tcPr>
            <w:tcW w:w="47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UBS AG (AS LEGAL SUCCESSOR OF</w:t>
            </w: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Llian Williams</w:t>
            </w:r>
          </w:p>
        </w:tc>
      </w:t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 BY WAY OF MERGER)</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DANISH SHIP FINANCE A/S</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DNB (UK) LIMITED</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ING BANK N.V., LONDON BRANCH</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HACKETT</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National Australia Bank Ltd.</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 DAVID HACKETT</w:t>
            </w:r>
          </w:p>
        </w:tc>
        <w:tc>
          <w:tcPr>
            <w:tcW w:w="13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authorised signatory</w:t>
            </w:r>
          </w:p>
        </w:tc>
        <w:tc>
          <w:tcPr>
            <w:tcW w:w="13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34"/>
        </w:trPr>
        <w:tc>
          <w:tcPr>
            <w:tcW w:w="4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NORDEA BANK ABP, FILIAL I NORGE</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Angeline Teo</w:t>
            </w:r>
          </w:p>
        </w:tc>
      </w:tr>
      <w:tr>
        <w:trPr>
          <w:trHeight w:val="187"/>
        </w:trPr>
        <w:tc>
          <w:tcPr>
            <w:tcW w:w="5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OVERSEA-CHINESE BANKING</w:t>
            </w:r>
          </w:p>
        </w:tc>
        <w:tc>
          <w:tcPr>
            <w:tcW w:w="102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CORPORATION LIMITED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 Angeline Teo</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8"/>
                <w:szCs w:val="18"/>
                <w:color w:val="auto"/>
              </w:rPr>
            </w:pPr>
          </w:p>
        </w:tc>
      </w:tr>
      <w:tr>
        <w:trPr>
          <w:trHeight w:val="234"/>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OCBC Bank</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Abhishek Pandey</w:t>
            </w:r>
          </w:p>
        </w:tc>
      </w:tr>
      <w:tr>
        <w:trPr>
          <w:trHeight w:val="187"/>
        </w:trPr>
        <w:tc>
          <w:tcPr>
            <w:tcW w:w="5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STANDARD CHARTERED BANK</w:t>
            </w:r>
          </w:p>
        </w:tc>
        <w:tc>
          <w:tcPr>
            <w:tcW w:w="102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Abhishek Pandey</w:t>
            </w: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(SINGAPORE) LIMITED</w:t>
            </w:r>
          </w:p>
        </w:tc>
        <w:tc>
          <w:tcPr>
            <w:tcW w:w="49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Managing Director, Global Head,</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Finance</w:t>
            </w:r>
          </w:p>
        </w:tc>
      </w:tr>
      <w:tr>
        <w:trPr>
          <w:trHeight w:val="234"/>
        </w:trPr>
        <w:tc>
          <w:tcPr>
            <w:tcW w:w="5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AGENT</w:t>
            </w:r>
          </w:p>
        </w:tc>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SECURITY AGENT</w:t>
            </w:r>
          </w:p>
        </w:tc>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DNB BANK ASA, LONDON BRANCH</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LENDERS</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ALPHA BANK S.A.</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ABN AMRO BANK N.V.</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BNP PARIBAS</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CITIBANK, N.A., JERSEY BRANCH</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87"/>
        </w:trPr>
        <w:tc>
          <w:tcPr>
            <w:tcW w:w="47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UBS AG (AS LEGAL SUCCESSOR OF</w:t>
            </w: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Llian Williams</w:t>
            </w:r>
          </w:p>
        </w:tc>
      </w:t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 BY WAY OF MERGER)</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63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DANISH SHIP FINANCE A/S</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DNB (UK) LIMITED</w:t>
            </w:r>
          </w:p>
        </w:tc>
        <w:tc>
          <w:tcPr>
            <w:tcW w:w="14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ING BANK N.V., LONDON BRANCH</w:t>
            </w:r>
          </w:p>
        </w:tc>
        <w:tc>
          <w:tcPr>
            <w:tcW w:w="14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HACKETT</w:t>
            </w: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14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National Australia Bank Ltd.</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By:DAVID HACKETT</w:t>
            </w:r>
          </w:p>
        </w:tc>
        <w:tc>
          <w:tcPr>
            <w:tcW w:w="14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4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authorised signatory</w:t>
            </w:r>
          </w:p>
        </w:tc>
        <w:tc>
          <w:tcPr>
            <w:tcW w:w="14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34"/>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42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880" w:type="dxa"/>
            <w:vAlign w:val="bottom"/>
          </w:tcPr>
          <w:p>
            <w:pPr>
              <w:spacing w:after="0"/>
              <w:rPr>
                <w:sz w:val="24"/>
                <w:szCs w:val="24"/>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6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14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NORDEA BANK ABP, FILIAL I NORGE</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Angeline Teo</w:t>
            </w:r>
          </w:p>
        </w:tc>
      </w:tr>
      <w:tr>
        <w:trPr>
          <w:trHeight w:val="187"/>
        </w:trPr>
        <w:tc>
          <w:tcPr>
            <w:tcW w:w="5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OVERSEA-CHINESE BANKING CORPORATION</w:t>
            </w:r>
          </w:p>
        </w:tc>
        <w:tc>
          <w:tcPr>
            <w:tcW w:w="102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 Angeline Teo</w:t>
            </w:r>
          </w:p>
        </w:tc>
        <w:tc>
          <w:tcPr>
            <w:tcW w:w="10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OCBC Bank</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Abhishek Pandey</w:t>
            </w:r>
          </w:p>
        </w:tc>
      </w:tr>
      <w:tr>
        <w:trPr>
          <w:trHeight w:val="187"/>
        </w:trPr>
        <w:tc>
          <w:tcPr>
            <w:tcW w:w="50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STANDARD CHARTERED BANK (SINGAPORE)</w:t>
            </w:r>
          </w:p>
        </w:tc>
        <w:tc>
          <w:tcPr>
            <w:tcW w:w="1020" w:type="dxa"/>
            <w:vAlign w:val="bottom"/>
          </w:tcPr>
          <w:p>
            <w:pPr>
              <w:ind w:left="7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Abhishek Pandey</w:t>
            </w: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49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Managing Director, Global Head,</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HEDGING PROVIDERS</w:t>
            </w:r>
          </w:p>
        </w:tc>
        <w:tc>
          <w:tcPr>
            <w:tcW w:w="10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ALPHA BANK S.A.</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ABN AMRO BANK N.V.</w:t>
            </w:r>
          </w:p>
        </w:tc>
        <w:tc>
          <w:tcPr>
            <w:tcW w:w="1020" w:type="dxa"/>
            <w:vAlign w:val="bottom"/>
          </w:tcPr>
          <w:p>
            <w:pPr>
              <w:ind w:left="7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7" w:right="9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BNP PARIBAS</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CITIBANK EUROPE PLC</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87"/>
        </w:trPr>
        <w:tc>
          <w:tcPr>
            <w:tcW w:w="47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UBS AG (AS LEGAL SUCCESSOR OF</w:t>
            </w:r>
          </w:p>
        </w:tc>
        <w:tc>
          <w:tcPr>
            <w:tcW w:w="132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Llian Williams</w:t>
            </w:r>
          </w:p>
        </w:tc>
      </w:tr>
      <w:tr>
        <w:trPr>
          <w:trHeight w:val="22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SUISSE AG BY WAY OF MERGER)</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DNB BANK ASA</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ING BANK N.V.</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HACKETT</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AUSTRALIA BANK LIMITED</w:t>
            </w:r>
          </w:p>
        </w:tc>
        <w:tc>
          <w:tcPr>
            <w:tcW w:w="13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National Australia Bank Ltd.</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By:DAVID HACKETT</w:t>
            </w:r>
          </w:p>
        </w:tc>
        <w:tc>
          <w:tcPr>
            <w:tcW w:w="13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12 Marina View,</w:t>
            </w:r>
          </w:p>
        </w:tc>
      </w:tr>
      <w:tr>
        <w:trPr>
          <w:trHeight w:val="216"/>
        </w:trPr>
        <w:tc>
          <w:tcPr>
            <w:tcW w:w="4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authorised signatory</w:t>
            </w:r>
          </w:p>
        </w:tc>
        <w:tc>
          <w:tcPr>
            <w:tcW w:w="13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#20-02 Asia Square Tower 2,</w:t>
            </w:r>
          </w:p>
        </w:tc>
      </w:tr>
      <w:tr>
        <w:trPr>
          <w:trHeight w:val="234"/>
        </w:trPr>
        <w:tc>
          <w:tcPr>
            <w:tcW w:w="4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Singapore 018961</w:t>
            </w:r>
          </w:p>
        </w:tc>
      </w:tr>
      <w:tr>
        <w:trPr>
          <w:trHeight w:val="414"/>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NATIONAL BANK OF GREECE S.A.</w:t>
            </w:r>
          </w:p>
        </w:tc>
        <w:tc>
          <w:tcPr>
            <w:tcW w:w="13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3" w:right="9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2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NORDEA BANK ABP</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Angeline Teo</w:t>
            </w:r>
          </w:p>
        </w:tc>
      </w:tr>
      <w:tr>
        <w:trPr>
          <w:trHeight w:val="187"/>
        </w:trPr>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OVERSEA-CHINESE BANKING CORPORATION</w:t>
            </w: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2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9"/>
                <w:szCs w:val="19"/>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 Angeline Teo</w:t>
            </w:r>
          </w:p>
        </w:tc>
        <w:tc>
          <w:tcPr>
            <w:tcW w:w="14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OCBC Bank</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2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SKANDINAVISKA ENSKILDA BANKEN AB (PUBL)</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JEAN-BAPTISTE CHAMBAND</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STANDARD CHARTERED BANK AG</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 JEAN-BAPTISTE CHAMBAND,</w:t>
            </w:r>
          </w:p>
        </w:tc>
        <w:tc>
          <w:tcPr>
            <w:tcW w:w="14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34"/>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MD. CORP SALES EUROPE</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GLOBAL CO-ORDINATORS</w:t>
            </w:r>
          </w:p>
        </w:tc>
        <w:tc>
          <w:tcPr>
            <w:tcW w:w="14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14"/>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BNP PARIBAS</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PARKER</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CITIBANK N.A., LONDON BRANCH</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Authorised Signatory</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 MICHAEL PARKER</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SUSTAINABILITY CO-ORDINATOR</w:t>
            </w:r>
          </w:p>
        </w:tc>
        <w:tc>
          <w:tcPr>
            <w:tcW w:w="14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27"/>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Llian Williams</w:t>
            </w:r>
          </w:p>
        </w:tc>
      </w:tr>
      <w:tr>
        <w:trPr>
          <w:trHeight w:val="191"/>
        </w:trPr>
        <w:tc>
          <w:tcPr>
            <w:tcW w:w="45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ABN AMRO BANK N.V.</w:t>
            </w:r>
          </w:p>
        </w:tc>
        <w:tc>
          <w:tcPr>
            <w:tcW w:w="14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Llian Williams</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864"/>
        </w:trPr>
        <w:tc>
          <w:tcPr>
            <w:tcW w:w="4560" w:type="dxa"/>
            <w:vAlign w:val="bottom"/>
          </w:tcPr>
          <w:p>
            <w:pPr>
              <w:spacing w:after="0"/>
              <w:rPr>
                <w:sz w:val="24"/>
                <w:szCs w:val="24"/>
                <w:color w:val="auto"/>
              </w:rPr>
            </w:pPr>
          </w:p>
        </w:tc>
        <w:tc>
          <w:tcPr>
            <w:tcW w:w="14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40</w:t>
            </w:r>
          </w:p>
        </w:tc>
        <w:tc>
          <w:tcPr>
            <w:tcW w:w="3880" w:type="dxa"/>
            <w:vAlign w:val="bottom"/>
          </w:tcPr>
          <w:p>
            <w:pPr>
              <w:spacing w:after="0"/>
              <w:rPr>
                <w:sz w:val="24"/>
                <w:szCs w:val="24"/>
                <w:color w:val="auto"/>
              </w:rPr>
            </w:pPr>
          </w:p>
        </w:tc>
      </w:tr>
      <w:tr>
        <w:trPr>
          <w:trHeight w:val="560"/>
        </w:trPr>
        <w:tc>
          <w:tcPr>
            <w:tcW w:w="4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87"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3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SUBSIDIARIES OF GASLOG PARTNERS LP</w:t>
            </w:r>
          </w:p>
        </w:tc>
        <w:tc>
          <w:tcPr>
            <w:tcW w:w="2800" w:type="dxa"/>
            <w:vAlign w:val="bottom"/>
          </w:tcPr>
          <w:p>
            <w:pPr>
              <w:spacing w:after="0"/>
              <w:rPr>
                <w:sz w:val="20"/>
                <w:szCs w:val="20"/>
                <w:color w:val="auto"/>
              </w:rPr>
            </w:pPr>
          </w:p>
        </w:tc>
      </w:tr>
      <w:tr>
        <w:trPr>
          <w:trHeight w:val="432"/>
        </w:trPr>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companies are subsidiaries of GasLog Partners LP:</w:t>
            </w:r>
          </w:p>
        </w:tc>
        <w:tc>
          <w:tcPr>
            <w:tcW w:w="2800" w:type="dxa"/>
            <w:vAlign w:val="bottom"/>
          </w:tcPr>
          <w:p>
            <w:pPr>
              <w:spacing w:after="0"/>
              <w:rPr>
                <w:sz w:val="24"/>
                <w:szCs w:val="24"/>
                <w:color w:val="auto"/>
              </w:rPr>
            </w:pPr>
          </w:p>
        </w:tc>
      </w:tr>
      <w:tr>
        <w:trPr>
          <w:trHeight w:val="437"/>
        </w:trPr>
        <w:tc>
          <w:tcPr>
            <w:tcW w:w="2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Proportion of</w:t>
            </w: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191"/>
        </w:trPr>
        <w:tc>
          <w:tcPr>
            <w:tcW w:w="2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GasLog Partners Holdings LLC</w:t>
            </w:r>
          </w:p>
        </w:tc>
        <w:tc>
          <w:tcPr>
            <w:tcW w:w="14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Marshall Islands</w:t>
            </w:r>
          </w:p>
        </w:tc>
        <w:tc>
          <w:tcPr>
            <w:tcW w:w="24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GAS-three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GAS-four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GAS-five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GAS-seven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GAS-eight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GAS-eleven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GAS-twelve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GAS-thirteen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GAS-fourteen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GAS-sixteen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GAS-seventeen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GAS-nineteen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GAS-twenty one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GAS-twenty seven Ltd.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GasLog-two Malta Ltd.</w:t>
            </w: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Malta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776"/>
        </w:trPr>
        <w:tc>
          <w:tcPr>
            <w:tcW w:w="27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156845</wp:posOffset>
            </wp:positionV>
            <wp:extent cx="6377940" cy="78352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6377940" cy="783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TRADING POLICY</w:t>
      </w:r>
    </w:p>
    <w:p>
      <w:pPr>
        <w:spacing w:after="0" w:line="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(formerly known as Policy Statement for Trading in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Effective Date: 1 November 2023</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Revision No: 3</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Review Date: 25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923290</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0" w:type="dxa"/>
            <w:vAlign w:val="bottom"/>
            <w:tcBorders>
              <w:top w:val="single" w:sz="8" w:color="auto"/>
              <w:left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1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TRADING POLICY</w:t>
            </w:r>
          </w:p>
        </w:tc>
        <w:tc>
          <w:tcPr>
            <w:tcW w:w="440" w:type="dxa"/>
            <w:vAlign w:val="bottom"/>
            <w:tcBorders>
              <w:top w:val="single" w:sz="8" w:color="auto"/>
              <w:right w:val="single" w:sz="8" w:color="auto"/>
            </w:tcBorders>
          </w:tcPr>
          <w:p>
            <w:pPr>
              <w:spacing w:after="0"/>
              <w:rPr>
                <w:sz w:val="18"/>
                <w:szCs w:val="18"/>
                <w:color w:val="auto"/>
              </w:rPr>
            </w:pPr>
          </w:p>
        </w:tc>
      </w:tr>
      <w:tr>
        <w:trPr>
          <w:trHeight w:val="238"/>
        </w:trPr>
        <w:tc>
          <w:tcPr>
            <w:tcW w:w="28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12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(formerly known as “Policy Statement for Trading in Company Securities”)</w:t>
            </w:r>
          </w:p>
        </w:tc>
        <w:tc>
          <w:tcPr>
            <w:tcW w:w="440" w:type="dxa"/>
            <w:vAlign w:val="bottom"/>
            <w:tcBorders>
              <w:bottom w:val="single" w:sz="8" w:color="auto"/>
              <w:right w:val="single" w:sz="8" w:color="auto"/>
            </w:tcBorders>
          </w:tcPr>
          <w:p>
            <w:pPr>
              <w:spacing w:after="0"/>
              <w:rPr>
                <w:sz w:val="20"/>
                <w:szCs w:val="20"/>
                <w:color w:val="auto"/>
              </w:rPr>
            </w:pPr>
          </w:p>
        </w:tc>
      </w:tr>
      <w:tr>
        <w:trPr>
          <w:trHeight w:val="385"/>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4"/>
                <w:szCs w:val="24"/>
                <w:color w:val="auto"/>
              </w:rPr>
            </w:pPr>
          </w:p>
        </w:tc>
      </w:tr>
      <w:tr>
        <w:trPr>
          <w:trHeight w:val="453"/>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0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8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SCOPE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4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GENERAL POLICY: NO TRADING OR CAUSING TRADING WHILE IN POSSESSION OF MATERIAL NON-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38"/>
        </w:trPr>
        <w:tc>
          <w:tcPr>
            <w:tcW w:w="28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PUBLIC INFORMATION</w:t>
            </w:r>
          </w:p>
        </w:tc>
        <w:tc>
          <w:tcPr>
            <w:tcW w:w="440" w:type="dxa"/>
            <w:vAlign w:val="bottom"/>
          </w:tcPr>
          <w:p>
            <w:pPr>
              <w:spacing w:after="0"/>
              <w:rPr>
                <w:sz w:val="20"/>
                <w:szCs w:val="20"/>
                <w:color w:val="auto"/>
              </w:rPr>
            </w:pP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VIOLATIONS OF INSIDER TRADING LAWS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POLICY APPLICABLE TO INSIDERS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PRE-CLEARANCE OF SECURITIES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PROHIBITED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4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RULE 144 RESTRICTIONS ON SALES BY DIRECTORS, SENIOR OFFICERS AND CONTROLLING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38"/>
        </w:trPr>
        <w:tc>
          <w:tcPr>
            <w:tcW w:w="28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440" w:type="dxa"/>
            <w:vAlign w:val="bottom"/>
          </w:tcPr>
          <w:p>
            <w:pPr>
              <w:spacing w:after="0"/>
              <w:rPr>
                <w:sz w:val="20"/>
                <w:szCs w:val="20"/>
                <w:color w:val="auto"/>
              </w:rPr>
            </w:pP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CONFIDENTIALITY POLICY AND PROCEDURE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POST RETIREMENT OR TERMINATIONS TRANSACTIONS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RESPONSIBILITY, ASSISTANCE AND CERTIFICATIONS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LINKED DOCUMENTS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65"/>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Appendix: Notice of Purchase or Sale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16"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Trading on material, non-public information subjects GasLog Ltd. (“GasLog”) and GasLog Partners LP (“GasLog Partners”), together with their respective subsidiaries (the “GasLog Entities”), and their respective directors, officers, employees, employees’ immediate family members and controlling shareholders to potential legal liability and reputational harm. The purpose of this Trading Policy (the “Policy”) is to help you understand your responsibilities as a director, officer, employee or controlling shareholder of the GasLog Entities relative to the purchase and sale of GasLog Entities Securities. U.S. securities laws and the GasLog Entities’ policy prohibit directors, executive officers, employees, employees’ immediate family members and controlling shareholders from trading in the securities of a public company on the basis of material, non-public information about such company.</w:t>
      </w:r>
    </w:p>
    <w:p>
      <w:pPr>
        <w:spacing w:after="0" w:line="185"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applicable to all the GasLog Entities’ employees (including agency staff, secondees and consultants), directors, executive officers, Controlling Shareholders and directors, officers and employees of GasLog Partners GP LLC, to the extent they are involved in activities relating to the GasLog Entities’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below sets out how the Policy applies to the various groups to whom the Policy applies.</w:t>
      </w:r>
    </w:p>
    <w:p>
      <w:pPr>
        <w:spacing w:after="0" w:line="221"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has been adopted by the Boards of Directors (the “Boards”) of GasLog and GasLog Partners.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owner of this Policy is the General Counsel.</w:t>
      </w:r>
    </w:p>
    <w:p>
      <w:pPr>
        <w:spacing w:after="0" w:line="221"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 Affiliate of the GasLog Entities for the purposes of Rule 144 under the U.S. Securities Act of 1933, as amended (the “Securities Act”) is a person that directly or indirectly controls, is controlled by or is under common control with the either of the GasLog Entities. “Control” is defined as the power to direct or cause the direction of management and policies of the GasLog Entities, whether through ownership of shares or common units, by contract or otherwise. Each director, executive officer and Controlling Shareholder of the GasLog Entities should consider himself or herself to be an Affiliate of the GasLog Entities unless advised otherwise by the GasLog Entities or authorities. In addition, the family members sharing the home of such directors, executive officers and Controlling Shareholders might also be deemed to be Affiliates of the GasLog Entities if they, too, are controlled by such director, executive officer or Controlling Shareholder.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xml:space="preserve"> Specified periods when trading in GasLog Entities Securities is prohibited for Insiders. Please see Section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GasLog Entities Securities</w:t>
      </w:r>
      <w:r>
        <w:rPr>
          <w:rFonts w:ascii="Times New Roman" w:cs="Times New Roman" w:eastAsia="Times New Roman" w:hAnsi="Times New Roman"/>
          <w:sz w:val="18"/>
          <w:szCs w:val="18"/>
          <w:color w:val="auto"/>
        </w:rPr>
        <w:t>: The GasLog Securities and the GasLog Partners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Controlling Shareholders</w:t>
      </w:r>
      <w:r>
        <w:rPr>
          <w:rFonts w:ascii="Times New Roman" w:cs="Times New Roman" w:eastAsia="Times New Roman" w:hAnsi="Times New Roman"/>
          <w:sz w:val="18"/>
          <w:szCs w:val="18"/>
          <w:color w:val="auto"/>
        </w:rPr>
        <w:t>: A shareholder in GasLog or a unitholder in GasLog Partners who 1) owns more than half of the shares or units or the majority of the outstanding shares or units in GasLog or GasLog Partners, as applicable, and/or 2) has the ability to elect a majority of the Board or other governing body of GasLog or GasLog Partners, as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GasLog Securities</w:t>
      </w:r>
      <w:r>
        <w:rPr>
          <w:rFonts w:ascii="Times New Roman" w:cs="Times New Roman" w:eastAsia="Times New Roman" w:hAnsi="Times New Roman"/>
          <w:sz w:val="18"/>
          <w:szCs w:val="18"/>
          <w:color w:val="auto"/>
        </w:rPr>
        <w:t>: GasLog’s preference shares and debt securities (debentures, bonds, notes etc.) currently in issue or which may be issued in the future as well as any Permitted Hedging Derivatives.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GasLog Partners Securities</w:t>
      </w:r>
      <w:r>
        <w:rPr>
          <w:rFonts w:ascii="Times New Roman" w:cs="Times New Roman" w:eastAsia="Times New Roman" w:hAnsi="Times New Roman"/>
          <w:sz w:val="18"/>
          <w:szCs w:val="18"/>
          <w:color w:val="auto"/>
        </w:rPr>
        <w:t>: GasLog Partners’ preference units and debt securities (debentures, bonds, notes etc.) currently in issue or which may be issued in the future.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Include any child, step-child, grandchild, parent, step-parent, grandparent, spouse, sibling, mother-in law, father-in law, son-in law, daughter-in law, brother- in law or sister-in law and includes adoptive relationships.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xml:space="preserve"> Directors, executive officers, senior management; management of the GasLog Entities as well as persons designated by the Secretary of the GasLog Entities (the “GasLog Entities’ Secretary”) and/or the General Counsel (including directors, officers &amp; employees of GasLog Partners GP LLC, to the extent they have access to material non-public information about the GasLog Entities) as well as certain employees who may have access to material, non-public information and Controlling Shareholders (including those persons on a Project List).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Is any information that a reasonable investor would consider important in a decision to buy, hold or sell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short, any information that could reasonably affect the price of securities. Examples include:</w:t>
      </w:r>
    </w:p>
    <w:p>
      <w:pPr>
        <w:spacing w:after="0" w:line="207"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GasLog Entities’ financial position or results, including quarterly financial results;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9"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divestiture or other corporate transaction involving the GasLog Entities;</w:t>
      </w: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major investments, such as a significant purchase or sale of assets or the acquisition or disposal of a vessel;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or termination of significant contracts, including cooperation or alliance agreements;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significant legal proceedings commenced by or against the GasLog Entities;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offering of additional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or senior management;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joint ventures;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or supplier.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above list is not exhaustive and either positive or negative information may be material.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Non-public</w:t>
      </w:r>
      <w:r>
        <w:rPr>
          <w:rFonts w:ascii="Times New Roman" w:cs="Times New Roman" w:eastAsia="Times New Roman" w:hAnsi="Times New Roman"/>
          <w:sz w:val="18"/>
          <w:szCs w:val="18"/>
          <w:color w:val="auto"/>
        </w:rPr>
        <w:t>: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have been given the opportunity to absorb the information. Even after public disclosure of information about the GasLog Entities, you must wait until the close of business on the second trading day after the information was publicly disclosed before you can treat the information as public. Non-public information may include:</w:t>
      </w:r>
    </w:p>
    <w:p>
      <w:pPr>
        <w:spacing w:after="0" w:line="187"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analysts or brokers or institutional investors;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rumours, even if the rumours are widely circulated; and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GasLog Entities on a confidential basis until a public announcement of the information has been made and enough time has elapsed for the market to respond to a public announcement of the information (normally two trading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Non-insider Employees</w:t>
      </w:r>
      <w:r>
        <w:rPr>
          <w:rFonts w:ascii="Times New Roman" w:cs="Times New Roman" w:eastAsia="Times New Roman" w:hAnsi="Times New Roman"/>
          <w:sz w:val="18"/>
          <w:szCs w:val="18"/>
          <w:color w:val="auto"/>
        </w:rPr>
        <w:t>: Employees who do not have regular access to material, non-public information.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Project List:</w:t>
      </w:r>
      <w:r>
        <w:rPr>
          <w:rFonts w:ascii="Times New Roman" w:cs="Times New Roman" w:eastAsia="Times New Roman" w:hAnsi="Times New Roman"/>
          <w:sz w:val="18"/>
          <w:szCs w:val="18"/>
          <w:color w:val="auto"/>
        </w:rPr>
        <w:t xml:space="preserve"> A list of names of employees working on a particular project, holding certain non- public information for the GasLog Entities, such employees being notified by the GasLog Entities’ Secretary and/or the General Counsel.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An Insider’s or employee’s family members, including:</w:t>
      </w:r>
    </w:p>
    <w:p>
      <w:pPr>
        <w:spacing w:after="0" w:line="225" w:lineRule="exact"/>
        <w:rPr>
          <w:sz w:val="20"/>
          <w:szCs w:val="20"/>
          <w:color w:val="auto"/>
        </w:rPr>
      </w:pPr>
    </w:p>
    <w:p>
      <w:pPr>
        <w:ind w:left="1300" w:hanging="644"/>
        <w:spacing w:after="0"/>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Immediate Family Members;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lives in the Insider’s or employee’s household;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family members who do not live in the Insider’s or employee’s household but whose transactions involving the GasLog Entities Securities are directed by the Insider or employee or are subject to the employee’s or Insider’s influence or control; and</w:t>
      </w:r>
    </w:p>
    <w:p>
      <w:pPr>
        <w:spacing w:after="0" w:line="1"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over which an Insider or employee exercises or shares investment control such as a partnership or family trust.</w:t>
      </w:r>
    </w:p>
    <w:p>
      <w:pPr>
        <w:spacing w:after="0" w:line="177"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POLICY: NO TRADING OR CAUSING TRADING WHILE IN POSSESSION OF MATERIAL NON-PUBLIC INFORMATION:</w:t>
      </w:r>
    </w:p>
    <w:p>
      <w:pPr>
        <w:spacing w:after="0" w:line="158"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5.1.No Insider, employee, contractor, consultant or any of their respective Related Parties or Affiliates may purchase or sell, offer to purchase, or sell, any GasLog Entities Securities, whether or not issued by the GasLog Entities, while in possession of material, non-public information about the GasLog Entities.</w:t>
      </w:r>
    </w:p>
    <w:p>
      <w:pPr>
        <w:spacing w:after="0" w:line="135"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5.2.No Insider, employee, contractor, consultant or any of their respective Related Parties or Affiliates who knows of any material, non-public information about the GasLog Entities may communicate that information to (“tip”) any other person, including family members and friends, or otherwise disclose such information without the GasLog Entities’ authorization.</w:t>
      </w:r>
    </w:p>
    <w:p>
      <w:pPr>
        <w:spacing w:after="0" w:line="139"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5.3.No Insider, employee, contractor, consultant or any of their respective Related Parties or Affiliates may purchase or sell any security of any other company while in possession of material non-public information about that company that was obtained in the course of his or her involvement with such company. No Insider, employee, contractor, consultant, Controlling Shareholder or Affiliate who knows of any such material non-public information may communicate that information to, or tip, any other person, including family members and friends, or otherwise disclose such information without the GasLog Entities’ authorization.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For compliance purposes, you should never trade, tip or recommend securities (or otherwise cause the purchase or sale of securities) while in possession of information that you have reason to believe is material and non-public.</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an employee always avoid tipping or recommending securities whether or not in possession of material, non-public information.</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All Insiders must “pre-clear” all trading in GasLog Entities Securities in accordance with the procedures set out in Section 8.</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transactions that an individual may need to undertake for independent reasons (such as the need to raise money for a personal emergency expenditure)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acceptable exceptions to this Policy. Even the appearance of any improper transactions must be avoided to preserve the GasLog Entities’ reputation for adhering to the highest standards of ethical conduct.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Remember:</w:t>
      </w:r>
    </w:p>
    <w:p>
      <w:pPr>
        <w:spacing w:after="0" w:line="225" w:lineRule="exact"/>
        <w:rPr>
          <w:sz w:val="20"/>
          <w:szCs w:val="20"/>
          <w:color w:val="auto"/>
        </w:rPr>
      </w:pPr>
    </w:p>
    <w:p>
      <w:pPr>
        <w:jc w:val="both"/>
        <w:ind w:left="1300" w:hanging="644"/>
        <w:spacing w:after="0" w:line="257"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transaction becomes the subject of scrutiny, such transaction will be viewed after-the-fact with the benefit of hindsight. As a result, before engaging in any securities transaction you should carefully consider how regulators and others might view such transaction in hindsight; and</w:t>
      </w:r>
    </w:p>
    <w:p>
      <w:pPr>
        <w:spacing w:after="0" w:line="1" w:lineRule="exact"/>
        <w:rPr>
          <w:rFonts w:ascii="Times New Roman" w:cs="Times New Roman" w:eastAsia="Times New Roman" w:hAnsi="Times New Roman"/>
          <w:sz w:val="18"/>
          <w:szCs w:val="18"/>
          <w:color w:val="auto"/>
        </w:rPr>
      </w:pPr>
    </w:p>
    <w:p>
      <w:pPr>
        <w:ind w:left="1300" w:hanging="644"/>
        <w:spacing w:after="0" w:line="260"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restrictions apply to Related Parties. Persons covered by this Policy are expected to be responsible for the compliance of their Immediate Family Members and Related Parties.</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VIOLATIONS OF INSIDER TRADING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w:t>
      </w:r>
      <w:r>
        <w:rPr>
          <w:rFonts w:ascii="Times New Roman" w:cs="Times New Roman" w:eastAsia="Times New Roman" w:hAnsi="Times New Roman"/>
          <w:sz w:val="18"/>
          <w:szCs w:val="18"/>
          <w:b w:val="1"/>
          <w:bCs w:val="1"/>
          <w:u w:val="single" w:color="auto"/>
          <w:color w:val="auto"/>
        </w:rPr>
        <w:t>mandatory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Penalties under U.S securities laws include:</w:t>
      </w:r>
    </w:p>
    <w:p>
      <w:pPr>
        <w:spacing w:after="0" w:line="225" w:lineRule="exact"/>
        <w:rPr>
          <w:sz w:val="20"/>
          <w:szCs w:val="20"/>
          <w:color w:val="auto"/>
        </w:rPr>
      </w:pPr>
    </w:p>
    <w:p>
      <w:pPr>
        <w:ind w:left="1300" w:right="3640"/>
        <w:spacing w:after="0" w:line="266" w:lineRule="auto"/>
        <w:rPr>
          <w:sz w:val="20"/>
          <w:szCs w:val="20"/>
          <w:color w:val="auto"/>
        </w:rPr>
      </w:pPr>
      <w:r>
        <w:rPr>
          <w:rFonts w:ascii="Times New Roman" w:cs="Times New Roman" w:eastAsia="Times New Roman" w:hAnsi="Times New Roman"/>
          <w:sz w:val="18"/>
          <w:szCs w:val="18"/>
          <w:color w:val="auto"/>
        </w:rPr>
        <w:t>A civil penalty of up to three times the profit gained, or loss avoided; A criminal fine of up to US$5 million; and A jail term of up to 20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an employee violates this Policy, GasLog Entities-imposed sanctions, including dismissal, could result. Needless to say, any of the above consequences, or even an investigation by the U.S. Securities and Exchange Commission (the “SEC”) that does not result in prosecution, can tarnish reputations and irreparably damage a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16"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APPLICABLE TO INSIDERS: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 Insiders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prohibited from trading in the GasLog Entities Securities during Blackout Periods as detailed below:</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Quarterly Blackout Periods. </w:t>
      </w:r>
      <w:r>
        <w:rPr>
          <w:rFonts w:ascii="Times New Roman" w:cs="Times New Roman" w:eastAsia="Times New Roman" w:hAnsi="Times New Roman"/>
          <w:sz w:val="18"/>
          <w:szCs w:val="18"/>
          <w:color w:val="auto"/>
        </w:rPr>
        <w:t>Trading in the GasLog Entities Securities is prohibited from the close of trading (US) on the 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calendar day after the last day of each financial quarter to the close of business on the second full trading day following the date the GasLog Entities’ financial results are publicly disclosed and Form 6-K is filed. During these periods, Insiders generally possess or are presumed to possess material non-public information about the GasLog Entities’ financial results.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Blackout Periods. </w:t>
      </w:r>
      <w:r>
        <w:rPr>
          <w:rFonts w:ascii="Times New Roman" w:cs="Times New Roman" w:eastAsia="Times New Roman" w:hAnsi="Times New Roman"/>
          <w:sz w:val="18"/>
          <w:szCs w:val="18"/>
          <w:color w:val="auto"/>
        </w:rPr>
        <w:t>From time to time, other types of material non-public information regarding the GasLog Entities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and not publicly disclosed. While such material non-public information is pending, the GasLog Entities may impose special Blackout Periods during which Insiders are prohibited from trading in the GasLog Entities Securities. If the GasLog Entities impose a special Blackout Period, they will notify the Insiders affected.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restrictions referenced above do not apply to transactions under a pre-existing written plan, contract, instruction, or arrangement under Rule 10b5-1 under the Securities Exchange Act of 1934 (an “Approved 10b5-1 Plan”) that:</w:t>
      </w:r>
    </w:p>
    <w:p>
      <w:pPr>
        <w:spacing w:after="0" w:line="162" w:lineRule="exact"/>
        <w:rPr>
          <w:sz w:val="20"/>
          <w:szCs w:val="20"/>
          <w:color w:val="auto"/>
        </w:rPr>
      </w:pPr>
    </w:p>
    <w:p>
      <w:pPr>
        <w:jc w:val="both"/>
        <w:ind w:left="1300" w:hanging="644"/>
        <w:spacing w:after="0" w:line="255"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Section 16 officers (as defined in Rule 16a-1(f) of the Exchange Act), provides that no purchases or sales shall occur until the expiration of a cooling- off period consisting of the later of (1) 90 days after the date the 10b5-1 trading plan is adopted or (2) two business days after the disclosure of the applicable GasLog Entities’ financial results in a Form 20-F or Form 6-K for the completed fiscal quarter in which the 10b5-1 trading plan was adopted, and in any event subject to a maximum cooling-off period of 120 days after the date the 10b5-1 trading plan is adopted. For all other individuals, any Approved 10b5-1 Plan must provide that no purchases or sales shall occur until the expiration of a cooling-off period that is 30 days after the date the 10b5-1 trading plan is adopted;</w:t>
      </w:r>
    </w:p>
    <w:p>
      <w:pPr>
        <w:spacing w:after="0" w:line="188"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representation certifying that on the date the 10b5-1 trading plan is adopted, the plan owner is not aware of material, non-public information relating to the GasLog Entities and the 10b5-1 trading plan is adopted in good faith and not as part of a plan or scheme to evade the prohibitions of Rule 10b5-1;</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a third party the discretionary authority to execute such purchases and sales, outside the control of the Insider, so long as such third party does not possess any material non-public information about the GasLog Entities; or explicitly specifies the security or securities to be purchased or sold, the number of shares, the prices and/or dates of transactions, or other formula(s) describing such transactions; and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reviewed and approved by the GasLog Entities’ Secretary and/or General Counsel.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modification or change to the amount, price or timing of the purchase or sale of the GasLog Entities Securities underlying a 10b5-1 trading plan is considered a termination of such 10b5-1 trading plan and the adoption of a new 10b5-1 trading plan, which will be subject to the cooling-off period in Section 7a above.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limited exceptions, the GasLog Entities will not approve overlapping 10b5-1 trading plans and persons subject to this policy will generally only be able to have one Approved 10b5-1 Plan in effect at any given time. Additionally, if an Approved 10b5-1 Plan is designed to effect purchases or sales pursuant to the plan in a single transaction, the plan holder may generally not enter into another single-trade 10b5-1 plan for the next 12 months.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Insiders are permitted to trade in the GasLog Entities Securities when no Blackout Period is in effect, subject to the restrictions in Section 8 below. Generally, this means that Insiders can trade during the period beginning on the day that the Blackout Period ends and ending on the day that the next Blackout Period begins. However, even during this trading window, an Insider who is in possession of any material non-public information should not trade in the GasLog Entities Securities until the information has been made publicly available or is no longer material. In addition, the GasLog Entities may close the trading window if a special Blackout Period is imposed and will re-open the trading window once the special Blackout Period has ended.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Non-Insider Employees </w:t>
      </w:r>
      <w:r>
        <w:rPr>
          <w:rFonts w:ascii="Times New Roman" w:cs="Times New Roman" w:eastAsia="Times New Roman" w:hAnsi="Times New Roman"/>
          <w:sz w:val="18"/>
          <w:szCs w:val="18"/>
          <w:color w:val="auto"/>
        </w:rPr>
        <w:t>are not restricted to trading during trading windows. However, all employees are subject to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prohibited from engaging in any securities transaction if they are, or believe they may be, in possession of material, non-public information.</w:t>
      </w:r>
    </w:p>
    <w:p>
      <w:pPr>
        <w:spacing w:after="0" w:line="171"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SECURITIES TRANSACTIONS:</w:t>
      </w:r>
    </w:p>
    <w:p>
      <w:pPr>
        <w:spacing w:after="0" w:line="229" w:lineRule="exact"/>
        <w:rPr>
          <w:rFonts w:ascii="Times New Roman" w:cs="Times New Roman" w:eastAsia="Times New Roman" w:hAnsi="Times New Roman"/>
          <w:sz w:val="18"/>
          <w:szCs w:val="18"/>
          <w:b w:val="1"/>
          <w:bCs w:val="1"/>
          <w:color w:val="auto"/>
        </w:rPr>
      </w:pPr>
    </w:p>
    <w:p>
      <w:pPr>
        <w:ind w:left="1300" w:right="2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8.1.As Insiders are likely to obtain material non-public information on a regular basis, the GasLog Entities require all such persons to refrain from trading, even during an open trading window, without first pre-clearing all transactions in the GasLog Entities Securities.</w:t>
      </w:r>
    </w:p>
    <w:p>
      <w:pPr>
        <w:spacing w:after="0" w:line="175"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8.2.Subject to the exemption in subsection 8.4 below, no Insider may, directly or indirectly, purchase or sell (or otherwise make any transfer, gift, pledge or loan of or enter into any other transaction with respect to GasLog Entities Securities prohibited by Section 9 below) any GasLog Entities Securities at any time without first obtaining prior approval from the GasLog Entities’ Secretary or the General Counsel. These procedures also apply to Immediate Family Members and Related Parties. Approval can be sought by email.</w:t>
      </w:r>
    </w:p>
    <w:p>
      <w:pPr>
        <w:spacing w:after="0" w:line="183"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8.3.The GasLog Entities’ Secretary shall record the date each request is received and the date each request is approved. Unless revoked, a grant of permission will normally remain valid until the close of trading three business days following the day on which it was granted. If the transaction does not occur during the three-day period, pre-clearance of the transaction must be re-requested. Once the transaction has been completed, the trading form attached at the Appendix must be submitted to the GasLog Entities’ Secretary by email or in original copy.</w:t>
      </w:r>
    </w:p>
    <w:p>
      <w:pPr>
        <w:spacing w:after="0" w:line="183" w:lineRule="exact"/>
        <w:rPr>
          <w:rFonts w:ascii="Times New Roman" w:cs="Times New Roman" w:eastAsia="Times New Roman" w:hAnsi="Times New Roman"/>
          <w:sz w:val="18"/>
          <w:szCs w:val="18"/>
          <w:b w:val="1"/>
          <w:bCs w:val="1"/>
          <w:color w:val="auto"/>
        </w:rPr>
      </w:pPr>
    </w:p>
    <w:p>
      <w:pPr>
        <w:ind w:left="1300" w:hanging="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8.4.Pre-clearance is not required for purchases and sales of GasLog Entities Securities under an Approved 10b5-1 Plan. With respect to any transaction under an Approved 10b5- 1 Plan, the third-party effecting transactions on behalf of the Insider should be instructed to send duplicate confirmation of all such transactions to the GasLog Entities’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GasLog Entities strongly recommend that any transactions in any GasLog Entities Securities by Insiders are conducted pursuant to Approved 10b5-1 Plans. Accordingly, a purchase, sale or other transaction in GasLog Entities Securities pursuant to an Approved 10b5-1 Plan will not be deemed to be a violation of the trading restrictions outlined in this Policy even if such trade takes place during a Blackout Period or while the Insider was aware of material, non-public information.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Non-Insider Employees </w:t>
      </w:r>
      <w:r>
        <w:rPr>
          <w:rFonts w:ascii="Times New Roman" w:cs="Times New Roman" w:eastAsia="Times New Roman" w:hAnsi="Times New Roman"/>
          <w:sz w:val="18"/>
          <w:szCs w:val="18"/>
          <w:color w:val="auto"/>
        </w:rPr>
        <w:t>are not required to seek pre-clearance for trading in GasLog Entities Securities. However, all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subject to this Policy and are prohibited from engaging in any securities transaction if they are, or believe they may be, in possession of material, non- public information.</w:t>
      </w:r>
    </w:p>
    <w:p>
      <w:pPr>
        <w:spacing w:after="0" w:line="171"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Insider, employee or any of their respective Related Parties is prohibited from engaging in any of the following activities with respect to GasLog Entities Securities:</w:t>
      </w:r>
    </w:p>
    <w:p>
      <w:pPr>
        <w:spacing w:after="0" w:line="158" w:lineRule="exact"/>
        <w:rPr>
          <w:sz w:val="20"/>
          <w:szCs w:val="20"/>
          <w:color w:val="auto"/>
        </w:rPr>
      </w:pPr>
    </w:p>
    <w:p>
      <w:pPr>
        <w:ind w:left="1300" w:hanging="644"/>
        <w:spacing w:after="0" w:line="286"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Trading in Equity Securities on a Short-Term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Equity Securities purchased in the open market should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for a minimum of six months and ideally longer.</w:t>
      </w:r>
    </w:p>
    <w:p>
      <w:pPr>
        <w:spacing w:after="0" w:line="154"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Purchases of GasLog Entities Securities on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GasLog Entities Securities purchased in the open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be paid for fully at the time of purchase. GasLog Entities Securities should not be purchased on margin (borrowing money from a stockbroker to fund the share purchase).</w:t>
      </w:r>
    </w:p>
    <w:p>
      <w:pPr>
        <w:spacing w:after="0" w:line="170"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GasLog Entities Securities short is prohibited; provided, however that short sales effected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financial institution (or affiliate thereof) that is party to a Permitted Hedging Derivative, in accordance with its own standard practices and procedures, for the purpose of hedging its own position as a party to, or facilitating the entry by an Insider or Employee (or any Related Party of either) into, such Permitted Hedging Derivative, are permitted. Selling short is the practice of selling more securities than one owns, a technique used to speculate on a decline in the relevant securities’ price.</w:t>
      </w:r>
    </w:p>
    <w:p>
      <w:pPr>
        <w:spacing w:after="0" w:line="182"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Puts, Calls and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or sale of options, whether puts or calls, or other derivatives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GasLog Entities Securities, is not permitted except for Permitted Hedging Derivatives. The speculative nature of the markets for these financial instruments is inconsistent with careful avoidance of trading on the basis of material non-public information. A put is a right to sell at a specified price a specific number of securities by a certain date and is utilized in anticipation of a decline in the relevant securities’ price. A call is a right to buy at a specified price a specified number of securities by a certain date and is utilized in anticipation of a rise in the relevant securities’ price. A derivative is an option, warrant, convertible security, appreciation right, swap, forward or contract or similar arrangement right with an exercise or conversion privilege at a price related to an underlying security or with a value derived from the value of such underlying security. A “Permitted Hedging Derivative” is a derivative transaction to (x) hedge a position in GasLog Entities Securities held by an Insider or Employee or Related Party of either for more than 12 months, (y) with respect to the number of GasLog Entities Securities less than or equal to the amount such Insider, employee or Related Party could sell at such time in compliance with Rule 144 under the Securities Act and (z) otherwise in compliance with the terms of the Policy, on the basis that entry into any such hedging derivative is deemed to be trading in GasLog Entities Securities for all purposes under this Policy. Insider hedges will be reviewed by the Audit and Risk Committee of GasLog or Audit Committee of GasLog Partners, as applicable, on a periodic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16" w:lineRule="exact"/>
        <w:rPr>
          <w:sz w:val="20"/>
          <w:szCs w:val="20"/>
          <w:color w:val="auto"/>
        </w:rPr>
      </w:pPr>
    </w:p>
    <w:p>
      <w:pPr>
        <w:ind w:left="660" w:hanging="652"/>
        <w:spacing w:after="0" w:line="286" w:lineRule="auto"/>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144 RESTRICTIONS ON SALES BY DIRECTORS, SENIOR OFFICERS AND CONTROLLING SHAREHOLDERS: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GasLog Entities Securities, regardless of how acquired (including purchased in the open market), by an Affiliate (see definition in Section 4 above) of the GasLog Entities, must be made in compliance with the provisions of Rule 144 under the Securities Act, absent registration under the Securities Act or any other available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and requirements imposed on sales of securities by Affiliates of the GasLog Entities include the following:</w:t>
      </w:r>
    </w:p>
    <w:p>
      <w:pPr>
        <w:spacing w:after="0" w:line="221" w:lineRule="exact"/>
        <w:rPr>
          <w:sz w:val="20"/>
          <w:szCs w:val="20"/>
          <w:color w:val="auto"/>
        </w:rPr>
      </w:pPr>
    </w:p>
    <w:p>
      <w:pPr>
        <w:jc w:val="both"/>
        <w:ind w:left="1300" w:right="20" w:hanging="644"/>
        <w:spacing w:after="0" w:line="262"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Securities must have been held for at least six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securities to be sold are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 six-month holding period must be satisfied. The term “restricted securities” means, in general, securities that are acquired from the GasLog Entities or an affiliate of the GasLog Entities in a transaction or chain of transaction not involving a public offering.</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amount of shares or units being sold must not exceed prescribed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any three-month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shares of GasLog or units of GasLog Partners sold must generally not exceed the greater of (i) one percent of the total amount of that class of GasLog’s shares or GasLog Partners’ units outstanding, as applicable, or (ii) the average weekly reported trading volume on the New York Stock Exchange (the “NYSE”) during the four preceding calendar weeks.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9"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shares or units must be sold in “brokers’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must be made in ordinary broker transactions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transactions directly with a market maker. The holder of the GasLog shares or the GasLog Partners units must not solicit or arrange for the solicitation of buy orders or make any payment in connection with the sale, other than the commission to the broker who executes the order to sell. The broker may do no more than execute a sell order as agent for the usual customary commission; the broker cannot solicit or arrange for the solicitation of buy orders.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the sale must be filed with the SEC and NYSE at the same time as the sale order is placed with the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amount of GasLog shares or GasLog Partners units sold in reliance upon Rule 144 during any three-month period exceeds 5,000 GasLog shares or GasLog Partners units, or has an aggregate sale price in excess of $50,000, a notice on Form 144 must be filed with the SEC and the NYSE simultaneously with the initiation of the transaction. The broker will assist in filing the Form 144. A seller filing a notice on Form 144 must have a bona fide intention to sell the securities referred to in the notice within a reasonable time after the Form 144 is filed with the SEC.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2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Serious problems could be caused for the GasLog Entities and the selling Affiliate if the notice of the sale is not filed concurrently with the sale order being placed with the broker.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requirements summarized above, Rule 144 also requires that adequate current public information with respect to the GasLog Entities must be available at the time of sale of securities. Directors and officers should contact the GasLog Entities’ Secretary and/or the General Counsel if they have any questions about Rule 144.</w:t>
      </w:r>
    </w:p>
    <w:p>
      <w:pPr>
        <w:spacing w:after="0" w:line="17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POLICY AND PROCEDURE: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Serious problems could be caused for the GasLog Entities by unauthorized disclosure of any internal information obtained in the course of employment, including but not limited to the examples given in Section 4 – Material Information, as well as information about the GasLog Entities and information relating to our customers and suppliers, whether or not for the purpose of facilitating improper trading in GasLog Entities Securities (such information is collectively known as “Inside Information”). Thus, Insiders, employees or any of their immediate family members or Affiliates should not discuss non-public matters or developments pertaining to the GasLog Entities or obtained in the course of employment with anyone outside of the GasLog Entities, except as required in the performance of regular corporate duties. Inside Information should never be disclosed to others for personal gain.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disclosing Inside Information to any third party (e.g. contracting parties and advisers) as part of regular corporate duties, Insiders and employees shall in cooperation with the GasLog Legal Department ensure that the recipient (i) is subject to a statutory, administrative, corporate or contractual duty of confidentiality or (ii) has been notified in writing that the information is Inside Information and should be treated as such.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obligations apply specifically (but not exclusively) to inquiries which may be made by the financial press, investment analysts or others in the financial community or by the GasLog Entities’ suppliers or customers. It is important that all such communications on behalf of the GasLog Entities be through an appropriately designated executive officer, under carefully controlled circumstances. Unless an Insider or employee is expressly authorized to the contrary, if he or she receives any inquiries of this nature, he or she should decline to comment and should refer the inquirer to the GasLog Legal Department.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Insiders and employees should immediately notify the General Counsel and/or GasLog Entities’ Secretary of any known or suspected leak of Inside Information. Based on the information received, the General Counsel and the GasLog Entities’ Secretary together with the GasLog Entities’ Investor Relations Manager shall determine the measures to take and decide whether to disclose the Inside Information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291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6283325" cy="29146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known as “Policy Statement for Trading in Company Securities”)</w:t>
      </w:r>
    </w:p>
    <w:p>
      <w:pPr>
        <w:spacing w:after="0" w:line="216"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 RETIREMENT OR TERMINATIONS TRANSACTIONS: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to former Insiders, employees or any of their immediate family members even after the Insider or employee has retired or terminated employment or other services to the GasLog Entities or a subsidiary. Subject to additional terms, conditions or restrictions that may be set forth in an agreement between the Insider or the employee or the GasLog Entities: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former Insiders, this policy shall apply until the later of the (i) the first trading day of the open window period following the public release of earnings for the fiscal quarter immediately following the fiscal quarter in which the Insider leaves the GasLog Entities or (ii) the first trading day after any material, non-public information known to the Insider has become public or is no longer material;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former employees, this Policy shall apply until the first trading day after any material, non-public information known to the employee has become public or is no longer material.</w:t>
      </w:r>
    </w:p>
    <w:p>
      <w:pPr>
        <w:spacing w:after="0" w:line="15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 ASSISTANCE AND 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who has any questions about specific transactions may obtain additional guidance from the GasLog Entities’ Secretary or the General Counsel. Remember, however, the ultimate responsibility for adhering to this Policy and avoiding improper transactions rests with the individual. In this regard, it is imperative that each individual uses his or her best judgement and consults with his or her own legal counsel where appropriate.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Insider and employee must complete and forward to the GasLog Entities’ HR department the attached form entitled “Acknowledgment and Agreement” in order to acknowledge that they have read and understood the Policy and intend to comply with it. You may be asked to certify compliance on an annual basis.</w:t>
      </w:r>
    </w:p>
    <w:p>
      <w:pPr>
        <w:spacing w:after="0" w:line="172"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LINKED DOCUMENTS:</w:t>
      </w:r>
    </w:p>
    <w:p>
      <w:pPr>
        <w:spacing w:after="0" w:line="229"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Compliance/Whistleblower Protection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1234440" cy="6172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Notice of Purchase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8332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6283325" cy="154305"/>
                    </a:xfrm>
                    <a:prstGeom prst="rect">
                      <a:avLst/>
                    </a:prstGeom>
                    <a:noFill/>
                  </pic:spPr>
                </pic:pic>
              </a:graphicData>
            </a:graphic>
          </wp:anchor>
        </w:drawing>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GASLOG LTD. AND GASLOG PARTNERS LP (the “GasLog Entities”)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PURCHASE 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advises that the following GasLog Entities Securities have been purchased or sold on the date(s)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1036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6292215" cy="1036955"/>
                    </a:xfrm>
                    <a:prstGeom prst="rect">
                      <a:avLst/>
                    </a:prstGeom>
                    <a:noFill/>
                  </pic:spPr>
                </pic:pic>
              </a:graphicData>
            </a:graphic>
          </wp:anchor>
        </w:drawing>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 of Transaction</w:t>
            </w:r>
          </w:p>
        </w:tc>
        <w:tc>
          <w:tcPr>
            <w:tcW w:w="1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Security</w:t>
            </w: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Purchased or Sold</w:t>
            </w:r>
          </w:p>
        </w:tc>
        <w:tc>
          <w:tcPr>
            <w:tcW w:w="2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Securities</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Name of Broker</w:t>
            </w:r>
          </w:p>
        </w:tc>
      </w:tr>
    </w:tbl>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undersigns confirms that no other purchases or sales of the GasLog Entities Securities have been effected on the dates advised.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undersigns confirms*:</w:t>
      </w:r>
    </w:p>
    <w:p>
      <w:pPr>
        <w:spacing w:after="0" w:line="225" w:lineRule="exact"/>
        <w:rPr>
          <w:sz w:val="20"/>
          <w:szCs w:val="20"/>
          <w:color w:val="auto"/>
        </w:rPr>
      </w:pPr>
    </w:p>
    <w:p>
      <w:pPr>
        <w:ind w:left="660" w:hanging="652"/>
        <w:spacing w:after="0"/>
        <w:tabs>
          <w:tab w:leader="none" w:pos="66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Pre-clearance was not required for this transaction as it was completed under an approved Section 10b5-1 Trading Plan.</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4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Pre-clearance was obtained from the GasLog Entities’ Secretary and/or General Counsel.</w:t>
      </w:r>
    </w:p>
    <w:p>
      <w:pPr>
        <w:spacing w:after="0" w:line="225" w:lineRule="exact"/>
        <w:rPr>
          <w:sz w:val="20"/>
          <w:szCs w:val="20"/>
          <w:color w:val="auto"/>
        </w:rPr>
      </w:pPr>
    </w:p>
    <w:p>
      <w:pPr>
        <w:ind w:right="7900" w:firstLine="8"/>
        <w:spacing w:after="0" w:line="633" w:lineRule="auto"/>
        <w:tabs>
          <w:tab w:leader="none" w:pos="13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tick as appropriate.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-269875</wp:posOffset>
            </wp:positionV>
            <wp:extent cx="31375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1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2922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Please return in PDF copy to the GasLog Entities’ Secretary </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gchatzopoulos@gaslogltd.com</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Paolo Enoizi certify that:</w:t>
      </w:r>
    </w:p>
    <w:p>
      <w:pPr>
        <w:spacing w:after="0" w:line="189"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184"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340" w:right="20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18345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Name:Paolo Enoizi</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189"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184"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340" w:right="20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13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688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Name:Achilleas Tasioulas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2024, as filed with the Securities and Exchange Commission on the date hereof (the “Report”), the undersigned officer of the Company certifies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40" w:right="240" w:hanging="332"/>
        <w:spacing w:after="0" w:line="260"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17145</wp:posOffset>
            </wp:positionV>
            <wp:extent cx="26231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Name:Paolo Enoizi</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2024,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153" w:lineRule="exact"/>
        <w:rPr>
          <w:sz w:val="20"/>
          <w:szCs w:val="20"/>
          <w:color w:val="auto"/>
        </w:rPr>
      </w:pPr>
    </w:p>
    <w:p>
      <w:pPr>
        <w:ind w:left="340" w:hanging="332"/>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40" w:right="240" w:hanging="332"/>
        <w:spacing w:after="0" w:line="26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18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17145</wp:posOffset>
            </wp:positionV>
            <wp:extent cx="19284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Name:Achilleas Tasioulas</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1."/>
      <w:numFmt w:val="upperLetter"/>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1."/>
      <w:numFmt w:val="upperLetter"/>
      <w:start w:val="2"/>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1)"/>
      <w:numFmt w:val="lowerRoman"/>
      <w:start w:val="1"/>
    </w:lvl>
  </w:abstractNum>
  <w:abstractNum w:abstractNumId="31">
    <w:nsid w:val="74DE0EE3"/>
    <w:multiLevelType w:val="hybridMultilevel"/>
    <w:lvl w:ilvl="0">
      <w:lvlJc w:val="left"/>
      <w:lvlText w:val="(%1)"/>
      <w:numFmt w:val="lowerRoman"/>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1)"/>
      <w:numFmt w:val="lowerRoman"/>
      <w:start w:val="1"/>
    </w:lvl>
  </w:abstractNum>
  <w:abstractNum w:abstractNumId="36">
    <w:nsid w:val="39EE015C"/>
    <w:multiLevelType w:val="hybridMultilevel"/>
    <w:lvl w:ilvl="0">
      <w:lvlJc w:val="left"/>
      <w:lvlText w:val="(%1)"/>
      <w:numFmt w:val="decimal"/>
      <w:start w:val="1"/>
    </w:lvl>
  </w:abstractNum>
  <w:abstractNum w:abstractNumId="37">
    <w:nsid w:val="57FC4FBB"/>
    <w:multiLevelType w:val="hybridMultilevel"/>
    <w:lvl w:ilvl="0">
      <w:lvlJc w:val="left"/>
      <w:lvlText w:val="%1."/>
      <w:numFmt w:val="upperLetter"/>
      <w:start w:val="2"/>
    </w:lvl>
  </w:abstractNum>
  <w:abstractNum w:abstractNumId="38">
    <w:nsid w:val="CC1016F"/>
    <w:multiLevelType w:val="hybridMultilevel"/>
    <w:lvl w:ilvl="0">
      <w:lvlJc w:val="left"/>
      <w:lvlText w:val="%1."/>
      <w:numFmt w:val="upperLetter"/>
      <w:start w:val="6"/>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1)"/>
      <w:numFmt w:val="decimal"/>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1."/>
      <w:numFmt w:val="upperLetter"/>
      <w:start w:val="3"/>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1."/>
      <w:numFmt w:val="upperLetter"/>
      <w:start w:val="1"/>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Letter"/>
      <w:start w:val="2"/>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1."/>
      <w:numFmt w:val="upperLetter"/>
      <w:start w:val="6"/>
    </w:lvl>
  </w:abstractNum>
  <w:abstractNum w:abstractNumId="61">
    <w:nsid w:val="71C91298"/>
    <w:multiLevelType w:val="hybridMultilevel"/>
    <w:lvl w:ilvl="0">
      <w:lvlJc w:val="left"/>
      <w:lvlText w:val="%1."/>
      <w:numFmt w:val="upperLetter"/>
      <w:start w:val="9"/>
    </w:lvl>
  </w:abstractNum>
  <w:abstractNum w:abstractNumId="62">
    <w:nsid w:val="9DAF632"/>
    <w:multiLevelType w:val="hybridMultilevel"/>
    <w:lvl w:ilvl="0">
      <w:lvlJc w:val="left"/>
      <w:lvlText w:val="(%1)"/>
      <w:numFmt w:val="decimal"/>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1"/>
      <w:numFmt w:val="decimal"/>
      <w:start w:val="1"/>
    </w:lvl>
    <w:lvl w:ilvl="1">
      <w:lvlJc w:val="left"/>
      <w:lvlText w:val="%2"/>
      <w:numFmt w:val="decimal"/>
      <w:start w:val="104"/>
    </w:lvl>
  </w:abstractNum>
  <w:abstractNum w:abstractNumId="65">
    <w:nsid w:val="5092CA79"/>
    <w:multiLevelType w:val="hybridMultilevel"/>
    <w:lvl w:ilvl="0">
      <w:lvlJc w:val="left"/>
      <w:lvlText w:val="(%1)"/>
      <w:numFmt w:val="decimal"/>
      <w:start w:val="1"/>
    </w:lvl>
    <w:lvl w:ilvl="1">
      <w:lvlJc w:val="left"/>
      <w:lvlText w:val="%2"/>
      <w:numFmt w:val="decimal"/>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1."/>
      <w:numFmt w:val="lowerRoman"/>
      <w:start w:val="1"/>
    </w:lvl>
    <w:lvl w:ilvl="1">
      <w:lvlJc w:val="left"/>
      <w:lvlText w:val="%2."/>
      <w:numFmt w:val="decimal"/>
      <w:start w:val="1"/>
    </w:lvl>
  </w:abstractNum>
  <w:abstractNum w:abstractNumId="68">
    <w:nsid w:val="288F1A34"/>
    <w:multiLevelType w:val="hybridMultilevel"/>
    <w:lvl w:ilvl="0">
      <w:lvlJc w:val="left"/>
      <w:lvlText w:val="%1."/>
      <w:numFmt w:val="decimal"/>
      <w:start w:val="1"/>
    </w:lvl>
  </w:abstractNum>
  <w:abstractNum w:abstractNumId="69">
    <w:nsid w:val="2A155DBC"/>
    <w:multiLevelType w:val="hybridMultilevel"/>
    <w:lvl w:ilvl="0">
      <w:lvlJc w:val="left"/>
      <w:lvlText w:val="(%1)"/>
      <w:numFmt w:val="lowerLetter"/>
      <w:start w:val="2"/>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1."/>
      <w:numFmt w:val="decimal"/>
      <w:start w:val="7"/>
    </w:lvl>
  </w:abstractNum>
  <w:abstractNum w:abstractNumId="79">
    <w:nsid w:val="5C10FE21"/>
    <w:multiLevelType w:val="hybridMultilevel"/>
    <w:lvl w:ilvl="0">
      <w:lvlJc w:val="left"/>
      <w:lvlText w:val="(%1)"/>
      <w:numFmt w:val="lowerRoman"/>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Roman"/>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1."/>
      <w:numFmt w:val="decimal"/>
      <w:start w:val="17"/>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1)"/>
      <w:numFmt w:val="decimal"/>
      <w:start w:val="1"/>
    </w:lvl>
  </w:abstractNum>
  <w:abstractNum w:abstractNumId="86">
    <w:nsid w:val="6C80EC70"/>
    <w:multiLevelType w:val="hybridMultilevel"/>
    <w:lvl w:ilvl="0">
      <w:lvlJc w:val="left"/>
      <w:lvlText w:val="(%1)"/>
      <w:numFmt w:val="upperLetter"/>
      <w:start w:val="1"/>
    </w:lvl>
  </w:abstractNum>
  <w:abstractNum w:abstractNumId="87">
    <w:nsid w:val="379E21B5"/>
    <w:multiLevelType w:val="hybridMultilevel"/>
    <w:lvl w:ilvl="0">
      <w:lvlJc w:val="left"/>
      <w:lvlText w:val="(%1)"/>
      <w:numFmt w:val="upperLetter"/>
      <w:start w:val="3"/>
    </w:lvl>
  </w:abstractNum>
  <w:abstractNum w:abstractNumId="88">
    <w:nsid w:val="69E373"/>
    <w:multiLevelType w:val="hybridMultilevel"/>
    <w:lvl w:ilvl="0">
      <w:lvlJc w:val="left"/>
      <w:lvlText w:val="1"/>
      <w:numFmt w:val="bullet"/>
      <w:start w:val="1"/>
    </w:lvl>
  </w:abstractNum>
  <w:abstractNum w:abstractNumId="89">
    <w:nsid w:val="2C27173B"/>
    <w:multiLevelType w:val="hybridMultilevel"/>
    <w:lvl w:ilvl="0">
      <w:lvlJc w:val="left"/>
      <w:lvlText w:val="2"/>
      <w:numFmt w:val="bullet"/>
      <w:start w:val="1"/>
    </w:lvl>
  </w:abstractNum>
  <w:abstractNum w:abstractNumId="90">
    <w:nsid w:val="4C9B0904"/>
    <w:multiLevelType w:val="hybridMultilevel"/>
    <w:lvl w:ilvl="0">
      <w:lvlJc w:val="left"/>
      <w:lvlText w:val="3"/>
      <w:numFmt w:val="bullet"/>
      <w:start w:val="1"/>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2"/>
    </w:lvl>
  </w:abstractNum>
  <w:abstractNum w:abstractNumId="93">
    <w:nsid w:val="5675FF36"/>
    <w:multiLevelType w:val="hybridMultilevel"/>
    <w:lvl w:ilvl="0">
      <w:lvlJc w:val="left"/>
      <w:lvlText w:val="(%1)"/>
      <w:numFmt w:val="lowerLetter"/>
      <w:start w:val="7"/>
    </w:lvl>
  </w:abstractNum>
  <w:abstractNum w:abstractNumId="94">
    <w:nsid w:val="3DD15094"/>
    <w:multiLevelType w:val="hybridMultilevel"/>
    <w:lvl w:ilvl="0">
      <w:lvlJc w:val="left"/>
      <w:lvlText w:val="(%1)"/>
      <w:numFmt w:val="lowerLetter"/>
      <w:start w:val="9"/>
    </w:lvl>
    <w:lvl w:ilvl="1">
      <w:lvlJc w:val="left"/>
      <w:lvlText w:val="(%2)"/>
      <w:numFmt w:val="lowerLetter"/>
      <w:start w:val="1"/>
    </w:lvl>
  </w:abstractNum>
  <w:abstractNum w:abstractNumId="95">
    <w:nsid w:val="3DB012B3"/>
    <w:multiLevelType w:val="hybridMultilevel"/>
    <w:lvl w:ilvl="0">
      <w:lvlJc w:val="left"/>
      <w:lvlText w:val="(%1)"/>
      <w:numFmt w:val="lowerLetter"/>
      <w:start w:val="3"/>
    </w:lvl>
  </w:abstractNum>
  <w:abstractNum w:abstractNumId="96">
    <w:nsid w:val="2708C9AF"/>
    <w:multiLevelType w:val="hybridMultilevel"/>
    <w:lvl w:ilvl="0">
      <w:lvlJc w:val="left"/>
      <w:lvlText w:val="(%1)"/>
      <w:numFmt w:val="lowerRoman"/>
      <w:start w:val="1"/>
    </w:lvl>
  </w:abstractNum>
  <w:abstractNum w:abstractNumId="97">
    <w:nsid w:val="5B25ACE2"/>
    <w:multiLevelType w:val="hybridMultilevel"/>
    <w:lvl w:ilvl="0">
      <w:lvlJc w:val="left"/>
      <w:lvlText w:val="(%1)"/>
      <w:numFmt w:val="lowerLetter"/>
      <w:start w:val="8"/>
    </w:lvl>
    <w:lvl w:ilvl="1">
      <w:lvlJc w:val="left"/>
      <w:lvlText w:val="(%2)"/>
      <w:numFmt w:val="lowerRoman"/>
      <w:start w:val="1"/>
    </w:lvl>
  </w:abstractNum>
  <w:abstractNum w:abstractNumId="98">
    <w:nsid w:val="175DFCF0"/>
    <w:multiLevelType w:val="hybridMultilevel"/>
    <w:lvl w:ilvl="0">
      <w:lvlJc w:val="left"/>
      <w:lvlText w:val="%1"/>
      <w:numFmt w:val="lowerLetter"/>
      <w:start w:val="1"/>
    </w:lvl>
    <w:lvl w:ilvl="1">
      <w:lvlJc w:val="left"/>
      <w:lvlText w:val="(%2)"/>
      <w:numFmt w:val="lowerLetter"/>
      <w:start w:val="61"/>
    </w:lvl>
  </w:abstractNum>
  <w:abstractNum w:abstractNumId="99">
    <w:nsid w:val="4F97E3E4"/>
    <w:multiLevelType w:val="hybridMultilevel"/>
    <w:lvl w:ilvl="0">
      <w:lvlJc w:val="left"/>
      <w:lvlText w:val="(%1)"/>
      <w:numFmt w:val="lowerLetter"/>
      <w:start w:val="11"/>
    </w:lvl>
    <w:lvl w:ilvl="1">
      <w:lvlJc w:val="left"/>
      <w:lvlText w:val="%2"/>
      <w:numFmt w:val="lowerLetter"/>
      <w:start w:val="1"/>
    </w:lvl>
  </w:abstractNum>
  <w:abstractNum w:abstractNumId="100">
    <w:nsid w:val="53B0A9E"/>
    <w:multiLevelType w:val="hybridMultilevel"/>
    <w:lvl w:ilvl="0">
      <w:lvlJc w:val="left"/>
      <w:lvlText w:val="4"/>
      <w:numFmt w:val="bullet"/>
      <w:start w:val="1"/>
    </w:lvl>
    <w:lvl w:ilvl="1">
      <w:lvlJc w:val="left"/>
      <w:lvlText w:val="(%2)"/>
      <w:numFmt w:val="lowerLetter"/>
      <w:start w:val="1"/>
    </w:lvl>
  </w:abstractNum>
  <w:abstractNum w:abstractNumId="101">
    <w:nsid w:val="34FD6B4F"/>
    <w:multiLevelType w:val="hybridMultilevel"/>
    <w:lvl w:ilvl="0">
      <w:lvlJc w:val="left"/>
      <w:lvlText w:val="5"/>
      <w:numFmt w:val="bullet"/>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1"/>
    </w:lvl>
  </w:abstractNum>
  <w:abstractNum w:abstractNumId="104">
    <w:nsid w:val="519E3149"/>
    <w:multiLevelType w:val="hybridMultilevel"/>
    <w:lvl w:ilvl="0">
      <w:lvlJc w:val="left"/>
      <w:lvlText w:val="6"/>
      <w:numFmt w:val="bullet"/>
      <w:start w:val="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2"/>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7"/>
      <w:numFmt w:val="bullet"/>
      <w:start w:val="1"/>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8"/>
      <w:numFmt w:val="bullet"/>
      <w:start w:val="1"/>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9"/>
      <w:numFmt w:val="bullet"/>
      <w:start w:val="1"/>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116">
    <w:nsid w:val="20EE1348"/>
    <w:multiLevelType w:val="hybridMultilevel"/>
    <w:lvl w:ilvl="0">
      <w:lvlJc w:val="left"/>
      <w:lvlText w:val="2"/>
      <w:numFmt w:val="bullet"/>
      <w:start w:val="1"/>
    </w:lvl>
    <w:lvl w:ilvl="1">
      <w:lvlJc w:val="left"/>
      <w:lvlText w:val="(%2)"/>
      <w:numFmt w:val="lowerLetter"/>
      <w:start w:val="1"/>
    </w:lvl>
  </w:abstractNum>
  <w:abstractNum w:abstractNumId="117">
    <w:nsid w:val="4427069A"/>
    <w:multiLevelType w:val="hybridMultilevel"/>
    <w:lvl w:ilvl="0">
      <w:lvlJc w:val="left"/>
      <w:lvlText w:val="3"/>
      <w:numFmt w:val="bullet"/>
      <w:start w:val="1"/>
    </w:lvl>
  </w:abstractNum>
  <w:abstractNum w:abstractNumId="118">
    <w:nsid w:val="B37E80A"/>
    <w:multiLevelType w:val="hybridMultilevel"/>
    <w:lvl w:ilvl="0">
      <w:lvlJc w:val="left"/>
      <w:lvlText w:val="4"/>
      <w:numFmt w:val="bullet"/>
      <w:start w:val="1"/>
    </w:lvl>
    <w:lvl w:ilvl="1">
      <w:lvlJc w:val="left"/>
      <w:lvlText w:val="(%2)"/>
      <w:numFmt w:val="lowerLetter"/>
      <w:start w:val="1"/>
    </w:lvl>
  </w:abstractNum>
  <w:abstractNum w:abstractNumId="119">
    <w:nsid w:val="2157F6BC"/>
    <w:multiLevelType w:val="hybridMultilevel"/>
    <w:lvl w:ilvl="0">
      <w:lvlJc w:val="left"/>
      <w:lvlText w:val="%1."/>
      <w:numFmt w:val="decimal"/>
      <w:start w:val="1"/>
    </w:lvl>
  </w:abstractNum>
  <w:abstractNum w:abstractNumId="120">
    <w:nsid w:val="704E1DD5"/>
    <w:multiLevelType w:val="hybridMultilevel"/>
    <w:lvl w:ilvl="0">
      <w:lvlJc w:val="left"/>
      <w:lvlText w:val="%1."/>
      <w:numFmt w:val="decimal"/>
      <w:start w:val="2"/>
    </w:lvl>
  </w:abstractNum>
  <w:abstractNum w:abstractNumId="121">
    <w:nsid w:val="57D2F10E"/>
    <w:multiLevelType w:val="hybridMultilevel"/>
    <w:lvl w:ilvl="0">
      <w:lvlJc w:val="left"/>
      <w:lvlText w:val="%1."/>
      <w:numFmt w:val="decimal"/>
      <w:start w:val="3"/>
    </w:lvl>
  </w:abstractNum>
  <w:abstractNum w:abstractNumId="122">
    <w:nsid w:val="BFFAE18"/>
    <w:multiLevelType w:val="hybridMultilevel"/>
    <w:lvl w:ilvl="0">
      <w:lvlJc w:val="left"/>
      <w:lvlText w:val="%1."/>
      <w:numFmt w:val="decimal"/>
      <w:start w:val="4"/>
    </w:lvl>
  </w:abstractNum>
  <w:abstractNum w:abstractNumId="123">
    <w:nsid w:val="E3E47A8"/>
    <w:multiLevelType w:val="hybridMultilevel"/>
    <w:lvl w:ilvl="0">
      <w:lvlJc w:val="left"/>
      <w:lvlText w:val="(%1)"/>
      <w:numFmt w:val="lowerRoman"/>
      <w:start w:val="1"/>
    </w:lvl>
  </w:abstractNum>
  <w:abstractNum w:abstractNumId="124">
    <w:nsid w:val="2E48F044"/>
    <w:multiLevelType w:val="hybridMultilevel"/>
    <w:lvl w:ilvl="0">
      <w:lvlJc w:val="left"/>
      <w:lvlText w:val="(%1)"/>
      <w:numFmt w:val="lowerRoman"/>
      <w:start w:val="1"/>
    </w:lvl>
  </w:abstractNum>
  <w:abstractNum w:abstractNumId="125">
    <w:nsid w:val="49D0FEAC"/>
    <w:multiLevelType w:val="hybridMultilevel"/>
    <w:lvl w:ilvl="0">
      <w:lvlJc w:val="left"/>
      <w:lvlText w:val="%1"/>
      <w:numFmt w:val="decimal"/>
      <w:start w:val="1"/>
    </w:lvl>
    <w:lvl w:ilvl="1">
      <w:lvlJc w:val="left"/>
      <w:lvlText w:val="(%2)"/>
      <w:numFmt w:val="lowerRoman"/>
      <w:start w:val="1"/>
    </w:lvl>
  </w:abstractNum>
  <w:abstractNum w:abstractNumId="126">
    <w:nsid w:val="4BEE5A5B"/>
    <w:multiLevelType w:val="hybridMultilevel"/>
    <w:lvl w:ilvl="0">
      <w:lvlJc w:val="left"/>
      <w:lvlText w:val="%1."/>
      <w:numFmt w:val="decimal"/>
      <w:start w:val="5"/>
    </w:lvl>
    <w:lvl w:ilvl="1">
      <w:lvlJc w:val="left"/>
      <w:lvlText w:val="%2"/>
      <w:numFmt w:val="lowerRoman"/>
      <w:start w:val="1"/>
    </w:lvl>
  </w:abstractNum>
  <w:abstractNum w:abstractNumId="127">
    <w:nsid w:val="5551B9F3"/>
    <w:multiLevelType w:val="hybridMultilevel"/>
    <w:lvl w:ilvl="0">
      <w:lvlJc w:val="left"/>
      <w:lvlText w:val="%1"/>
      <w:numFmt w:val="decimal"/>
      <w:start w:val="1"/>
    </w:lvl>
    <w:lvl w:ilvl="1">
      <w:lvlJc w:val="left"/>
      <w:lvlText w:val="(%2)"/>
      <w:numFmt w:val="lowerRoman"/>
      <w:start w:val="1"/>
    </w:lvl>
  </w:abstractNum>
  <w:abstractNum w:abstractNumId="128">
    <w:nsid w:val="24F6AB8E"/>
    <w:multiLevelType w:val="hybridMultilevel"/>
    <w:lvl w:ilvl="0">
      <w:lvlJc w:val="left"/>
      <w:lvlText w:val="%1."/>
      <w:numFmt w:val="decimal"/>
      <w:start w:val="6"/>
    </w:lvl>
    <w:lvl w:ilvl="1">
      <w:lvlJc w:val="left"/>
      <w:lvlText w:val="%2"/>
      <w:numFmt w:val="lowerRoman"/>
      <w:start w:val="1"/>
    </w:lvl>
  </w:abstractNum>
  <w:abstractNum w:abstractNumId="129">
    <w:nsid w:val="634C574C"/>
    <w:multiLevelType w:val="hybridMultilevel"/>
    <w:lvl w:ilvl="0">
      <w:lvlJc w:val="left"/>
      <w:lvlText w:val="%1."/>
      <w:numFmt w:val="decimal"/>
      <w:start w:val="7"/>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decimal"/>
      <w:start w:val="8"/>
    </w:lvl>
  </w:abstractNum>
  <w:abstractNum w:abstractNumId="132">
    <w:nsid w:val="1849C29B"/>
    <w:multiLevelType w:val="hybridMultilevel"/>
    <w:lvl w:ilvl="0">
      <w:lvlJc w:val="left"/>
      <w:lvlText w:val="%1."/>
      <w:numFmt w:val="decimal"/>
      <w:start w:val="9"/>
    </w:lvl>
  </w:abstractNum>
  <w:abstractNum w:abstractNumId="133">
    <w:nsid w:val="7DFF9D09"/>
    <w:multiLevelType w:val="hybridMultilevel"/>
    <w:lvl w:ilvl="0">
      <w:lvlJc w:val="left"/>
      <w:lvlText w:val="(%1)"/>
      <w:numFmt w:val="lowerRoman"/>
      <w:start w:val="1"/>
    </w:lvl>
  </w:abstractNum>
  <w:abstractNum w:abstractNumId="134">
    <w:nsid w:val="754342"/>
    <w:multiLevelType w:val="hybridMultilevel"/>
    <w:lvl w:ilvl="0">
      <w:lvlJc w:val="left"/>
      <w:lvlText w:val="%1."/>
      <w:numFmt w:val="decimal"/>
      <w:start w:val="10"/>
    </w:lvl>
  </w:abstractNum>
  <w:abstractNum w:abstractNumId="135">
    <w:nsid w:val="69E7F3E5"/>
    <w:multiLevelType w:val="hybridMultilevel"/>
    <w:lvl w:ilvl="0">
      <w:lvlJc w:val="left"/>
      <w:lvlText w:val="(%1)"/>
      <w:numFmt w:val="lowerRoman"/>
      <w:start w:val="1"/>
    </w:lvl>
  </w:abstractNum>
  <w:abstractNum w:abstractNumId="136">
    <w:nsid w:val="2A6DE806"/>
    <w:multiLevelType w:val="hybridMultilevel"/>
    <w:lvl w:ilvl="0">
      <w:lvlJc w:val="left"/>
      <w:lvlText w:val="%1."/>
      <w:numFmt w:val="decimal"/>
      <w:start w:val="11"/>
    </w:lvl>
  </w:abstractNum>
  <w:abstractNum w:abstractNumId="137">
    <w:nsid w:val="1816F8C4"/>
    <w:multiLevelType w:val="hybridMultilevel"/>
    <w:lvl w:ilvl="0">
      <w:lvlJc w:val="left"/>
      <w:lvlText w:val="%1."/>
      <w:numFmt w:val="decimal"/>
      <w:start w:val="12"/>
    </w:lvl>
  </w:abstractNum>
  <w:abstractNum w:abstractNumId="138">
    <w:nsid w:val="37DF2233"/>
    <w:multiLevelType w:val="hybridMultilevel"/>
    <w:lvl w:ilvl="0">
      <w:lvlJc w:val="left"/>
      <w:lvlText w:val="%1."/>
      <w:numFmt w:val="decimal"/>
      <w:start w:val="13"/>
    </w:lvl>
  </w:abstractNum>
  <w:abstractNum w:abstractNumId="139">
    <w:nsid w:val="7AB49DAF"/>
    <w:multiLevelType w:val="hybridMultilevel"/>
    <w:lvl w:ilvl="0">
      <w:lvlJc w:val="left"/>
      <w:lvlText w:val="%1."/>
      <w:numFmt w:val="decimal"/>
      <w:start w:val="14"/>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8"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jpe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jpeg"/><Relationship Id="rId215" Type="http://schemas.openxmlformats.org/officeDocument/2006/relationships/image" Target="media/image198.png"/><Relationship Id="rId216" Type="http://schemas.openxmlformats.org/officeDocument/2006/relationships/image" Target="media/image199.jpe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jpe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jpe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jpe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jpe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jpe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jpe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jpe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jpe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jpe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jpe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109" Type="http://schemas.openxmlformats.org/officeDocument/2006/relationships/hyperlink" Target="https://www.sec.gov/Archives/edgar/data/1598655/000093041314001858/c76356_ex3-1.htm" TargetMode="External"/><Relationship Id="rId110" Type="http://schemas.openxmlformats.org/officeDocument/2006/relationships/hyperlink" Target="https://www.sec.gov/Archives/edgar/data/1598655/000095015723000792/ex3-2.htm" TargetMode="External"/><Relationship Id="rId111" Type="http://schemas.openxmlformats.org/officeDocument/2006/relationships/hyperlink" Target="https://www.sec.gov/Archives/edgar/data/1598655/000093041314001858/c76356_ex3-3.htm" TargetMode="External"/><Relationship Id="rId112" Type="http://schemas.openxmlformats.org/officeDocument/2006/relationships/hyperlink" Target="https://www.sec.gov/Archives/edgar/data/1598655/000093041314001858/c76356_ex3-4.htm" TargetMode="External"/><Relationship Id="rId113" Type="http://schemas.openxmlformats.org/officeDocument/2006/relationships/hyperlink" Target="https://www.sec.gov/Archives/edgar/data/1598655/000093041314001858/c76356_ex10-3.htm" TargetMode="External"/><Relationship Id="rId114" Type="http://schemas.openxmlformats.org/officeDocument/2006/relationships/hyperlink" Target="https://www.sec.gov/Archives/edgar/data/1598655/000093041314001858/c76356_ex10-4.htm" TargetMode="External"/><Relationship Id="rId115" Type="http://schemas.openxmlformats.org/officeDocument/2006/relationships/hyperlink" Target="https://www.sec.gov/Archives/edgar/data/1598655/000093041316005434/c83888_ex4-5.htm" TargetMode="External"/><Relationship Id="rId116" Type="http://schemas.openxmlformats.org/officeDocument/2006/relationships/hyperlink" Target="https://www.sec.gov/Archives/edgar/data/1598655/000093041316005434/c83888_ex4-9.htm" TargetMode="External"/><Relationship Id="rId117" Type="http://schemas.openxmlformats.org/officeDocument/2006/relationships/hyperlink" Target="https://www.sec.gov/Archives/edgar/data/1598655/000110465924031663/glop-20221231xex4d6.htm" TargetMode="External"/><Relationship Id="rId119" Type="http://schemas.openxmlformats.org/officeDocument/2006/relationships/hyperlink" Target="https://www.sec.gov/Archives/edgar/data/1598655/000110465924031663/glop-2022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2025-03-14T06:11:26Z</dcterms:created>
  <dcterms:modified xsi:type="dcterms:W3CDTF">2025-03-14T06:11:26Z</dcterms:modified>
</cp:coreProperties>
</file>