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No.1)*</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237" w:lineRule="auto"/>
        <w:rPr>
          <w:sz w:val="20"/>
          <w:szCs w:val="20"/>
          <w:color w:val="auto"/>
        </w:rPr>
      </w:pPr>
      <w:r>
        <w:rPr>
          <w:rFonts w:ascii="Courier New" w:cs="Courier New" w:eastAsia="Courier New" w:hAnsi="Courier New"/>
          <w:sz w:val="18"/>
          <w:szCs w:val="18"/>
          <w:color w:val="auto"/>
        </w:rPr>
        <w:t>(Name of Issuer)</w:t>
      </w:r>
    </w:p>
    <w:p>
      <w:pPr>
        <w:spacing w:after="0" w:line="5" w:lineRule="exact"/>
        <w:rPr>
          <w:sz w:val="24"/>
          <w:szCs w:val="24"/>
          <w:color w:val="auto"/>
        </w:rPr>
      </w:pPr>
    </w:p>
    <w:p>
      <w:pPr>
        <w:ind w:right="4759"/>
        <w:spacing w:after="0" w:line="236" w:lineRule="auto"/>
        <w:rPr>
          <w:sz w:val="20"/>
          <w:szCs w:val="20"/>
          <w:color w:val="auto"/>
        </w:rPr>
      </w:pPr>
      <w:r>
        <w:rPr>
          <w:rFonts w:ascii="Courier New" w:cs="Courier New" w:eastAsia="Courier New" w:hAnsi="Courier New"/>
          <w:sz w:val="18"/>
          <w:szCs w:val="18"/>
          <w:color w:val="auto"/>
        </w:rPr>
        <w:t>Common Units representing limited partner interests (Title of Class of Securities) Y2687W108</w:t>
      </w:r>
    </w:p>
    <w:p>
      <w:pPr>
        <w:spacing w:after="0"/>
        <w:rPr>
          <w:sz w:val="20"/>
          <w:szCs w:val="20"/>
          <w:color w:val="auto"/>
        </w:rPr>
      </w:pPr>
      <w:r>
        <w:rPr>
          <w:rFonts w:ascii="Courier New" w:cs="Courier New" w:eastAsia="Courier New" w:hAnsi="Courier New"/>
          <w:sz w:val="18"/>
          <w:szCs w:val="18"/>
          <w:color w:val="auto"/>
        </w:rPr>
        <w:t>(CUSIP Number)</w:t>
      </w:r>
    </w:p>
    <w:p>
      <w:pPr>
        <w:spacing w:after="0" w:line="4" w:lineRule="exact"/>
        <w:rPr>
          <w:sz w:val="24"/>
          <w:szCs w:val="24"/>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Gerardo Fernandez, Jose Abascal, 45 st. 28003 Madrid, Spain. 0034917556800 (Name, Address and Telephone Number of Person Authorized to Receive Notices and Communications)</w:t>
      </w: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Appropriate box to designate the rule pursuant to which this Schedule is filed: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Rule 13d-1(b)</w:t>
      </w:r>
    </w:p>
    <w:p>
      <w:pPr>
        <w:spacing w:after="0" w:line="238" w:lineRule="auto"/>
        <w:rPr>
          <w:sz w:val="20"/>
          <w:szCs w:val="20"/>
          <w:color w:val="auto"/>
        </w:rPr>
      </w:pPr>
      <w:r>
        <w:rPr>
          <w:rFonts w:ascii="Courier New" w:cs="Courier New" w:eastAsia="Courier New" w:hAnsi="Courier New"/>
          <w:sz w:val="18"/>
          <w:szCs w:val="18"/>
          <w:color w:val="auto"/>
        </w:rPr>
        <w:t>Rule 13d-1(c)</w:t>
      </w:r>
    </w:p>
    <w:p>
      <w:pPr>
        <w:spacing w:after="0" w:line="238" w:lineRule="auto"/>
        <w:rPr>
          <w:sz w:val="20"/>
          <w:szCs w:val="20"/>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5 Pages</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238" w:lineRule="auto"/>
        <w:rPr>
          <w:sz w:val="20"/>
          <w:szCs w:val="20"/>
          <w:color w:val="auto"/>
        </w:rPr>
      </w:pPr>
      <w:r>
        <w:rPr>
          <w:rFonts w:ascii="Courier New" w:cs="Courier New" w:eastAsia="Courier New" w:hAnsi="Courier New"/>
          <w:sz w:val="18"/>
          <w:szCs w:val="18"/>
          <w:color w:val="auto"/>
        </w:rPr>
        <w:t>I.R.S. IDENTIFICATION Cobas Asset Management, SGIIC, SA</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IF A MEMBER OF A GROUP</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(b)</w:t>
      </w:r>
    </w:p>
    <w:p>
      <w:pPr>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SOLE VOTING POWER</w:t>
      </w:r>
    </w:p>
    <w:p>
      <w:pPr>
        <w:spacing w:after="0" w:line="238" w:lineRule="auto"/>
        <w:rPr>
          <w:sz w:val="20"/>
          <w:szCs w:val="20"/>
          <w:color w:val="auto"/>
        </w:rPr>
      </w:pPr>
      <w:r>
        <w:rPr>
          <w:rFonts w:ascii="Courier New" w:cs="Courier New" w:eastAsia="Courier New" w:hAnsi="Courier New"/>
          <w:sz w:val="18"/>
          <w:szCs w:val="18"/>
          <w:color w:val="auto"/>
        </w:rPr>
        <w:t>4,396,949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238" w:lineRule="auto"/>
        <w:rPr>
          <w:sz w:val="20"/>
          <w:szCs w:val="20"/>
          <w:color w:val="auto"/>
        </w:rPr>
      </w:pPr>
      <w:r>
        <w:rPr>
          <w:rFonts w:ascii="Courier New" w:cs="Courier New" w:eastAsia="Courier New" w:hAnsi="Courier New"/>
          <w:sz w:val="18"/>
          <w:szCs w:val="18"/>
          <w:color w:val="auto"/>
        </w:rPr>
        <w:t>SHARED VOTING POWER 4,396,949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238" w:lineRule="auto"/>
        <w:rPr>
          <w:sz w:val="20"/>
          <w:szCs w:val="20"/>
          <w:color w:val="auto"/>
        </w:rPr>
      </w:pPr>
      <w:r>
        <w:rPr>
          <w:rFonts w:ascii="Courier New" w:cs="Courier New" w:eastAsia="Courier New" w:hAnsi="Courier New"/>
          <w:sz w:val="18"/>
          <w:szCs w:val="18"/>
          <w:color w:val="auto"/>
        </w:rPr>
        <w:t>SOLE DISPOSITIVE POWER00,000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238" w:lineRule="auto"/>
        <w:rPr>
          <w:sz w:val="20"/>
          <w:szCs w:val="20"/>
          <w:color w:val="auto"/>
        </w:rPr>
      </w:pPr>
      <w:r>
        <w:rPr>
          <w:rFonts w:ascii="Courier New" w:cs="Courier New" w:eastAsia="Courier New" w:hAnsi="Courier New"/>
          <w:sz w:val="18"/>
          <w:szCs w:val="18"/>
          <w:color w:val="auto"/>
        </w:rPr>
        <w:t>SHARED DISPOSITIVE POWER00,000</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238" w:lineRule="auto"/>
        <w:rPr>
          <w:sz w:val="20"/>
          <w:szCs w:val="20"/>
          <w:color w:val="auto"/>
        </w:rPr>
      </w:pPr>
      <w:r>
        <w:rPr>
          <w:rFonts w:ascii="Courier New" w:cs="Courier New" w:eastAsia="Courier New" w:hAnsi="Courier New"/>
          <w:sz w:val="18"/>
          <w:szCs w:val="18"/>
          <w:color w:val="auto"/>
        </w:rPr>
        <w:t>4,396,949</w:t>
      </w:r>
    </w:p>
    <w:p>
      <w:pPr>
        <w:spacing w:after="0" w:line="238" w:lineRule="auto"/>
        <w:rPr>
          <w:sz w:val="20"/>
          <w:szCs w:val="20"/>
          <w:color w:val="auto"/>
        </w:rPr>
      </w:pPr>
      <w:r>
        <w:rPr>
          <w:rFonts w:ascii="Courier New" w:cs="Courier New" w:eastAsia="Courier New" w:hAnsi="Courier New"/>
          <w:sz w:val="18"/>
          <w:szCs w:val="18"/>
          <w:color w:val="auto"/>
        </w:rPr>
        <w:t>10.</w:t>
      </w:r>
    </w:p>
    <w:p>
      <w:pPr>
        <w:spacing w:after="0" w:line="207" w:lineRule="exact"/>
        <w:rPr>
          <w:sz w:val="24"/>
          <w:szCs w:val="24"/>
          <w:color w:val="auto"/>
        </w:rPr>
      </w:pPr>
    </w:p>
    <w:p>
      <w:pPr>
        <w:ind w:right="3399"/>
        <w:spacing w:after="0" w:line="235" w:lineRule="auto"/>
        <w:rPr>
          <w:sz w:val="20"/>
          <w:szCs w:val="20"/>
          <w:color w:val="auto"/>
        </w:rPr>
      </w:pPr>
      <w:r>
        <w:rPr>
          <w:rFonts w:ascii="Courier New" w:cs="Courier New" w:eastAsia="Courier New" w:hAnsi="Courier New"/>
          <w:sz w:val="18"/>
          <w:szCs w:val="18"/>
          <w:color w:val="auto"/>
        </w:rPr>
        <w:t>CHECK IF THE AGGREGATE AMOUNT IN ROW (9) EXCLUDES CERTAIN SHARES (see instructions)?</w:t>
      </w:r>
    </w:p>
    <w:p>
      <w:pPr>
        <w:sectPr>
          <w:pgSz w:w="11900" w:h="16838" w:orient="portrait"/>
          <w:cols w:equalWidth="0" w:num="1">
            <w:col w:w="10139"/>
          </w:cols>
          <w:pgMar w:left="32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139"/>
          </w:cols>
          <w:pgMar w:left="32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8.67%</w:t>
      </w:r>
    </w:p>
    <w:p>
      <w:pPr>
        <w:spacing w:after="0" w:line="238" w:lineRule="auto"/>
        <w:rPr>
          <w:sz w:val="20"/>
          <w:szCs w:val="20"/>
          <w:color w:val="auto"/>
        </w:rPr>
      </w:pPr>
      <w:r>
        <w:rPr>
          <w:rFonts w:ascii="Courier New" w:cs="Courier New" w:eastAsia="Courier New" w:hAnsi="Courier New"/>
          <w:sz w:val="18"/>
          <w:szCs w:val="18"/>
          <w:color w:val="auto"/>
        </w:rPr>
        <w:t>12.</w:t>
      </w:r>
    </w:p>
    <w:p>
      <w:pPr>
        <w:spacing w:after="0" w:line="238" w:lineRule="auto"/>
        <w:rPr>
          <w:sz w:val="20"/>
          <w:szCs w:val="20"/>
          <w:color w:val="auto"/>
        </w:rPr>
      </w:pPr>
      <w:r>
        <w:rPr>
          <w:rFonts w:ascii="Courier New" w:cs="Courier New" w:eastAsia="Courier New" w:hAnsi="Courier New"/>
          <w:sz w:val="18"/>
          <w:szCs w:val="18"/>
          <w:color w:val="auto"/>
        </w:rPr>
        <w:t>TYPE OF REPORTING PERSON (see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38" w:lineRule="auto"/>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5 Pages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38"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GASLOG PARTNERS 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81 Kings Road</w:t>
      </w:r>
    </w:p>
    <w:p>
      <w:pPr>
        <w:spacing w:after="0"/>
        <w:rPr>
          <w:sz w:val="20"/>
          <w:szCs w:val="20"/>
          <w:color w:val="auto"/>
        </w:rPr>
      </w:pPr>
      <w:r>
        <w:rPr>
          <w:rFonts w:ascii="Courier New" w:cs="Courier New" w:eastAsia="Courier New" w:hAnsi="Courier New"/>
          <w:sz w:val="18"/>
          <w:szCs w:val="18"/>
          <w:color w:val="auto"/>
        </w:rPr>
        <w:t>London X0 SW3 4NX.</w:t>
      </w:r>
    </w:p>
    <w:p>
      <w:pPr>
        <w:spacing w:after="0" w:line="237" w:lineRule="auto"/>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Name of Person Filing</w:t>
      </w:r>
    </w:p>
    <w:p>
      <w:pPr>
        <w:spacing w:after="0"/>
        <w:rPr>
          <w:sz w:val="20"/>
          <w:szCs w:val="20"/>
          <w:color w:val="auto"/>
        </w:rPr>
      </w:pPr>
      <w:r>
        <w:rPr>
          <w:rFonts w:ascii="Courier New" w:cs="Courier New" w:eastAsia="Courier New" w:hAnsi="Courier New"/>
          <w:sz w:val="18"/>
          <w:szCs w:val="18"/>
          <w:color w:val="auto"/>
        </w:rPr>
        <w:t>Cobas Asset Management, SGIIC, S.A.</w:t>
      </w:r>
    </w:p>
    <w:p>
      <w:pPr>
        <w:spacing w:after="0" w:line="237" w:lineRule="auto"/>
        <w:rPr>
          <w:sz w:val="20"/>
          <w:szCs w:val="20"/>
          <w:color w:val="auto"/>
        </w:rPr>
      </w:pPr>
      <w:r>
        <w:rPr>
          <w:rFonts w:ascii="Courier New" w:cs="Courier New" w:eastAsia="Courier New" w:hAnsi="Courier New"/>
          <w:sz w:val="18"/>
          <w:szCs w:val="18"/>
          <w:color w:val="auto"/>
        </w:rPr>
        <w:t>(b)</w:t>
      </w:r>
    </w:p>
    <w:p>
      <w:pPr>
        <w:spacing w:after="0" w:line="5" w:lineRule="exact"/>
        <w:rPr>
          <w:sz w:val="20"/>
          <w:szCs w:val="20"/>
          <w:color w:val="auto"/>
        </w:rPr>
      </w:pPr>
    </w:p>
    <w:p>
      <w:pPr>
        <w:ind w:right="4439"/>
        <w:spacing w:after="0" w:line="236" w:lineRule="auto"/>
        <w:rPr>
          <w:sz w:val="20"/>
          <w:szCs w:val="20"/>
          <w:color w:val="auto"/>
        </w:rPr>
      </w:pPr>
      <w:r>
        <w:rPr>
          <w:rFonts w:ascii="Courier New" w:cs="Courier New" w:eastAsia="Courier New" w:hAnsi="Courier New"/>
          <w:sz w:val="18"/>
          <w:szCs w:val="18"/>
          <w:color w:val="auto"/>
        </w:rPr>
        <w:t>Address of the Principal Office or, if none, residence Jose Abascal, 45 st. 28003 Madrid, Spain. (c)</w:t>
      </w:r>
    </w:p>
    <w:p>
      <w:pPr>
        <w:spacing w:after="0"/>
        <w:rPr>
          <w:sz w:val="20"/>
          <w:szCs w:val="20"/>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Spain</w:t>
      </w:r>
    </w:p>
    <w:p>
      <w:pPr>
        <w:spacing w:after="0" w:line="238" w:lineRule="auto"/>
        <w:rPr>
          <w:sz w:val="20"/>
          <w:szCs w:val="20"/>
          <w:color w:val="auto"/>
        </w:rPr>
      </w:pPr>
      <w:r>
        <w:rPr>
          <w:rFonts w:ascii="Courier New" w:cs="Courier New" w:eastAsia="Courier New" w:hAnsi="Courier New"/>
          <w:sz w:val="18"/>
          <w:szCs w:val="18"/>
          <w:color w:val="auto"/>
        </w:rPr>
        <w:t>(d)</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37" w:lineRule="auto"/>
        <w:rPr>
          <w:sz w:val="20"/>
          <w:szCs w:val="20"/>
          <w:color w:val="auto"/>
        </w:rPr>
      </w:pPr>
      <w:r>
        <w:rPr>
          <w:rFonts w:ascii="Courier New" w:cs="Courier New" w:eastAsia="Courier New" w:hAnsi="Courier New"/>
          <w:sz w:val="18"/>
          <w:szCs w:val="18"/>
          <w:color w:val="auto"/>
        </w:rPr>
        <w:t>Common Units representing limited partner interests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Y2687W108</w:t>
      </w:r>
    </w:p>
    <w:p>
      <w:pPr>
        <w:spacing w:after="0"/>
        <w:rPr>
          <w:sz w:val="20"/>
          <w:szCs w:val="20"/>
          <w:color w:val="auto"/>
        </w:rPr>
      </w:pPr>
      <w:r>
        <w:rPr>
          <w:rFonts w:ascii="Courier New" w:cs="Courier New" w:eastAsia="Courier New" w:hAnsi="Courier New"/>
          <w:sz w:val="18"/>
          <w:szCs w:val="18"/>
          <w:color w:val="auto"/>
        </w:rPr>
        <w:t>Item 3.If this statement is filed pursuant to 240.13d-1(b)</w:t>
      </w:r>
    </w:p>
    <w:p>
      <w:pPr>
        <w:spacing w:after="0" w:line="237"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Broker or dealer registered under section 15 of the Act (15 U.S.C. 78o).</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company as defined in section 3(a)(19) of the Act (15 U.S.C. 78c).</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499"/>
        <w:spacing w:after="0"/>
        <w:rPr>
          <w:sz w:val="20"/>
          <w:szCs w:val="20"/>
          <w:color w:val="auto"/>
        </w:rPr>
      </w:pPr>
      <w:r>
        <w:rPr>
          <w:rFonts w:ascii="Courier New" w:cs="Courier New" w:eastAsia="Courier New" w:hAnsi="Courier New"/>
          <w:sz w:val="18"/>
          <w:szCs w:val="18"/>
          <w:color w:val="auto"/>
        </w:rPr>
        <w:t>Investment company registered under section 8 of the Investment Company Act of 1940 (15 U.S.C. 80a-8). (e)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investment adviser in accordance with 240.13d-1(b)(1)(ii)(E);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An employee benefit plan or endowment fund in accordance with</w:t>
      </w:r>
    </w:p>
    <w:p>
      <w:pPr>
        <w:spacing w:after="0"/>
        <w:rPr>
          <w:sz w:val="20"/>
          <w:szCs w:val="20"/>
          <w:color w:val="auto"/>
        </w:rPr>
      </w:pPr>
      <w:r>
        <w:rPr>
          <w:rFonts w:ascii="Courier New" w:cs="Courier New" w:eastAsia="Courier New" w:hAnsi="Courier New"/>
          <w:sz w:val="18"/>
          <w:szCs w:val="18"/>
          <w:color w:val="auto"/>
        </w:rPr>
        <w:t>240.13d-1(b)(1)(ii)(F);</w:t>
      </w:r>
    </w:p>
    <w:p>
      <w:pPr>
        <w:spacing w:after="0" w:line="237" w:lineRule="auto"/>
        <w:rPr>
          <w:sz w:val="20"/>
          <w:szCs w:val="20"/>
          <w:color w:val="auto"/>
        </w:rPr>
      </w:pPr>
      <w:r>
        <w:rPr>
          <w:rFonts w:ascii="Courier New" w:cs="Courier New" w:eastAsia="Courier New" w:hAnsi="Courier New"/>
          <w:sz w:val="18"/>
          <w:szCs w:val="18"/>
          <w:color w:val="auto"/>
        </w:rPr>
        <w:t>(g)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A parent holding company or control person in accordance with 240.13d-1(b)(1)(ii)(G);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4239"/>
        <w:spacing w:after="0" w:line="236" w:lineRule="auto"/>
        <w:rPr>
          <w:sz w:val="20"/>
          <w:szCs w:val="20"/>
          <w:color w:val="auto"/>
        </w:rPr>
      </w:pPr>
      <w:r>
        <w:rPr>
          <w:rFonts w:ascii="Courier New" w:cs="Courier New" w:eastAsia="Courier New" w:hAnsi="Courier New"/>
          <w:sz w:val="18"/>
          <w:szCs w:val="18"/>
          <w:color w:val="auto"/>
        </w:rPr>
        <w:t>A savings associations as defined in Section 3(b) of the Federal Deposit Insurance Act (12 U.S.C. 1813); (i)</w:t>
      </w: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979"/>
        <w:spacing w:after="0" w:line="236" w:lineRule="auto"/>
        <w:rPr>
          <w:sz w:val="20"/>
          <w:szCs w:val="20"/>
          <w:color w:val="auto"/>
        </w:rPr>
      </w:pPr>
      <w:r>
        <w:rPr>
          <w:rFonts w:ascii="Courier New" w:cs="Courier New" w:eastAsia="Courier New" w:hAnsi="Courier New"/>
          <w:sz w:val="18"/>
          <w:szCs w:val="18"/>
          <w:color w:val="auto"/>
        </w:rPr>
        <w:t>A church plan that is excluded from the definition of an investment company under section 3(c)(14) of the Investment Company Act of 1940 (15 U.S.C. 80a-3);</w:t>
      </w:r>
    </w:p>
    <w:p>
      <w:pPr>
        <w:sectPr>
          <w:pgSz w:w="11900" w:h="16838" w:orient="portrait"/>
          <w:cols w:equalWidth="0" w:num="1">
            <w:col w:w="10139"/>
          </w:cols>
          <w:pgMar w:left="32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(j)</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Group, in accordance with 240.13d-1(b)(1)(ii)(J).</w:t>
      </w:r>
    </w:p>
    <w:p>
      <w:pPr>
        <w:spacing w:after="0"/>
        <w:rPr>
          <w:sz w:val="20"/>
          <w:szCs w:val="20"/>
          <w:color w:val="auto"/>
        </w:rPr>
      </w:pPr>
      <w:r>
        <w:rPr>
          <w:rFonts w:ascii="Courier New" w:cs="Courier New" w:eastAsia="Courier New" w:hAnsi="Courier New"/>
          <w:sz w:val="18"/>
          <w:szCs w:val="18"/>
          <w:color w:val="auto"/>
        </w:rPr>
        <w:t>Item 4.Ownership.</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owned:4,396,949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238" w:lineRule="auto"/>
        <w:rPr>
          <w:sz w:val="20"/>
          <w:szCs w:val="20"/>
          <w:color w:val="auto"/>
        </w:rPr>
      </w:pPr>
      <w:r>
        <w:rPr>
          <w:rFonts w:ascii="Courier New" w:cs="Courier New" w:eastAsia="Courier New" w:hAnsi="Courier New"/>
          <w:sz w:val="18"/>
          <w:szCs w:val="18"/>
          <w:color w:val="auto"/>
        </w:rPr>
        <w:t>Percent of class:8.67%</w:t>
      </w:r>
    </w:p>
    <w:p>
      <w:pPr>
        <w:spacing w:after="0" w:line="238" w:lineRule="auto"/>
        <w:rPr>
          <w:sz w:val="20"/>
          <w:szCs w:val="20"/>
          <w:color w:val="auto"/>
        </w:rPr>
      </w:pPr>
      <w:r>
        <w:rPr>
          <w:rFonts w:ascii="Courier New" w:cs="Courier New" w:eastAsia="Courier New" w:hAnsi="Courier New"/>
          <w:sz w:val="18"/>
          <w:szCs w:val="18"/>
          <w:color w:val="auto"/>
        </w:rPr>
        <w:t>(c)</w:t>
      </w:r>
    </w:p>
    <w:p>
      <w:pPr>
        <w:spacing w:after="0" w:line="207" w:lineRule="exact"/>
        <w:rPr>
          <w:sz w:val="20"/>
          <w:szCs w:val="20"/>
          <w:color w:val="auto"/>
        </w:rPr>
      </w:pPr>
    </w:p>
    <w:p>
      <w:pPr>
        <w:ind w:right="4979"/>
        <w:spacing w:after="0" w:line="236" w:lineRule="auto"/>
        <w:rPr>
          <w:sz w:val="20"/>
          <w:szCs w:val="20"/>
          <w:color w:val="auto"/>
        </w:rPr>
      </w:pPr>
      <w:r>
        <w:rPr>
          <w:rFonts w:ascii="Courier New" w:cs="Courier New" w:eastAsia="Courier New" w:hAnsi="Courier New"/>
          <w:sz w:val="18"/>
          <w:szCs w:val="18"/>
          <w:color w:val="auto"/>
        </w:rPr>
        <w:t>Number of shares as to which the person has:(i) Sole power to vote or to direct the vote4,396,949 (ii)</w:t>
      </w:r>
    </w:p>
    <w:p>
      <w:pPr>
        <w:spacing w:after="0"/>
        <w:rPr>
          <w:sz w:val="20"/>
          <w:szCs w:val="20"/>
          <w:color w:val="auto"/>
        </w:rPr>
      </w:pPr>
      <w:r>
        <w:rPr>
          <w:rFonts w:ascii="Courier New" w:cs="Courier New" w:eastAsia="Courier New" w:hAnsi="Courier New"/>
          <w:sz w:val="18"/>
          <w:szCs w:val="18"/>
          <w:color w:val="auto"/>
        </w:rPr>
        <w:t>Shared power to vote or to direct the vote0</w:t>
      </w:r>
    </w:p>
    <w:p>
      <w:pPr>
        <w:spacing w:after="0" w:line="238" w:lineRule="auto"/>
        <w:rPr>
          <w:sz w:val="20"/>
          <w:szCs w:val="20"/>
          <w:color w:val="auto"/>
        </w:rPr>
      </w:pPr>
      <w:r>
        <w:rPr>
          <w:rFonts w:ascii="Courier New" w:cs="Courier New" w:eastAsia="Courier New" w:hAnsi="Courier New"/>
          <w:sz w:val="18"/>
          <w:szCs w:val="18"/>
          <w:color w:val="auto"/>
        </w:rPr>
        <w:t>(iii)</w:t>
      </w:r>
    </w:p>
    <w:p>
      <w:pPr>
        <w:spacing w:after="0" w:line="238" w:lineRule="auto"/>
        <w:rPr>
          <w:sz w:val="20"/>
          <w:szCs w:val="20"/>
          <w:color w:val="auto"/>
        </w:rPr>
      </w:pPr>
      <w:r>
        <w:rPr>
          <w:rFonts w:ascii="Courier New" w:cs="Courier New" w:eastAsia="Courier New" w:hAnsi="Courier New"/>
          <w:sz w:val="18"/>
          <w:szCs w:val="18"/>
          <w:color w:val="auto"/>
        </w:rPr>
        <w:t>Sole power to dispose or to direct the disposition of4,396,949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w:t>
      </w:r>
    </w:p>
    <w:p>
      <w:pPr>
        <w:spacing w:after="0" w:line="238" w:lineRule="auto"/>
        <w:rPr>
          <w:sz w:val="20"/>
          <w:szCs w:val="20"/>
          <w:color w:val="auto"/>
        </w:rPr>
      </w:pPr>
      <w:r>
        <w:rPr>
          <w:rFonts w:ascii="Courier New" w:cs="Courier New" w:eastAsia="Courier New" w:hAnsi="Courier New"/>
          <w:sz w:val="18"/>
          <w:szCs w:val="18"/>
          <w:color w:val="auto"/>
        </w:rPr>
        <w:t>Shared power to dispose or to direct the disposition of0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5.Ownership of Five Percent or Less of a Class.</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6.Ownership of More than Five Percent on Behalf of Another Person.</w:t>
      </w:r>
    </w:p>
    <w:p>
      <w:pPr>
        <w:spacing w:after="0"/>
        <w:rPr>
          <w:sz w:val="20"/>
          <w:szCs w:val="20"/>
          <w:color w:val="auto"/>
        </w:rPr>
      </w:pPr>
      <w:r>
        <w:rPr>
          <w:rFonts w:ascii="Courier New" w:cs="Courier New" w:eastAsia="Courier New" w:hAnsi="Courier New"/>
          <w:sz w:val="18"/>
          <w:szCs w:val="18"/>
          <w:color w:val="auto"/>
        </w:rPr>
        <w:t>Not applicable.</w:t>
      </w:r>
    </w:p>
    <w:p>
      <w:pPr>
        <w:spacing w:after="0" w:line="3" w:lineRule="exact"/>
        <w:rPr>
          <w:sz w:val="20"/>
          <w:szCs w:val="20"/>
          <w:color w:val="auto"/>
        </w:rPr>
      </w:pPr>
    </w:p>
    <w:p>
      <w:pPr>
        <w:ind w:right="2439"/>
        <w:spacing w:after="0" w:line="236" w:lineRule="auto"/>
        <w:rPr>
          <w:sz w:val="20"/>
          <w:szCs w:val="20"/>
          <w:color w:val="auto"/>
        </w:rPr>
      </w:pPr>
      <w:r>
        <w:rPr>
          <w:rFonts w:ascii="Courier New" w:cs="Courier New" w:eastAsia="Courier New" w:hAnsi="Courier New"/>
          <w:sz w:val="18"/>
          <w:szCs w:val="18"/>
          <w:color w:val="auto"/>
        </w:rPr>
        <w:t>Item 7.Identification and Classification of the Subsidiary Which Acquired the Security Being Reported on By the Parent Holding Company. Not applicable.</w:t>
      </w:r>
    </w:p>
    <w:p>
      <w:pPr>
        <w:spacing w:after="0"/>
        <w:rPr>
          <w:sz w:val="20"/>
          <w:szCs w:val="20"/>
          <w:color w:val="auto"/>
        </w:rPr>
      </w:pPr>
      <w:r>
        <w:rPr>
          <w:rFonts w:ascii="Courier New" w:cs="Courier New" w:eastAsia="Courier New" w:hAnsi="Courier New"/>
          <w:sz w:val="18"/>
          <w:szCs w:val="18"/>
          <w:color w:val="auto"/>
        </w:rPr>
        <w:t>Item 8.Identification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9.Notice of Dissolution of Group.</w:t>
      </w:r>
    </w:p>
    <w:p>
      <w:pPr>
        <w:spacing w:after="0"/>
        <w:rPr>
          <w:sz w:val="20"/>
          <w:szCs w:val="20"/>
          <w:color w:val="auto"/>
        </w:rPr>
      </w:pPr>
      <w:r>
        <w:rPr>
          <w:rFonts w:ascii="Courier New" w:cs="Courier New" w:eastAsia="Courier New" w:hAnsi="Courier New"/>
          <w:sz w:val="18"/>
          <w:szCs w:val="18"/>
          <w:color w:val="auto"/>
        </w:rPr>
        <w:t>Not applicable.</w:t>
      </w:r>
    </w:p>
    <w:p>
      <w:pPr>
        <w:spacing w:after="0" w:line="237" w:lineRule="auto"/>
        <w:rPr>
          <w:sz w:val="20"/>
          <w:szCs w:val="20"/>
          <w:color w:val="auto"/>
        </w:rPr>
      </w:pPr>
      <w:r>
        <w:rPr>
          <w:rFonts w:ascii="Courier New" w:cs="Courier New" w:eastAsia="Courier New" w:hAnsi="Courier New"/>
          <w:sz w:val="18"/>
          <w:szCs w:val="18"/>
          <w:color w:val="auto"/>
        </w:rPr>
        <w:t>Item 10.Certification.</w:t>
      </w:r>
    </w:p>
    <w:p>
      <w:pPr>
        <w:spacing w:after="0" w:line="200" w:lineRule="exact"/>
        <w:rPr>
          <w:sz w:val="20"/>
          <w:szCs w:val="20"/>
          <w:color w:val="auto"/>
        </w:rPr>
      </w:pPr>
    </w:p>
    <w:p>
      <w:pPr>
        <w:spacing w:after="0" w:line="210" w:lineRule="exact"/>
        <w:rPr>
          <w:sz w:val="20"/>
          <w:szCs w:val="20"/>
          <w:color w:val="auto"/>
        </w:rPr>
      </w:pPr>
    </w:p>
    <w:p>
      <w:pPr>
        <w:ind w:right="23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Y2687W108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 of 5 Pages</w:t>
      </w:r>
    </w:p>
    <w:p>
      <w:pPr>
        <w:spacing w:after="0" w:line="238" w:lineRule="auto"/>
        <w:rPr>
          <w:sz w:val="20"/>
          <w:szCs w:val="20"/>
          <w:color w:val="auto"/>
        </w:rPr>
      </w:pPr>
      <w:r>
        <w:rPr>
          <w:rFonts w:ascii="Courier New" w:cs="Courier New" w:eastAsia="Courier New" w:hAnsi="Courier New"/>
          <w:sz w:val="18"/>
          <w:szCs w:val="18"/>
          <w:color w:val="auto"/>
        </w:rPr>
        <w:t>After reasonable inquiry and to the best of my knowledge and</w:t>
      </w:r>
    </w:p>
    <w:p>
      <w:pPr>
        <w:spacing w:after="0" w:line="5"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02/14/2022</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FRANCISCO GARCIA PARAMES</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 (CEO)</w:t>
      </w:r>
    </w:p>
    <w:p>
      <w:pPr>
        <w:spacing w:after="0" w:line="238"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2022-02-15T11:31:14Z</dcterms:created>
  <dcterms:modified xsi:type="dcterms:W3CDTF">2022-02-15T11:31:14Z</dcterms:modified>
</cp:coreProperties>
</file>