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 w:name="page2"/>
    <w:bookmarkEnd w:id="1"/>
    <w:p>
      <w:pPr>
        <w:ind w:left="326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press release issued by GasLog Partners LP on May 8, 2017 announcing the pricing of its public offering of its Series A Cumulative Redeemable Perpetual Fixed to Floating Rate Preference Units is included as Exhibit 99.1 and is incorporated herein by reference.</w:t>
      </w:r>
    </w:p>
    <w:p>
      <w:pPr>
        <w:spacing w:after="0" w:line="120"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109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5"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00"/>
          </w:cols>
          <w:pgMar w:left="240" w:top="580" w:right="11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3160"/>
        <w:spacing w:after="0"/>
        <w:tabs>
          <w:tab w:leader="none" w:pos="3620" w:val="left"/>
        </w:tabs>
        <w:rPr>
          <w:sz w:val="20"/>
          <w:szCs w:val="20"/>
          <w:color w:val="auto"/>
        </w:rPr>
      </w:pPr>
      <w:r>
        <w:rPr>
          <w:rFonts w:ascii="Arial" w:cs="Arial" w:eastAsia="Arial" w:hAnsi="Arial"/>
          <w:sz w:val="18"/>
          <w:szCs w:val="18"/>
          <w:color w:val="auto"/>
        </w:rPr>
        <w:t>by:</w:t>
        <w:tab/>
        <w:t>/s/ Andrew J. Orekar</w:t>
      </w:r>
    </w:p>
    <w:p>
      <w:pPr>
        <w:spacing w:after="0" w:line="5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-130175</wp:posOffset>
            </wp:positionV>
            <wp:extent cx="4939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GasLog Partners LP Announces Pricing of its Public Offering of 8.625% Series A Cumulative Redeemable Perpetual Fixed to Floating Rate Preference Units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MONACO, May 8, 2017 -- GasLog Partners LP (“GasLog Partners,” the “Partnership” or “we”) (NYSE: GLOP) announced today that it has priced its public offering of 5,000,000 units of its 8.625% Series A Cumulative Redeemable Perpetual Fixed to Floating Rate Preference Units, liquidation preference $25.00 per unit (the “Series A Preference Units”) at a price to the public of $25.00 per unit. The underwriters have a 30-day option to purchase up to 750,000 additional Series A Preference Units from the Partnership. The Partnership intends to file an application to list the Series A Preference Units on the New York Stock Exchange. The offering is expected to close on or about May 15, 2017.</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net proceeds from the offering after deducting underwriting discounts and commissions are expected to be approximately $121,062,500. 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Morgan Stanley, UBS Investment Bank, Citigroup and Stifel are acting as joint book-runners for the offering and ABN AMRO and BNP PARIBAS are acting as co-managers for the offering.</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offering is being made only by means of a prospectus. A copy of the preliminary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Citigroup Global Markets Inc., c/o Broadridge Financial Solutions, 1155 Long Island Avenue, Edgewood, NY 11717, telephone: (800) 831-9146 and Stifel, Nicolaus &amp; Company, Incorporated, Attention: Syndicate Department, One South Street, 15th Floor, Baltimore, MD 21202, telephone: (855) 300-7136, email: syndprospectus@stifel.com.</w:t>
      </w:r>
    </w:p>
    <w:p>
      <w:pPr>
        <w:spacing w:after="0" w:line="193"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June 8, 2015.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ten LNG carriers with an average carrying capacity of approximately 152,000 cbm, each of which has a multi-year time charter. GasLog Partners’ principal executive offices are located at Gildo Pastor Center, 7 Rue du Gabian, MC 98000, Monaco.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combination of these factors could materially affect future results of operations and the ultimate accuracy of the forward-looking statements. Accordingly, you should not unduly rely on any forward-looking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2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103" w:lineRule="exact"/>
        <w:rPr>
          <w:rFonts w:ascii="Arial" w:cs="Arial" w:eastAsia="Arial" w:hAnsi="Arial"/>
          <w:sz w:val="18"/>
          <w:szCs w:val="18"/>
          <w:color w:val="auto"/>
        </w:rPr>
      </w:pPr>
    </w:p>
    <w:p>
      <w:pPr>
        <w:ind w:left="520" w:right="380" w:hanging="188"/>
        <w:spacing w:after="0" w:line="264"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59" w:lineRule="exact"/>
        <w:rPr>
          <w:rFonts w:ascii="Arial" w:cs="Arial" w:eastAsia="Arial" w:hAnsi="Arial"/>
          <w:sz w:val="18"/>
          <w:szCs w:val="18"/>
          <w:color w:val="auto"/>
        </w:rPr>
      </w:pPr>
    </w:p>
    <w:p>
      <w:pPr>
        <w:ind w:left="520" w:right="4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103" w:lineRule="exact"/>
        <w:rPr>
          <w:rFonts w:ascii="Arial" w:cs="Arial" w:eastAsia="Arial" w:hAnsi="Arial"/>
          <w:sz w:val="18"/>
          <w:szCs w:val="18"/>
          <w:color w:val="auto"/>
        </w:rPr>
      </w:pPr>
    </w:p>
    <w:p>
      <w:pPr>
        <w:ind w:left="520" w:right="2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103" w:lineRule="exact"/>
        <w:rPr>
          <w:rFonts w:ascii="Arial" w:cs="Arial" w:eastAsia="Arial" w:hAnsi="Arial"/>
          <w:sz w:val="18"/>
          <w:szCs w:val="18"/>
          <w:color w:val="auto"/>
        </w:rPr>
      </w:pPr>
    </w:p>
    <w:p>
      <w:pPr>
        <w:ind w:left="520" w:right="4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1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1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103" w:lineRule="exact"/>
        <w:rPr>
          <w:rFonts w:ascii="Arial" w:cs="Arial" w:eastAsia="Arial" w:hAnsi="Arial"/>
          <w:sz w:val="18"/>
          <w:szCs w:val="18"/>
          <w:color w:val="auto"/>
        </w:rPr>
      </w:pPr>
    </w:p>
    <w:p>
      <w:pPr>
        <w:ind w:left="520" w:right="24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left="520" w:right="160" w:hanging="188"/>
        <w:spacing w:after="0" w:line="277"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and the Prospectus Supplement filed with the SEC on May 8, 2017, both available at http://www.sec.gov.</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2019-12-07T22:49:40Z</dcterms:created>
  <dcterms:modified xsi:type="dcterms:W3CDTF">2019-12-07T22:49:40Z</dcterms:modified>
</cp:coreProperties>
</file>