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160" w:type="dxa"/>
            <w:vAlign w:val="bottom"/>
          </w:tcPr>
          <w:p>
            <w:pPr>
              <w:spacing w:after="0"/>
              <w:rPr>
                <w:sz w:val="20"/>
                <w:szCs w:val="20"/>
                <w:color w:val="auto"/>
              </w:rPr>
            </w:pPr>
            <w:r>
              <w:rPr>
                <w:rFonts w:ascii="Arial" w:cs="Arial" w:eastAsia="Arial" w:hAnsi="Arial"/>
                <w:sz w:val="18"/>
                <w:szCs w:val="18"/>
                <w:color w:val="auto"/>
              </w:rPr>
              <w:t>For the month of February 2020</w:t>
            </w:r>
          </w:p>
        </w:tc>
        <w:tc>
          <w:tcPr>
            <w:tcW w:w="2300" w:type="dxa"/>
            <w:vAlign w:val="bottom"/>
          </w:tcPr>
          <w:p>
            <w:pPr>
              <w:spacing w:after="0"/>
              <w:rPr>
                <w:sz w:val="20"/>
                <w:szCs w:val="20"/>
                <w:color w:val="auto"/>
              </w:rPr>
            </w:pPr>
          </w:p>
        </w:tc>
      </w:tr>
      <w:tr>
        <w:trPr>
          <w:trHeight w:val="432"/>
        </w:trPr>
        <w:tc>
          <w:tcPr>
            <w:tcW w:w="916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2300" w:type="dxa"/>
            <w:vAlign w:val="bottom"/>
          </w:tcPr>
          <w:p>
            <w:pPr>
              <w:spacing w:after="0"/>
              <w:rPr>
                <w:sz w:val="24"/>
                <w:szCs w:val="24"/>
                <w:color w:val="auto"/>
              </w:rPr>
            </w:pPr>
          </w:p>
        </w:tc>
      </w:tr>
      <w:tr>
        <w:trPr>
          <w:trHeight w:val="418"/>
        </w:trPr>
        <w:tc>
          <w:tcPr>
            <w:tcW w:w="9160" w:type="dxa"/>
            <w:vAlign w:val="bottom"/>
          </w:tcPr>
          <w:p>
            <w:pPr>
              <w:jc w:val="center"/>
              <w:ind w:left="2170"/>
              <w:spacing w:after="0"/>
              <w:rPr>
                <w:sz w:val="20"/>
                <w:szCs w:val="20"/>
                <w:color w:val="auto"/>
              </w:rPr>
            </w:pPr>
            <w:r>
              <w:rPr>
                <w:rFonts w:ascii="Arial" w:cs="Arial" w:eastAsia="Arial" w:hAnsi="Arial"/>
                <w:sz w:val="18"/>
                <w:szCs w:val="18"/>
                <w:b w:val="1"/>
                <w:bCs w:val="1"/>
                <w:color w:val="auto"/>
                <w:w w:val="91"/>
              </w:rPr>
              <w:t>GasLog Partners LP</w:t>
            </w:r>
          </w:p>
        </w:tc>
        <w:tc>
          <w:tcPr>
            <w:tcW w:w="2300" w:type="dxa"/>
            <w:vAlign w:val="bottom"/>
          </w:tcPr>
          <w:p>
            <w:pPr>
              <w:spacing w:after="0"/>
              <w:rPr>
                <w:sz w:val="24"/>
                <w:szCs w:val="24"/>
                <w:color w:val="auto"/>
              </w:rPr>
            </w:pPr>
          </w:p>
        </w:tc>
      </w:tr>
      <w:tr>
        <w:trPr>
          <w:trHeight w:val="230"/>
        </w:trPr>
        <w:tc>
          <w:tcPr>
            <w:tcW w:w="9160" w:type="dxa"/>
            <w:vAlign w:val="bottom"/>
          </w:tcPr>
          <w:p>
            <w:pPr>
              <w:jc w:val="center"/>
              <w:ind w:left="2190"/>
              <w:spacing w:after="0"/>
              <w:rPr>
                <w:sz w:val="20"/>
                <w:szCs w:val="20"/>
                <w:color w:val="auto"/>
              </w:rPr>
            </w:pPr>
            <w:r>
              <w:rPr>
                <w:rFonts w:ascii="Arial" w:cs="Arial" w:eastAsia="Arial" w:hAnsi="Arial"/>
                <w:sz w:val="18"/>
                <w:szCs w:val="18"/>
                <w:color w:val="auto"/>
                <w:w w:val="91"/>
              </w:rPr>
              <w:t>(Translation of registrant’s name into English)</w:t>
            </w:r>
          </w:p>
        </w:tc>
        <w:tc>
          <w:tcPr>
            <w:tcW w:w="2300" w:type="dxa"/>
            <w:vAlign w:val="bottom"/>
          </w:tcPr>
          <w:p>
            <w:pPr>
              <w:spacing w:after="0"/>
              <w:rPr>
                <w:sz w:val="20"/>
                <w:szCs w:val="20"/>
                <w:color w:val="auto"/>
              </w:rPr>
            </w:pPr>
          </w:p>
        </w:tc>
      </w:tr>
      <w:tr>
        <w:trPr>
          <w:trHeight w:val="418"/>
        </w:trPr>
        <w:tc>
          <w:tcPr>
            <w:tcW w:w="9160" w:type="dxa"/>
            <w:vAlign w:val="bottom"/>
          </w:tcPr>
          <w:p>
            <w:pPr>
              <w:jc w:val="center"/>
              <w:ind w:left="2190"/>
              <w:spacing w:after="0"/>
              <w:rPr>
                <w:sz w:val="20"/>
                <w:szCs w:val="20"/>
                <w:color w:val="auto"/>
              </w:rPr>
            </w:pPr>
            <w:r>
              <w:rPr>
                <w:rFonts w:ascii="Arial" w:cs="Arial" w:eastAsia="Arial" w:hAnsi="Arial"/>
                <w:sz w:val="18"/>
                <w:szCs w:val="18"/>
                <w:color w:val="auto"/>
                <w:w w:val="92"/>
              </w:rPr>
              <w:t>c/o GasLog LNG Services Ltd.</w:t>
            </w:r>
          </w:p>
        </w:tc>
        <w:tc>
          <w:tcPr>
            <w:tcW w:w="2300" w:type="dxa"/>
            <w:vAlign w:val="bottom"/>
          </w:tcPr>
          <w:p>
            <w:pPr>
              <w:spacing w:after="0"/>
              <w:rPr>
                <w:sz w:val="24"/>
                <w:szCs w:val="24"/>
                <w:color w:val="auto"/>
              </w:rPr>
            </w:pPr>
          </w:p>
        </w:tc>
      </w:tr>
      <w:tr>
        <w:trPr>
          <w:trHeight w:val="216"/>
        </w:trPr>
        <w:tc>
          <w:tcPr>
            <w:tcW w:w="9160" w:type="dxa"/>
            <w:vAlign w:val="bottom"/>
          </w:tcPr>
          <w:p>
            <w:pPr>
              <w:jc w:val="center"/>
              <w:ind w:left="2170"/>
              <w:spacing w:after="0"/>
              <w:rPr>
                <w:sz w:val="20"/>
                <w:szCs w:val="20"/>
                <w:color w:val="auto"/>
              </w:rPr>
            </w:pPr>
            <w:r>
              <w:rPr>
                <w:rFonts w:ascii="Arial" w:cs="Arial" w:eastAsia="Arial" w:hAnsi="Arial"/>
                <w:sz w:val="18"/>
                <w:szCs w:val="18"/>
                <w:color w:val="auto"/>
                <w:w w:val="96"/>
              </w:rPr>
              <w:t>69 Akti Miaouli 18537</w:t>
            </w:r>
          </w:p>
        </w:tc>
        <w:tc>
          <w:tcPr>
            <w:tcW w:w="2300" w:type="dxa"/>
            <w:vAlign w:val="bottom"/>
          </w:tcPr>
          <w:p>
            <w:pPr>
              <w:spacing w:after="0"/>
              <w:rPr>
                <w:sz w:val="18"/>
                <w:szCs w:val="18"/>
                <w:color w:val="auto"/>
              </w:rPr>
            </w:pPr>
          </w:p>
        </w:tc>
      </w:tr>
      <w:tr>
        <w:trPr>
          <w:trHeight w:val="216"/>
        </w:trPr>
        <w:tc>
          <w:tcPr>
            <w:tcW w:w="9160" w:type="dxa"/>
            <w:vAlign w:val="bottom"/>
          </w:tcPr>
          <w:p>
            <w:pPr>
              <w:jc w:val="center"/>
              <w:ind w:left="2190"/>
              <w:spacing w:after="0"/>
              <w:rPr>
                <w:sz w:val="20"/>
                <w:szCs w:val="20"/>
                <w:color w:val="auto"/>
              </w:rPr>
            </w:pPr>
            <w:r>
              <w:rPr>
                <w:rFonts w:ascii="Arial" w:cs="Arial" w:eastAsia="Arial" w:hAnsi="Arial"/>
                <w:sz w:val="18"/>
                <w:szCs w:val="18"/>
                <w:color w:val="auto"/>
                <w:w w:val="86"/>
              </w:rPr>
              <w:t>Piraeus Greece</w:t>
            </w:r>
          </w:p>
        </w:tc>
        <w:tc>
          <w:tcPr>
            <w:tcW w:w="2300" w:type="dxa"/>
            <w:vAlign w:val="bottom"/>
          </w:tcPr>
          <w:p>
            <w:pPr>
              <w:spacing w:after="0"/>
              <w:rPr>
                <w:sz w:val="18"/>
                <w:szCs w:val="18"/>
                <w:color w:val="auto"/>
              </w:rPr>
            </w:pPr>
          </w:p>
        </w:tc>
      </w:tr>
      <w:tr>
        <w:trPr>
          <w:trHeight w:val="230"/>
        </w:trPr>
        <w:tc>
          <w:tcPr>
            <w:tcW w:w="9160" w:type="dxa"/>
            <w:vAlign w:val="bottom"/>
          </w:tcPr>
          <w:p>
            <w:pPr>
              <w:jc w:val="center"/>
              <w:ind w:left="2170"/>
              <w:spacing w:after="0"/>
              <w:rPr>
                <w:sz w:val="20"/>
                <w:szCs w:val="20"/>
                <w:color w:val="auto"/>
              </w:rPr>
            </w:pPr>
            <w:r>
              <w:rPr>
                <w:rFonts w:ascii="Arial" w:cs="Arial" w:eastAsia="Arial" w:hAnsi="Arial"/>
                <w:sz w:val="18"/>
                <w:szCs w:val="18"/>
                <w:color w:val="auto"/>
                <w:w w:val="92"/>
              </w:rPr>
              <w:t>(Address of principal executive office)</w:t>
            </w:r>
          </w:p>
        </w:tc>
        <w:tc>
          <w:tcPr>
            <w:tcW w:w="2300" w:type="dxa"/>
            <w:vAlign w:val="bottom"/>
          </w:tcPr>
          <w:p>
            <w:pPr>
              <w:spacing w:after="0"/>
              <w:rPr>
                <w:sz w:val="20"/>
                <w:szCs w:val="20"/>
                <w:color w:val="auto"/>
              </w:rPr>
            </w:pPr>
          </w:p>
        </w:tc>
      </w:tr>
      <w:tr>
        <w:trPr>
          <w:trHeight w:val="432"/>
        </w:trPr>
        <w:tc>
          <w:tcPr>
            <w:tcW w:w="9160" w:type="dxa"/>
            <w:vAlign w:val="bottom"/>
          </w:tcPr>
          <w:p>
            <w:pPr>
              <w:spacing w:after="0"/>
              <w:rPr>
                <w:sz w:val="20"/>
                <w:szCs w:val="20"/>
                <w:color w:val="auto"/>
              </w:rPr>
            </w:pPr>
            <w:r>
              <w:rPr>
                <w:rFonts w:ascii="Arial" w:cs="Arial" w:eastAsia="Arial" w:hAnsi="Arial"/>
                <w:sz w:val="18"/>
                <w:szCs w:val="18"/>
                <w:color w:val="auto"/>
                <w:w w:val="98"/>
              </w:rPr>
              <w:t>Indicate by check mark whether the registrant files or will file annual reports under cover of Form 20-F or Form 40-F.</w:t>
            </w:r>
          </w:p>
        </w:tc>
        <w:tc>
          <w:tcPr>
            <w:tcW w:w="2300" w:type="dxa"/>
            <w:vAlign w:val="bottom"/>
          </w:tcPr>
          <w:p>
            <w:pPr>
              <w:spacing w:after="0"/>
              <w:rPr>
                <w:sz w:val="24"/>
                <w:szCs w:val="24"/>
                <w:color w:val="auto"/>
              </w:rPr>
            </w:pPr>
          </w:p>
        </w:tc>
      </w:tr>
      <w:tr>
        <w:trPr>
          <w:trHeight w:val="452"/>
        </w:trPr>
        <w:tc>
          <w:tcPr>
            <w:tcW w:w="916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2300" w:type="dxa"/>
            <w:vAlign w:val="bottom"/>
          </w:tcPr>
          <w:p>
            <w:pPr>
              <w:spacing w:after="0"/>
              <w:rPr>
                <w:sz w:val="24"/>
                <w:szCs w:val="24"/>
                <w:color w:val="auto"/>
              </w:rPr>
            </w:pPr>
          </w:p>
        </w:tc>
      </w:tr>
      <w:tr>
        <w:trPr>
          <w:trHeight w:val="412"/>
        </w:trPr>
        <w:tc>
          <w:tcPr>
            <w:tcW w:w="9160" w:type="dxa"/>
            <w:vAlign w:val="bottom"/>
          </w:tcPr>
          <w:p>
            <w:pPr>
              <w:spacing w:after="0"/>
              <w:rPr>
                <w:sz w:val="20"/>
                <w:szCs w:val="20"/>
                <w:color w:val="auto"/>
              </w:rPr>
            </w:pPr>
            <w:r>
              <w:rPr>
                <w:rFonts w:ascii="Arial" w:cs="Arial" w:eastAsia="Arial" w:hAnsi="Arial"/>
                <w:sz w:val="18"/>
                <w:szCs w:val="18"/>
                <w:color w:val="auto"/>
                <w:w w:val="93"/>
              </w:rPr>
              <w:t>Indicate by check mark if the registrant is submitting the Form 6-K in paper as permitted by Regulation S-T Rule 101(b)(1):</w:t>
            </w:r>
          </w:p>
        </w:tc>
        <w:tc>
          <w:tcPr>
            <w:tcW w:w="2300" w:type="dxa"/>
            <w:vAlign w:val="bottom"/>
          </w:tcPr>
          <w:p>
            <w:pPr>
              <w:ind w:left="220"/>
              <w:spacing w:after="0"/>
              <w:rPr>
                <w:sz w:val="20"/>
                <w:szCs w:val="20"/>
                <w:color w:val="auto"/>
              </w:rPr>
            </w:pPr>
            <w:r>
              <w:rPr>
                <w:rFonts w:ascii="Arial" w:cs="Arial" w:eastAsia="Arial" w:hAnsi="Arial"/>
                <w:sz w:val="18"/>
                <w:szCs w:val="18"/>
                <w:color w:val="auto"/>
              </w:rPr>
              <w:t>o</w:t>
            </w:r>
          </w:p>
        </w:tc>
      </w:tr>
      <w:tr>
        <w:trPr>
          <w:trHeight w:val="432"/>
        </w:trPr>
        <w:tc>
          <w:tcPr>
            <w:tcW w:w="9160" w:type="dxa"/>
            <w:vAlign w:val="bottom"/>
          </w:tcPr>
          <w:p>
            <w:pPr>
              <w:spacing w:after="0"/>
              <w:rPr>
                <w:sz w:val="20"/>
                <w:szCs w:val="20"/>
                <w:color w:val="auto"/>
              </w:rPr>
            </w:pPr>
            <w:r>
              <w:rPr>
                <w:rFonts w:ascii="Arial" w:cs="Arial" w:eastAsia="Arial" w:hAnsi="Arial"/>
                <w:sz w:val="18"/>
                <w:szCs w:val="18"/>
                <w:color w:val="auto"/>
                <w:w w:val="93"/>
              </w:rPr>
              <w:t>Indicate by check mark if the registrant is submitting the Form 6-K in paper as permitted by Regulation S-T Rule 101(b)(7):</w:t>
            </w:r>
          </w:p>
        </w:tc>
        <w:tc>
          <w:tcPr>
            <w:tcW w:w="2300" w:type="dxa"/>
            <w:vAlign w:val="bottom"/>
          </w:tcPr>
          <w:p>
            <w:pPr>
              <w:ind w:left="220"/>
              <w:spacing w:after="0"/>
              <w:rPr>
                <w:sz w:val="20"/>
                <w:szCs w:val="20"/>
                <w:color w:val="auto"/>
              </w:rPr>
            </w:pPr>
            <w:r>
              <w:rPr>
                <w:rFonts w:ascii="Arial" w:cs="Arial" w:eastAsia="Arial" w:hAnsi="Arial"/>
                <w:sz w:val="18"/>
                <w:szCs w:val="18"/>
                <w:color w:val="auto"/>
              </w:rPr>
              <w:t>o</w:t>
            </w:r>
          </w:p>
        </w:tc>
      </w:tr>
      <w:tr>
        <w:trPr>
          <w:trHeight w:val="348"/>
        </w:trPr>
        <w:tc>
          <w:tcPr>
            <w:tcW w:w="916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firstLine="376"/>
        <w:spacing w:after="0" w:line="293" w:lineRule="auto"/>
        <w:rPr>
          <w:sz w:val="20"/>
          <w:szCs w:val="20"/>
          <w:color w:val="auto"/>
        </w:rPr>
      </w:pPr>
      <w:r>
        <w:rPr>
          <w:rFonts w:ascii="Arial" w:cs="Arial" w:eastAsia="Arial" w:hAnsi="Arial"/>
          <w:sz w:val="16"/>
          <w:szCs w:val="16"/>
          <w:color w:val="auto"/>
        </w:rPr>
        <w:t>The press release issued by GasLog Partners LP on February 6, 2020 relating to its results for the three-month period and the year ended December 31, 2019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EXHIBIT LIST</w:t>
      </w: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Exhibit</w:t>
      </w:r>
      <w:r>
        <w:rPr>
          <w:sz w:val="20"/>
          <w:szCs w:val="20"/>
          <w:color w:val="auto"/>
        </w:rPr>
        <w:tab/>
      </w:r>
      <w:r>
        <w:rPr>
          <w:rFonts w:ascii="Arial" w:cs="Arial" w:eastAsia="Arial" w:hAnsi="Arial"/>
          <w:sz w:val="16"/>
          <w:szCs w:val="16"/>
          <w:color w:val="auto"/>
        </w:rPr>
        <w:t>Description</w:t>
      </w: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Press Release dated February 6, 2020</w:t>
      </w: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6"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color w:val="auto"/>
        </w:rPr>
        <w:t>SIGNATURES</w:t>
      </w:r>
    </w:p>
    <w:p>
      <w:pPr>
        <w:spacing w:after="0" w:line="248" w:lineRule="exact"/>
        <w:rPr>
          <w:sz w:val="20"/>
          <w:szCs w:val="20"/>
          <w:color w:val="auto"/>
        </w:rPr>
      </w:pPr>
    </w:p>
    <w:p>
      <w:pPr>
        <w:ind w:right="260" w:firstLine="37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6, 2020</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GASLOG PARTNERS LP</w:t>
      </w:r>
    </w:p>
    <w:p>
      <w:pPr>
        <w:spacing w:after="0" w:line="221" w:lineRule="exact"/>
        <w:rPr>
          <w:sz w:val="20"/>
          <w:szCs w:val="20"/>
          <w:color w:val="auto"/>
        </w:rPr>
      </w:pPr>
    </w:p>
    <w:tbl>
      <w:tblPr>
        <w:tblLayout w:type="fixed"/>
        <w:tblInd w:w="6100" w:type="dxa"/>
        <w:tblCellMar>
          <w:top w:w="0" w:type="dxa"/>
          <w:left w:w="0" w:type="dxa"/>
          <w:bottom w:w="0" w:type="dxa"/>
          <w:right w:w="0" w:type="dxa"/>
        </w:tblCellMar>
      </w:tblPr>
      <w:tr>
        <w:trPr>
          <w:trHeight w:val="209"/>
        </w:trPr>
        <w:tc>
          <w:tcPr>
            <w:tcW w:w="480" w:type="dxa"/>
            <w:vAlign w:val="bottom"/>
          </w:tcPr>
          <w:p>
            <w:pPr>
              <w:spacing w:after="0"/>
              <w:rPr>
                <w:sz w:val="20"/>
                <w:szCs w:val="20"/>
                <w:color w:val="auto"/>
              </w:rPr>
            </w:pPr>
            <w:r>
              <w:rPr>
                <w:rFonts w:ascii="Arial" w:cs="Arial" w:eastAsia="Arial" w:hAnsi="Arial"/>
                <w:sz w:val="16"/>
                <w:szCs w:val="16"/>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Andrew Orekar</w:t>
            </w:r>
          </w:p>
        </w:tc>
      </w:tr>
      <w:tr>
        <w:trPr>
          <w:trHeight w:val="189"/>
        </w:trPr>
        <w:tc>
          <w:tcPr>
            <w:tcW w:w="48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Arial" w:cs="Arial" w:eastAsia="Arial" w:hAnsi="Arial"/>
                <w:sz w:val="16"/>
                <w:szCs w:val="16"/>
                <w:color w:val="auto"/>
              </w:rPr>
              <w:t>Name:</w:t>
            </w:r>
          </w:p>
        </w:tc>
        <w:tc>
          <w:tcPr>
            <w:tcW w:w="4280" w:type="dxa"/>
            <w:vAlign w:val="bottom"/>
          </w:tcPr>
          <w:p>
            <w:pPr>
              <w:ind w:left="100"/>
              <w:spacing w:after="0"/>
              <w:rPr>
                <w:sz w:val="20"/>
                <w:szCs w:val="20"/>
                <w:color w:val="auto"/>
              </w:rPr>
            </w:pPr>
            <w:r>
              <w:rPr>
                <w:rFonts w:ascii="Arial" w:cs="Arial" w:eastAsia="Arial" w:hAnsi="Arial"/>
                <w:sz w:val="16"/>
                <w:szCs w:val="16"/>
                <w:color w:val="auto"/>
              </w:rPr>
              <w:t>Andrew Orekar</w:t>
            </w:r>
          </w:p>
        </w:tc>
      </w:tr>
      <w:tr>
        <w:trPr>
          <w:trHeight w:val="206"/>
        </w:trPr>
        <w:tc>
          <w:tcPr>
            <w:tcW w:w="48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4280" w:type="dxa"/>
            <w:vAlign w:val="bottom"/>
          </w:tcPr>
          <w:p>
            <w:pPr>
              <w:ind w:left="100"/>
              <w:spacing w:after="0"/>
              <w:rPr>
                <w:sz w:val="20"/>
                <w:szCs w:val="20"/>
                <w:color w:val="auto"/>
              </w:rPr>
            </w:pPr>
            <w:r>
              <w:rPr>
                <w:rFonts w:ascii="Arial" w:cs="Arial" w:eastAsia="Arial" w:hAnsi="Arial"/>
                <w:sz w:val="16"/>
                <w:szCs w:val="16"/>
                <w:color w:val="auto"/>
              </w:rPr>
              <w:t>Chief Executive Officer</w:t>
            </w: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Partners LP Reports Financial Results for the Three-Month Period and the Year Ended December 31, 2019 and Declares Cash Distribution</w:t>
      </w:r>
    </w:p>
    <w:p>
      <w:pPr>
        <w:spacing w:after="0" w:line="221"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b w:val="1"/>
          <w:bCs w:val="1"/>
          <w:color w:val="auto"/>
        </w:rPr>
        <w:t xml:space="preserve">Piraeus, Greece, February 6, 2020, GasLog Partners LP (“GasLog Partners” or the “Partnership”) (NYSE: GLOP), </w:t>
      </w:r>
      <w:r>
        <w:rPr>
          <w:rFonts w:ascii="Arial" w:cs="Arial" w:eastAsia="Arial" w:hAnsi="Arial"/>
          <w:sz w:val="16"/>
          <w:szCs w:val="16"/>
          <w:color w:val="auto"/>
        </w:rPr>
        <w:t>an international owner and operator of liquefied</w:t>
      </w:r>
      <w:r>
        <w:rPr>
          <w:rFonts w:ascii="Arial" w:cs="Arial" w:eastAsia="Arial" w:hAnsi="Arial"/>
          <w:sz w:val="16"/>
          <w:szCs w:val="16"/>
          <w:b w:val="1"/>
          <w:bCs w:val="1"/>
          <w:color w:val="auto"/>
        </w:rPr>
        <w:t xml:space="preserve"> </w:t>
      </w:r>
      <w:r>
        <w:rPr>
          <w:rFonts w:ascii="Arial" w:cs="Arial" w:eastAsia="Arial" w:hAnsi="Arial"/>
          <w:sz w:val="16"/>
          <w:szCs w:val="16"/>
          <w:color w:val="auto"/>
        </w:rPr>
        <w:t>natural gas (“LNG”) carriers, today reported its financial results for the three-month period and the year ended December 31, 2019.</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Key Events and Financial Performance</w:t>
      </w:r>
    </w:p>
    <w:p>
      <w:pPr>
        <w:spacing w:after="0" w:line="225" w:lineRule="exact"/>
        <w:rPr>
          <w:sz w:val="20"/>
          <w:szCs w:val="20"/>
          <w:color w:val="auto"/>
        </w:rPr>
      </w:pPr>
    </w:p>
    <w:p>
      <w:pPr>
        <w:ind w:left="340" w:right="440" w:hanging="332"/>
        <w:spacing w:after="0" w:line="203" w:lineRule="auto"/>
        <w:tabs>
          <w:tab w:leader="none" w:pos="299" w:val="left"/>
        </w:tabs>
        <w:numPr>
          <w:ilvl w:val="0"/>
          <w:numId w:val="1"/>
        </w:numPr>
        <w:rPr>
          <w:rFonts w:ascii="Arial" w:cs="Arial" w:eastAsia="Arial" w:hAnsi="Arial"/>
          <w:sz w:val="16"/>
          <w:szCs w:val="16"/>
          <w:color w:val="auto"/>
        </w:rPr>
      </w:pPr>
      <w:r>
        <w:rPr>
          <w:rFonts w:ascii="Arial" w:cs="Arial" w:eastAsia="Arial" w:hAnsi="Arial"/>
          <w:sz w:val="16"/>
          <w:szCs w:val="16"/>
          <w:color w:val="auto"/>
        </w:rPr>
        <w:t>Quarterly IFRS (as defined below) Reported Results and Partnership Performance Results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for Revenues, Loss, Adjusted Profit</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and Adjusted EBITDA</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$96.5 million, ($106.4) million, $29.6 million and $68.3 million, respectively.</w:t>
      </w:r>
    </w:p>
    <w:p>
      <w:pPr>
        <w:ind w:left="300" w:hanging="292"/>
        <w:spacing w:after="0" w:line="211" w:lineRule="auto"/>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Annual Revenues, Loss, Adjusted Profit</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and Adjusted EBITDA</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$378.7 million, ($34.8) million, $118.9 million and $276.3 million, respectively.</w:t>
      </w:r>
    </w:p>
    <w:p>
      <w:pPr>
        <w:ind w:left="340" w:right="360" w:hanging="332"/>
        <w:spacing w:after="0" w:line="222" w:lineRule="auto"/>
        <w:tabs>
          <w:tab w:leader="none" w:pos="299" w:val="left"/>
        </w:tabs>
        <w:numPr>
          <w:ilvl w:val="0"/>
          <w:numId w:val="1"/>
        </w:numPr>
        <w:rPr>
          <w:rFonts w:ascii="Arial" w:cs="Arial" w:eastAsia="Arial" w:hAnsi="Arial"/>
          <w:sz w:val="16"/>
          <w:szCs w:val="16"/>
          <w:color w:val="auto"/>
        </w:rPr>
      </w:pPr>
      <w:r>
        <w:rPr>
          <w:rFonts w:ascii="Arial" w:cs="Arial" w:eastAsia="Arial" w:hAnsi="Arial"/>
          <w:sz w:val="16"/>
          <w:szCs w:val="16"/>
          <w:color w:val="auto"/>
        </w:rPr>
        <w:t>Highest-ever annual Partnership Performance Results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for Revenues, Adjusted Profit</w:t>
      </w:r>
      <w:r>
        <w:rPr>
          <w:rFonts w:ascii="Arial" w:cs="Arial" w:eastAsia="Arial" w:hAnsi="Arial"/>
          <w:sz w:val="21"/>
          <w:szCs w:val="21"/>
          <w:color w:val="auto"/>
          <w:vertAlign w:val="superscript"/>
        </w:rPr>
        <w:t>(2)</w:t>
      </w:r>
      <w:r>
        <w:rPr>
          <w:rFonts w:ascii="Arial" w:cs="Arial" w:eastAsia="Arial" w:hAnsi="Arial"/>
          <w:sz w:val="16"/>
          <w:szCs w:val="16"/>
          <w:color w:val="auto"/>
        </w:rPr>
        <w:t>, Adjusted EBITDA</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and Distributable cash flow</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$371.1 million, $116.3 million, $270.4 million and $123.1 million, respectively.</w:t>
      </w:r>
    </w:p>
    <w:p>
      <w:pPr>
        <w:spacing w:after="0" w:line="1" w:lineRule="exact"/>
        <w:rPr>
          <w:rFonts w:ascii="Arial" w:cs="Arial" w:eastAsia="Arial" w:hAnsi="Arial"/>
          <w:sz w:val="16"/>
          <w:szCs w:val="16"/>
          <w:color w:val="auto"/>
        </w:rPr>
      </w:pPr>
    </w:p>
    <w:p>
      <w:pPr>
        <w:ind w:left="340" w:right="260" w:hanging="332"/>
        <w:spacing w:after="0" w:line="264" w:lineRule="auto"/>
        <w:tabs>
          <w:tab w:leader="none" w:pos="299" w:val="left"/>
        </w:tabs>
        <w:numPr>
          <w:ilvl w:val="0"/>
          <w:numId w:val="1"/>
        </w:numPr>
        <w:rPr>
          <w:rFonts w:ascii="Arial" w:cs="Arial" w:eastAsia="Arial" w:hAnsi="Arial"/>
          <w:sz w:val="16"/>
          <w:szCs w:val="16"/>
          <w:color w:val="auto"/>
        </w:rPr>
      </w:pPr>
      <w:r>
        <w:rPr>
          <w:rFonts w:ascii="Arial" w:cs="Arial" w:eastAsia="Arial" w:hAnsi="Arial"/>
          <w:sz w:val="16"/>
          <w:szCs w:val="16"/>
          <w:color w:val="auto"/>
        </w:rPr>
        <w:t>As of December 31, 2019, the Partnership recognized a non-cash impairment loss of $138.8 million on its five steam turbine propulsion (“Steam”) vessels built in 2006 and 2007 due to negative market conditions.</w:t>
      </w:r>
    </w:p>
    <w:p>
      <w:pPr>
        <w:jc w:val="both"/>
        <w:ind w:left="340" w:right="60" w:hanging="332"/>
        <w:spacing w:after="0" w:line="264" w:lineRule="auto"/>
        <w:tabs>
          <w:tab w:leader="none" w:pos="299" w:val="left"/>
        </w:tabs>
        <w:numPr>
          <w:ilvl w:val="0"/>
          <w:numId w:val="1"/>
        </w:numPr>
        <w:rPr>
          <w:rFonts w:ascii="Arial" w:cs="Arial" w:eastAsia="Arial" w:hAnsi="Arial"/>
          <w:sz w:val="16"/>
          <w:szCs w:val="16"/>
          <w:color w:val="auto"/>
        </w:rPr>
      </w:pPr>
      <w:r>
        <w:rPr>
          <w:rFonts w:ascii="Arial" w:cs="Arial" w:eastAsia="Arial" w:hAnsi="Arial"/>
          <w:sz w:val="16"/>
          <w:szCs w:val="16"/>
          <w:color w:val="auto"/>
        </w:rPr>
        <w:t>Under its unit repurchase programme of up to $25.0 million, repurchased 186,313 of the Partnership’s common units, for $2.9 million during the fourth quarter of 2019 at an average price of $15.33 per unit. Since the inception of the programme in January 2019, the Partnership has repurchased 1,171,572 common units for a total amount of $22.9 million at an average price of $19.52 per unit.</w:t>
      </w:r>
    </w:p>
    <w:p>
      <w:pPr>
        <w:ind w:left="300" w:hanging="292"/>
        <w:spacing w:after="0"/>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Increased the amount available under the unit repurchase authority to $25.0 million.</w:t>
      </w:r>
    </w:p>
    <w:p>
      <w:pPr>
        <w:spacing w:after="0" w:line="18" w:lineRule="exact"/>
        <w:rPr>
          <w:rFonts w:ascii="Arial" w:cs="Arial" w:eastAsia="Arial" w:hAnsi="Arial"/>
          <w:sz w:val="16"/>
          <w:szCs w:val="16"/>
          <w:color w:val="auto"/>
        </w:rPr>
      </w:pPr>
    </w:p>
    <w:p>
      <w:pPr>
        <w:ind w:left="340" w:right="240" w:hanging="332"/>
        <w:spacing w:after="0" w:line="301" w:lineRule="auto"/>
        <w:tabs>
          <w:tab w:leader="none" w:pos="299" w:val="left"/>
        </w:tabs>
        <w:numPr>
          <w:ilvl w:val="0"/>
          <w:numId w:val="1"/>
        </w:numPr>
        <w:rPr>
          <w:rFonts w:ascii="Arial" w:cs="Arial" w:eastAsia="Arial" w:hAnsi="Arial"/>
          <w:sz w:val="14"/>
          <w:szCs w:val="14"/>
          <w:color w:val="auto"/>
        </w:rPr>
      </w:pPr>
      <w:r>
        <w:rPr>
          <w:rFonts w:ascii="Arial" w:cs="Arial" w:eastAsia="Arial" w:hAnsi="Arial"/>
          <w:sz w:val="14"/>
          <w:szCs w:val="14"/>
          <w:color w:val="auto"/>
        </w:rPr>
        <w:t>Amended covenants across existing bank facilities, as announced by GasLog Ltd. (“GasLog”) on December 16, 2019, resulting in significant improvements by aligning the covenants across all of the Partnership’s bank facilities with the revolving credit facility entered into on February 20, 2019 (the “2019 Partnership Facility”).</w:t>
      </w:r>
    </w:p>
    <w:p>
      <w:pPr>
        <w:spacing w:after="0" w:line="1" w:lineRule="exact"/>
        <w:rPr>
          <w:rFonts w:ascii="Arial" w:cs="Arial" w:eastAsia="Arial" w:hAnsi="Arial"/>
          <w:sz w:val="14"/>
          <w:szCs w:val="14"/>
          <w:color w:val="auto"/>
        </w:rPr>
      </w:pPr>
    </w:p>
    <w:p>
      <w:pPr>
        <w:ind w:left="300" w:hanging="292"/>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Declared cash distribution of $0.561 per common unit for the fourth quarter of 2019, 2.0% higher than the third quarter of 2019 and the fourth quarter of 2018.</w:t>
      </w:r>
    </w:p>
    <w:p>
      <w:pPr>
        <w:spacing w:after="0" w:line="30" w:lineRule="exact"/>
        <w:rPr>
          <w:rFonts w:ascii="Arial" w:cs="Arial" w:eastAsia="Arial" w:hAnsi="Arial"/>
          <w:sz w:val="15"/>
          <w:szCs w:val="15"/>
          <w:color w:val="auto"/>
        </w:rPr>
      </w:pPr>
    </w:p>
    <w:p>
      <w:pPr>
        <w:ind w:left="300" w:hanging="292"/>
        <w:spacing w:after="0" w:line="211" w:lineRule="auto"/>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Quarterly distribution coverage ratio</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of 1.18x.</w:t>
      </w:r>
    </w:p>
    <w:p>
      <w:pPr>
        <w:ind w:left="340" w:right="420" w:hanging="332"/>
        <w:spacing w:after="0" w:line="257" w:lineRule="auto"/>
        <w:tabs>
          <w:tab w:leader="none" w:pos="299" w:val="left"/>
        </w:tabs>
        <w:numPr>
          <w:ilvl w:val="0"/>
          <w:numId w:val="1"/>
        </w:numPr>
        <w:rPr>
          <w:rFonts w:ascii="Arial" w:cs="Arial" w:eastAsia="Arial" w:hAnsi="Arial"/>
          <w:sz w:val="16"/>
          <w:szCs w:val="16"/>
          <w:color w:val="auto"/>
        </w:rPr>
      </w:pPr>
      <w:r>
        <w:rPr>
          <w:rFonts w:ascii="Arial" w:cs="Arial" w:eastAsia="Arial" w:hAnsi="Arial"/>
          <w:sz w:val="16"/>
          <w:szCs w:val="16"/>
          <w:color w:val="auto"/>
        </w:rPr>
        <w:t>Based on a revised future capital allocation strategy and in order to prioritize balance sheet strength, issued guidance that quarterly distributions per common unit are expected to be reduced to $0.125 per unit, or $0.50 on an annualized basis, beginning with the first quarter of 2020.</w:t>
      </w:r>
    </w:p>
    <w:p>
      <w:pPr>
        <w:ind w:left="300" w:hanging="292"/>
        <w:spacing w:after="0"/>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Announced Adjusted EBITDA</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guidance of $230.0 to $260.0 million for 2020.</w:t>
      </w:r>
    </w:p>
    <w:p>
      <w:pPr>
        <w:spacing w:after="0" w:line="160" w:lineRule="exact"/>
        <w:rPr>
          <w:sz w:val="20"/>
          <w:szCs w:val="20"/>
          <w:color w:val="auto"/>
        </w:rPr>
      </w:pPr>
    </w:p>
    <w:p>
      <w:pPr>
        <w:ind w:left="340" w:right="100" w:hanging="332"/>
        <w:spacing w:after="0" w:line="250" w:lineRule="auto"/>
        <w:tabs>
          <w:tab w:leader="none" w:pos="331" w:val="left"/>
        </w:tabs>
        <w:numPr>
          <w:ilvl w:val="0"/>
          <w:numId w:val="2"/>
        </w:numPr>
        <w:rPr>
          <w:rFonts w:ascii="Arial" w:cs="Arial" w:eastAsia="Arial" w:hAnsi="Arial"/>
          <w:sz w:val="21"/>
          <w:szCs w:val="21"/>
          <w:color w:val="auto"/>
          <w:vertAlign w:val="superscript"/>
        </w:rPr>
      </w:pPr>
      <w:r>
        <w:rPr>
          <w:rFonts w:ascii="Arial" w:cs="Arial" w:eastAsia="Arial" w:hAnsi="Arial"/>
          <w:sz w:val="15"/>
          <w:szCs w:val="15"/>
          <w:color w:val="auto"/>
        </w:rPr>
        <w:t>Partnership Performance Results represent the results attributable to GasLog Partners which are non-GAAP financial measures and should not be used in isolation or as a substitute for GasLog Partners’ financial results presented in accordance with IFRS. For the definitions and reconciliations of these measures to the most directly comparable financial measures calculated and presented in accordance with IFRS, please refer to Exhibit II at the end of this press release.</w:t>
      </w:r>
    </w:p>
    <w:p>
      <w:pPr>
        <w:ind w:left="340" w:right="80" w:hanging="332"/>
        <w:spacing w:after="0" w:line="275" w:lineRule="auto"/>
        <w:tabs>
          <w:tab w:leader="none" w:pos="331"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Adjusted Profit, Adjusted EBITDA and Distributable cash flow are non-GAAP financial measures and should not be used in isolation or as a substitute for GasLog Partners’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III at the end of this press release.</w:t>
      </w:r>
    </w:p>
    <w:p>
      <w:pPr>
        <w:spacing w:after="0" w:line="1" w:lineRule="exact"/>
        <w:rPr>
          <w:rFonts w:ascii="Arial" w:cs="Arial" w:eastAsia="Arial" w:hAnsi="Arial"/>
          <w:sz w:val="18"/>
          <w:szCs w:val="18"/>
          <w:color w:val="auto"/>
          <w:vertAlign w:val="superscript"/>
        </w:rPr>
      </w:pPr>
    </w:p>
    <w:p>
      <w:pPr>
        <w:ind w:left="340" w:right="140" w:hanging="332"/>
        <w:spacing w:after="0" w:line="242" w:lineRule="auto"/>
        <w:tabs>
          <w:tab w:leader="none" w:pos="331" w:val="left"/>
        </w:tabs>
        <w:numPr>
          <w:ilvl w:val="0"/>
          <w:numId w:val="2"/>
        </w:numPr>
        <w:rPr>
          <w:rFonts w:ascii="Arial" w:cs="Arial" w:eastAsia="Arial" w:hAnsi="Arial"/>
          <w:sz w:val="22"/>
          <w:szCs w:val="22"/>
          <w:color w:val="auto"/>
          <w:vertAlign w:val="superscript"/>
        </w:rPr>
      </w:pPr>
      <w:r>
        <w:rPr>
          <w:rFonts w:ascii="Arial" w:cs="Arial" w:eastAsia="Arial" w:hAnsi="Arial"/>
          <w:sz w:val="16"/>
          <w:szCs w:val="16"/>
          <w:color w:val="auto"/>
        </w:rPr>
        <w:t>Distribution coverage ratio represents the ratio of Distributable cash flow to the cash distribution declared. Distributable cash flow is a non-GAAP financial measure and should not be used in isolation or as a substitute for GasLog Partners’ financial results presented in accordance with IFRS. For the definition and reconciliation of Distributable cash flow to the most directly comparable financial measure calculated and presented in accordance with IFRS, please refer to Exhibit III at the end of this press release.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CEO Statement</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Mr. Andrew Orekar, Chief Executive Officer, commented: “We delivered a strong fourth quarter for GasLog Partners, which contributed to our highest-ever annual Partnership Performance Results for Revenues, Adjusted Profit, Adjusted EBITDA and Distributable cash flow in 2019.</w:t>
      </w:r>
    </w:p>
    <w:p>
      <w:pPr>
        <w:spacing w:after="0" w:line="159" w:lineRule="exact"/>
        <w:rPr>
          <w:sz w:val="20"/>
          <w:szCs w:val="20"/>
          <w:color w:val="auto"/>
        </w:rPr>
      </w:pPr>
    </w:p>
    <w:p>
      <w:pPr>
        <w:jc w:val="both"/>
        <w:ind w:right="220"/>
        <w:spacing w:after="0" w:line="305" w:lineRule="auto"/>
        <w:rPr>
          <w:sz w:val="20"/>
          <w:szCs w:val="20"/>
          <w:color w:val="auto"/>
        </w:rPr>
      </w:pPr>
      <w:r>
        <w:rPr>
          <w:rFonts w:ascii="Arial" w:cs="Arial" w:eastAsia="Arial" w:hAnsi="Arial"/>
          <w:sz w:val="15"/>
          <w:szCs w:val="15"/>
          <w:color w:val="auto"/>
        </w:rPr>
        <w:t>During the year, we increased GasLog Partners’ wholly owned fleet to 15 LNG carriers through one vessel acquisition, expanded our customer base with a new charter to a subsidiary of Gunvor Group Ltd. (“Gunvor”), retired $110.0 million of debt to end the year with a net debt to trailing 12-month Adjusted EBITDA ratio of 4.6x, and met the distribution guidance we set for 2019, returning a total of $129.8 million to our unitholders through common distributions and unit repurchases.</w:t>
      </w:r>
    </w:p>
    <w:p>
      <w:pPr>
        <w:spacing w:after="0" w:line="153" w:lineRule="exact"/>
        <w:rPr>
          <w:sz w:val="20"/>
          <w:szCs w:val="20"/>
          <w:color w:val="auto"/>
        </w:rPr>
      </w:pPr>
    </w:p>
    <w:p>
      <w:pPr>
        <w:ind w:right="320"/>
        <w:spacing w:after="0" w:line="305" w:lineRule="auto"/>
        <w:rPr>
          <w:sz w:val="20"/>
          <w:szCs w:val="20"/>
          <w:color w:val="auto"/>
        </w:rPr>
      </w:pPr>
      <w:r>
        <w:rPr>
          <w:rFonts w:ascii="Arial" w:cs="Arial" w:eastAsia="Arial" w:hAnsi="Arial"/>
          <w:sz w:val="15"/>
          <w:szCs w:val="15"/>
          <w:color w:val="auto"/>
        </w:rPr>
        <w:t>However, while spot rates for LNG carriers improved in 2018 and 2019 compared to prior years, the term charter market for on-the-water vessels has not developed as expected, resulting in reduced expectations for future vessel utilization and earnings, in particular for our Steam vessels after the expiry of their current term charters. Such market conditions have caused the Partnership to recognize a non-cash impairment loss of $138.8 million for its five Steam vessels built in 2006 and 2007.</w:t>
      </w:r>
    </w:p>
    <w:p>
      <w:pPr>
        <w:spacing w:after="0" w:line="153"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In light of these reduced expectations for Steam vessel utilization and earnings, coupled with the fact that our cost of equity capital has remained elevated for a prolonged period, making funding of new acquisitions challenging, GasLog Partners will focus its capital allocation on debt repayment, prioritizing balance sheet strength for 2020. As such, the Partnership expects to reduce its quarterly common unit distribution to $0.125 per unit for the first quarter of 2020 from $0.561 per unit for the fourth quarter of 2019. The annual common unit distribution is expected to decrease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ind w:right="80"/>
        <w:spacing w:after="0" w:line="293" w:lineRule="auto"/>
        <w:rPr>
          <w:sz w:val="20"/>
          <w:szCs w:val="20"/>
          <w:color w:val="auto"/>
        </w:rPr>
      </w:pPr>
      <w:r>
        <w:rPr>
          <w:rFonts w:ascii="Arial" w:cs="Arial" w:eastAsia="Arial" w:hAnsi="Arial"/>
          <w:sz w:val="16"/>
          <w:szCs w:val="16"/>
          <w:color w:val="auto"/>
        </w:rPr>
        <w:t>by $84.0 million, and the reduced distribution will lower the cash flow break-even rates across our fleet and enhance its competitive positioning. We believe that strengthening our balance sheet will help improve GasLog Partners’ cost of capital over time.</w:t>
      </w:r>
    </w:p>
    <w:p>
      <w:pPr>
        <w:spacing w:after="0" w:line="159"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As reported by our general partner, GasLog, we have decided to reduce the size of the London office and to relocate a number of executives from London to Piraeus, including several members of our senior management. A decision has also been taken to reduce the already limited number of employees in Monaco. These initiatives will enhance execution, efficiency and operational excellence and meaningfully reduce overhead costs from 2021 onwards. In turn, we expect these initiatives to result in lower general and administrative costs for the Partnership.</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 xml:space="preserve">For 2020, we are introducing Adjusted EBITDA guidance of $230.0 to $260.0 million. Our guidance reflects our fleet’s 81% charter coverage for the year and our vessel acquisition completed in 2019, while also considering our four scheduled dry-dockings and our exposure to vessels trading in the spot market and under variable rate charters, including our five vessels whose charters expire in 2020. In preparing our guidance, our assumptions are based on GasLog Partners generating approximately $200.0 million of Adjusted EBITDA from vessels with fixed-rate charters, with assumptions for the remaining $30.0 to $60.0 million of Adjusted EBITDA subject to estimates of time charter equivalent (“TCE”) rates to be earned by the seven vessels whose term charters have expired or are scheduled to expire during 2020, inclusive of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whose charter to Gunvor is indexed to market rates. Excluding the </w:t>
      </w:r>
      <w:r>
        <w:rPr>
          <w:rFonts w:ascii="Arial" w:cs="Arial" w:eastAsia="Arial" w:hAnsi="Arial"/>
          <w:sz w:val="15"/>
          <w:szCs w:val="15"/>
          <w:i w:val="1"/>
          <w:iCs w:val="1"/>
          <w:color w:val="auto"/>
        </w:rPr>
        <w:t>GasLog Shanghai</w:t>
      </w:r>
      <w:r>
        <w:rPr>
          <w:rFonts w:ascii="Arial" w:cs="Arial" w:eastAsia="Arial" w:hAnsi="Arial"/>
          <w:sz w:val="15"/>
          <w:szCs w:val="15"/>
          <w:color w:val="auto"/>
        </w:rPr>
        <w:t>, these vessels are assumed to operate in the spot market for the remaining period of 2020 after the expiry of their term charters. We believe that the lower end of our guidance range reflects conservative assumptions relative to long-term average headline spot rates and utilization observed for tri-fuel diesel electric (“TFDE”) and Steam vessels, while the higher end assumes TFDE TCE earnings approximately in line with mid-cycle TFDE headline rates and an appropriate discount for Steam vessels.”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Non-Cash Impairment Loss on Vessels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 xml:space="preserve">A number of increasingly strong negative indicators caused the Partnership to recognize a non-cash impairment loss on its Steam vessels as of December 31, 2019. Such indicators include the difference between ship broker estimates of the fair market values and the carrying values of our Steam vessels, the lack of liquidity in the market for term employment for Steam vessels and reduced expectations for the estimated rates at which such term employment could be secured over the remaining economic life of these vessels, which may be at materially lower levels than the rates earned prior to the expiry of their initial multi-year charters with Royal Dutch Shell plc (“Shell”). The redelivery of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in January 2020, which is currently trading in the spot market, and the scheduled redeliveries of our four other Steam vessels prior to the end of 2020, which may also operate in the spot market rather than under term charters, together with the continued addition of modern, larger and more fuel efficient LNG carriers to the global fleet, are the principal factors that caused the Partnership to recognize a non-cash impairment loss of $138.8 million in aggregate in the three and twelve months ended December 31, 2019 for the five Steam vessels owned by the Partnership (the </w:t>
      </w:r>
      <w:r>
        <w:rPr>
          <w:rFonts w:ascii="Arial" w:cs="Arial" w:eastAsia="Arial" w:hAnsi="Arial"/>
          <w:sz w:val="15"/>
          <w:szCs w:val="15"/>
          <w:i w:val="1"/>
          <w:iCs w:val="1"/>
          <w:color w:val="auto"/>
        </w:rPr>
        <w:t>Methane Rita Andrea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the </w:t>
      </w:r>
      <w:r>
        <w:rPr>
          <w:rFonts w:ascii="Arial" w:cs="Arial" w:eastAsia="Arial" w:hAnsi="Arial"/>
          <w:sz w:val="15"/>
          <w:szCs w:val="15"/>
          <w:i w:val="1"/>
          <w:iCs w:val="1"/>
          <w:color w:val="auto"/>
        </w:rPr>
        <w:t xml:space="preserve">Methane Shirley Elisabeth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Methane Heather Sally</w:t>
      </w:r>
      <w:r>
        <w:rPr>
          <w:rFonts w:ascii="Arial" w:cs="Arial" w:eastAsia="Arial" w:hAnsi="Arial"/>
          <w:sz w:val="15"/>
          <w:szCs w:val="15"/>
          <w:color w:val="auto"/>
        </w:rPr>
        <w:t>)</w:t>
      </w:r>
      <w:r>
        <w:rPr>
          <w:rFonts w:ascii="Arial" w:cs="Arial" w:eastAsia="Arial" w:hAnsi="Arial"/>
          <w:sz w:val="15"/>
          <w:szCs w:val="15"/>
          <w:i w:val="1"/>
          <w:iCs w:val="1"/>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Unit Repurchase Programme</w:t>
      </w:r>
    </w:p>
    <w:p>
      <w:pPr>
        <w:spacing w:after="0" w:line="225" w:lineRule="exact"/>
        <w:rPr>
          <w:sz w:val="20"/>
          <w:szCs w:val="20"/>
          <w:color w:val="auto"/>
        </w:rPr>
      </w:pPr>
    </w:p>
    <w:p>
      <w:pPr>
        <w:ind w:right="40"/>
        <w:spacing w:after="0" w:line="313" w:lineRule="auto"/>
        <w:rPr>
          <w:sz w:val="20"/>
          <w:szCs w:val="20"/>
          <w:color w:val="auto"/>
        </w:rPr>
      </w:pPr>
      <w:r>
        <w:rPr>
          <w:rFonts w:ascii="Arial" w:cs="Arial" w:eastAsia="Arial" w:hAnsi="Arial"/>
          <w:sz w:val="14"/>
          <w:szCs w:val="14"/>
          <w:color w:val="auto"/>
        </w:rPr>
        <w:t>On January 29, 2019, the board of directors of GasLog Partners authorized a unit repurchase programme of up to $25.0 million covering the period from January 31, 2019 to December 31, 2021. Under the terms of the repurchase programme, GasLog Partners may repurchase common units from time to time, at its discretion, on the open market or in privately negotiated transactions. In the three months ended December 31, 2019, GasLog Partners repurchased and cancelled 186,313 of the Partnership’s common units at a weighted average price of $15.33 per common unit for a total amount of $2.9 million, including commissions. Since the authorization of the unit repurchase programme and through February 6, 2020, GasLog Partners has repurchased and cancelled a total of 1,171,572 units at a weighted average price of $19.52 per common unit for a total amount of $22.9 million, including commissions. On February 5, 2020, the board of directors of GasLog Partners authorized a renewal of the unit repurchase programme in an amount of $23.0 million taking the total authority outstanding under the programme to $25.0 million which may be utilized from February 10, 2020 to December 31, 2021.</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ATM Common Equity Offering Programme (“ATM Programme”)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On May 16, 2017, GasLog Partners commenced an ATM Programme under which the Partnership may, from time to time, raise equity through the issuance and sale of new common units having an aggregate offering price of up to $100.0 million in accordance with the terms of an equity distribution agreement entered into on the same date. Citigroup Global Markets Inc., Merrill Lynch, Pierce, Fenner &amp; Smith Incorporated, Credit Suisse Securities (USA) LLC and Morgan Stanley &amp; Co. LLC agreed to act as sales agents. On November 3, 2017, the size of the ATM Programme was increased to $144.0 million and UBS Securities LLC was included as a sales agent. On February 26, 2019, the size of the ATM Programme was further increased from $144.0 million to $250.0 million.</w:t>
      </w:r>
    </w:p>
    <w:p>
      <w:pPr>
        <w:spacing w:after="0" w:line="177" w:lineRule="exact"/>
        <w:rPr>
          <w:sz w:val="20"/>
          <w:szCs w:val="20"/>
          <w:color w:val="auto"/>
        </w:rPr>
      </w:pPr>
    </w:p>
    <w:p>
      <w:pPr>
        <w:ind w:right="120"/>
        <w:spacing w:after="0" w:line="297" w:lineRule="auto"/>
        <w:rPr>
          <w:sz w:val="20"/>
          <w:szCs w:val="20"/>
          <w:color w:val="auto"/>
        </w:rPr>
      </w:pPr>
      <w:r>
        <w:rPr>
          <w:rFonts w:ascii="Arial" w:cs="Arial" w:eastAsia="Arial" w:hAnsi="Arial"/>
          <w:sz w:val="15"/>
          <w:szCs w:val="15"/>
          <w:color w:val="auto"/>
        </w:rPr>
        <w:t>No issuances of common units were made under the ATM Programme in 2019. Since the commencement of the ATM Programme through February 6, 2020, GasLog Partners has issued and received payment for a total of 5,291,304 common units, with cumulative gross proceeds of $123.4 million at a weighted average price of $23.33 per unit and net proceeds of $121.2 million. In connection with the issuance of common units under the ATM Programme during this period, the Partnership also issued 107,987 general partner units to its general partner. The net proceeds from the issuance of the general partner units were $2.5 million.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Financial Summary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4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2"/>
              </w:rPr>
              <w:t>IFRS Common Control Reported Results</w:t>
            </w:r>
            <w:r>
              <w:rPr>
                <w:rFonts w:ascii="Arial" w:cs="Arial" w:eastAsia="Arial" w:hAnsi="Arial"/>
                <w:sz w:val="21"/>
                <w:szCs w:val="21"/>
                <w:b w:val="1"/>
                <w:bCs w:val="1"/>
                <w:color w:val="auto"/>
                <w:w w:val="92"/>
                <w:vertAlign w:val="superscript"/>
              </w:rPr>
              <w:t>(1)</w:t>
            </w:r>
          </w:p>
        </w:tc>
        <w:tc>
          <w:tcPr>
            <w:tcW w:w="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2640" w:type="dxa"/>
            <w:vAlign w:val="bottom"/>
          </w:tcPr>
          <w:p>
            <w:pPr>
              <w:spacing w:after="0"/>
              <w:rPr>
                <w:sz w:val="17"/>
                <w:szCs w:val="17"/>
                <w:color w:val="auto"/>
              </w:rPr>
            </w:pPr>
          </w:p>
        </w:tc>
        <w:tc>
          <w:tcPr>
            <w:tcW w:w="4460" w:type="dxa"/>
            <w:vAlign w:val="bottom"/>
            <w:gridSpan w:val="7"/>
          </w:tcPr>
          <w:p>
            <w:pPr>
              <w:jc w:val="center"/>
              <w:ind w:right="220"/>
              <w:spacing w:after="0"/>
              <w:rPr>
                <w:sz w:val="20"/>
                <w:szCs w:val="20"/>
                <w:color w:val="auto"/>
              </w:rPr>
            </w:pPr>
            <w:r>
              <w:rPr>
                <w:rFonts w:ascii="Arial" w:cs="Arial" w:eastAsia="Arial" w:hAnsi="Arial"/>
                <w:sz w:val="16"/>
                <w:szCs w:val="16"/>
                <w:b w:val="1"/>
                <w:bCs w:val="1"/>
                <w:color w:val="auto"/>
                <w:w w:val="90"/>
              </w:rPr>
              <w:t>For the three months ended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For the year ended</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5"/>
        </w:trPr>
        <w:tc>
          <w:tcPr>
            <w:tcW w:w="2640" w:type="dxa"/>
            <w:vAlign w:val="bottom"/>
          </w:tcPr>
          <w:p>
            <w:pPr>
              <w:spacing w:after="0"/>
              <w:rPr>
                <w:sz w:val="20"/>
                <w:szCs w:val="20"/>
                <w:color w:val="auto"/>
              </w:rPr>
            </w:pPr>
            <w:r>
              <w:rPr>
                <w:rFonts w:ascii="Arial" w:cs="Arial" w:eastAsia="Arial" w:hAnsi="Arial"/>
                <w:sz w:val="16"/>
                <w:szCs w:val="16"/>
                <w:b w:val="1"/>
                <w:bCs w:val="1"/>
                <w:i w:val="1"/>
                <w:iCs w:val="1"/>
                <w:color w:val="auto"/>
              </w:rPr>
              <w:t>(All amounts expressed in</w:t>
            </w:r>
          </w:p>
        </w:tc>
        <w:tc>
          <w:tcPr>
            <w:tcW w:w="148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December 31,</w:t>
            </w:r>
          </w:p>
        </w:tc>
        <w:tc>
          <w:tcPr>
            <w:tcW w:w="134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0"/>
              </w:rPr>
              <w:t>December 31,</w:t>
            </w: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December 31,</w:t>
            </w:r>
          </w:p>
        </w:tc>
        <w:tc>
          <w:tcPr>
            <w:tcW w:w="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640" w:type="dxa"/>
            <w:vAlign w:val="bottom"/>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 change</w:t>
            </w: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2019</w:t>
            </w: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 change</w:t>
            </w:r>
          </w:p>
        </w:tc>
      </w:tr>
      <w:tr>
        <w:trPr>
          <w:trHeight w:val="202"/>
        </w:trPr>
        <w:tc>
          <w:tcPr>
            <w:tcW w:w="26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94,575</w:t>
            </w:r>
          </w:p>
        </w:tc>
        <w:tc>
          <w:tcPr>
            <w:tcW w:w="22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96,512</w:t>
            </w:r>
          </w:p>
        </w:tc>
        <w:tc>
          <w:tcPr>
            <w:tcW w:w="8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383,201</w:t>
            </w:r>
          </w:p>
        </w:tc>
        <w:tc>
          <w:tcPr>
            <w:tcW w:w="16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378,687</w:t>
            </w:r>
          </w:p>
        </w:tc>
        <w:tc>
          <w:tcPr>
            <w:tcW w:w="22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2640" w:type="dxa"/>
            <w:vAlign w:val="bottom"/>
          </w:tcPr>
          <w:p>
            <w:pPr>
              <w:spacing w:after="0"/>
              <w:rPr>
                <w:sz w:val="20"/>
                <w:szCs w:val="20"/>
                <w:color w:val="auto"/>
              </w:rPr>
            </w:pPr>
            <w:r>
              <w:rPr>
                <w:rFonts w:ascii="Arial" w:cs="Arial" w:eastAsia="Arial" w:hAnsi="Arial"/>
                <w:sz w:val="16"/>
                <w:szCs w:val="16"/>
                <w:color w:val="auto"/>
              </w:rPr>
              <w:t>Profit/(loss)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25,060</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(106,362)</w:t>
            </w:r>
          </w:p>
        </w:tc>
        <w:tc>
          <w:tcPr>
            <w:tcW w:w="1640" w:type="dxa"/>
            <w:vAlign w:val="bottom"/>
            <w:gridSpan w:val="3"/>
          </w:tcPr>
          <w:p>
            <w:pPr>
              <w:jc w:val="right"/>
              <w:ind w:right="180"/>
              <w:spacing w:after="0"/>
              <w:rPr>
                <w:sz w:val="20"/>
                <w:szCs w:val="20"/>
                <w:color w:val="auto"/>
              </w:rPr>
            </w:pPr>
            <w:r>
              <w:rPr>
                <w:rFonts w:ascii="Arial" w:cs="Arial" w:eastAsia="Arial" w:hAnsi="Arial"/>
                <w:sz w:val="16"/>
                <w:szCs w:val="16"/>
                <w:color w:val="auto"/>
              </w:rPr>
              <w:t>(524%)</w:t>
            </w:r>
          </w:p>
        </w:tc>
        <w:tc>
          <w:tcPr>
            <w:tcW w:w="1260" w:type="dxa"/>
            <w:vAlign w:val="bottom"/>
          </w:tcPr>
          <w:p>
            <w:pPr>
              <w:jc w:val="right"/>
              <w:spacing w:after="0"/>
              <w:rPr>
                <w:sz w:val="20"/>
                <w:szCs w:val="20"/>
                <w:color w:val="auto"/>
              </w:rPr>
            </w:pPr>
            <w:r>
              <w:rPr>
                <w:rFonts w:ascii="Arial" w:cs="Arial" w:eastAsia="Arial" w:hAnsi="Arial"/>
                <w:sz w:val="16"/>
                <w:szCs w:val="16"/>
                <w:color w:val="auto"/>
              </w:rPr>
              <w:t>128,046</w:t>
            </w:r>
          </w:p>
        </w:tc>
        <w:tc>
          <w:tcPr>
            <w:tcW w:w="160" w:type="dxa"/>
            <w:vAlign w:val="bottom"/>
          </w:tcPr>
          <w:p>
            <w:pPr>
              <w:spacing w:after="0"/>
              <w:rPr>
                <w:sz w:val="17"/>
                <w:szCs w:val="17"/>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6"/>
                <w:szCs w:val="16"/>
                <w:color w:val="auto"/>
              </w:rPr>
              <w:t>(34,769)</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(127%)</w:t>
            </w:r>
          </w:p>
        </w:tc>
      </w:tr>
      <w:tr>
        <w:trPr>
          <w:trHeight w:val="193"/>
        </w:trPr>
        <w:tc>
          <w:tcPr>
            <w:tcW w:w="2640" w:type="dxa"/>
            <w:vAlign w:val="bottom"/>
            <w:shd w:val="clear" w:color="auto" w:fill="E5FFFF"/>
          </w:tcPr>
          <w:p>
            <w:pPr>
              <w:spacing w:after="0"/>
              <w:rPr>
                <w:sz w:val="20"/>
                <w:szCs w:val="20"/>
                <w:color w:val="auto"/>
              </w:rPr>
            </w:pPr>
            <w:r>
              <w:rPr>
                <w:rFonts w:ascii="Arial" w:cs="Arial" w:eastAsia="Arial" w:hAnsi="Arial"/>
                <w:sz w:val="16"/>
                <w:szCs w:val="16"/>
                <w:color w:val="auto"/>
              </w:rPr>
              <w:t>Earnings/(loss) per unit (“EPU”),</w:t>
            </w:r>
          </w:p>
        </w:tc>
        <w:tc>
          <w:tcPr>
            <w:tcW w:w="126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6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26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60" w:type="dxa"/>
            <w:vAlign w:val="bottom"/>
            <w:shd w:val="clear" w:color="auto" w:fill="E5FFFF"/>
          </w:tcPr>
          <w:p>
            <w:pPr>
              <w:spacing w:after="0"/>
              <w:rPr>
                <w:sz w:val="16"/>
                <w:szCs w:val="16"/>
                <w:color w:val="auto"/>
              </w:rPr>
            </w:pPr>
          </w:p>
        </w:tc>
        <w:tc>
          <w:tcPr>
            <w:tcW w:w="126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12"/>
        </w:trPr>
        <w:tc>
          <w:tcPr>
            <w:tcW w:w="2640" w:type="dxa"/>
            <w:vAlign w:val="bottom"/>
            <w:shd w:val="clear" w:color="auto" w:fill="E5FFFF"/>
          </w:tcPr>
          <w:p>
            <w:pPr>
              <w:spacing w:after="0"/>
              <w:rPr>
                <w:sz w:val="20"/>
                <w:szCs w:val="20"/>
                <w:color w:val="auto"/>
              </w:rPr>
            </w:pPr>
            <w:r>
              <w:rPr>
                <w:rFonts w:ascii="Arial" w:cs="Arial" w:eastAsia="Arial" w:hAnsi="Arial"/>
                <w:sz w:val="16"/>
                <w:szCs w:val="16"/>
                <w:color w:val="auto"/>
              </w:rPr>
              <w:t>common (basic)</w:t>
            </w:r>
          </w:p>
        </w:tc>
        <w:tc>
          <w:tcPr>
            <w:tcW w:w="14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0.30</w:t>
            </w: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(2.37)</w:t>
            </w:r>
          </w:p>
        </w:tc>
        <w:tc>
          <w:tcPr>
            <w:tcW w:w="1640" w:type="dxa"/>
            <w:vAlign w:val="bottom"/>
            <w:gridSpan w:val="3"/>
            <w:shd w:val="clear" w:color="auto" w:fill="E5FFFF"/>
          </w:tcPr>
          <w:p>
            <w:pPr>
              <w:jc w:val="right"/>
              <w:ind w:right="180"/>
              <w:spacing w:after="0"/>
              <w:rPr>
                <w:sz w:val="20"/>
                <w:szCs w:val="20"/>
                <w:color w:val="auto"/>
              </w:rPr>
            </w:pPr>
            <w:r>
              <w:rPr>
                <w:rFonts w:ascii="Arial" w:cs="Arial" w:eastAsia="Arial" w:hAnsi="Arial"/>
                <w:sz w:val="16"/>
                <w:szCs w:val="16"/>
                <w:color w:val="auto"/>
              </w:rPr>
              <w:t>(890%)</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1.77</w:t>
            </w:r>
          </w:p>
        </w:tc>
        <w:tc>
          <w:tcPr>
            <w:tcW w:w="160" w:type="dxa"/>
            <w:vAlign w:val="bottom"/>
            <w:shd w:val="clear" w:color="auto" w:fill="E5FFFF"/>
          </w:tcPr>
          <w:p>
            <w:pPr>
              <w:spacing w:after="0"/>
              <w:rPr>
                <w:sz w:val="18"/>
                <w:szCs w:val="18"/>
                <w:color w:val="auto"/>
              </w:rPr>
            </w:pPr>
          </w:p>
        </w:tc>
        <w:tc>
          <w:tcPr>
            <w:tcW w:w="1540" w:type="dxa"/>
            <w:vAlign w:val="bottom"/>
            <w:gridSpan w:val="3"/>
            <w:shd w:val="clear" w:color="auto" w:fill="E5FFFF"/>
          </w:tcPr>
          <w:p>
            <w:pPr>
              <w:jc w:val="right"/>
              <w:ind w:right="160"/>
              <w:spacing w:after="0"/>
              <w:rPr>
                <w:sz w:val="20"/>
                <w:szCs w:val="20"/>
                <w:color w:val="auto"/>
              </w:rPr>
            </w:pPr>
            <w:r>
              <w:rPr>
                <w:rFonts w:ascii="Arial" w:cs="Arial" w:eastAsia="Arial" w:hAnsi="Arial"/>
                <w:sz w:val="16"/>
                <w:szCs w:val="16"/>
                <w:color w:val="auto"/>
              </w:rPr>
              <w:t>(1.43)</w:t>
            </w:r>
          </w:p>
        </w:tc>
        <w:tc>
          <w:tcPr>
            <w:tcW w:w="13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(181%)</w:t>
            </w:r>
          </w:p>
        </w:tc>
      </w:tr>
      <w:tr>
        <w:trPr>
          <w:trHeight w:val="203"/>
        </w:trPr>
        <w:tc>
          <w:tcPr>
            <w:tcW w:w="2640" w:type="dxa"/>
            <w:vAlign w:val="bottom"/>
          </w:tcPr>
          <w:p>
            <w:pPr>
              <w:spacing w:after="0" w:line="203" w:lineRule="exact"/>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(2)</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35,495</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29,646</w:t>
            </w:r>
          </w:p>
        </w:tc>
        <w:tc>
          <w:tcPr>
            <w:tcW w:w="1640" w:type="dxa"/>
            <w:vAlign w:val="bottom"/>
            <w:gridSpan w:val="3"/>
          </w:tcPr>
          <w:p>
            <w:pPr>
              <w:jc w:val="right"/>
              <w:ind w:right="180"/>
              <w:spacing w:after="0"/>
              <w:rPr>
                <w:sz w:val="20"/>
                <w:szCs w:val="20"/>
                <w:color w:val="auto"/>
              </w:rPr>
            </w:pPr>
            <w:r>
              <w:rPr>
                <w:rFonts w:ascii="Arial" w:cs="Arial" w:eastAsia="Arial" w:hAnsi="Arial"/>
                <w:sz w:val="16"/>
                <w:szCs w:val="16"/>
                <w:color w:val="auto"/>
              </w:rPr>
              <w:t>(16%)</w:t>
            </w:r>
          </w:p>
        </w:tc>
        <w:tc>
          <w:tcPr>
            <w:tcW w:w="1260" w:type="dxa"/>
            <w:vAlign w:val="bottom"/>
          </w:tcPr>
          <w:p>
            <w:pPr>
              <w:jc w:val="right"/>
              <w:spacing w:after="0"/>
              <w:rPr>
                <w:sz w:val="20"/>
                <w:szCs w:val="20"/>
                <w:color w:val="auto"/>
              </w:rPr>
            </w:pPr>
            <w:r>
              <w:rPr>
                <w:rFonts w:ascii="Arial" w:cs="Arial" w:eastAsia="Arial" w:hAnsi="Arial"/>
                <w:sz w:val="16"/>
                <w:szCs w:val="16"/>
                <w:color w:val="auto"/>
              </w:rPr>
              <w:t>130,357</w:t>
            </w:r>
          </w:p>
        </w:tc>
        <w:tc>
          <w:tcPr>
            <w:tcW w:w="160" w:type="dxa"/>
            <w:vAlign w:val="bottom"/>
          </w:tcPr>
          <w:p>
            <w:pPr>
              <w:spacing w:after="0"/>
              <w:rPr>
                <w:sz w:val="17"/>
                <w:szCs w:val="17"/>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6"/>
                <w:szCs w:val="16"/>
                <w:color w:val="auto"/>
              </w:rPr>
              <w:t>118,925</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r>
      <w:tr>
        <w:trPr>
          <w:trHeight w:val="203"/>
        </w:trPr>
        <w:tc>
          <w:tcPr>
            <w:tcW w:w="264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(2)</w:t>
            </w:r>
          </w:p>
        </w:tc>
        <w:tc>
          <w:tcPr>
            <w:tcW w:w="14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75,102</w:t>
            </w:r>
          </w:p>
        </w:tc>
        <w:tc>
          <w:tcPr>
            <w:tcW w:w="134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68,255</w:t>
            </w:r>
          </w:p>
        </w:tc>
        <w:tc>
          <w:tcPr>
            <w:tcW w:w="1640" w:type="dxa"/>
            <w:vAlign w:val="bottom"/>
            <w:gridSpan w:val="3"/>
            <w:shd w:val="clear" w:color="auto" w:fill="E5FFFF"/>
          </w:tcPr>
          <w:p>
            <w:pPr>
              <w:jc w:val="right"/>
              <w:ind w:right="180"/>
              <w:spacing w:after="0"/>
              <w:rPr>
                <w:sz w:val="20"/>
                <w:szCs w:val="20"/>
                <w:color w:val="auto"/>
              </w:rPr>
            </w:pPr>
            <w:r>
              <w:rPr>
                <w:rFonts w:ascii="Arial" w:cs="Arial" w:eastAsia="Arial" w:hAnsi="Arial"/>
                <w:sz w:val="16"/>
                <w:szCs w:val="16"/>
                <w:color w:val="auto"/>
              </w:rPr>
              <w:t>(9%)</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285,944</w:t>
            </w:r>
          </w:p>
        </w:tc>
        <w:tc>
          <w:tcPr>
            <w:tcW w:w="16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276,294</w:t>
            </w:r>
          </w:p>
        </w:tc>
        <w:tc>
          <w:tcPr>
            <w:tcW w:w="22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w:t>
            </w:r>
          </w:p>
        </w:tc>
      </w:tr>
      <w:tr>
        <w:trPr>
          <w:trHeight w:val="281"/>
        </w:trPr>
        <w:tc>
          <w:tcPr>
            <w:tcW w:w="2640" w:type="dxa"/>
            <w:vAlign w:val="bottom"/>
          </w:tcPr>
          <w:p>
            <w:pPr>
              <w:spacing w:after="0"/>
              <w:rPr>
                <w:sz w:val="20"/>
                <w:szCs w:val="20"/>
                <w:color w:val="auto"/>
              </w:rPr>
            </w:pPr>
            <w:r>
              <w:rPr>
                <w:rFonts w:ascii="Arial" w:cs="Arial" w:eastAsia="Arial" w:hAnsi="Arial"/>
                <w:sz w:val="16"/>
                <w:szCs w:val="16"/>
                <w:color w:val="auto"/>
              </w:rPr>
              <w:t>Adjusted EPU, common (basic)</w:t>
            </w:r>
            <w:r>
              <w:rPr>
                <w:rFonts w:ascii="Arial" w:cs="Arial" w:eastAsia="Arial" w:hAnsi="Arial"/>
                <w:sz w:val="21"/>
                <w:szCs w:val="21"/>
                <w:color w:val="auto"/>
                <w:vertAlign w:val="superscript"/>
              </w:rPr>
              <w:t>(2)</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0.51</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0.46</w:t>
            </w:r>
          </w:p>
        </w:tc>
        <w:tc>
          <w:tcPr>
            <w:tcW w:w="1640" w:type="dxa"/>
            <w:vAlign w:val="bottom"/>
            <w:gridSpan w:val="3"/>
          </w:tcPr>
          <w:p>
            <w:pPr>
              <w:jc w:val="right"/>
              <w:ind w:right="180"/>
              <w:spacing w:after="0"/>
              <w:rPr>
                <w:sz w:val="20"/>
                <w:szCs w:val="20"/>
                <w:color w:val="auto"/>
              </w:rPr>
            </w:pPr>
            <w:r>
              <w:rPr>
                <w:rFonts w:ascii="Arial" w:cs="Arial" w:eastAsia="Arial" w:hAnsi="Arial"/>
                <w:sz w:val="16"/>
                <w:szCs w:val="16"/>
                <w:color w:val="auto"/>
              </w:rPr>
              <w:t>(10%)</w:t>
            </w:r>
          </w:p>
        </w:tc>
        <w:tc>
          <w:tcPr>
            <w:tcW w:w="1260" w:type="dxa"/>
            <w:vAlign w:val="bottom"/>
          </w:tcPr>
          <w:p>
            <w:pPr>
              <w:jc w:val="right"/>
              <w:spacing w:after="0"/>
              <w:rPr>
                <w:sz w:val="20"/>
                <w:szCs w:val="20"/>
                <w:color w:val="auto"/>
              </w:rPr>
            </w:pPr>
            <w:r>
              <w:rPr>
                <w:rFonts w:ascii="Arial" w:cs="Arial" w:eastAsia="Arial" w:hAnsi="Arial"/>
                <w:sz w:val="16"/>
                <w:szCs w:val="16"/>
                <w:color w:val="auto"/>
              </w:rPr>
              <w:t>1.85</w:t>
            </w:r>
          </w:p>
        </w:tc>
        <w:tc>
          <w:tcPr>
            <w:tcW w:w="1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1.82</w:t>
            </w:r>
          </w:p>
        </w:tc>
        <w:tc>
          <w:tcPr>
            <w:tcW w:w="22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r>
    </w:tbl>
    <w:p>
      <w:pPr>
        <w:spacing w:after="0" w:line="335" w:lineRule="exact"/>
        <w:rPr>
          <w:sz w:val="20"/>
          <w:szCs w:val="20"/>
          <w:color w:val="auto"/>
        </w:rPr>
      </w:pPr>
    </w:p>
    <w:p>
      <w:pPr>
        <w:ind w:left="660" w:right="160" w:hanging="328"/>
        <w:spacing w:after="0" w:line="218" w:lineRule="auto"/>
        <w:tabs>
          <w:tab w:leader="none" w:pos="657"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“IFRS Common Control Reported Results” represent the results of GasLog Partners in accordance with IFRS. Such results include amounts related to vessels currently owned by the Partnership for the periods prior to their respective transfers to GasLog Partners from GasLog, as the transfers of such vessels were accounted for as reorganizations of entities under common control for IFRS accounting purposes. The unaudited condensed consolidated financial statements of the Partnership accompanying this press release are prepared under IFRS on this basis.</w:t>
      </w:r>
    </w:p>
    <w:p>
      <w:pPr>
        <w:spacing w:after="0" w:line="116" w:lineRule="exact"/>
        <w:rPr>
          <w:rFonts w:ascii="Arial" w:cs="Arial" w:eastAsia="Arial" w:hAnsi="Arial"/>
          <w:sz w:val="18"/>
          <w:szCs w:val="18"/>
          <w:color w:val="auto"/>
          <w:vertAlign w:val="superscript"/>
        </w:rPr>
      </w:pPr>
    </w:p>
    <w:p>
      <w:pPr>
        <w:ind w:left="660" w:right="420" w:hanging="328"/>
        <w:spacing w:after="0" w:line="215" w:lineRule="auto"/>
        <w:tabs>
          <w:tab w:leader="none" w:pos="657"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Adjusted Profit, Adjusted EBITDA and Adjusted EPU are non-GAAP financial measures. For the definitions and reconciliations of these measures to the most directly comparable financial measure presented in accordance with IFRS, please refer to Exhibit III at the end of this press release.</w:t>
      </w:r>
    </w:p>
    <w:p>
      <w:pPr>
        <w:spacing w:after="0" w:line="192"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There were 1,348 and 5,397 revenue operating days for the quarter and the year ended December 31, 2019, respectively, as compared to 1,312 and 5,275 revenue operating days for the quarter and the year ended December 31, 2018, respectively. The increase in revenue operating days compared to the same period in 2018 is mainly attributable to decreased off-charter days for the vessels not operating under a time charter and decreased off-hire days for dry-dockings.</w:t>
      </w:r>
    </w:p>
    <w:p>
      <w:pPr>
        <w:spacing w:after="0" w:line="15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decrease in profit to a loss of $106.4 million in the fourth quarter of 2019 as compared to the same period in 2018 is mainly attributable to an impairment loss on vessels of $138.8 million recognized in the fourth quarter of 2019 and an increase in vessel operating costs of $4.7 million (primarily due to increased maintenance costs during the fourth quarter of 2019), partially offset by a decrease of $13.3 million in mark-to-market loss on derivatives (a loss of $10.4 million in the fourth quarter of 2018 compared to a gain of $2.9 million in the same period in 2019).</w:t>
      </w:r>
    </w:p>
    <w:p>
      <w:pPr>
        <w:spacing w:after="0" w:line="17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 xml:space="preserve">The decrease in profit to a loss of $34.8 million for the year ended December 31, 2019 as compared to the same period in 2018 is mainly attributable to the impairment loss of $138.8 million mentioned above, an increase in mark-to-market loss on derivatives of $12.4 million, a $7.2 million decrease in total revenues (revenues and net pool allocation), mainly attributable to the expirations of the initial time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in May 2018, June 2018, September 2018 and October 2019, respectively, partially offset by the decreased off-hire days due to scheduled dry-dockings, and an increase in vessel operating costs of $3.0 million.</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w w:val="90"/>
              </w:rPr>
              <w:t>Partnership Performance Results</w:t>
            </w:r>
            <w:r>
              <w:rPr>
                <w:rFonts w:ascii="Arial" w:cs="Arial" w:eastAsia="Arial" w:hAnsi="Arial"/>
                <w:sz w:val="21"/>
                <w:szCs w:val="21"/>
                <w:b w:val="1"/>
                <w:bCs w:val="1"/>
                <w:color w:val="auto"/>
                <w:w w:val="90"/>
                <w:vertAlign w:val="superscript"/>
              </w:rPr>
              <w:t>(1)</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6"/>
        </w:trPr>
        <w:tc>
          <w:tcPr>
            <w:tcW w:w="2640" w:type="dxa"/>
            <w:vAlign w:val="bottom"/>
          </w:tcPr>
          <w:p>
            <w:pPr>
              <w:spacing w:after="0"/>
              <w:rPr>
                <w:sz w:val="17"/>
                <w:szCs w:val="17"/>
                <w:color w:val="auto"/>
              </w:rPr>
            </w:pPr>
          </w:p>
        </w:tc>
        <w:tc>
          <w:tcPr>
            <w:tcW w:w="3100" w:type="dxa"/>
            <w:vAlign w:val="bottom"/>
            <w:tcBorders>
              <w:bottom w:val="single" w:sz="8" w:color="auto"/>
            </w:tcBorders>
            <w:gridSpan w:val="5"/>
          </w:tcPr>
          <w:p>
            <w:pPr>
              <w:jc w:val="center"/>
              <w:ind w:left="1059"/>
              <w:spacing w:after="0"/>
              <w:rPr>
                <w:sz w:val="20"/>
                <w:szCs w:val="20"/>
                <w:color w:val="auto"/>
              </w:rPr>
            </w:pPr>
            <w:r>
              <w:rPr>
                <w:rFonts w:ascii="Arial" w:cs="Arial" w:eastAsia="Arial" w:hAnsi="Arial"/>
                <w:sz w:val="16"/>
                <w:szCs w:val="16"/>
                <w:b w:val="1"/>
                <w:bCs w:val="1"/>
                <w:color w:val="auto"/>
                <w:w w:val="90"/>
              </w:rPr>
              <w:t>For the three months ended</w:t>
            </w:r>
          </w:p>
        </w:tc>
        <w:tc>
          <w:tcPr>
            <w:tcW w:w="11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For the year ended</w:t>
            </w:r>
          </w:p>
        </w:tc>
        <w:tc>
          <w:tcPr>
            <w:tcW w:w="1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385"/>
        </w:trPr>
        <w:tc>
          <w:tcPr>
            <w:tcW w:w="2640" w:type="dxa"/>
            <w:vAlign w:val="bottom"/>
          </w:tcPr>
          <w:p>
            <w:pPr>
              <w:spacing w:after="0"/>
              <w:rPr>
                <w:sz w:val="20"/>
                <w:szCs w:val="20"/>
                <w:color w:val="auto"/>
              </w:rPr>
            </w:pPr>
            <w:r>
              <w:rPr>
                <w:rFonts w:ascii="Arial" w:cs="Arial" w:eastAsia="Arial" w:hAnsi="Arial"/>
                <w:sz w:val="16"/>
                <w:szCs w:val="16"/>
                <w:b w:val="1"/>
                <w:bCs w:val="1"/>
                <w:i w:val="1"/>
                <w:iCs w:val="1"/>
                <w:color w:val="auto"/>
              </w:rPr>
              <w:t>(All amounts expressed in</w:t>
            </w: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w:t>
            </w:r>
          </w:p>
        </w:tc>
        <w:tc>
          <w:tcPr>
            <w:tcW w:w="16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0"/>
              </w:rPr>
              <w:t>December 31,</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24"/>
                <w:szCs w:val="2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640" w:type="dxa"/>
            <w:vAlign w:val="bottom"/>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 change</w:t>
            </w: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480" w:type="dxa"/>
            <w:vAlign w:val="bottom"/>
            <w:gridSpan w:val="2"/>
          </w:tcPr>
          <w:p>
            <w:pPr>
              <w:jc w:val="center"/>
              <w:ind w:left="139"/>
              <w:spacing w:after="0"/>
              <w:rPr>
                <w:sz w:val="20"/>
                <w:szCs w:val="20"/>
                <w:color w:val="auto"/>
              </w:rPr>
            </w:pPr>
            <w:r>
              <w:rPr>
                <w:rFonts w:ascii="Arial" w:cs="Arial" w:eastAsia="Arial" w:hAnsi="Arial"/>
                <w:sz w:val="16"/>
                <w:szCs w:val="16"/>
                <w:b w:val="1"/>
                <w:bCs w:val="1"/>
                <w:color w:val="auto"/>
                <w:w w:val="95"/>
              </w:rPr>
              <w:t>2019</w:t>
            </w: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 change</w:t>
            </w:r>
          </w:p>
        </w:tc>
      </w:tr>
      <w:tr>
        <w:trPr>
          <w:trHeight w:val="202"/>
        </w:trPr>
        <w:tc>
          <w:tcPr>
            <w:tcW w:w="26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83,134</w:t>
            </w:r>
          </w:p>
        </w:tc>
        <w:tc>
          <w:tcPr>
            <w:tcW w:w="22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96,512</w:t>
            </w:r>
          </w:p>
        </w:tc>
        <w:tc>
          <w:tcPr>
            <w:tcW w:w="2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w:t>
            </w:r>
          </w:p>
        </w:tc>
        <w:tc>
          <w:tcPr>
            <w:tcW w:w="24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316,991</w:t>
            </w:r>
          </w:p>
        </w:tc>
        <w:tc>
          <w:tcPr>
            <w:tcW w:w="22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371,127</w:t>
            </w:r>
          </w:p>
        </w:tc>
        <w:tc>
          <w:tcPr>
            <w:tcW w:w="22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2640" w:type="dxa"/>
            <w:vAlign w:val="bottom"/>
          </w:tcPr>
          <w:p>
            <w:pPr>
              <w:spacing w:after="0"/>
              <w:rPr>
                <w:sz w:val="20"/>
                <w:szCs w:val="20"/>
                <w:color w:val="auto"/>
              </w:rPr>
            </w:pPr>
            <w:r>
              <w:rPr>
                <w:rFonts w:ascii="Arial" w:cs="Arial" w:eastAsia="Arial" w:hAnsi="Arial"/>
                <w:sz w:val="16"/>
                <w:szCs w:val="16"/>
                <w:color w:val="auto"/>
              </w:rPr>
              <w:t>Profit/(loss)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20,424</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(106,362)</w:t>
            </w: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(621%)</w:t>
            </w:r>
          </w:p>
        </w:tc>
        <w:tc>
          <w:tcPr>
            <w:tcW w:w="1260" w:type="dxa"/>
            <w:vAlign w:val="bottom"/>
          </w:tcPr>
          <w:p>
            <w:pPr>
              <w:jc w:val="right"/>
              <w:spacing w:after="0"/>
              <w:rPr>
                <w:sz w:val="20"/>
                <w:szCs w:val="20"/>
                <w:color w:val="auto"/>
              </w:rPr>
            </w:pPr>
            <w:r>
              <w:rPr>
                <w:rFonts w:ascii="Arial" w:cs="Arial" w:eastAsia="Arial" w:hAnsi="Arial"/>
                <w:sz w:val="16"/>
                <w:szCs w:val="16"/>
                <w:color w:val="auto"/>
              </w:rPr>
              <w:t>102,597</w:t>
            </w:r>
          </w:p>
        </w:tc>
        <w:tc>
          <w:tcPr>
            <w:tcW w:w="1700" w:type="dxa"/>
            <w:vAlign w:val="bottom"/>
            <w:gridSpan w:val="3"/>
          </w:tcPr>
          <w:p>
            <w:pPr>
              <w:jc w:val="right"/>
              <w:ind w:right="160"/>
              <w:spacing w:after="0"/>
              <w:rPr>
                <w:sz w:val="20"/>
                <w:szCs w:val="20"/>
                <w:color w:val="auto"/>
              </w:rPr>
            </w:pPr>
            <w:r>
              <w:rPr>
                <w:rFonts w:ascii="Arial" w:cs="Arial" w:eastAsia="Arial" w:hAnsi="Arial"/>
                <w:sz w:val="16"/>
                <w:szCs w:val="16"/>
                <w:color w:val="auto"/>
              </w:rPr>
              <w:t>(37,419)</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(136%)</w:t>
            </w:r>
          </w:p>
        </w:tc>
      </w:tr>
      <w:tr>
        <w:trPr>
          <w:trHeight w:val="203"/>
        </w:trPr>
        <w:tc>
          <w:tcPr>
            <w:tcW w:w="2640" w:type="dxa"/>
            <w:vAlign w:val="bottom"/>
            <w:shd w:val="clear" w:color="auto" w:fill="E5FFFF"/>
          </w:tcPr>
          <w:p>
            <w:pPr>
              <w:spacing w:after="0"/>
              <w:rPr>
                <w:sz w:val="20"/>
                <w:szCs w:val="20"/>
                <w:color w:val="auto"/>
              </w:rPr>
            </w:pPr>
            <w:r>
              <w:rPr>
                <w:rFonts w:ascii="Arial" w:cs="Arial" w:eastAsia="Arial" w:hAnsi="Arial"/>
                <w:sz w:val="16"/>
                <w:szCs w:val="16"/>
                <w:color w:val="auto"/>
              </w:rPr>
              <w:t>EPU, common (basic)</w:t>
            </w:r>
          </w:p>
        </w:tc>
        <w:tc>
          <w:tcPr>
            <w:tcW w:w="14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0.30</w:t>
            </w:r>
          </w:p>
        </w:tc>
        <w:tc>
          <w:tcPr>
            <w:tcW w:w="150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(890%)</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1.77</w:t>
            </w:r>
          </w:p>
        </w:tc>
        <w:tc>
          <w:tcPr>
            <w:tcW w:w="1700" w:type="dxa"/>
            <w:vAlign w:val="bottom"/>
            <w:gridSpan w:val="3"/>
            <w:shd w:val="clear" w:color="auto" w:fill="E5FFFF"/>
          </w:tcPr>
          <w:p>
            <w:pPr>
              <w:jc w:val="right"/>
              <w:ind w:right="160"/>
              <w:spacing w:after="0"/>
              <w:rPr>
                <w:sz w:val="20"/>
                <w:szCs w:val="20"/>
                <w:color w:val="auto"/>
              </w:rPr>
            </w:pPr>
            <w:r>
              <w:rPr>
                <w:rFonts w:ascii="Arial" w:cs="Arial" w:eastAsia="Arial" w:hAnsi="Arial"/>
                <w:sz w:val="16"/>
                <w:szCs w:val="16"/>
                <w:color w:val="auto"/>
              </w:rPr>
              <w:t>(1.43)</w:t>
            </w:r>
          </w:p>
        </w:tc>
        <w:tc>
          <w:tcPr>
            <w:tcW w:w="13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(181%)</w:t>
            </w:r>
          </w:p>
        </w:tc>
      </w:tr>
      <w:tr>
        <w:trPr>
          <w:trHeight w:val="203"/>
        </w:trPr>
        <w:tc>
          <w:tcPr>
            <w:tcW w:w="2640" w:type="dxa"/>
            <w:vAlign w:val="bottom"/>
          </w:tcPr>
          <w:p>
            <w:pPr>
              <w:spacing w:after="0" w:line="203" w:lineRule="exact"/>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(2)</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30,859</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29,646</w:t>
            </w: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1260" w:type="dxa"/>
            <w:vAlign w:val="bottom"/>
          </w:tcPr>
          <w:p>
            <w:pPr>
              <w:jc w:val="right"/>
              <w:spacing w:after="0"/>
              <w:rPr>
                <w:sz w:val="20"/>
                <w:szCs w:val="20"/>
                <w:color w:val="auto"/>
              </w:rPr>
            </w:pPr>
            <w:r>
              <w:rPr>
                <w:rFonts w:ascii="Arial" w:cs="Arial" w:eastAsia="Arial" w:hAnsi="Arial"/>
                <w:sz w:val="16"/>
                <w:szCs w:val="16"/>
                <w:color w:val="auto"/>
              </w:rPr>
              <w:t>104,908</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116,275</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r>
      <w:tr>
        <w:trPr>
          <w:trHeight w:val="203"/>
        </w:trPr>
        <w:tc>
          <w:tcPr>
            <w:tcW w:w="264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(2)</w:t>
            </w:r>
          </w:p>
        </w:tc>
        <w:tc>
          <w:tcPr>
            <w:tcW w:w="14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65,716</w:t>
            </w:r>
          </w:p>
        </w:tc>
        <w:tc>
          <w:tcPr>
            <w:tcW w:w="15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68,255</w:t>
            </w:r>
          </w:p>
        </w:tc>
        <w:tc>
          <w:tcPr>
            <w:tcW w:w="12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4%</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233,656</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270,438</w:t>
            </w:r>
          </w:p>
        </w:tc>
        <w:tc>
          <w:tcPr>
            <w:tcW w:w="22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16%</w:t>
            </w:r>
          </w:p>
        </w:tc>
      </w:tr>
      <w:tr>
        <w:trPr>
          <w:trHeight w:val="203"/>
        </w:trPr>
        <w:tc>
          <w:tcPr>
            <w:tcW w:w="2640" w:type="dxa"/>
            <w:vAlign w:val="bottom"/>
          </w:tcPr>
          <w:p>
            <w:pPr>
              <w:spacing w:after="0" w:line="203" w:lineRule="exact"/>
              <w:rPr>
                <w:sz w:val="20"/>
                <w:szCs w:val="20"/>
                <w:color w:val="auto"/>
              </w:rPr>
            </w:pPr>
            <w:r>
              <w:rPr>
                <w:rFonts w:ascii="Arial" w:cs="Arial" w:eastAsia="Arial" w:hAnsi="Arial"/>
                <w:sz w:val="16"/>
                <w:szCs w:val="16"/>
                <w:color w:val="auto"/>
              </w:rPr>
              <w:t xml:space="preserve">Adjusted EPU, common (basic) </w:t>
            </w:r>
            <w:r>
              <w:rPr>
                <w:rFonts w:ascii="Arial" w:cs="Arial" w:eastAsia="Arial" w:hAnsi="Arial"/>
                <w:sz w:val="21"/>
                <w:szCs w:val="21"/>
                <w:color w:val="auto"/>
                <w:vertAlign w:val="superscript"/>
              </w:rPr>
              <w:t>(2)</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0.51</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0.46</w:t>
            </w: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(10%)</w:t>
            </w:r>
          </w:p>
        </w:tc>
        <w:tc>
          <w:tcPr>
            <w:tcW w:w="1260" w:type="dxa"/>
            <w:vAlign w:val="bottom"/>
          </w:tcPr>
          <w:p>
            <w:pPr>
              <w:jc w:val="right"/>
              <w:spacing w:after="0"/>
              <w:rPr>
                <w:sz w:val="20"/>
                <w:szCs w:val="20"/>
                <w:color w:val="auto"/>
              </w:rPr>
            </w:pPr>
            <w:r>
              <w:rPr>
                <w:rFonts w:ascii="Arial" w:cs="Arial" w:eastAsia="Arial" w:hAnsi="Arial"/>
                <w:sz w:val="16"/>
                <w:szCs w:val="16"/>
                <w:color w:val="auto"/>
              </w:rPr>
              <w:t>1.85</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1.82</w:t>
            </w:r>
          </w:p>
        </w:tc>
        <w:tc>
          <w:tcPr>
            <w:tcW w:w="22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r>
      <w:tr>
        <w:trPr>
          <w:trHeight w:val="203"/>
        </w:trPr>
        <w:tc>
          <w:tcPr>
            <w:tcW w:w="264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Distributable cash flow</w:t>
            </w:r>
            <w:r>
              <w:rPr>
                <w:rFonts w:ascii="Arial" w:cs="Arial" w:eastAsia="Arial" w:hAnsi="Arial"/>
                <w:sz w:val="21"/>
                <w:szCs w:val="21"/>
                <w:color w:val="auto"/>
                <w:vertAlign w:val="superscript"/>
              </w:rPr>
              <w:t>(2)</w:t>
            </w:r>
          </w:p>
        </w:tc>
        <w:tc>
          <w:tcPr>
            <w:tcW w:w="14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31,401</w:t>
            </w:r>
          </w:p>
        </w:tc>
        <w:tc>
          <w:tcPr>
            <w:tcW w:w="15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31,781</w:t>
            </w:r>
          </w:p>
        </w:tc>
        <w:tc>
          <w:tcPr>
            <w:tcW w:w="12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108,945</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123,108</w:t>
            </w:r>
          </w:p>
        </w:tc>
        <w:tc>
          <w:tcPr>
            <w:tcW w:w="22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13%</w:t>
            </w:r>
          </w:p>
        </w:tc>
      </w:tr>
      <w:tr>
        <w:trPr>
          <w:trHeight w:val="206"/>
        </w:trPr>
        <w:tc>
          <w:tcPr>
            <w:tcW w:w="2640" w:type="dxa"/>
            <w:vAlign w:val="bottom"/>
          </w:tcPr>
          <w:p>
            <w:pPr>
              <w:spacing w:after="0"/>
              <w:rPr>
                <w:sz w:val="20"/>
                <w:szCs w:val="20"/>
                <w:color w:val="auto"/>
              </w:rPr>
            </w:pPr>
            <w:r>
              <w:rPr>
                <w:rFonts w:ascii="Arial" w:cs="Arial" w:eastAsia="Arial" w:hAnsi="Arial"/>
                <w:sz w:val="16"/>
                <w:szCs w:val="16"/>
                <w:color w:val="auto"/>
              </w:rPr>
              <w:t>Cash distributions declared</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26,929</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26,862</w:t>
            </w: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(0.2%)</w:t>
            </w:r>
          </w:p>
        </w:tc>
        <w:tc>
          <w:tcPr>
            <w:tcW w:w="1260" w:type="dxa"/>
            <w:vAlign w:val="bottom"/>
          </w:tcPr>
          <w:p>
            <w:pPr>
              <w:jc w:val="right"/>
              <w:spacing w:after="0"/>
              <w:rPr>
                <w:sz w:val="20"/>
                <w:szCs w:val="20"/>
                <w:color w:val="auto"/>
              </w:rPr>
            </w:pPr>
            <w:r>
              <w:rPr>
                <w:rFonts w:ascii="Arial" w:cs="Arial" w:eastAsia="Arial" w:hAnsi="Arial"/>
                <w:sz w:val="16"/>
                <w:szCs w:val="16"/>
                <w:color w:val="auto"/>
              </w:rPr>
              <w:t>101,189</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106,850</w:t>
            </w:r>
          </w:p>
        </w:tc>
        <w:tc>
          <w:tcPr>
            <w:tcW w:w="22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r>
    </w:tbl>
    <w:p>
      <w:pPr>
        <w:spacing w:after="0" w:line="200" w:lineRule="exact"/>
        <w:rPr>
          <w:sz w:val="20"/>
          <w:szCs w:val="20"/>
          <w:color w:val="auto"/>
        </w:rPr>
      </w:pPr>
    </w:p>
    <w:p>
      <w:pPr>
        <w:spacing w:after="0" w:line="210" w:lineRule="exact"/>
        <w:rPr>
          <w:sz w:val="20"/>
          <w:szCs w:val="20"/>
          <w:color w:val="auto"/>
        </w:rPr>
      </w:pPr>
    </w:p>
    <w:p>
      <w:pPr>
        <w:ind w:left="660" w:right="60" w:hanging="328"/>
        <w:spacing w:after="0" w:line="238" w:lineRule="auto"/>
        <w:tabs>
          <w:tab w:leader="none" w:pos="657"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“Partnership Performance Results” represent the results attributable to GasLog Partners. Such results are non-GAAP measures and exclude amounts related to vessels currently owned by the Partnership for the periods prior to their respective transfers to GasLog Partners from GasLog, as the Partnership is not entitled to the cash or results generated in the periods prior to such transfers. Such results are included in the GasLog Partners’ results in accordance with IFRS because the transfers of the vessel owning entities by GasLog to the Partnership represent reorganizations of entities under common control and the Partnership reflects such transfers retroactively under IFRS. GasLog Partners believes that these non-GAAP financial measures provide meaningful supplemental information to both management and investors regarding the financial and operating performance of the Partnership necessary to understand the underlying basis for the calculations of the quarterly distribution and earnings per unit, which similarly exclude the results of vessels prior to their transfers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660" w:right="40"/>
        <w:spacing w:after="0" w:line="238" w:lineRule="auto"/>
        <w:rPr>
          <w:sz w:val="20"/>
          <w:szCs w:val="20"/>
          <w:color w:val="auto"/>
        </w:rPr>
      </w:pPr>
      <w:r>
        <w:rPr>
          <w:rFonts w:ascii="Arial" w:cs="Arial" w:eastAsia="Arial" w:hAnsi="Arial"/>
          <w:sz w:val="14"/>
          <w:szCs w:val="14"/>
          <w:color w:val="auto"/>
        </w:rPr>
        <w:t>the Partnership. These non-GAAP financial measures should not be viewed in isolation or as substitutes to the equivalent GAAP measures presented in accordance with IFRS, but should be used in conjunction with the most directly comparable IFRS Common Control Reported Results. For the definitions and reconciliations of these measurements to the most directly comparable financial measures presented in accordance with IFRS, please refer to Exhibit II at the end of this press release.</w:t>
      </w:r>
    </w:p>
    <w:p>
      <w:pPr>
        <w:spacing w:after="0" w:line="183" w:lineRule="exact"/>
        <w:rPr>
          <w:sz w:val="20"/>
          <w:szCs w:val="20"/>
          <w:color w:val="auto"/>
        </w:rPr>
      </w:pPr>
    </w:p>
    <w:p>
      <w:pPr>
        <w:ind w:left="660" w:right="60" w:hanging="328"/>
        <w:spacing w:after="0" w:line="217" w:lineRule="auto"/>
        <w:tabs>
          <w:tab w:leader="none" w:pos="657"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Adjusted Profit, Adjusted EBITDA, Adjusted EPU and Distributable cash flow are non-GAAP financial measures and should not be used in isolation or as a substitute for GasLog Partners’ financial results presented in accordance with IFRS. For the definitions and reconciliations of these measures to the most directly comparable financial measures calculated and presented in accordance with IFRS, please refer to Exhibit III at the end of this press release.</w:t>
      </w:r>
    </w:p>
    <w:p>
      <w:pPr>
        <w:spacing w:after="0" w:line="125" w:lineRule="exact"/>
        <w:rPr>
          <w:sz w:val="20"/>
          <w:szCs w:val="20"/>
          <w:color w:val="auto"/>
        </w:rPr>
      </w:pPr>
    </w:p>
    <w:p>
      <w:pPr>
        <w:jc w:val="both"/>
        <w:ind w:right="20"/>
        <w:spacing w:after="0" w:line="335" w:lineRule="auto"/>
        <w:rPr>
          <w:sz w:val="20"/>
          <w:szCs w:val="20"/>
          <w:color w:val="auto"/>
        </w:rPr>
      </w:pPr>
      <w:r>
        <w:rPr>
          <w:rFonts w:ascii="Arial" w:cs="Arial" w:eastAsia="Arial" w:hAnsi="Arial"/>
          <w:sz w:val="14"/>
          <w:szCs w:val="14"/>
          <w:color w:val="auto"/>
        </w:rPr>
        <w:t xml:space="preserve">With respect to the Partnership Performance Results, there were 1,348 and 5,307 revenue operating days for the quarter and the year ended December 31, 2019, as compared to 1,175 and 4,476 revenue operating days for the quarter and the year ended December 31, 2018. The increase in revenue operating days compared to the same period in 2018 is mainly attributable to the drop-downs of the </w:t>
      </w:r>
      <w:r>
        <w:rPr>
          <w:rFonts w:ascii="Arial" w:cs="Arial" w:eastAsia="Arial" w:hAnsi="Arial"/>
          <w:sz w:val="14"/>
          <w:szCs w:val="14"/>
          <w:i w:val="1"/>
          <w:iCs w:val="1"/>
          <w:color w:val="auto"/>
        </w:rPr>
        <w:t>GasLog Gibraltar</w:t>
      </w:r>
      <w:r>
        <w:rPr>
          <w:rFonts w:ascii="Arial" w:cs="Arial" w:eastAsia="Arial" w:hAnsi="Arial"/>
          <w:sz w:val="14"/>
          <w:szCs w:val="14"/>
          <w:color w:val="auto"/>
        </w:rPr>
        <w:t xml:space="preserve"> on April 26, 2018, the </w:t>
      </w:r>
      <w:r>
        <w:rPr>
          <w:rFonts w:ascii="Arial" w:cs="Arial" w:eastAsia="Arial" w:hAnsi="Arial"/>
          <w:sz w:val="14"/>
          <w:szCs w:val="14"/>
          <w:i w:val="1"/>
          <w:iCs w:val="1"/>
          <w:color w:val="auto"/>
        </w:rPr>
        <w:t>Methane Becki Anne</w:t>
      </w:r>
      <w:r>
        <w:rPr>
          <w:rFonts w:ascii="Arial" w:cs="Arial" w:eastAsia="Arial" w:hAnsi="Arial"/>
          <w:sz w:val="14"/>
          <w:szCs w:val="14"/>
          <w:color w:val="auto"/>
        </w:rPr>
        <w:t xml:space="preserve"> on November 14, 2018 and the </w:t>
      </w:r>
      <w:r>
        <w:rPr>
          <w:rFonts w:ascii="Arial" w:cs="Arial" w:eastAsia="Arial" w:hAnsi="Arial"/>
          <w:sz w:val="14"/>
          <w:szCs w:val="14"/>
          <w:i w:val="1"/>
          <w:iCs w:val="1"/>
          <w:color w:val="auto"/>
        </w:rPr>
        <w:t>GasLog Glasgow</w:t>
      </w:r>
      <w:r>
        <w:rPr>
          <w:rFonts w:ascii="Arial" w:cs="Arial" w:eastAsia="Arial" w:hAnsi="Arial"/>
          <w:sz w:val="14"/>
          <w:szCs w:val="14"/>
          <w:color w:val="auto"/>
        </w:rPr>
        <w:t xml:space="preserve"> on April 1, 2019.</w:t>
      </w:r>
    </w:p>
    <w:p>
      <w:pPr>
        <w:spacing w:after="0" w:line="136"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decrease in profit to a loss of $106.4 million in the fourth quarter of 2019 as compared to the same period in 2018 is mainly attributable to an impairment loss on vessels of $138.8 million recognized in the fourth quarter of 2019, partially offset by a decrease of $13.3 million in mark-to-market loss on derivatives (a loss of $10.4 million in the fourth quarter of 2018 compared to a gain of $2.9 million in the same period in 2019).</w:t>
      </w:r>
    </w:p>
    <w:p>
      <w:pPr>
        <w:spacing w:after="0" w:line="171"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The decrease in profit to a loss of $37.4 million in the year ended December 31, 2019 as compared to the same period in 2018 is mainly attributable to the impairment loss discussed above.</w:t>
      </w:r>
    </w:p>
    <w:p>
      <w:pPr>
        <w:spacing w:after="0" w:line="159" w:lineRule="exact"/>
        <w:rPr>
          <w:sz w:val="20"/>
          <w:szCs w:val="20"/>
          <w:color w:val="auto"/>
        </w:rPr>
      </w:pPr>
    </w:p>
    <w:p>
      <w:pPr>
        <w:ind w:right="120"/>
        <w:spacing w:after="0" w:line="369" w:lineRule="auto"/>
        <w:rPr>
          <w:sz w:val="20"/>
          <w:szCs w:val="20"/>
          <w:color w:val="auto"/>
        </w:rPr>
      </w:pPr>
      <w:r>
        <w:rPr>
          <w:rFonts w:ascii="Arial" w:cs="Arial" w:eastAsia="Arial" w:hAnsi="Arial"/>
          <w:sz w:val="14"/>
          <w:szCs w:val="14"/>
          <w:color w:val="auto"/>
        </w:rPr>
        <w:t>Despite the increase in the declared distribution per unit, the marginal decrease in total cash distributions in absolute terms declared in the fourth quarter of 2019 as compared to the fourth quarter of 2018 is due to the decrease in the number of outstanding common units due to the repurchases of common units by GasLog Partners during 2019.</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Preference Unit Distributions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On November 14, 2019, the board of directors of GasLog Partners approved and declared a distribution on the 8.625% Series A Cumulative Redeemable Perpetual Fixed to Floating Rate Preference Units (the “Series A Preference Units”) of $0.5390625 per preference unit, a distribution on the 8.200% Series B Cumulative Redeemable Perpetual Fixed to Floating Rate Preference Units (the “Series B Preference Units”) of $0.5125 per preference unit and a distribution on the 8.500% Series C Cumulative Redeemable Perpetual Fixed to Floating Rate Preference Units (the “Series C Preference Units”) of $0.53125 per preference unit. The cash distributions were paid on December 16, 2019 to all unitholders of record as of December 9, 2019.</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Common Unit Distribution</w:t>
      </w:r>
    </w:p>
    <w:p>
      <w:pPr>
        <w:spacing w:after="0" w:line="225" w:lineRule="exact"/>
        <w:rPr>
          <w:sz w:val="20"/>
          <w:szCs w:val="20"/>
          <w:color w:val="auto"/>
        </w:rPr>
      </w:pPr>
    </w:p>
    <w:p>
      <w:pPr>
        <w:ind w:right="700"/>
        <w:spacing w:after="0" w:line="293" w:lineRule="auto"/>
        <w:rPr>
          <w:sz w:val="20"/>
          <w:szCs w:val="20"/>
          <w:color w:val="auto"/>
        </w:rPr>
      </w:pPr>
      <w:r>
        <w:rPr>
          <w:rFonts w:ascii="Arial" w:cs="Arial" w:eastAsia="Arial" w:hAnsi="Arial"/>
          <w:sz w:val="16"/>
          <w:szCs w:val="16"/>
          <w:color w:val="auto"/>
        </w:rPr>
        <w:t>On February 5, 2020, the board of directors of GasLog Partners approved and declared a quarterly cash distribution of $0.561 per common unit for the quarter ended December 31, 2019. The cash distribution is payable on February 21, 2020 to all unitholders of record as of February 18, 2020.</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Liquidity and Financing</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of December 31, 2019, we had $96.9 million of cash and cash equivalents, of which $36.5 million was held in current accounts and $60.4 million was held in time deposits with an original duration of less than three months.</w:t>
      </w:r>
    </w:p>
    <w:p>
      <w:pPr>
        <w:spacing w:after="0" w:line="159"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In the three months ended December 31, 2019, GasLog Partners repurchased and cancelled 186,313 common units at a weighted average price of $15.33 under its unit repurchase programme authorized in January 2019, for a total amount of $2.9 million, including commissions. Since the authorization of the unit repurchase programme and through February 6, 2020, GasLog Partners has repurchased and cancelled a total of 1,171,572 units at a weighted average price of $19.52 per common unit for a total amount of $22.9 million, including commissions. As of February 6, 2020, the unutilized portion of the unit repurchase programme was $2.1 million.</w:t>
      </w:r>
    </w:p>
    <w:p>
      <w:pPr>
        <w:spacing w:after="0" w:line="159" w:lineRule="exact"/>
        <w:rPr>
          <w:sz w:val="20"/>
          <w:szCs w:val="20"/>
          <w:color w:val="auto"/>
        </w:rPr>
      </w:pPr>
    </w:p>
    <w:p>
      <w:pPr>
        <w:jc w:val="both"/>
        <w:ind w:right="280"/>
        <w:spacing w:after="0" w:line="278" w:lineRule="auto"/>
        <w:rPr>
          <w:sz w:val="20"/>
          <w:szCs w:val="20"/>
          <w:color w:val="auto"/>
        </w:rPr>
      </w:pPr>
      <w:r>
        <w:rPr>
          <w:rFonts w:ascii="Arial" w:cs="Arial" w:eastAsia="Arial" w:hAnsi="Arial"/>
          <w:sz w:val="16"/>
          <w:szCs w:val="16"/>
          <w:color w:val="auto"/>
        </w:rPr>
        <w:t>In December 2019, GasLog Partners amended a number of its bank facilities to align the financial and non-financial covenants across all of its bank facilities with the 2019 Partnership Facility entered into on February 20, 2019. Most notably, the amendments decreased minimum liquidity requirements from 3.0% of total indebtedness to a flat amount of $45.0 million and removed the debt-to-service coverage ratio covenant.</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As of December 31, 2019, we had an aggregate of $1,346.0 million of borrowings outstanding under our credit facilities, of which $109.8 million is repayable within one year. In addition, as of December 31, 2019, we had unused availability under our revolving credit facilities of $57.9 million. The Partnership has entered into six interest rate swap agreements with GasLog at a notional value of $625.0 million in aggregate, maturing between 2020 and 2024. As a result of its hedging agreements, the Partnership has hedged 45.8% of its floating interest rate exposure on its outstanding debt as of December 31, 2019, at a weighted average interest rate of approximately 2.1% (excluding margin).</w:t>
      </w:r>
    </w:p>
    <w:p>
      <w:pPr>
        <w:spacing w:after="0" w:line="177" w:lineRule="exact"/>
        <w:rPr>
          <w:sz w:val="20"/>
          <w:szCs w:val="20"/>
          <w:color w:val="auto"/>
        </w:rPr>
      </w:pPr>
    </w:p>
    <w:p>
      <w:pPr>
        <w:ind w:right="60"/>
        <w:spacing w:after="0" w:line="369" w:lineRule="auto"/>
        <w:rPr>
          <w:sz w:val="20"/>
          <w:szCs w:val="20"/>
          <w:color w:val="auto"/>
        </w:rPr>
      </w:pPr>
      <w:r>
        <w:rPr>
          <w:rFonts w:ascii="Arial" w:cs="Arial" w:eastAsia="Arial" w:hAnsi="Arial"/>
          <w:sz w:val="14"/>
          <w:szCs w:val="14"/>
          <w:color w:val="auto"/>
        </w:rPr>
        <w:t>Furthermore, the Partnership has in place 18 forward foreign exchange contracts with GasLog with a notional value of €24.3 million and 9 forward foreign exchange contracts with GasLog with a notional value of S$2.3 million, with staggered maturities within 2020, to mitigate its foreign exchange transaction exposure in its operating expenses.</w:t>
      </w:r>
    </w:p>
    <w:p>
      <w:pPr>
        <w:spacing w:after="0" w:line="113" w:lineRule="exact"/>
        <w:rPr>
          <w:sz w:val="20"/>
          <w:szCs w:val="20"/>
          <w:color w:val="auto"/>
        </w:rPr>
      </w:pPr>
    </w:p>
    <w:p>
      <w:pPr>
        <w:ind w:right="160"/>
        <w:spacing w:after="0" w:line="305" w:lineRule="auto"/>
        <w:rPr>
          <w:sz w:val="20"/>
          <w:szCs w:val="20"/>
          <w:color w:val="auto"/>
        </w:rPr>
      </w:pPr>
      <w:r>
        <w:rPr>
          <w:rFonts w:ascii="Arial" w:cs="Arial" w:eastAsia="Arial" w:hAnsi="Arial"/>
          <w:sz w:val="15"/>
          <w:szCs w:val="15"/>
          <w:color w:val="auto"/>
        </w:rPr>
        <w:t>As of December 31, 2019, our current assets totaled $109.4 million and current liabilities totaled $186.7 million, resulting in a negative working capital position of $77.3 million. Taking into account generally expected market conditions, we anticipate that cash flow generated from operations will be sufficient to fund our operations, including our working capital requirements, and to make the required principal and interest payments on our indebtedness during the next 12 months.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Our Fleet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fleet currently consists of the following vessels: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Cargo</w:t>
            </w: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Capacity</w:t>
            </w: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Charter</w:t>
            </w: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84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Year Built</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(cbm)</w:t>
            </w:r>
          </w:p>
        </w:tc>
        <w:tc>
          <w:tcPr>
            <w:tcW w:w="2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Charterer</w:t>
            </w: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Propulsion</w:t>
            </w:r>
          </w:p>
        </w:tc>
        <w:tc>
          <w:tcPr>
            <w:tcW w:w="16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Expiration</w:t>
            </w:r>
          </w:p>
        </w:tc>
        <w:tc>
          <w:tcPr>
            <w:tcW w:w="1580" w:type="dxa"/>
            <w:vAlign w:val="bottom"/>
            <w:gridSpan w:val="3"/>
          </w:tcPr>
          <w:p>
            <w:pPr>
              <w:ind w:left="180"/>
              <w:spacing w:after="0"/>
              <w:rPr>
                <w:sz w:val="20"/>
                <w:szCs w:val="20"/>
                <w:color w:val="auto"/>
              </w:rPr>
            </w:pPr>
            <w:r>
              <w:rPr>
                <w:rFonts w:ascii="Arial" w:cs="Arial" w:eastAsia="Arial" w:hAnsi="Arial"/>
                <w:sz w:val="16"/>
                <w:szCs w:val="16"/>
                <w:b w:val="1"/>
                <w:bCs w:val="1"/>
                <w:color w:val="auto"/>
              </w:rPr>
              <w:t>Optional Period</w:t>
            </w:r>
          </w:p>
        </w:tc>
      </w:tr>
      <w:tr>
        <w:trPr>
          <w:trHeight w:val="202"/>
        </w:trPr>
        <w:tc>
          <w:tcPr>
            <w:tcW w:w="3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1</w:t>
            </w:r>
          </w:p>
        </w:tc>
        <w:tc>
          <w:tcPr>
            <w:tcW w:w="2340" w:type="dxa"/>
            <w:vAlign w:val="bottom"/>
            <w:tcBorders>
              <w:top w:val="single" w:sz="8" w:color="auto"/>
            </w:tcBorders>
            <w:shd w:val="clear" w:color="auto" w:fill="E5FFFF"/>
          </w:tcPr>
          <w:p>
            <w:pPr>
              <w:ind w:left="40"/>
              <w:spacing w:after="0"/>
              <w:rPr>
                <w:sz w:val="20"/>
                <w:szCs w:val="20"/>
                <w:color w:val="auto"/>
              </w:rPr>
            </w:pPr>
            <w:r>
              <w:rPr>
                <w:rFonts w:ascii="Arial" w:cs="Arial" w:eastAsia="Arial" w:hAnsi="Arial"/>
                <w:sz w:val="16"/>
                <w:szCs w:val="16"/>
                <w:i w:val="1"/>
                <w:iCs w:val="1"/>
                <w:color w:val="auto"/>
              </w:rPr>
              <w:t>Methane Alison Victoria</w:t>
            </w:r>
          </w:p>
        </w:tc>
        <w:tc>
          <w:tcPr>
            <w:tcW w:w="180" w:type="dxa"/>
            <w:vAlign w:val="bottom"/>
            <w:tcBorders>
              <w:top w:val="single" w:sz="8" w:color="E5FFFF"/>
            </w:tcBorders>
            <w:shd w:val="clear" w:color="auto" w:fill="E5FFFF"/>
          </w:tcPr>
          <w:p>
            <w:pPr>
              <w:spacing w:after="0"/>
              <w:rPr>
                <w:sz w:val="17"/>
                <w:szCs w:val="17"/>
                <w:color w:val="auto"/>
              </w:rPr>
            </w:pPr>
          </w:p>
        </w:tc>
        <w:tc>
          <w:tcPr>
            <w:tcW w:w="10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2007</w:t>
            </w:r>
          </w:p>
        </w:tc>
        <w:tc>
          <w:tcPr>
            <w:tcW w:w="160" w:type="dxa"/>
            <w:vAlign w:val="bottom"/>
            <w:tcBorders>
              <w:top w:val="single" w:sz="8" w:color="E5FFFF"/>
            </w:tcBorders>
            <w:shd w:val="clear" w:color="auto" w:fill="E5FFFF"/>
          </w:tcPr>
          <w:p>
            <w:pPr>
              <w:spacing w:after="0"/>
              <w:rPr>
                <w:sz w:val="17"/>
                <w:szCs w:val="17"/>
                <w:color w:val="auto"/>
              </w:rPr>
            </w:pPr>
          </w:p>
        </w:tc>
        <w:tc>
          <w:tcPr>
            <w:tcW w:w="9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80" w:type="dxa"/>
            <w:vAlign w:val="bottom"/>
            <w:tcBorders>
              <w:top w:val="single" w:sz="8" w:color="E5FFFF"/>
            </w:tcBorders>
            <w:shd w:val="clear" w:color="auto" w:fill="E5FFFF"/>
          </w:tcPr>
          <w:p>
            <w:pPr>
              <w:spacing w:after="0"/>
              <w:rPr>
                <w:sz w:val="17"/>
                <w:szCs w:val="17"/>
                <w:color w:val="auto"/>
              </w:rPr>
            </w:pPr>
          </w:p>
        </w:tc>
        <w:tc>
          <w:tcPr>
            <w:tcW w:w="18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Spot Market</w:t>
            </w:r>
          </w:p>
        </w:tc>
        <w:tc>
          <w:tcPr>
            <w:tcW w:w="16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Steam</w:t>
            </w:r>
          </w:p>
        </w:tc>
        <w:tc>
          <w:tcPr>
            <w:tcW w:w="16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center"/>
              <w:ind w:left="559"/>
              <w:spacing w:after="0"/>
              <w:rPr>
                <w:sz w:val="20"/>
                <w:szCs w:val="20"/>
                <w:color w:val="auto"/>
              </w:rPr>
            </w:pPr>
            <w:r>
              <w:rPr>
                <w:rFonts w:ascii="Arial" w:cs="Arial" w:eastAsia="Arial" w:hAnsi="Arial"/>
                <w:sz w:val="16"/>
                <w:szCs w:val="16"/>
                <w:color w:val="auto"/>
                <w:w w:val="99"/>
              </w:rPr>
              <w:t>—</w:t>
            </w:r>
          </w:p>
        </w:tc>
        <w:tc>
          <w:tcPr>
            <w:tcW w:w="64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320" w:type="dxa"/>
            <w:vAlign w:val="bottom"/>
          </w:tcPr>
          <w:p>
            <w:pPr>
              <w:jc w:val="center"/>
              <w:spacing w:after="0"/>
              <w:rPr>
                <w:sz w:val="20"/>
                <w:szCs w:val="20"/>
                <w:color w:val="auto"/>
              </w:rPr>
            </w:pPr>
            <w:r>
              <w:rPr>
                <w:rFonts w:ascii="Arial" w:cs="Arial" w:eastAsia="Arial" w:hAnsi="Arial"/>
                <w:sz w:val="16"/>
                <w:szCs w:val="16"/>
                <w:b w:val="1"/>
                <w:bCs w:val="1"/>
                <w:color w:val="auto"/>
                <w:w w:val="89"/>
              </w:rPr>
              <w:t>2</w:t>
            </w:r>
          </w:p>
        </w:tc>
        <w:tc>
          <w:tcPr>
            <w:tcW w:w="2520" w:type="dxa"/>
            <w:vAlign w:val="bottom"/>
            <w:gridSpan w:val="2"/>
          </w:tcPr>
          <w:p>
            <w:pPr>
              <w:ind w:left="40"/>
              <w:spacing w:after="0"/>
              <w:rPr>
                <w:sz w:val="20"/>
                <w:szCs w:val="20"/>
                <w:color w:val="auto"/>
              </w:rPr>
            </w:pPr>
            <w:r>
              <w:rPr>
                <w:rFonts w:ascii="Arial" w:cs="Arial" w:eastAsia="Arial" w:hAnsi="Arial"/>
                <w:sz w:val="16"/>
                <w:szCs w:val="16"/>
                <w:i w:val="1"/>
                <w:iCs w:val="1"/>
                <w:color w:val="auto"/>
              </w:rPr>
              <w:t>Methane Rita Andrea</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2006</w:t>
            </w: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80" w:type="dxa"/>
            <w:vAlign w:val="bottom"/>
          </w:tcPr>
          <w:p>
            <w:pPr>
              <w:spacing w:after="0"/>
              <w:rPr>
                <w:sz w:val="17"/>
                <w:szCs w:val="17"/>
                <w:color w:val="auto"/>
              </w:rPr>
            </w:pPr>
          </w:p>
        </w:tc>
        <w:tc>
          <w:tcPr>
            <w:tcW w:w="20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Shell</w:t>
            </w: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Steam</w:t>
            </w:r>
          </w:p>
        </w:tc>
        <w:tc>
          <w:tcPr>
            <w:tcW w:w="164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April 2020</w:t>
            </w:r>
          </w:p>
        </w:tc>
        <w:tc>
          <w:tcPr>
            <w:tcW w:w="840" w:type="dxa"/>
            <w:vAlign w:val="bottom"/>
          </w:tcPr>
          <w:p>
            <w:pPr>
              <w:jc w:val="center"/>
              <w:ind w:left="559"/>
              <w:spacing w:after="0"/>
              <w:rPr>
                <w:sz w:val="20"/>
                <w:szCs w:val="20"/>
                <w:color w:val="auto"/>
              </w:rPr>
            </w:pPr>
            <w:r>
              <w:rPr>
                <w:rFonts w:ascii="Arial" w:cs="Arial" w:eastAsia="Arial" w:hAnsi="Arial"/>
                <w:sz w:val="16"/>
                <w:szCs w:val="16"/>
                <w:color w:val="auto"/>
                <w:w w:val="99"/>
              </w:rPr>
              <w:t>—</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3</w:t>
            </w:r>
          </w:p>
        </w:tc>
        <w:tc>
          <w:tcPr>
            <w:tcW w:w="252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Methane Shirley Elisabeth</w:t>
            </w:r>
          </w:p>
        </w:tc>
        <w:tc>
          <w:tcPr>
            <w:tcW w:w="10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2007</w:t>
            </w:r>
          </w:p>
        </w:tc>
        <w:tc>
          <w:tcPr>
            <w:tcW w:w="160" w:type="dxa"/>
            <w:vAlign w:val="bottom"/>
            <w:shd w:val="clear" w:color="auto" w:fill="E5FFFF"/>
          </w:tcPr>
          <w:p>
            <w:pPr>
              <w:spacing w:after="0"/>
              <w:rPr>
                <w:sz w:val="17"/>
                <w:szCs w:val="17"/>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80" w:type="dxa"/>
            <w:vAlign w:val="bottom"/>
            <w:shd w:val="clear" w:color="auto" w:fill="E5FFFF"/>
          </w:tcPr>
          <w:p>
            <w:pPr>
              <w:spacing w:after="0"/>
              <w:rPr>
                <w:sz w:val="17"/>
                <w:szCs w:val="17"/>
                <w:color w:val="auto"/>
              </w:rPr>
            </w:pPr>
          </w:p>
        </w:tc>
        <w:tc>
          <w:tcPr>
            <w:tcW w:w="20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89"/>
              </w:rPr>
              <w:t>Shell</w:t>
            </w:r>
          </w:p>
        </w:tc>
        <w:tc>
          <w:tcPr>
            <w:tcW w:w="106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Steam</w:t>
            </w:r>
          </w:p>
        </w:tc>
        <w:tc>
          <w:tcPr>
            <w:tcW w:w="164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88"/>
              </w:rPr>
              <w:t>June 2020</w:t>
            </w:r>
          </w:p>
        </w:tc>
        <w:tc>
          <w:tcPr>
            <w:tcW w:w="840" w:type="dxa"/>
            <w:vAlign w:val="bottom"/>
            <w:shd w:val="clear" w:color="auto" w:fill="E5FFFF"/>
          </w:tcPr>
          <w:p>
            <w:pPr>
              <w:jc w:val="center"/>
              <w:ind w:left="559"/>
              <w:spacing w:after="0"/>
              <w:rPr>
                <w:sz w:val="20"/>
                <w:szCs w:val="20"/>
                <w:color w:val="auto"/>
              </w:rPr>
            </w:pPr>
            <w:r>
              <w:rPr>
                <w:rFonts w:ascii="Arial" w:cs="Arial" w:eastAsia="Arial" w:hAnsi="Arial"/>
                <w:sz w:val="16"/>
                <w:szCs w:val="16"/>
                <w:color w:val="auto"/>
                <w:w w:val="99"/>
              </w:rPr>
              <w:t>—</w:t>
            </w:r>
          </w:p>
        </w:tc>
        <w:tc>
          <w:tcPr>
            <w:tcW w:w="6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193"/>
        </w:trPr>
        <w:tc>
          <w:tcPr>
            <w:tcW w:w="320" w:type="dxa"/>
            <w:vAlign w:val="bottom"/>
          </w:tcPr>
          <w:p>
            <w:pPr>
              <w:jc w:val="center"/>
              <w:spacing w:after="0"/>
              <w:rPr>
                <w:sz w:val="20"/>
                <w:szCs w:val="20"/>
                <w:color w:val="auto"/>
              </w:rPr>
            </w:pPr>
            <w:r>
              <w:rPr>
                <w:rFonts w:ascii="Arial" w:cs="Arial" w:eastAsia="Arial" w:hAnsi="Arial"/>
                <w:sz w:val="16"/>
                <w:szCs w:val="16"/>
                <w:b w:val="1"/>
                <w:bCs w:val="1"/>
                <w:color w:val="auto"/>
                <w:w w:val="89"/>
              </w:rPr>
              <w:t>4</w:t>
            </w:r>
          </w:p>
        </w:tc>
        <w:tc>
          <w:tcPr>
            <w:tcW w:w="252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Sydney</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2013</w:t>
            </w: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80" w:type="dxa"/>
            <w:vAlign w:val="bottom"/>
          </w:tcPr>
          <w:p>
            <w:pPr>
              <w:spacing w:after="0"/>
              <w:rPr>
                <w:sz w:val="16"/>
                <w:szCs w:val="16"/>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Cheniere Energy Inc.</w:t>
            </w: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color w:val="auto"/>
              </w:rPr>
              <w:t>TFDE</w:t>
            </w: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June 2020</w:t>
            </w:r>
          </w:p>
        </w:tc>
        <w:tc>
          <w:tcPr>
            <w:tcW w:w="1480" w:type="dxa"/>
            <w:vAlign w:val="bottom"/>
            <w:gridSpan w:val="2"/>
          </w:tcPr>
          <w:p>
            <w:pPr>
              <w:jc w:val="center"/>
              <w:spacing w:after="0" w:line="193" w:lineRule="exact"/>
              <w:rPr>
                <w:sz w:val="20"/>
                <w:szCs w:val="20"/>
                <w:color w:val="auto"/>
              </w:rPr>
            </w:pPr>
            <w:r>
              <w:rPr>
                <w:rFonts w:ascii="Arial" w:cs="Arial" w:eastAsia="Arial" w:hAnsi="Arial"/>
                <w:sz w:val="16"/>
                <w:szCs w:val="16"/>
                <w:color w:val="auto"/>
                <w:w w:val="89"/>
              </w:rPr>
              <w:t xml:space="preserve">2020-2021 </w:t>
            </w:r>
            <w:r>
              <w:rPr>
                <w:rFonts w:ascii="Arial" w:cs="Arial" w:eastAsia="Arial" w:hAnsi="Arial"/>
                <w:sz w:val="21"/>
                <w:szCs w:val="21"/>
                <w:color w:val="auto"/>
                <w:w w:val="89"/>
                <w:vertAlign w:val="superscript"/>
              </w:rPr>
              <w:t>(1)</w:t>
            </w:r>
          </w:p>
        </w:tc>
        <w:tc>
          <w:tcPr>
            <w:tcW w:w="100" w:type="dxa"/>
            <w:vAlign w:val="bottom"/>
          </w:tcPr>
          <w:p>
            <w:pPr>
              <w:spacing w:after="0"/>
              <w:rPr>
                <w:sz w:val="16"/>
                <w:szCs w:val="16"/>
                <w:color w:val="auto"/>
              </w:rPr>
            </w:pPr>
          </w:p>
        </w:tc>
      </w:tr>
      <w:tr>
        <w:trPr>
          <w:trHeight w:val="206"/>
        </w:trPr>
        <w:tc>
          <w:tcPr>
            <w:tcW w:w="3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2"/>
          </w:tcPr>
          <w:p>
            <w:pPr>
              <w:jc w:val="center"/>
              <w:ind w:right="160"/>
              <w:spacing w:after="0"/>
              <w:rPr>
                <w:sz w:val="20"/>
                <w:szCs w:val="20"/>
                <w:color w:val="auto"/>
              </w:rPr>
            </w:pPr>
            <w:r>
              <w:rPr>
                <w:rFonts w:ascii="Arial" w:cs="Arial" w:eastAsia="Arial" w:hAnsi="Arial"/>
                <w:sz w:val="16"/>
                <w:szCs w:val="16"/>
                <w:color w:val="auto"/>
                <w:w w:val="97"/>
              </w:rPr>
              <w:t>(“Cheniere”)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32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5</w:t>
            </w:r>
          </w:p>
        </w:tc>
        <w:tc>
          <w:tcPr>
            <w:tcW w:w="252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Methane Jane Elizabeth</w:t>
            </w:r>
          </w:p>
        </w:tc>
        <w:tc>
          <w:tcPr>
            <w:tcW w:w="10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2006</w:t>
            </w:r>
          </w:p>
        </w:tc>
        <w:tc>
          <w:tcPr>
            <w:tcW w:w="160" w:type="dxa"/>
            <w:vAlign w:val="bottom"/>
            <w:shd w:val="clear" w:color="auto" w:fill="E5FFFF"/>
          </w:tcPr>
          <w:p>
            <w:pPr>
              <w:spacing w:after="0"/>
              <w:rPr>
                <w:sz w:val="18"/>
                <w:szCs w:val="18"/>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80" w:type="dxa"/>
            <w:vAlign w:val="bottom"/>
            <w:shd w:val="clear" w:color="auto" w:fill="E5FFFF"/>
          </w:tcPr>
          <w:p>
            <w:pPr>
              <w:spacing w:after="0"/>
              <w:rPr>
                <w:sz w:val="18"/>
                <w:szCs w:val="18"/>
                <w:color w:val="auto"/>
              </w:rPr>
            </w:pPr>
          </w:p>
        </w:tc>
        <w:tc>
          <w:tcPr>
            <w:tcW w:w="2000" w:type="dxa"/>
            <w:vAlign w:val="bottom"/>
            <w:gridSpan w:val="2"/>
            <w:shd w:val="clear" w:color="auto" w:fill="E5FFFF"/>
          </w:tcPr>
          <w:p>
            <w:pPr>
              <w:jc w:val="center"/>
              <w:ind w:right="160"/>
              <w:spacing w:after="0" w:line="209" w:lineRule="exact"/>
              <w:rPr>
                <w:sz w:val="20"/>
                <w:szCs w:val="20"/>
                <w:color w:val="auto"/>
              </w:rPr>
            </w:pPr>
            <w:r>
              <w:rPr>
                <w:rFonts w:ascii="Arial" w:cs="Arial" w:eastAsia="Arial" w:hAnsi="Arial"/>
                <w:sz w:val="16"/>
                <w:szCs w:val="16"/>
                <w:color w:val="auto"/>
                <w:w w:val="88"/>
              </w:rPr>
              <w:t xml:space="preserve">Trafigura </w:t>
            </w:r>
            <w:r>
              <w:rPr>
                <w:rFonts w:ascii="Arial" w:cs="Arial" w:eastAsia="Arial" w:hAnsi="Arial"/>
                <w:sz w:val="21"/>
                <w:szCs w:val="21"/>
                <w:color w:val="auto"/>
                <w:w w:val="88"/>
                <w:vertAlign w:val="superscript"/>
              </w:rPr>
              <w:t>(2)</w:t>
            </w:r>
          </w:p>
        </w:tc>
        <w:tc>
          <w:tcPr>
            <w:tcW w:w="106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Steam</w:t>
            </w:r>
          </w:p>
        </w:tc>
        <w:tc>
          <w:tcPr>
            <w:tcW w:w="1640" w:type="dxa"/>
            <w:vAlign w:val="bottom"/>
            <w:gridSpan w:val="2"/>
            <w:shd w:val="clear" w:color="auto" w:fill="E5FFFF"/>
          </w:tcPr>
          <w:p>
            <w:pPr>
              <w:jc w:val="center"/>
              <w:ind w:right="160"/>
              <w:spacing w:after="0" w:line="209" w:lineRule="exact"/>
              <w:rPr>
                <w:sz w:val="20"/>
                <w:szCs w:val="20"/>
                <w:color w:val="auto"/>
              </w:rPr>
            </w:pPr>
            <w:r>
              <w:rPr>
                <w:rFonts w:ascii="Arial" w:cs="Arial" w:eastAsia="Arial" w:hAnsi="Arial"/>
                <w:sz w:val="16"/>
                <w:szCs w:val="16"/>
                <w:color w:val="auto"/>
                <w:w w:val="88"/>
              </w:rPr>
              <w:t xml:space="preserve">November 2020 </w:t>
            </w:r>
            <w:r>
              <w:rPr>
                <w:rFonts w:ascii="Arial" w:cs="Arial" w:eastAsia="Arial" w:hAnsi="Arial"/>
                <w:sz w:val="21"/>
                <w:szCs w:val="21"/>
                <w:color w:val="auto"/>
                <w:w w:val="88"/>
                <w:vertAlign w:val="superscript"/>
              </w:rPr>
              <w:t>(2)</w:t>
            </w:r>
          </w:p>
        </w:tc>
        <w:tc>
          <w:tcPr>
            <w:tcW w:w="1580" w:type="dxa"/>
            <w:vAlign w:val="bottom"/>
            <w:gridSpan w:val="3"/>
            <w:shd w:val="clear" w:color="auto" w:fill="E5FFFF"/>
          </w:tcPr>
          <w:p>
            <w:pPr>
              <w:jc w:val="center"/>
              <w:ind w:right="120"/>
              <w:spacing w:after="0" w:line="209" w:lineRule="exact"/>
              <w:rPr>
                <w:sz w:val="20"/>
                <w:szCs w:val="20"/>
                <w:color w:val="auto"/>
              </w:rPr>
            </w:pPr>
            <w:r>
              <w:rPr>
                <w:rFonts w:ascii="Arial" w:cs="Arial" w:eastAsia="Arial" w:hAnsi="Arial"/>
                <w:sz w:val="16"/>
                <w:szCs w:val="16"/>
                <w:color w:val="auto"/>
                <w:w w:val="88"/>
              </w:rPr>
              <w:t xml:space="preserve">2021–2024 </w:t>
            </w:r>
            <w:r>
              <w:rPr>
                <w:rFonts w:ascii="Arial" w:cs="Arial" w:eastAsia="Arial" w:hAnsi="Arial"/>
                <w:sz w:val="21"/>
                <w:szCs w:val="21"/>
                <w:color w:val="auto"/>
                <w:w w:val="88"/>
                <w:vertAlign w:val="superscript"/>
              </w:rPr>
              <w:t>(3)</w:t>
            </w:r>
          </w:p>
        </w:tc>
      </w:tr>
      <w:tr>
        <w:trPr>
          <w:trHeight w:val="203"/>
        </w:trPr>
        <w:tc>
          <w:tcPr>
            <w:tcW w:w="320" w:type="dxa"/>
            <w:vAlign w:val="bottom"/>
          </w:tcPr>
          <w:p>
            <w:pPr>
              <w:jc w:val="center"/>
              <w:spacing w:after="0"/>
              <w:rPr>
                <w:sz w:val="20"/>
                <w:szCs w:val="20"/>
                <w:color w:val="auto"/>
              </w:rPr>
            </w:pPr>
            <w:r>
              <w:rPr>
                <w:rFonts w:ascii="Arial" w:cs="Arial" w:eastAsia="Arial" w:hAnsi="Arial"/>
                <w:sz w:val="16"/>
                <w:szCs w:val="16"/>
                <w:b w:val="1"/>
                <w:bCs w:val="1"/>
                <w:color w:val="auto"/>
                <w:w w:val="89"/>
              </w:rPr>
              <w:t>6</w:t>
            </w:r>
          </w:p>
        </w:tc>
        <w:tc>
          <w:tcPr>
            <w:tcW w:w="2520" w:type="dxa"/>
            <w:vAlign w:val="bottom"/>
            <w:gridSpan w:val="2"/>
          </w:tcPr>
          <w:p>
            <w:pPr>
              <w:ind w:left="40"/>
              <w:spacing w:after="0"/>
              <w:rPr>
                <w:sz w:val="20"/>
                <w:szCs w:val="20"/>
                <w:color w:val="auto"/>
              </w:rPr>
            </w:pPr>
            <w:r>
              <w:rPr>
                <w:rFonts w:ascii="Arial" w:cs="Arial" w:eastAsia="Arial" w:hAnsi="Arial"/>
                <w:sz w:val="16"/>
                <w:szCs w:val="16"/>
                <w:i w:val="1"/>
                <w:iCs w:val="1"/>
                <w:color w:val="auto"/>
              </w:rPr>
              <w:t>Methane Heather Sally</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2007</w:t>
            </w: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80" w:type="dxa"/>
            <w:vAlign w:val="bottom"/>
          </w:tcPr>
          <w:p>
            <w:pPr>
              <w:spacing w:after="0"/>
              <w:rPr>
                <w:sz w:val="17"/>
                <w:szCs w:val="17"/>
                <w:color w:val="auto"/>
              </w:rPr>
            </w:pPr>
          </w:p>
        </w:tc>
        <w:tc>
          <w:tcPr>
            <w:tcW w:w="20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Shell</w:t>
            </w: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Steam</w:t>
            </w:r>
          </w:p>
        </w:tc>
        <w:tc>
          <w:tcPr>
            <w:tcW w:w="164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December 2020</w:t>
            </w:r>
          </w:p>
        </w:tc>
        <w:tc>
          <w:tcPr>
            <w:tcW w:w="840" w:type="dxa"/>
            <w:vAlign w:val="bottom"/>
          </w:tcPr>
          <w:p>
            <w:pPr>
              <w:jc w:val="center"/>
              <w:ind w:left="559"/>
              <w:spacing w:after="0"/>
              <w:rPr>
                <w:sz w:val="20"/>
                <w:szCs w:val="20"/>
                <w:color w:val="auto"/>
              </w:rPr>
            </w:pPr>
            <w:r>
              <w:rPr>
                <w:rFonts w:ascii="Arial" w:cs="Arial" w:eastAsia="Arial" w:hAnsi="Arial"/>
                <w:sz w:val="16"/>
                <w:szCs w:val="16"/>
                <w:color w:val="auto"/>
                <w:w w:val="99"/>
              </w:rPr>
              <w:t>—</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7</w:t>
            </w:r>
          </w:p>
        </w:tc>
        <w:tc>
          <w:tcPr>
            <w:tcW w:w="252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Seattle</w:t>
            </w:r>
          </w:p>
        </w:tc>
        <w:tc>
          <w:tcPr>
            <w:tcW w:w="10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2013</w:t>
            </w:r>
          </w:p>
        </w:tc>
        <w:tc>
          <w:tcPr>
            <w:tcW w:w="160" w:type="dxa"/>
            <w:vAlign w:val="bottom"/>
            <w:shd w:val="clear" w:color="auto" w:fill="E5FFFF"/>
          </w:tcPr>
          <w:p>
            <w:pPr>
              <w:spacing w:after="0"/>
              <w:rPr>
                <w:sz w:val="17"/>
                <w:szCs w:val="17"/>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80" w:type="dxa"/>
            <w:vAlign w:val="bottom"/>
            <w:shd w:val="clear" w:color="auto" w:fill="E5FFFF"/>
          </w:tcPr>
          <w:p>
            <w:pPr>
              <w:spacing w:after="0"/>
              <w:rPr>
                <w:sz w:val="17"/>
                <w:szCs w:val="17"/>
                <w:color w:val="auto"/>
              </w:rPr>
            </w:pPr>
          </w:p>
        </w:tc>
        <w:tc>
          <w:tcPr>
            <w:tcW w:w="20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89"/>
              </w:rPr>
              <w:t>Shell</w:t>
            </w:r>
          </w:p>
        </w:tc>
        <w:tc>
          <w:tcPr>
            <w:tcW w:w="106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rPr>
              <w:t>TFDE</w:t>
            </w:r>
          </w:p>
        </w:tc>
        <w:tc>
          <w:tcPr>
            <w:tcW w:w="164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88"/>
              </w:rPr>
              <w:t>June 2021</w:t>
            </w:r>
          </w:p>
        </w:tc>
        <w:tc>
          <w:tcPr>
            <w:tcW w:w="840" w:type="dxa"/>
            <w:vAlign w:val="bottom"/>
            <w:shd w:val="clear" w:color="auto" w:fill="E5FFFF"/>
          </w:tcPr>
          <w:p>
            <w:pPr>
              <w:jc w:val="center"/>
              <w:ind w:left="559"/>
              <w:spacing w:after="0"/>
              <w:rPr>
                <w:sz w:val="20"/>
                <w:szCs w:val="20"/>
                <w:color w:val="auto"/>
              </w:rPr>
            </w:pPr>
            <w:r>
              <w:rPr>
                <w:rFonts w:ascii="Arial" w:cs="Arial" w:eastAsia="Arial" w:hAnsi="Arial"/>
                <w:sz w:val="16"/>
                <w:szCs w:val="16"/>
                <w:color w:val="auto"/>
                <w:w w:val="99"/>
              </w:rPr>
              <w:t>—</w:t>
            </w:r>
          </w:p>
        </w:tc>
        <w:tc>
          <w:tcPr>
            <w:tcW w:w="6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320" w:type="dxa"/>
            <w:vAlign w:val="bottom"/>
          </w:tcPr>
          <w:p>
            <w:pPr>
              <w:jc w:val="center"/>
              <w:spacing w:after="0"/>
              <w:rPr>
                <w:sz w:val="20"/>
                <w:szCs w:val="20"/>
                <w:color w:val="auto"/>
              </w:rPr>
            </w:pPr>
            <w:r>
              <w:rPr>
                <w:rFonts w:ascii="Arial" w:cs="Arial" w:eastAsia="Arial" w:hAnsi="Arial"/>
                <w:sz w:val="16"/>
                <w:szCs w:val="16"/>
                <w:b w:val="1"/>
                <w:bCs w:val="1"/>
                <w:color w:val="auto"/>
                <w:w w:val="89"/>
              </w:rPr>
              <w:t>8</w:t>
            </w:r>
          </w:p>
        </w:tc>
        <w:tc>
          <w:tcPr>
            <w:tcW w:w="2520" w:type="dxa"/>
            <w:vAlign w:val="bottom"/>
            <w:gridSpan w:val="2"/>
          </w:tcPr>
          <w:p>
            <w:pPr>
              <w:ind w:left="40"/>
              <w:spacing w:after="0"/>
              <w:rPr>
                <w:sz w:val="20"/>
                <w:szCs w:val="20"/>
                <w:color w:val="auto"/>
              </w:rPr>
            </w:pPr>
            <w:r>
              <w:rPr>
                <w:rFonts w:ascii="Arial" w:cs="Arial" w:eastAsia="Arial" w:hAnsi="Arial"/>
                <w:sz w:val="16"/>
                <w:szCs w:val="16"/>
                <w:i w:val="1"/>
                <w:iCs w:val="1"/>
                <w:color w:val="auto"/>
              </w:rPr>
              <w:t>Solaris</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2014</w:t>
            </w: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80" w:type="dxa"/>
            <w:vAlign w:val="bottom"/>
          </w:tcPr>
          <w:p>
            <w:pPr>
              <w:spacing w:after="0"/>
              <w:rPr>
                <w:sz w:val="17"/>
                <w:szCs w:val="17"/>
                <w:color w:val="auto"/>
              </w:rPr>
            </w:pPr>
          </w:p>
        </w:tc>
        <w:tc>
          <w:tcPr>
            <w:tcW w:w="20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Shell</w:t>
            </w: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color w:val="auto"/>
              </w:rPr>
              <w:t>TFDE</w:t>
            </w: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June 2021</w:t>
            </w:r>
          </w:p>
        </w:tc>
        <w:tc>
          <w:tcPr>
            <w:tcW w:w="840" w:type="dxa"/>
            <w:vAlign w:val="bottom"/>
          </w:tcPr>
          <w:p>
            <w:pPr>
              <w:jc w:val="center"/>
              <w:ind w:left="559"/>
              <w:spacing w:after="0"/>
              <w:rPr>
                <w:sz w:val="20"/>
                <w:szCs w:val="20"/>
                <w:color w:val="auto"/>
              </w:rPr>
            </w:pPr>
            <w:r>
              <w:rPr>
                <w:rFonts w:ascii="Arial" w:cs="Arial" w:eastAsia="Arial" w:hAnsi="Arial"/>
                <w:sz w:val="16"/>
                <w:szCs w:val="16"/>
                <w:color w:val="auto"/>
                <w:w w:val="99"/>
              </w:rPr>
              <w:t>—</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9</w:t>
            </w:r>
          </w:p>
        </w:tc>
        <w:tc>
          <w:tcPr>
            <w:tcW w:w="252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Santiago</w:t>
            </w:r>
          </w:p>
        </w:tc>
        <w:tc>
          <w:tcPr>
            <w:tcW w:w="10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2013</w:t>
            </w:r>
          </w:p>
        </w:tc>
        <w:tc>
          <w:tcPr>
            <w:tcW w:w="160" w:type="dxa"/>
            <w:vAlign w:val="bottom"/>
            <w:shd w:val="clear" w:color="auto" w:fill="E5FFFF"/>
          </w:tcPr>
          <w:p>
            <w:pPr>
              <w:spacing w:after="0"/>
              <w:rPr>
                <w:sz w:val="17"/>
                <w:szCs w:val="17"/>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80" w:type="dxa"/>
            <w:vAlign w:val="bottom"/>
            <w:shd w:val="clear" w:color="auto" w:fill="E5FFFF"/>
          </w:tcPr>
          <w:p>
            <w:pPr>
              <w:spacing w:after="0"/>
              <w:rPr>
                <w:sz w:val="17"/>
                <w:szCs w:val="17"/>
                <w:color w:val="auto"/>
              </w:rPr>
            </w:pPr>
          </w:p>
        </w:tc>
        <w:tc>
          <w:tcPr>
            <w:tcW w:w="20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3"/>
              </w:rPr>
              <w:t>Trafigura</w:t>
            </w:r>
          </w:p>
        </w:tc>
        <w:tc>
          <w:tcPr>
            <w:tcW w:w="106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rPr>
              <w:t>TFDE</w:t>
            </w:r>
          </w:p>
        </w:tc>
        <w:tc>
          <w:tcPr>
            <w:tcW w:w="16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1"/>
              </w:rPr>
              <w:t>December 2021</w:t>
            </w:r>
          </w:p>
        </w:tc>
        <w:tc>
          <w:tcPr>
            <w:tcW w:w="1480" w:type="dxa"/>
            <w:vAlign w:val="bottom"/>
            <w:gridSpan w:val="2"/>
            <w:shd w:val="clear" w:color="auto" w:fill="E5FFFF"/>
          </w:tcPr>
          <w:p>
            <w:pPr>
              <w:jc w:val="center"/>
              <w:spacing w:after="0" w:line="203" w:lineRule="exact"/>
              <w:rPr>
                <w:sz w:val="20"/>
                <w:szCs w:val="20"/>
                <w:color w:val="auto"/>
              </w:rPr>
            </w:pPr>
            <w:r>
              <w:rPr>
                <w:rFonts w:ascii="Arial" w:cs="Arial" w:eastAsia="Arial" w:hAnsi="Arial"/>
                <w:sz w:val="16"/>
                <w:szCs w:val="16"/>
                <w:color w:val="auto"/>
                <w:w w:val="89"/>
              </w:rPr>
              <w:t xml:space="preserve">2022-2028 </w:t>
            </w:r>
            <w:r>
              <w:rPr>
                <w:rFonts w:ascii="Arial" w:cs="Arial" w:eastAsia="Arial" w:hAnsi="Arial"/>
                <w:sz w:val="21"/>
                <w:szCs w:val="21"/>
                <w:color w:val="auto"/>
                <w:w w:val="89"/>
                <w:vertAlign w:val="superscript"/>
              </w:rPr>
              <w:t>(4)</w:t>
            </w:r>
          </w:p>
        </w:tc>
        <w:tc>
          <w:tcPr>
            <w:tcW w:w="100" w:type="dxa"/>
            <w:vAlign w:val="bottom"/>
            <w:shd w:val="clear" w:color="auto" w:fill="E5FFFF"/>
          </w:tcPr>
          <w:p>
            <w:pPr>
              <w:spacing w:after="0"/>
              <w:rPr>
                <w:sz w:val="17"/>
                <w:szCs w:val="17"/>
                <w:color w:val="auto"/>
              </w:rPr>
            </w:pPr>
          </w:p>
        </w:tc>
      </w:tr>
      <w:tr>
        <w:trPr>
          <w:trHeight w:val="203"/>
        </w:trPr>
        <w:tc>
          <w:tcPr>
            <w:tcW w:w="320" w:type="dxa"/>
            <w:vAlign w:val="bottom"/>
          </w:tcPr>
          <w:p>
            <w:pPr>
              <w:jc w:val="center"/>
              <w:spacing w:after="0"/>
              <w:rPr>
                <w:sz w:val="20"/>
                <w:szCs w:val="20"/>
                <w:color w:val="auto"/>
              </w:rPr>
            </w:pPr>
            <w:r>
              <w:rPr>
                <w:rFonts w:ascii="Arial" w:cs="Arial" w:eastAsia="Arial" w:hAnsi="Arial"/>
                <w:sz w:val="16"/>
                <w:szCs w:val="16"/>
                <w:b w:val="1"/>
                <w:bCs w:val="1"/>
                <w:color w:val="auto"/>
                <w:w w:val="89"/>
              </w:rPr>
              <w:t>10</w:t>
            </w:r>
          </w:p>
        </w:tc>
        <w:tc>
          <w:tcPr>
            <w:tcW w:w="252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Shanghai</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2013</w:t>
            </w: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80" w:type="dxa"/>
            <w:vAlign w:val="bottom"/>
          </w:tcPr>
          <w:p>
            <w:pPr>
              <w:spacing w:after="0"/>
              <w:rPr>
                <w:sz w:val="17"/>
                <w:szCs w:val="17"/>
                <w:color w:val="auto"/>
              </w:rPr>
            </w:pPr>
          </w:p>
        </w:tc>
        <w:tc>
          <w:tcPr>
            <w:tcW w:w="2000" w:type="dxa"/>
            <w:vAlign w:val="bottom"/>
            <w:gridSpan w:val="2"/>
          </w:tcPr>
          <w:p>
            <w:pPr>
              <w:jc w:val="center"/>
              <w:ind w:right="160"/>
              <w:spacing w:after="0" w:line="203" w:lineRule="exact"/>
              <w:rPr>
                <w:sz w:val="20"/>
                <w:szCs w:val="20"/>
                <w:color w:val="auto"/>
              </w:rPr>
            </w:pPr>
            <w:r>
              <w:rPr>
                <w:rFonts w:ascii="Arial" w:cs="Arial" w:eastAsia="Arial" w:hAnsi="Arial"/>
                <w:sz w:val="16"/>
                <w:szCs w:val="16"/>
                <w:color w:val="auto"/>
                <w:w w:val="86"/>
              </w:rPr>
              <w:t xml:space="preserve">Gunvor </w:t>
            </w:r>
            <w:r>
              <w:rPr>
                <w:rFonts w:ascii="Arial" w:cs="Arial" w:eastAsia="Arial" w:hAnsi="Arial"/>
                <w:sz w:val="21"/>
                <w:szCs w:val="21"/>
                <w:color w:val="auto"/>
                <w:w w:val="86"/>
                <w:vertAlign w:val="superscript"/>
              </w:rPr>
              <w:t>(5)</w:t>
            </w: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color w:val="auto"/>
              </w:rPr>
              <w:t>TFDE</w:t>
            </w:r>
          </w:p>
        </w:tc>
        <w:tc>
          <w:tcPr>
            <w:tcW w:w="164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November 2022</w:t>
            </w:r>
          </w:p>
        </w:tc>
        <w:tc>
          <w:tcPr>
            <w:tcW w:w="840" w:type="dxa"/>
            <w:vAlign w:val="bottom"/>
          </w:tcPr>
          <w:p>
            <w:pPr>
              <w:jc w:val="center"/>
              <w:ind w:left="559"/>
              <w:spacing w:after="0"/>
              <w:rPr>
                <w:sz w:val="20"/>
                <w:szCs w:val="20"/>
                <w:color w:val="auto"/>
              </w:rPr>
            </w:pPr>
            <w:r>
              <w:rPr>
                <w:rFonts w:ascii="Arial" w:cs="Arial" w:eastAsia="Arial" w:hAnsi="Arial"/>
                <w:sz w:val="16"/>
                <w:szCs w:val="16"/>
                <w:color w:val="auto"/>
                <w:w w:val="99"/>
              </w:rPr>
              <w:t>—</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11</w:t>
            </w:r>
          </w:p>
        </w:tc>
        <w:tc>
          <w:tcPr>
            <w:tcW w:w="252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Geneva</w:t>
            </w:r>
          </w:p>
        </w:tc>
        <w:tc>
          <w:tcPr>
            <w:tcW w:w="10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2016</w:t>
            </w:r>
          </w:p>
        </w:tc>
        <w:tc>
          <w:tcPr>
            <w:tcW w:w="160" w:type="dxa"/>
            <w:vAlign w:val="bottom"/>
            <w:shd w:val="clear" w:color="auto" w:fill="E5FFFF"/>
          </w:tcPr>
          <w:p>
            <w:pPr>
              <w:spacing w:after="0"/>
              <w:rPr>
                <w:sz w:val="17"/>
                <w:szCs w:val="17"/>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80" w:type="dxa"/>
            <w:vAlign w:val="bottom"/>
            <w:shd w:val="clear" w:color="auto" w:fill="E5FFFF"/>
          </w:tcPr>
          <w:p>
            <w:pPr>
              <w:spacing w:after="0"/>
              <w:rPr>
                <w:sz w:val="17"/>
                <w:szCs w:val="17"/>
                <w:color w:val="auto"/>
              </w:rPr>
            </w:pPr>
          </w:p>
        </w:tc>
        <w:tc>
          <w:tcPr>
            <w:tcW w:w="20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89"/>
              </w:rPr>
              <w:t>Shell</w:t>
            </w:r>
          </w:p>
        </w:tc>
        <w:tc>
          <w:tcPr>
            <w:tcW w:w="106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rPr>
              <w:t>TFDE</w:t>
            </w:r>
          </w:p>
        </w:tc>
        <w:tc>
          <w:tcPr>
            <w:tcW w:w="164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89"/>
              </w:rPr>
              <w:t>September 2023</w:t>
            </w:r>
          </w:p>
        </w:tc>
        <w:tc>
          <w:tcPr>
            <w:tcW w:w="1580" w:type="dxa"/>
            <w:vAlign w:val="bottom"/>
            <w:gridSpan w:val="3"/>
            <w:shd w:val="clear" w:color="auto" w:fill="E5FFFF"/>
          </w:tcPr>
          <w:p>
            <w:pPr>
              <w:jc w:val="center"/>
              <w:ind w:right="120"/>
              <w:spacing w:after="0" w:line="203" w:lineRule="exact"/>
              <w:rPr>
                <w:sz w:val="20"/>
                <w:szCs w:val="20"/>
                <w:color w:val="auto"/>
              </w:rPr>
            </w:pPr>
            <w:r>
              <w:rPr>
                <w:rFonts w:ascii="Arial" w:cs="Arial" w:eastAsia="Arial" w:hAnsi="Arial"/>
                <w:sz w:val="16"/>
                <w:szCs w:val="16"/>
                <w:color w:val="auto"/>
                <w:w w:val="88"/>
              </w:rPr>
              <w:t xml:space="preserve">2028–2031 </w:t>
            </w:r>
            <w:r>
              <w:rPr>
                <w:rFonts w:ascii="Arial" w:cs="Arial" w:eastAsia="Arial" w:hAnsi="Arial"/>
                <w:sz w:val="21"/>
                <w:szCs w:val="21"/>
                <w:color w:val="auto"/>
                <w:w w:val="88"/>
                <w:vertAlign w:val="superscript"/>
              </w:rPr>
              <w:t>(6)</w:t>
            </w:r>
          </w:p>
        </w:tc>
      </w:tr>
      <w:tr>
        <w:trPr>
          <w:trHeight w:val="203"/>
        </w:trPr>
        <w:tc>
          <w:tcPr>
            <w:tcW w:w="320" w:type="dxa"/>
            <w:vAlign w:val="bottom"/>
          </w:tcPr>
          <w:p>
            <w:pPr>
              <w:jc w:val="center"/>
              <w:spacing w:after="0"/>
              <w:rPr>
                <w:sz w:val="20"/>
                <w:szCs w:val="20"/>
                <w:color w:val="auto"/>
              </w:rPr>
            </w:pPr>
            <w:r>
              <w:rPr>
                <w:rFonts w:ascii="Arial" w:cs="Arial" w:eastAsia="Arial" w:hAnsi="Arial"/>
                <w:sz w:val="16"/>
                <w:szCs w:val="16"/>
                <w:b w:val="1"/>
                <w:bCs w:val="1"/>
                <w:color w:val="auto"/>
                <w:w w:val="89"/>
              </w:rPr>
              <w:t>12</w:t>
            </w:r>
          </w:p>
        </w:tc>
        <w:tc>
          <w:tcPr>
            <w:tcW w:w="252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Gibraltar</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2016</w:t>
            </w: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80" w:type="dxa"/>
            <w:vAlign w:val="bottom"/>
          </w:tcPr>
          <w:p>
            <w:pPr>
              <w:spacing w:after="0"/>
              <w:rPr>
                <w:sz w:val="17"/>
                <w:szCs w:val="17"/>
                <w:color w:val="auto"/>
              </w:rPr>
            </w:pPr>
          </w:p>
        </w:tc>
        <w:tc>
          <w:tcPr>
            <w:tcW w:w="20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Shell</w:t>
            </w: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color w:val="auto"/>
              </w:rPr>
              <w:t>TFDE</w:t>
            </w:r>
          </w:p>
        </w:tc>
        <w:tc>
          <w:tcPr>
            <w:tcW w:w="16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October 2023</w:t>
            </w:r>
          </w:p>
        </w:tc>
        <w:tc>
          <w:tcPr>
            <w:tcW w:w="1580" w:type="dxa"/>
            <w:vAlign w:val="bottom"/>
            <w:gridSpan w:val="3"/>
          </w:tcPr>
          <w:p>
            <w:pPr>
              <w:jc w:val="center"/>
              <w:ind w:right="120"/>
              <w:spacing w:after="0" w:line="203" w:lineRule="exact"/>
              <w:rPr>
                <w:sz w:val="20"/>
                <w:szCs w:val="20"/>
                <w:color w:val="auto"/>
              </w:rPr>
            </w:pPr>
            <w:r>
              <w:rPr>
                <w:rFonts w:ascii="Arial" w:cs="Arial" w:eastAsia="Arial" w:hAnsi="Arial"/>
                <w:sz w:val="16"/>
                <w:szCs w:val="16"/>
                <w:color w:val="auto"/>
                <w:w w:val="88"/>
              </w:rPr>
              <w:t xml:space="preserve">2028–2031 </w:t>
            </w:r>
            <w:r>
              <w:rPr>
                <w:rFonts w:ascii="Arial" w:cs="Arial" w:eastAsia="Arial" w:hAnsi="Arial"/>
                <w:sz w:val="21"/>
                <w:szCs w:val="21"/>
                <w:color w:val="auto"/>
                <w:w w:val="88"/>
                <w:vertAlign w:val="superscript"/>
              </w:rPr>
              <w:t>(6)</w:t>
            </w:r>
          </w:p>
        </w:tc>
      </w:tr>
      <w:tr>
        <w:trPr>
          <w:trHeight w:val="203"/>
        </w:trPr>
        <w:tc>
          <w:tcPr>
            <w:tcW w:w="32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13</w:t>
            </w:r>
          </w:p>
        </w:tc>
        <w:tc>
          <w:tcPr>
            <w:tcW w:w="252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Methane Becki Anne</w:t>
            </w:r>
          </w:p>
        </w:tc>
        <w:tc>
          <w:tcPr>
            <w:tcW w:w="10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2010</w:t>
            </w:r>
          </w:p>
        </w:tc>
        <w:tc>
          <w:tcPr>
            <w:tcW w:w="160" w:type="dxa"/>
            <w:vAlign w:val="bottom"/>
            <w:shd w:val="clear" w:color="auto" w:fill="E5FFFF"/>
          </w:tcPr>
          <w:p>
            <w:pPr>
              <w:spacing w:after="0"/>
              <w:rPr>
                <w:sz w:val="17"/>
                <w:szCs w:val="17"/>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170,000</w:t>
            </w:r>
          </w:p>
        </w:tc>
        <w:tc>
          <w:tcPr>
            <w:tcW w:w="180" w:type="dxa"/>
            <w:vAlign w:val="bottom"/>
            <w:shd w:val="clear" w:color="auto" w:fill="E5FFFF"/>
          </w:tcPr>
          <w:p>
            <w:pPr>
              <w:spacing w:after="0"/>
              <w:rPr>
                <w:sz w:val="17"/>
                <w:szCs w:val="17"/>
                <w:color w:val="auto"/>
              </w:rPr>
            </w:pPr>
          </w:p>
        </w:tc>
        <w:tc>
          <w:tcPr>
            <w:tcW w:w="20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89"/>
              </w:rPr>
              <w:t>Shell</w:t>
            </w:r>
          </w:p>
        </w:tc>
        <w:tc>
          <w:tcPr>
            <w:tcW w:w="106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rPr>
              <w:t>TFDE</w:t>
            </w:r>
          </w:p>
        </w:tc>
        <w:tc>
          <w:tcPr>
            <w:tcW w:w="16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4"/>
              </w:rPr>
              <w:t>March 2024</w:t>
            </w:r>
          </w:p>
        </w:tc>
        <w:tc>
          <w:tcPr>
            <w:tcW w:w="1480" w:type="dxa"/>
            <w:vAlign w:val="bottom"/>
            <w:gridSpan w:val="2"/>
            <w:shd w:val="clear" w:color="auto" w:fill="E5FFFF"/>
          </w:tcPr>
          <w:p>
            <w:pPr>
              <w:jc w:val="center"/>
              <w:spacing w:after="0" w:line="203" w:lineRule="exact"/>
              <w:rPr>
                <w:sz w:val="20"/>
                <w:szCs w:val="20"/>
                <w:color w:val="auto"/>
              </w:rPr>
            </w:pPr>
            <w:r>
              <w:rPr>
                <w:rFonts w:ascii="Arial" w:cs="Arial" w:eastAsia="Arial" w:hAnsi="Arial"/>
                <w:sz w:val="16"/>
                <w:szCs w:val="16"/>
                <w:color w:val="auto"/>
                <w:w w:val="89"/>
              </w:rPr>
              <w:t xml:space="preserve">2027-2029 </w:t>
            </w:r>
            <w:r>
              <w:rPr>
                <w:rFonts w:ascii="Arial" w:cs="Arial" w:eastAsia="Arial" w:hAnsi="Arial"/>
                <w:sz w:val="21"/>
                <w:szCs w:val="21"/>
                <w:color w:val="auto"/>
                <w:w w:val="89"/>
                <w:vertAlign w:val="superscript"/>
              </w:rPr>
              <w:t>(7)</w:t>
            </w:r>
          </w:p>
        </w:tc>
        <w:tc>
          <w:tcPr>
            <w:tcW w:w="100" w:type="dxa"/>
            <w:vAlign w:val="bottom"/>
            <w:shd w:val="clear" w:color="auto" w:fill="E5FFFF"/>
          </w:tcPr>
          <w:p>
            <w:pPr>
              <w:spacing w:after="0"/>
              <w:rPr>
                <w:sz w:val="17"/>
                <w:szCs w:val="17"/>
                <w:color w:val="auto"/>
              </w:rPr>
            </w:pPr>
          </w:p>
        </w:tc>
      </w:tr>
      <w:tr>
        <w:trPr>
          <w:trHeight w:val="203"/>
        </w:trPr>
        <w:tc>
          <w:tcPr>
            <w:tcW w:w="320" w:type="dxa"/>
            <w:vAlign w:val="bottom"/>
          </w:tcPr>
          <w:p>
            <w:pPr>
              <w:jc w:val="center"/>
              <w:spacing w:after="0"/>
              <w:rPr>
                <w:sz w:val="20"/>
                <w:szCs w:val="20"/>
                <w:color w:val="auto"/>
              </w:rPr>
            </w:pPr>
            <w:r>
              <w:rPr>
                <w:rFonts w:ascii="Arial" w:cs="Arial" w:eastAsia="Arial" w:hAnsi="Arial"/>
                <w:sz w:val="16"/>
                <w:szCs w:val="16"/>
                <w:b w:val="1"/>
                <w:bCs w:val="1"/>
                <w:color w:val="auto"/>
                <w:w w:val="89"/>
              </w:rPr>
              <w:t>14</w:t>
            </w:r>
          </w:p>
        </w:tc>
        <w:tc>
          <w:tcPr>
            <w:tcW w:w="252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Greece</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2016</w:t>
            </w: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80" w:type="dxa"/>
            <w:vAlign w:val="bottom"/>
          </w:tcPr>
          <w:p>
            <w:pPr>
              <w:spacing w:after="0"/>
              <w:rPr>
                <w:sz w:val="17"/>
                <w:szCs w:val="17"/>
                <w:color w:val="auto"/>
              </w:rPr>
            </w:pPr>
          </w:p>
        </w:tc>
        <w:tc>
          <w:tcPr>
            <w:tcW w:w="20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Shell</w:t>
            </w: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color w:val="auto"/>
              </w:rPr>
              <w:t>TFDE</w:t>
            </w:r>
          </w:p>
        </w:tc>
        <w:tc>
          <w:tcPr>
            <w:tcW w:w="164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March 2026</w:t>
            </w:r>
          </w:p>
        </w:tc>
        <w:tc>
          <w:tcPr>
            <w:tcW w:w="840" w:type="dxa"/>
            <w:vAlign w:val="bottom"/>
          </w:tcPr>
          <w:p>
            <w:pPr>
              <w:jc w:val="right"/>
              <w:spacing w:after="0"/>
              <w:rPr>
                <w:sz w:val="20"/>
                <w:szCs w:val="20"/>
                <w:color w:val="auto"/>
              </w:rPr>
            </w:pPr>
            <w:r>
              <w:rPr>
                <w:rFonts w:ascii="Arial" w:cs="Arial" w:eastAsia="Arial" w:hAnsi="Arial"/>
                <w:sz w:val="16"/>
                <w:szCs w:val="16"/>
                <w:color w:val="auto"/>
              </w:rPr>
              <w:t>2031</w:t>
            </w:r>
          </w:p>
        </w:tc>
        <w:tc>
          <w:tcPr>
            <w:tcW w:w="640" w:type="dxa"/>
            <w:vAlign w:val="bottom"/>
          </w:tcPr>
          <w:p>
            <w:pPr>
              <w:jc w:val="right"/>
              <w:ind w:right="446"/>
              <w:spacing w:after="0"/>
              <w:rPr>
                <w:sz w:val="20"/>
                <w:szCs w:val="20"/>
                <w:color w:val="auto"/>
              </w:rPr>
            </w:pPr>
            <w:r>
              <w:rPr>
                <w:rFonts w:ascii="Arial" w:cs="Arial" w:eastAsia="Arial" w:hAnsi="Arial"/>
                <w:sz w:val="11"/>
                <w:szCs w:val="11"/>
                <w:color w:val="auto"/>
                <w:w w:val="88"/>
              </w:rPr>
              <w:t>(8)</w:t>
            </w:r>
          </w:p>
        </w:tc>
        <w:tc>
          <w:tcPr>
            <w:tcW w:w="100" w:type="dxa"/>
            <w:vAlign w:val="bottom"/>
          </w:tcPr>
          <w:p>
            <w:pPr>
              <w:spacing w:after="0"/>
              <w:rPr>
                <w:sz w:val="17"/>
                <w:szCs w:val="17"/>
                <w:color w:val="auto"/>
              </w:rPr>
            </w:pPr>
          </w:p>
        </w:tc>
      </w:tr>
      <w:tr>
        <w:trPr>
          <w:trHeight w:val="203"/>
        </w:trPr>
        <w:tc>
          <w:tcPr>
            <w:tcW w:w="32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15</w:t>
            </w:r>
          </w:p>
        </w:tc>
        <w:tc>
          <w:tcPr>
            <w:tcW w:w="252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Glasgow</w:t>
            </w:r>
          </w:p>
        </w:tc>
        <w:tc>
          <w:tcPr>
            <w:tcW w:w="10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2016</w:t>
            </w:r>
          </w:p>
        </w:tc>
        <w:tc>
          <w:tcPr>
            <w:tcW w:w="160" w:type="dxa"/>
            <w:vAlign w:val="bottom"/>
            <w:shd w:val="clear" w:color="auto" w:fill="E5FFFF"/>
          </w:tcPr>
          <w:p>
            <w:pPr>
              <w:spacing w:after="0"/>
              <w:rPr>
                <w:sz w:val="17"/>
                <w:szCs w:val="17"/>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80" w:type="dxa"/>
            <w:vAlign w:val="bottom"/>
            <w:shd w:val="clear" w:color="auto" w:fill="E5FFFF"/>
          </w:tcPr>
          <w:p>
            <w:pPr>
              <w:spacing w:after="0"/>
              <w:rPr>
                <w:sz w:val="17"/>
                <w:szCs w:val="17"/>
                <w:color w:val="auto"/>
              </w:rPr>
            </w:pPr>
          </w:p>
        </w:tc>
        <w:tc>
          <w:tcPr>
            <w:tcW w:w="200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89"/>
              </w:rPr>
              <w:t>Shell</w:t>
            </w:r>
          </w:p>
        </w:tc>
        <w:tc>
          <w:tcPr>
            <w:tcW w:w="106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rPr>
              <w:t>TFDE</w:t>
            </w:r>
          </w:p>
        </w:tc>
        <w:tc>
          <w:tcPr>
            <w:tcW w:w="164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88"/>
              </w:rPr>
              <w:t>June 2026</w:t>
            </w:r>
          </w:p>
        </w:tc>
        <w:tc>
          <w:tcPr>
            <w:tcW w:w="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2031</w:t>
            </w:r>
          </w:p>
        </w:tc>
        <w:tc>
          <w:tcPr>
            <w:tcW w:w="640" w:type="dxa"/>
            <w:vAlign w:val="bottom"/>
            <w:shd w:val="clear" w:color="auto" w:fill="E5FFFF"/>
          </w:tcPr>
          <w:p>
            <w:pPr>
              <w:jc w:val="right"/>
              <w:ind w:right="446"/>
              <w:spacing w:after="0"/>
              <w:rPr>
                <w:sz w:val="20"/>
                <w:szCs w:val="20"/>
                <w:color w:val="auto"/>
              </w:rPr>
            </w:pPr>
            <w:r>
              <w:rPr>
                <w:rFonts w:ascii="Arial" w:cs="Arial" w:eastAsia="Arial" w:hAnsi="Arial"/>
                <w:sz w:val="11"/>
                <w:szCs w:val="11"/>
                <w:color w:val="auto"/>
                <w:w w:val="88"/>
              </w:rPr>
              <w:t>(8)</w:t>
            </w:r>
          </w:p>
        </w:tc>
        <w:tc>
          <w:tcPr>
            <w:tcW w:w="100" w:type="dxa"/>
            <w:vAlign w:val="bottom"/>
            <w:shd w:val="clear" w:color="auto" w:fill="E5FF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163195</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39" w:lineRule="exact"/>
        <w:rPr>
          <w:sz w:val="20"/>
          <w:szCs w:val="20"/>
          <w:color w:val="auto"/>
        </w:rPr>
      </w:pPr>
    </w:p>
    <w:p>
      <w:pPr>
        <w:ind w:left="340" w:right="80" w:hanging="332"/>
        <w:spacing w:after="0" w:line="201" w:lineRule="auto"/>
        <w:tabs>
          <w:tab w:leader="none" w:pos="337"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this time charter for a period ranging from six to twelve months, provided that the charterer gives us advance notice of declaration. The period shown reflects the expiration of the minimum optional period and the maximum optional period.</w:t>
      </w:r>
    </w:p>
    <w:p>
      <w:pPr>
        <w:ind w:left="340" w:right="40" w:hanging="332"/>
        <w:spacing w:after="0" w:line="193" w:lineRule="auto"/>
        <w:tabs>
          <w:tab w:leader="none" w:pos="337"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 xml:space="preserve">In March 2018, GasLog Partners secured a one-year charter with Trafigura Maritime Logistics PTE Ltd. (“Trafigura”) for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(as nominated by the Partnership), which commenced in November 2019.</w:t>
      </w:r>
    </w:p>
    <w:p>
      <w:pPr>
        <w:spacing w:after="0" w:line="1" w:lineRule="exact"/>
        <w:rPr>
          <w:rFonts w:ascii="Arial" w:cs="Arial" w:eastAsia="Arial" w:hAnsi="Arial"/>
          <w:sz w:val="18"/>
          <w:szCs w:val="18"/>
          <w:color w:val="auto"/>
          <w:vertAlign w:val="superscript"/>
        </w:rPr>
      </w:pPr>
    </w:p>
    <w:p>
      <w:pPr>
        <w:ind w:left="340" w:right="100" w:hanging="332"/>
        <w:spacing w:after="0" w:line="193" w:lineRule="auto"/>
        <w:tabs>
          <w:tab w:leader="none" w:pos="337"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this time charter for a period ranging from one to four years, provided that the charterer gives us advance notice of declaration.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40" w:hanging="332"/>
        <w:spacing w:after="0" w:line="193" w:lineRule="auto"/>
        <w:tabs>
          <w:tab w:leader="none" w:pos="337"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this time charter for a period ranging from one to seven years, provided that the charterer gives us advance notice of declaration.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20" w:hanging="312"/>
        <w:spacing w:after="0" w:line="182" w:lineRule="auto"/>
        <w:tabs>
          <w:tab w:leader="none" w:pos="320" w:val="left"/>
        </w:tabs>
        <w:numPr>
          <w:ilvl w:val="0"/>
          <w:numId w:val="6"/>
        </w:numPr>
        <w:rPr>
          <w:rFonts w:ascii="Arial" w:cs="Arial" w:eastAsia="Arial" w:hAnsi="Arial"/>
          <w:sz w:val="17"/>
          <w:szCs w:val="17"/>
          <w:color w:val="auto"/>
          <w:vertAlign w:val="superscript"/>
        </w:rPr>
      </w:pPr>
      <w:r>
        <w:rPr>
          <w:rFonts w:ascii="Arial" w:cs="Arial" w:eastAsia="Arial" w:hAnsi="Arial"/>
          <w:sz w:val="14"/>
          <w:szCs w:val="14"/>
          <w:color w:val="auto"/>
        </w:rPr>
        <w:t>The vessel is chartered to Clearlake Shipping Pte. Ltd., a subsidiary of Gunvor Group Ltd. (“Gunvor”).</w:t>
      </w:r>
    </w:p>
    <w:p>
      <w:pPr>
        <w:ind w:left="340" w:right="80" w:hanging="332"/>
        <w:spacing w:after="0" w:line="193" w:lineRule="auto"/>
        <w:tabs>
          <w:tab w:leader="none" w:pos="337"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40" w:right="180" w:hanging="332"/>
        <w:spacing w:after="0" w:line="193" w:lineRule="auto"/>
        <w:tabs>
          <w:tab w:leader="none" w:pos="337"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the related charter for one extension period of three or five years, provided that the charterer gives us advance notice of its exercise of any extension option.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20" w:hanging="312"/>
        <w:spacing w:after="0" w:line="197" w:lineRule="auto"/>
        <w:tabs>
          <w:tab w:leader="none" w:pos="3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these time charters for a period of five years, provided that the charterer gives us advance notice of declaration.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LNG Market Update and Outlook</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LNG demand, as estimated by Wood Mackenzie, is expected to have increased by 11% to 351 million tonnes (“mt”) in 2019, from 316 mt, in 2018. European demand accounted for most of the growth, increasing over 31 mt (61%) year-over-year. European demand was driven by a combination of declining domestic production, continued coal-to-gas switching for power generation, and inventory restocking. In North Asia, demand from Japan, South Korea and Taiwan declined by approximately 8 mt or 6%, while demand from China increased by 7 mt or 13%. Wood Mackenzie forecasts global LNG demand growth of over 90 mt between 2019 and 2025, a compound annual growth of approximately 4%. This growth is expected to be broad-based, with South East Asia (excluding India) accounting for approximately 46% and China, Latin America and India expected to account for 27%, 11% and 10%, respectively.</w:t>
      </w:r>
    </w:p>
    <w:p>
      <w:pPr>
        <w:spacing w:after="0" w:line="176" w:lineRule="exact"/>
        <w:rPr>
          <w:sz w:val="20"/>
          <w:szCs w:val="20"/>
          <w:color w:val="auto"/>
        </w:rPr>
      </w:pPr>
    </w:p>
    <w:p>
      <w:pPr>
        <w:ind w:right="160"/>
        <w:spacing w:after="0" w:line="305" w:lineRule="auto"/>
        <w:rPr>
          <w:sz w:val="20"/>
          <w:szCs w:val="20"/>
          <w:color w:val="auto"/>
        </w:rPr>
      </w:pPr>
      <w:r>
        <w:rPr>
          <w:rFonts w:ascii="Arial" w:cs="Arial" w:eastAsia="Arial" w:hAnsi="Arial"/>
          <w:sz w:val="15"/>
          <w:szCs w:val="15"/>
          <w:color w:val="auto"/>
        </w:rPr>
        <w:t>Wood Mackenzie estimates 2019 LNG supply of 364 mt, a 38 mt increase (12%) over 2018. During the year, new production started in the United States (Cameron Train 1, Corpus Christi LNG Train 2 and Freeport LNG Train 1) and Australia (Prelude). Supply from existing liquefaction facilities in Australia, Russia, Nigeria and Abu Dhabi also increased while downtime and/or underperformance at existing facilities in Equatorial Guinea, Indonesia and Malaysia partially offset these gains.</w:t>
      </w:r>
    </w:p>
    <w:p>
      <w:pPr>
        <w:spacing w:after="0" w:line="153"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Based on Wood Mackenzie’s current forecasts, 2020 is anticipated to be another strong year for LNG production growth, with supply expected to increase by 26 mt to 390 mt, a 7% increase on 2019. This includes new production from Elba Island, Cameron and Freeport LNG in the United States, Yamal in Russia and the continued ramp-up of projects which were brought onstream in 2019.</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During 2019, six new LNG liquefaction projects with a combined capacity of approximately 79 million tonnes per annum (“mtpa”) reached Final Investment Decision (“FID”), a record year for the sanctioning of new LNG projects and underpinning further LNG supply growth during the next decade. Projects which reached FID include Golden Pass (16 mtpa), Calcasieu Pass (10 mtpa) and Sabine Pass Train 6 (4.5 mtpa) in the United States, Mozambique LNG (12.9 mtpa) in Mozambique, Arctic LNG-2 in Russia (19.8 mtpa) and Nigeria LNG Train 7 (8 mtpa including debottlenecking of existing trains) in Nigeria. Wood Mackenzie anticipates at least another 50 mtpa of new LNG capacity will reach FID during 2020.</w:t>
      </w:r>
    </w:p>
    <w:p>
      <w:pPr>
        <w:spacing w:after="0" w:line="177"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In the LNG shipping spot market, TFDE headline rates, as reported by Clarksons, averaged $70,000 per day in 2019, a 23% decrease on 2018 levels. Low gas prices during much of 2019 limited the arbitrage opportunities for transporting LNG between the Atlantic and Pacific basins. However,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spacing w:after="0" w:line="271" w:lineRule="auto"/>
        <w:rPr>
          <w:sz w:val="20"/>
          <w:szCs w:val="20"/>
          <w:color w:val="auto"/>
        </w:rPr>
      </w:pPr>
      <w:r>
        <w:rPr>
          <w:rFonts w:ascii="Arial" w:cs="Arial" w:eastAsia="Arial" w:hAnsi="Arial"/>
          <w:sz w:val="16"/>
          <w:szCs w:val="16"/>
          <w:color w:val="auto"/>
        </w:rPr>
        <w:t>market balance remains tight, as evidenced by the quick run up in TFDE rates in the fourth quarter of 2019 when they reached a peak of $140,000 per day in November, following a marked decrease in spot ship availability. While headline spot rates in the first quarter of 2020 to date have fallen from their peaks in the fourth quarter of 2019, current headline rates are in line with or above the comparable dates of recent years. According to Poten, 57 term charters between 6 months and 7 years were reported in 2019, a decrease of 22% over 2018, of which 25 were for TFDE vessels and 12 were for Steam vessels. The term charter market for Steam vessels continues to be significantly less liquid than that for TFDEs.</w:t>
      </w:r>
    </w:p>
    <w:p>
      <w:pPr>
        <w:spacing w:after="0" w:line="177"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Clarksons currently assesses headline spot rates for TFDE and Steam LNG carriers at $65,000 per day and $43,500 per day, respectively. While the short-term outlook for TFDE vessel demand through the second half of 2020 and into early 2021 is supportive, given continued growth in LNG supply, the very weak current prices and forward curves for natural gas in the key markets of North Asia and Europe are likely to result in shorter average voyage distances and lower shipping requirements, as there is limited scope for inter-basin arbitrage trading. The recent coronavirus outbreak has also introduced uncertainty regarding demand for LNG over the near-term, particularly in China. In addition, spot rates are likely to be prone to further periods of seasonality and volatility similar to those seen during 2019.</w:t>
      </w:r>
    </w:p>
    <w:p>
      <w:pPr>
        <w:spacing w:after="0" w:line="163" w:lineRule="exact"/>
        <w:rPr>
          <w:sz w:val="20"/>
          <w:szCs w:val="20"/>
          <w:color w:val="auto"/>
        </w:rPr>
      </w:pPr>
    </w:p>
    <w:p>
      <w:pPr>
        <w:ind w:right="180"/>
        <w:spacing w:after="0" w:line="329" w:lineRule="auto"/>
        <w:rPr>
          <w:sz w:val="20"/>
          <w:szCs w:val="20"/>
          <w:color w:val="auto"/>
        </w:rPr>
      </w:pPr>
      <w:r>
        <w:rPr>
          <w:rFonts w:ascii="Arial" w:cs="Arial" w:eastAsia="Arial" w:hAnsi="Arial"/>
          <w:sz w:val="15"/>
          <w:szCs w:val="15"/>
          <w:color w:val="auto"/>
        </w:rPr>
        <w:t>As of February 4, 2020, the orderbook totals 118 dedicated LNG carriers (&gt;100,000 cbm), following 48 newbuilding orders in 2019, according to estimates from Poten. This represents 22% of the on the water fleet, approximately in line with the beginning of 2019. Of these, 74 vessels (or 63%) have multi-year charters.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Contracted Charter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GasLog Partners’ contracted charter revenues and vessel utilization after December 31, 2019:</w:t>
      </w:r>
    </w:p>
    <w:p>
      <w:pPr>
        <w:spacing w:after="0" w:line="231"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For the years ending December 31,</w:t>
            </w:r>
          </w:p>
        </w:tc>
        <w:tc>
          <w:tcPr>
            <w:tcW w:w="1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2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91"/>
              </w:rPr>
              <w:t>2024-2026</w:t>
            </w: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Contracted time charter revenues</w:t>
            </w:r>
            <w:r>
              <w:rPr>
                <w:rFonts w:ascii="Arial" w:cs="Arial" w:eastAsia="Arial" w:hAnsi="Arial"/>
                <w:sz w:val="21"/>
                <w:szCs w:val="21"/>
                <w:color w:val="auto"/>
                <w:vertAlign w:val="superscript"/>
              </w:rPr>
              <w:t>(1)(2)(3)(4)(5)</w:t>
            </w:r>
          </w:p>
        </w:tc>
        <w:tc>
          <w:tcPr>
            <w:tcW w:w="104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$295.4</w:t>
            </w:r>
          </w:p>
        </w:tc>
        <w:tc>
          <w:tcPr>
            <w:tcW w:w="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$197.1</w:t>
            </w:r>
          </w:p>
        </w:tc>
        <w:tc>
          <w:tcPr>
            <w:tcW w:w="122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$162.0</w:t>
            </w:r>
          </w:p>
        </w:tc>
        <w:tc>
          <w:tcPr>
            <w:tcW w:w="1220" w:type="dxa"/>
            <w:vAlign w:val="bottom"/>
            <w:shd w:val="clear" w:color="auto" w:fill="E5FFFF"/>
          </w:tcPr>
          <w:p>
            <w:pPr>
              <w:jc w:val="right"/>
              <w:ind w:right="339"/>
              <w:spacing w:after="0"/>
              <w:rPr>
                <w:sz w:val="20"/>
                <w:szCs w:val="20"/>
                <w:color w:val="auto"/>
              </w:rPr>
            </w:pPr>
            <w:r>
              <w:rPr>
                <w:rFonts w:ascii="Arial" w:cs="Arial" w:eastAsia="Arial" w:hAnsi="Arial"/>
                <w:sz w:val="16"/>
                <w:szCs w:val="16"/>
                <w:color w:val="auto"/>
              </w:rPr>
              <w:t>$139.6</w:t>
            </w:r>
          </w:p>
        </w:tc>
        <w:tc>
          <w:tcPr>
            <w:tcW w:w="114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$151.2</w:t>
            </w: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$945.3</w:t>
            </w: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spacing w:after="0" w:line="203" w:lineRule="exact"/>
              <w:rPr>
                <w:sz w:val="20"/>
                <w:szCs w:val="20"/>
                <w:color w:val="auto"/>
              </w:rPr>
            </w:pPr>
            <w:r>
              <w:rPr>
                <w:rFonts w:ascii="Arial" w:cs="Arial" w:eastAsia="Arial" w:hAnsi="Arial"/>
                <w:sz w:val="16"/>
                <w:szCs w:val="16"/>
                <w:color w:val="auto"/>
              </w:rPr>
              <w:t>Total contracted days</w:t>
            </w:r>
            <w:r>
              <w:rPr>
                <w:rFonts w:ascii="Arial" w:cs="Arial" w:eastAsia="Arial" w:hAnsi="Arial"/>
                <w:sz w:val="21"/>
                <w:szCs w:val="21"/>
                <w:color w:val="auto"/>
                <w:vertAlign w:val="superscript"/>
              </w:rPr>
              <w:t>(1)(2)</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4,348</w:t>
            </w:r>
          </w:p>
        </w:tc>
        <w:tc>
          <w:tcPr>
            <w:tcW w:w="860" w:type="dxa"/>
            <w:vAlign w:val="bottom"/>
          </w:tcPr>
          <w:p>
            <w:pPr>
              <w:jc w:val="right"/>
              <w:spacing w:after="0"/>
              <w:rPr>
                <w:sz w:val="20"/>
                <w:szCs w:val="20"/>
                <w:color w:val="auto"/>
              </w:rPr>
            </w:pPr>
            <w:r>
              <w:rPr>
                <w:rFonts w:ascii="Arial" w:cs="Arial" w:eastAsia="Arial" w:hAnsi="Arial"/>
                <w:sz w:val="16"/>
                <w:szCs w:val="16"/>
                <w:color w:val="auto"/>
              </w:rPr>
              <w:t>2,772</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2,159</w:t>
            </w: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1,672</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1,763</w:t>
            </w:r>
          </w:p>
        </w:tc>
        <w:tc>
          <w:tcPr>
            <w:tcW w:w="800" w:type="dxa"/>
            <w:vAlign w:val="bottom"/>
          </w:tcPr>
          <w:p>
            <w:pPr>
              <w:jc w:val="right"/>
              <w:spacing w:after="0"/>
              <w:rPr>
                <w:sz w:val="20"/>
                <w:szCs w:val="20"/>
                <w:color w:val="auto"/>
              </w:rPr>
            </w:pPr>
            <w:r>
              <w:rPr>
                <w:rFonts w:ascii="Arial" w:cs="Arial" w:eastAsia="Arial" w:hAnsi="Arial"/>
                <w:sz w:val="16"/>
                <w:szCs w:val="16"/>
                <w:color w:val="auto"/>
              </w:rPr>
              <w:t>12,714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Total available days</w:t>
            </w:r>
            <w:r>
              <w:rPr>
                <w:rFonts w:ascii="Arial" w:cs="Arial" w:eastAsia="Arial" w:hAnsi="Arial"/>
                <w:sz w:val="21"/>
                <w:szCs w:val="21"/>
                <w:color w:val="auto"/>
                <w:vertAlign w:val="superscript"/>
              </w:rPr>
              <w:t>(6)</w:t>
            </w:r>
          </w:p>
        </w:tc>
        <w:tc>
          <w:tcPr>
            <w:tcW w:w="104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5,370</w:t>
            </w:r>
          </w:p>
        </w:tc>
        <w:tc>
          <w:tcPr>
            <w:tcW w:w="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5,325</w:t>
            </w:r>
          </w:p>
        </w:tc>
        <w:tc>
          <w:tcPr>
            <w:tcW w:w="122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5,475</w:t>
            </w:r>
          </w:p>
        </w:tc>
        <w:tc>
          <w:tcPr>
            <w:tcW w:w="1220" w:type="dxa"/>
            <w:vAlign w:val="bottom"/>
            <w:shd w:val="clear" w:color="auto" w:fill="E5FFFF"/>
          </w:tcPr>
          <w:p>
            <w:pPr>
              <w:jc w:val="right"/>
              <w:ind w:right="339"/>
              <w:spacing w:after="0"/>
              <w:rPr>
                <w:sz w:val="20"/>
                <w:szCs w:val="20"/>
                <w:color w:val="auto"/>
              </w:rPr>
            </w:pPr>
            <w:r>
              <w:rPr>
                <w:rFonts w:ascii="Arial" w:cs="Arial" w:eastAsia="Arial" w:hAnsi="Arial"/>
                <w:sz w:val="16"/>
                <w:szCs w:val="16"/>
                <w:color w:val="auto"/>
              </w:rPr>
              <w:t>5,355</w:t>
            </w:r>
          </w:p>
        </w:tc>
        <w:tc>
          <w:tcPr>
            <w:tcW w:w="114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16,110</w:t>
            </w: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37,635</w:t>
            </w: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spacing w:after="0" w:line="203" w:lineRule="exact"/>
              <w:rPr>
                <w:sz w:val="20"/>
                <w:szCs w:val="20"/>
                <w:color w:val="auto"/>
              </w:rPr>
            </w:pPr>
            <w:r>
              <w:rPr>
                <w:rFonts w:ascii="Arial" w:cs="Arial" w:eastAsia="Arial" w:hAnsi="Arial"/>
                <w:sz w:val="16"/>
                <w:szCs w:val="16"/>
                <w:color w:val="auto"/>
              </w:rPr>
              <w:t>Total unfixed days</w:t>
            </w:r>
            <w:r>
              <w:rPr>
                <w:rFonts w:ascii="Arial" w:cs="Arial" w:eastAsia="Arial" w:hAnsi="Arial"/>
                <w:sz w:val="21"/>
                <w:szCs w:val="21"/>
                <w:color w:val="auto"/>
                <w:vertAlign w:val="superscript"/>
              </w:rPr>
              <w:t>(7)</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1,022</w:t>
            </w:r>
          </w:p>
        </w:tc>
        <w:tc>
          <w:tcPr>
            <w:tcW w:w="860" w:type="dxa"/>
            <w:vAlign w:val="bottom"/>
          </w:tcPr>
          <w:p>
            <w:pPr>
              <w:jc w:val="right"/>
              <w:spacing w:after="0"/>
              <w:rPr>
                <w:sz w:val="20"/>
                <w:szCs w:val="20"/>
                <w:color w:val="auto"/>
              </w:rPr>
            </w:pPr>
            <w:r>
              <w:rPr>
                <w:rFonts w:ascii="Arial" w:cs="Arial" w:eastAsia="Arial" w:hAnsi="Arial"/>
                <w:sz w:val="16"/>
                <w:szCs w:val="16"/>
                <w:color w:val="auto"/>
              </w:rPr>
              <w:t>2,553</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3,316</w:t>
            </w: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3,683</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14,347</w:t>
            </w:r>
          </w:p>
        </w:tc>
        <w:tc>
          <w:tcPr>
            <w:tcW w:w="800" w:type="dxa"/>
            <w:vAlign w:val="bottom"/>
          </w:tcPr>
          <w:p>
            <w:pPr>
              <w:jc w:val="right"/>
              <w:spacing w:after="0"/>
              <w:rPr>
                <w:sz w:val="20"/>
                <w:szCs w:val="20"/>
                <w:color w:val="auto"/>
              </w:rPr>
            </w:pPr>
            <w:r>
              <w:rPr>
                <w:rFonts w:ascii="Arial" w:cs="Arial" w:eastAsia="Arial" w:hAnsi="Arial"/>
                <w:sz w:val="16"/>
                <w:szCs w:val="16"/>
                <w:color w:val="auto"/>
              </w:rPr>
              <w:t>24,921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E5FFFF"/>
          </w:tcPr>
          <w:p>
            <w:pPr>
              <w:spacing w:after="0"/>
              <w:rPr>
                <w:sz w:val="20"/>
                <w:szCs w:val="20"/>
                <w:color w:val="auto"/>
              </w:rPr>
            </w:pPr>
            <w:r>
              <w:rPr>
                <w:rFonts w:ascii="Arial" w:cs="Arial" w:eastAsia="Arial" w:hAnsi="Arial"/>
                <w:sz w:val="16"/>
                <w:szCs w:val="16"/>
                <w:color w:val="auto"/>
              </w:rPr>
              <w:t>Percentage of total contracted days/total available days</w:t>
            </w:r>
          </w:p>
        </w:tc>
        <w:tc>
          <w:tcPr>
            <w:tcW w:w="104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81.0%</w:t>
            </w:r>
          </w:p>
        </w:tc>
        <w:tc>
          <w:tcPr>
            <w:tcW w:w="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52.1%</w:t>
            </w:r>
          </w:p>
        </w:tc>
        <w:tc>
          <w:tcPr>
            <w:tcW w:w="122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39.4%</w:t>
            </w:r>
          </w:p>
        </w:tc>
        <w:tc>
          <w:tcPr>
            <w:tcW w:w="1220" w:type="dxa"/>
            <w:vAlign w:val="bottom"/>
            <w:shd w:val="clear" w:color="auto" w:fill="E5FFFF"/>
          </w:tcPr>
          <w:p>
            <w:pPr>
              <w:jc w:val="right"/>
              <w:ind w:right="339"/>
              <w:spacing w:after="0"/>
              <w:rPr>
                <w:sz w:val="20"/>
                <w:szCs w:val="20"/>
                <w:color w:val="auto"/>
              </w:rPr>
            </w:pPr>
            <w:r>
              <w:rPr>
                <w:rFonts w:ascii="Arial" w:cs="Arial" w:eastAsia="Arial" w:hAnsi="Arial"/>
                <w:sz w:val="16"/>
                <w:szCs w:val="16"/>
                <w:color w:val="auto"/>
              </w:rPr>
              <w:t>31.2%</w:t>
            </w:r>
          </w:p>
        </w:tc>
        <w:tc>
          <w:tcPr>
            <w:tcW w:w="114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10.9%</w:t>
            </w: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33.8%</w:t>
            </w: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46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61"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Reflects time charter revenues and contracted days for the 15 LNG carriers in our fleet as of December 31, 2019.</w:t>
      </w:r>
    </w:p>
    <w:p>
      <w:pPr>
        <w:spacing w:after="0" w:line="114" w:lineRule="exact"/>
        <w:rPr>
          <w:rFonts w:ascii="Arial" w:cs="Arial" w:eastAsia="Arial" w:hAnsi="Arial"/>
          <w:sz w:val="18"/>
          <w:szCs w:val="18"/>
          <w:color w:val="auto"/>
          <w:vertAlign w:val="superscript"/>
        </w:rPr>
      </w:pPr>
    </w:p>
    <w:p>
      <w:pPr>
        <w:ind w:left="200" w:right="400" w:hanging="192"/>
        <w:spacing w:after="0" w:line="215" w:lineRule="auto"/>
        <w:tabs>
          <w:tab w:leader="none" w:pos="191"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Our ships are scheduled to undergo dry-docking once every five years. Revenue calculations assume 365 revenue days per ship per annum, with 30 off-hire days when each ship undergoes scheduled dry-docking.</w:t>
      </w:r>
    </w:p>
    <w:p>
      <w:pPr>
        <w:spacing w:after="0" w:line="116" w:lineRule="exact"/>
        <w:rPr>
          <w:rFonts w:ascii="Arial" w:cs="Arial" w:eastAsia="Arial" w:hAnsi="Arial"/>
          <w:sz w:val="18"/>
          <w:szCs w:val="18"/>
          <w:color w:val="auto"/>
          <w:vertAlign w:val="superscript"/>
        </w:rPr>
      </w:pPr>
    </w:p>
    <w:p>
      <w:pPr>
        <w:ind w:left="200" w:right="280" w:hanging="192"/>
        <w:spacing w:after="0" w:line="215" w:lineRule="auto"/>
        <w:tabs>
          <w:tab w:leader="none" w:pos="191"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For time charters that include a fixed operating cost component, subject to annual escalation, revenue calculations include that fixed annual escalation. Revenue calculations for such charters include an estimate of the amount of the operating cost component and the management fee component.</w:t>
      </w:r>
    </w:p>
    <w:p>
      <w:pPr>
        <w:spacing w:after="0" w:line="114"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For time charters that include a variable rate of hire within an agreed range during the charter period, revenue calculations are based on the agreed minimum rate of hire for the respective period.</w:t>
      </w:r>
    </w:p>
    <w:p>
      <w:pPr>
        <w:spacing w:after="0" w:line="90"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Revenue calculations assume no exercise of any option to extend the terms of the charters.</w:t>
      </w:r>
    </w:p>
    <w:p>
      <w:pPr>
        <w:spacing w:after="0" w:line="90"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Available days represent total calendar days after deducting 30 off-hire days when the ship undergoes scheduled dry-docking.</w:t>
      </w:r>
    </w:p>
    <w:p>
      <w:pPr>
        <w:spacing w:after="0" w:line="90"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Unfixed days represent available days for the ships after the expiration of the existing charters (assuming charterers do not exercise any option to extend the terms of the charters).</w:t>
      </w:r>
    </w:p>
    <w:p>
      <w:pPr>
        <w:spacing w:after="0" w:line="191" w:lineRule="exact"/>
        <w:rPr>
          <w:sz w:val="20"/>
          <w:szCs w:val="20"/>
          <w:color w:val="auto"/>
        </w:rPr>
      </w:pPr>
    </w:p>
    <w:p>
      <w:pPr>
        <w:ind w:firstLine="194"/>
        <w:spacing w:after="0" w:line="302" w:lineRule="auto"/>
        <w:rPr>
          <w:sz w:val="20"/>
          <w:szCs w:val="20"/>
          <w:color w:val="auto"/>
        </w:rPr>
      </w:pPr>
      <w:r>
        <w:rPr>
          <w:rFonts w:ascii="Arial" w:cs="Arial" w:eastAsia="Arial" w:hAnsi="Arial"/>
          <w:sz w:val="14"/>
          <w:szCs w:val="14"/>
          <w:color w:val="auto"/>
        </w:rPr>
        <w:t>The table above provides information about our contracted charter revenues and ship utilization based on contracts in effect for the 15 LNG carriers in our fleet as of December 31, 2019. The table reflects only our contracted charter revenues for the ships in our owned fleet for which we have secured time charters, and it does not reflect the costs or expenses we will incur in fulfilling our obligations under the charters. In particular, the table does not reflect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non-performance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w:t>
      </w:r>
    </w:p>
    <w:p>
      <w:pPr>
        <w:spacing w:after="0" w:line="4"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Form 20-F filed with the SEC on February 26, 2019.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22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GasLog Partners and GasLog will host a joint conference call to discuss their results for the fourth quarter of 2019 at 8:30 a.m. EST (1:30 p.m. GMT) on Thursday, February 6, 2020. Andrew Orekar, Chief Executive Officer of GasLog Partners, and Paul Wogan, Chief Executive Officer of GasLog, will review the operational and financial performance of both companies. Management’s presentation will be followed by a Q&amp;A session.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dial-in numbers for the conference call are as follows: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+1 855 253 8928 (USA)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+44 20 3107 0289 (United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+33 1 70 80 71 53 (France)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+852 5819 4851 (Hong Kong)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+47 2396 4173 (Oslo)</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Conference ID: 2692918</w:t>
      </w:r>
    </w:p>
    <w:p>
      <w:pPr>
        <w:spacing w:after="0" w:line="221"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A live webcast of the conference call will also be available on the Investor Relations page of both the GasLog Partners (</w:t>
      </w:r>
      <w:r>
        <w:rPr>
          <w:rFonts w:ascii="Arial" w:cs="Arial" w:eastAsia="Arial" w:hAnsi="Arial"/>
          <w:sz w:val="16"/>
          <w:szCs w:val="16"/>
          <w:u w:val="single" w:color="auto"/>
          <w:color w:val="auto"/>
        </w:rPr>
        <w:t>http://www.gaslogmlp.com/investors)</w:t>
      </w:r>
      <w:r>
        <w:rPr>
          <w:rFonts w:ascii="Arial" w:cs="Arial" w:eastAsia="Arial" w:hAnsi="Arial"/>
          <w:sz w:val="16"/>
          <w:szCs w:val="16"/>
          <w:color w:val="auto"/>
        </w:rPr>
        <w:t xml:space="preserve"> and GasLog (</w:t>
      </w:r>
      <w:r>
        <w:rPr>
          <w:rFonts w:ascii="Arial" w:cs="Arial" w:eastAsia="Arial" w:hAnsi="Arial"/>
          <w:sz w:val="16"/>
          <w:szCs w:val="16"/>
          <w:u w:val="single" w:color="auto"/>
          <w:color w:val="auto"/>
        </w:rPr>
        <w:t>http://www.gaslogltd.com/investors</w:t>
      </w:r>
      <w:r>
        <w:rPr>
          <w:rFonts w:ascii="Arial" w:cs="Arial" w:eastAsia="Arial" w:hAnsi="Arial"/>
          <w:sz w:val="16"/>
          <w:szCs w:val="16"/>
          <w:color w:val="auto"/>
        </w:rPr>
        <w:t>) websites.</w:t>
      </w:r>
    </w:p>
    <w:p>
      <w:pPr>
        <w:spacing w:after="0" w:line="159" w:lineRule="exact"/>
        <w:rPr>
          <w:sz w:val="20"/>
          <w:szCs w:val="20"/>
          <w:color w:val="auto"/>
        </w:rPr>
      </w:pPr>
    </w:p>
    <w:p>
      <w:pPr>
        <w:ind w:right="1260"/>
        <w:spacing w:after="0" w:line="293" w:lineRule="auto"/>
        <w:rPr>
          <w:sz w:val="20"/>
          <w:szCs w:val="20"/>
          <w:color w:val="auto"/>
        </w:rPr>
      </w:pPr>
      <w:r>
        <w:rPr>
          <w:rFonts w:ascii="Arial" w:cs="Arial" w:eastAsia="Arial" w:hAnsi="Arial"/>
          <w:sz w:val="16"/>
          <w:szCs w:val="16"/>
          <w:color w:val="auto"/>
        </w:rPr>
        <w:t xml:space="preserve">For those unable to participate in the conference call, a replay of the webcast will be available on the Investor Relations pages of the companies’ websites at </w:t>
      </w:r>
      <w:r>
        <w:rPr>
          <w:rFonts w:ascii="Arial" w:cs="Arial" w:eastAsia="Arial" w:hAnsi="Arial"/>
          <w:sz w:val="16"/>
          <w:szCs w:val="16"/>
          <w:u w:val="single" w:color="auto"/>
          <w:color w:val="auto"/>
        </w:rPr>
        <w:t>http://www.gaslogmlp.com/investors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http://www.gaslogltd.com/investors.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 Partners</w:t>
      </w:r>
    </w:p>
    <w:p>
      <w:pPr>
        <w:spacing w:after="0" w:line="225"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 xml:space="preserve">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w:t>
      </w:r>
      <w:r>
        <w:rPr>
          <w:rFonts w:ascii="Arial" w:cs="Arial" w:eastAsia="Arial" w:hAnsi="Arial"/>
          <w:sz w:val="16"/>
          <w:szCs w:val="16"/>
          <w:u w:val="single" w:color="auto"/>
          <w:color w:val="auto"/>
        </w:rPr>
        <w:t>http://www.gaslogmlp.com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and the impact of cash distribution reductions on the Partnership’s business and growth prospects,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21" w:lineRule="exact"/>
        <w:rPr>
          <w:sz w:val="20"/>
          <w:szCs w:val="20"/>
          <w:color w:val="auto"/>
        </w:rPr>
      </w:pPr>
    </w:p>
    <w:p>
      <w:pPr>
        <w:ind w:left="660" w:right="140" w:hanging="328"/>
        <w:spacing w:after="0" w:line="266"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 w:lineRule="exact"/>
        <w:rPr>
          <w:rFonts w:ascii="Arial" w:cs="Arial" w:eastAsia="Arial" w:hAnsi="Arial"/>
          <w:sz w:val="16"/>
          <w:szCs w:val="16"/>
          <w:color w:val="auto"/>
        </w:rPr>
      </w:pPr>
    </w:p>
    <w:p>
      <w:pPr>
        <w:ind w:left="620" w:hanging="288"/>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fluctuations in charter hire rates and vessel values;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secure new multi-year charters at economically attractive rates;</w:t>
      </w:r>
    </w:p>
    <w:p>
      <w:pPr>
        <w:spacing w:after="0" w:line="18" w:lineRule="exact"/>
        <w:rPr>
          <w:rFonts w:ascii="Arial" w:cs="Arial" w:eastAsia="Arial" w:hAnsi="Arial"/>
          <w:sz w:val="16"/>
          <w:szCs w:val="16"/>
          <w:color w:val="auto"/>
        </w:rPr>
      </w:pPr>
    </w:p>
    <w:p>
      <w:pPr>
        <w:jc w:val="both"/>
        <w:ind w:left="660" w:right="120" w:hanging="328"/>
        <w:spacing w:after="0" w:line="264"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ind w:left="620" w:hanging="288"/>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 including LNG;</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fluctuations in exchange rates, especially the U.S. dollar and Euro;</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expand our portfolio by acquiring vessels through our drop-down pipeline with GasLog or by acquiring other assets from third parties;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leverage GasLog’s relationships and reputation in the shipping industry;</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ability of GasLog to maintain long-term relationships with major energy companies and major LNG producers, marketers and consumers;</w:t>
      </w:r>
    </w:p>
    <w:p>
      <w:pPr>
        <w:spacing w:after="0" w:line="18" w:lineRule="exact"/>
        <w:rPr>
          <w:rFonts w:ascii="Arial" w:cs="Arial" w:eastAsia="Arial" w:hAnsi="Arial"/>
          <w:sz w:val="16"/>
          <w:szCs w:val="16"/>
          <w:color w:val="auto"/>
        </w:rPr>
      </w:pPr>
    </w:p>
    <w:p>
      <w:pPr>
        <w:ind w:left="660" w:right="340" w:hanging="328"/>
        <w:spacing w:after="0" w:line="264"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ind w:left="620" w:hanging="288"/>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future operating performance, financial condition, liquidity and cash available for distributions;</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0" w:name="page11"/>
    <w:bookmarkEnd w:id="10"/>
    <w:p>
      <w:pPr>
        <w:ind w:left="660" w:right="140" w:hanging="328"/>
        <w:spacing w:after="0" w:line="266"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spacing w:after="0" w:line="1" w:lineRule="exact"/>
        <w:rPr>
          <w:rFonts w:ascii="Arial" w:cs="Arial" w:eastAsia="Arial" w:hAnsi="Arial"/>
          <w:sz w:val="16"/>
          <w:szCs w:val="16"/>
          <w:color w:val="auto"/>
        </w:rPr>
      </w:pPr>
    </w:p>
    <w:p>
      <w:pPr>
        <w:ind w:left="620" w:hanging="288"/>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risks inherent in ship operation, including the discharge of pollutants;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w:t>
      </w:r>
    </w:p>
    <w:p>
      <w:pPr>
        <w:spacing w:after="0" w:line="30" w:lineRule="exact"/>
        <w:rPr>
          <w:rFonts w:ascii="Arial" w:cs="Arial" w:eastAsia="Arial" w:hAnsi="Arial"/>
          <w:sz w:val="15"/>
          <w:szCs w:val="15"/>
          <w:color w:val="auto"/>
        </w:rPr>
      </w:pPr>
    </w:p>
    <w:p>
      <w:pPr>
        <w:ind w:left="660" w:hanging="328"/>
        <w:spacing w:after="0" w:line="264"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ind w:left="620" w:hanging="288"/>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political events, piracy or acts by terrorists;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potential liability from future litigation; and</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other risks and uncertainties described in the Partnership’s Annual Report on Form 20-F filed with the SEC on February 26, 2019, available at </w:t>
      </w:r>
      <w:r>
        <w:rPr>
          <w:rFonts w:ascii="Arial" w:cs="Arial" w:eastAsia="Arial" w:hAnsi="Arial"/>
          <w:sz w:val="15"/>
          <w:szCs w:val="15"/>
          <w:u w:val="single" w:color="auto"/>
          <w:color w:val="auto"/>
        </w:rPr>
        <w:t>http://www.sec.gov</w:t>
      </w:r>
      <w:r>
        <w:rPr>
          <w:rFonts w:ascii="Arial" w:cs="Arial" w:eastAsia="Arial" w:hAnsi="Arial"/>
          <w:sz w:val="15"/>
          <w:szCs w:val="15"/>
          <w:color w:val="auto"/>
        </w:rPr>
        <w:t>.</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6" w:lineRule="exact"/>
        <w:rPr>
          <w:sz w:val="20"/>
          <w:szCs w:val="20"/>
          <w:color w:val="auto"/>
        </w:rPr>
      </w:pPr>
    </w:p>
    <w:p>
      <w:pPr>
        <w:spacing w:after="0" w:line="329" w:lineRule="auto"/>
        <w:rPr>
          <w:sz w:val="20"/>
          <w:szCs w:val="20"/>
          <w:color w:val="auto"/>
        </w:rPr>
      </w:pPr>
      <w:r>
        <w:rPr>
          <w:rFonts w:ascii="Arial" w:cs="Arial" w:eastAsia="Arial" w:hAnsi="Arial"/>
          <w:sz w:val="15"/>
          <w:szCs w:val="15"/>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Alastair Maxwell</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+44-203-388-3100</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Philip Corbett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+44-203-388-3116</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Joseph Nelson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Deputy 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+1-212-223-0643</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auto"/>
        </w:rPr>
        <w:t>ir@gaslogmlp.com</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6" w:right="2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20"/>
                <w:szCs w:val="20"/>
                <w:color w:val="auto"/>
              </w:rPr>
            </w:pPr>
            <w:r>
              <w:rPr>
                <w:rFonts w:ascii="Arial" w:cs="Arial" w:eastAsia="Arial" w:hAnsi="Arial"/>
                <w:sz w:val="16"/>
                <w:szCs w:val="16"/>
                <w:b w:val="1"/>
                <w:bCs w:val="1"/>
                <w:color w:val="auto"/>
              </w:rPr>
              <w:t>EXHIBIT I – Unaudited Interim Financial Information: IFRS Common Control Reported Results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60" w:type="dxa"/>
            <w:vAlign w:val="bottom"/>
          </w:tcPr>
          <w:p>
            <w:pPr>
              <w:spacing w:after="0"/>
              <w:rPr>
                <w:sz w:val="20"/>
                <w:szCs w:val="20"/>
                <w:color w:val="auto"/>
              </w:rPr>
            </w:pPr>
            <w:r>
              <w:rPr>
                <w:rFonts w:ascii="Arial" w:cs="Arial" w:eastAsia="Arial" w:hAnsi="Arial"/>
                <w:sz w:val="16"/>
                <w:szCs w:val="16"/>
                <w:b w:val="1"/>
                <w:bCs w:val="1"/>
                <w:color w:val="auto"/>
              </w:rPr>
              <w:t>As of December 31, 2018 and December 31, 2019</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6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260" w:type="dxa"/>
            <w:vAlign w:val="bottom"/>
          </w:tcPr>
          <w:p>
            <w:pPr>
              <w:spacing w:after="0"/>
              <w:rPr>
                <w:sz w:val="24"/>
                <w:szCs w:val="24"/>
                <w:color w:val="auto"/>
              </w:rPr>
            </w:pPr>
          </w:p>
        </w:tc>
        <w:tc>
          <w:tcPr>
            <w:tcW w:w="158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w:t>
            </w:r>
          </w:p>
        </w:tc>
        <w:tc>
          <w:tcPr>
            <w:tcW w:w="158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14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4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assets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3"/>
        </w:trPr>
        <w:tc>
          <w:tcPr>
            <w:tcW w:w="826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5,116</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260" w:type="dxa"/>
            <w:vAlign w:val="bottom"/>
            <w:shd w:val="clear" w:color="auto" w:fill="E5FFFF"/>
          </w:tcPr>
          <w:p>
            <w:pPr>
              <w:spacing w:after="0"/>
              <w:rPr>
                <w:sz w:val="20"/>
                <w:szCs w:val="20"/>
                <w:color w:val="auto"/>
              </w:rPr>
            </w:pPr>
            <w:r>
              <w:rPr>
                <w:rFonts w:ascii="Arial" w:cs="Arial" w:eastAsia="Arial" w:hAnsi="Arial"/>
                <w:sz w:val="16"/>
                <w:szCs w:val="16"/>
                <w:color w:val="auto"/>
              </w:rPr>
              <w:t>Vessels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2,509,283</w:t>
            </w:r>
          </w:p>
        </w:tc>
        <w:tc>
          <w:tcPr>
            <w:tcW w:w="10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2,286,430</w:t>
            </w:r>
          </w:p>
        </w:tc>
        <w:tc>
          <w:tcPr>
            <w:tcW w:w="0" w:type="dxa"/>
            <w:vAlign w:val="bottom"/>
          </w:tcPr>
          <w:p>
            <w:pPr>
              <w:spacing w:after="0"/>
              <w:rPr>
                <w:sz w:val="1"/>
                <w:szCs w:val="1"/>
                <w:color w:val="auto"/>
              </w:rPr>
            </w:pPr>
          </w:p>
        </w:tc>
      </w:tr>
      <w:tr>
        <w:trPr>
          <w:trHeight w:val="203"/>
        </w:trPr>
        <w:tc>
          <w:tcPr>
            <w:tcW w:w="8260" w:type="dxa"/>
            <w:vAlign w:val="bottom"/>
          </w:tcPr>
          <w:p>
            <w:pPr>
              <w:spacing w:after="0"/>
              <w:rPr>
                <w:sz w:val="20"/>
                <w:szCs w:val="20"/>
                <w:color w:val="auto"/>
              </w:rPr>
            </w:pPr>
            <w:r>
              <w:rPr>
                <w:rFonts w:ascii="Arial" w:cs="Arial" w:eastAsia="Arial" w:hAnsi="Arial"/>
                <w:sz w:val="16"/>
                <w:szCs w:val="16"/>
                <w:color w:val="auto"/>
              </w:rPr>
              <w:t>Right-of-use assets</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1,033</w:t>
            </w:r>
          </w:p>
        </w:tc>
        <w:tc>
          <w:tcPr>
            <w:tcW w:w="0" w:type="dxa"/>
            <w:vAlign w:val="bottom"/>
          </w:tcPr>
          <w:p>
            <w:pPr>
              <w:spacing w:after="0"/>
              <w:rPr>
                <w:sz w:val="1"/>
                <w:szCs w:val="1"/>
                <w:color w:val="auto"/>
              </w:rPr>
            </w:pPr>
          </w:p>
        </w:tc>
      </w:tr>
      <w:tr>
        <w:trPr>
          <w:trHeight w:val="196"/>
        </w:trPr>
        <w:tc>
          <w:tcPr>
            <w:tcW w:w="82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2,515,249</w:t>
            </w:r>
          </w:p>
        </w:tc>
        <w:tc>
          <w:tcPr>
            <w:tcW w:w="10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2,287,591</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26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13,811</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7,147</w:t>
            </w:r>
          </w:p>
        </w:tc>
        <w:tc>
          <w:tcPr>
            <w:tcW w:w="0" w:type="dxa"/>
            <w:vAlign w:val="bottom"/>
          </w:tcPr>
          <w:p>
            <w:pPr>
              <w:spacing w:after="0"/>
              <w:rPr>
                <w:sz w:val="1"/>
                <w:szCs w:val="1"/>
                <w:color w:val="auto"/>
              </w:rPr>
            </w:pPr>
          </w:p>
        </w:tc>
      </w:tr>
      <w:tr>
        <w:trPr>
          <w:trHeight w:val="203"/>
        </w:trPr>
        <w:tc>
          <w:tcPr>
            <w:tcW w:w="8260" w:type="dxa"/>
            <w:vAlign w:val="bottom"/>
          </w:tcPr>
          <w:p>
            <w:pPr>
              <w:spacing w:after="0"/>
              <w:rPr>
                <w:sz w:val="20"/>
                <w:szCs w:val="20"/>
                <w:color w:val="auto"/>
              </w:rPr>
            </w:pPr>
            <w:r>
              <w:rPr>
                <w:rFonts w:ascii="Arial" w:cs="Arial" w:eastAsia="Arial" w:hAnsi="Arial"/>
                <w:sz w:val="16"/>
                <w:szCs w:val="16"/>
                <w:color w:val="auto"/>
              </w:rPr>
              <w:t>Inventories</w:t>
            </w:r>
          </w:p>
        </w:tc>
        <w:tc>
          <w:tcPr>
            <w:tcW w:w="1480" w:type="dxa"/>
            <w:vAlign w:val="bottom"/>
          </w:tcPr>
          <w:p>
            <w:pPr>
              <w:jc w:val="right"/>
              <w:spacing w:after="0"/>
              <w:rPr>
                <w:sz w:val="20"/>
                <w:szCs w:val="20"/>
                <w:color w:val="auto"/>
              </w:rPr>
            </w:pPr>
            <w:r>
              <w:rPr>
                <w:rFonts w:ascii="Arial" w:cs="Arial" w:eastAsia="Arial" w:hAnsi="Arial"/>
                <w:sz w:val="16"/>
                <w:szCs w:val="16"/>
                <w:color w:val="auto"/>
              </w:rPr>
              <w:t>3,379</w:t>
            </w:r>
          </w:p>
        </w:tc>
        <w:tc>
          <w:tcPr>
            <w:tcW w:w="1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3,353</w:t>
            </w:r>
          </w:p>
        </w:tc>
        <w:tc>
          <w:tcPr>
            <w:tcW w:w="0" w:type="dxa"/>
            <w:vAlign w:val="bottom"/>
          </w:tcPr>
          <w:p>
            <w:pPr>
              <w:spacing w:after="0"/>
              <w:rPr>
                <w:sz w:val="1"/>
                <w:szCs w:val="1"/>
                <w:color w:val="auto"/>
              </w:rPr>
            </w:pPr>
          </w:p>
        </w:tc>
      </w:tr>
      <w:tr>
        <w:trPr>
          <w:trHeight w:val="203"/>
        </w:trPr>
        <w:tc>
          <w:tcPr>
            <w:tcW w:w="8260" w:type="dxa"/>
            <w:vAlign w:val="bottom"/>
            <w:shd w:val="clear" w:color="auto" w:fill="E5FFFF"/>
          </w:tcPr>
          <w:p>
            <w:pPr>
              <w:spacing w:after="0"/>
              <w:rPr>
                <w:sz w:val="20"/>
                <w:szCs w:val="20"/>
                <w:color w:val="auto"/>
              </w:rPr>
            </w:pPr>
            <w:r>
              <w:rPr>
                <w:rFonts w:ascii="Arial" w:cs="Arial" w:eastAsia="Arial" w:hAnsi="Arial"/>
                <w:sz w:val="16"/>
                <w:szCs w:val="16"/>
                <w:color w:val="auto"/>
              </w:rPr>
              <w:t>Due from related parties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14,540</w:t>
            </w:r>
          </w:p>
        </w:tc>
        <w:tc>
          <w:tcPr>
            <w:tcW w:w="10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26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1480" w:type="dxa"/>
            <w:vAlign w:val="bottom"/>
          </w:tcPr>
          <w:p>
            <w:pPr>
              <w:jc w:val="right"/>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203"/>
        </w:trPr>
        <w:tc>
          <w:tcPr>
            <w:tcW w:w="82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4,615</w:t>
            </w:r>
          </w:p>
        </w:tc>
        <w:tc>
          <w:tcPr>
            <w:tcW w:w="10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03"/>
        </w:trPr>
        <w:tc>
          <w:tcPr>
            <w:tcW w:w="8260" w:type="dxa"/>
            <w:vAlign w:val="bottom"/>
          </w:tcPr>
          <w:p>
            <w:pPr>
              <w:spacing w:after="0"/>
              <w:rPr>
                <w:sz w:val="20"/>
                <w:szCs w:val="20"/>
                <w:color w:val="auto"/>
              </w:rPr>
            </w:pPr>
            <w:r>
              <w:rPr>
                <w:rFonts w:ascii="Arial" w:cs="Arial" w:eastAsia="Arial" w:hAnsi="Arial"/>
                <w:sz w:val="16"/>
                <w:szCs w:val="16"/>
                <w:color w:val="auto"/>
              </w:rPr>
              <w:t>Short-term investments</w:t>
            </w:r>
          </w:p>
        </w:tc>
        <w:tc>
          <w:tcPr>
            <w:tcW w:w="148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26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133,370</w:t>
            </w:r>
          </w:p>
        </w:tc>
        <w:tc>
          <w:tcPr>
            <w:tcW w:w="10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96,884</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180,960</w:t>
            </w:r>
          </w:p>
        </w:tc>
        <w:tc>
          <w:tcPr>
            <w:tcW w:w="100" w:type="dxa"/>
            <w:vAlign w:val="bottom"/>
            <w:tcBorders>
              <w:bottom w:val="single" w:sz="8" w:color="E5FF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109,353</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2,696,209</w:t>
            </w:r>
          </w:p>
        </w:tc>
        <w:tc>
          <w:tcPr>
            <w:tcW w:w="100" w:type="dxa"/>
            <w:vAlign w:val="bottom"/>
            <w:tcBorders>
              <w:bottom w:val="single" w:sz="8" w:color="E5FFFF"/>
            </w:tcBorders>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2,396,944</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6"/>
                <w:szCs w:val="16"/>
                <w:b w:val="1"/>
                <w:bCs w:val="1"/>
                <w:color w:val="auto"/>
              </w:rPr>
              <w:t>Partners’ equity and liabilities</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6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Partners’ equity</w:t>
            </w: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tcPr>
          <w:p>
            <w:pPr>
              <w:spacing w:after="0"/>
              <w:rPr>
                <w:sz w:val="20"/>
                <w:szCs w:val="20"/>
                <w:color w:val="auto"/>
              </w:rPr>
            </w:pPr>
            <w:r>
              <w:rPr>
                <w:rFonts w:ascii="Arial" w:cs="Arial" w:eastAsia="Arial" w:hAnsi="Arial"/>
                <w:sz w:val="16"/>
                <w:szCs w:val="16"/>
                <w:color w:val="auto"/>
              </w:rPr>
              <w:t>Owners’ capital</w:t>
            </w:r>
          </w:p>
        </w:tc>
        <w:tc>
          <w:tcPr>
            <w:tcW w:w="1480" w:type="dxa"/>
            <w:vAlign w:val="bottom"/>
          </w:tcPr>
          <w:p>
            <w:pPr>
              <w:jc w:val="right"/>
              <w:spacing w:after="0"/>
              <w:rPr>
                <w:sz w:val="20"/>
                <w:szCs w:val="20"/>
                <w:color w:val="auto"/>
              </w:rPr>
            </w:pPr>
            <w:r>
              <w:rPr>
                <w:rFonts w:ascii="Arial" w:cs="Arial" w:eastAsia="Arial" w:hAnsi="Arial"/>
                <w:sz w:val="16"/>
                <w:szCs w:val="16"/>
                <w:color w:val="auto"/>
              </w:rPr>
              <w:t>73,134</w:t>
            </w:r>
          </w:p>
        </w:tc>
        <w:tc>
          <w:tcPr>
            <w:tcW w:w="1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8260" w:type="dxa"/>
            <w:vAlign w:val="bottom"/>
            <w:shd w:val="clear" w:color="auto" w:fill="E5FFFF"/>
          </w:tcPr>
          <w:p>
            <w:pPr>
              <w:spacing w:after="0"/>
              <w:rPr>
                <w:sz w:val="20"/>
                <w:szCs w:val="20"/>
                <w:color w:val="auto"/>
              </w:rPr>
            </w:pPr>
            <w:r>
              <w:rPr>
                <w:rFonts w:ascii="Arial" w:cs="Arial" w:eastAsia="Arial" w:hAnsi="Arial"/>
                <w:sz w:val="16"/>
                <w:szCs w:val="16"/>
                <w:color w:val="auto"/>
                <w:w w:val="95"/>
              </w:rPr>
              <w:t>Common unitholders (45,448,993 units issued and outstanding as of December 31, 2018 and 46,860,182 units issued and</w:t>
            </w:r>
          </w:p>
        </w:tc>
        <w:tc>
          <w:tcPr>
            <w:tcW w:w="14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4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E5FFFF"/>
          </w:tcPr>
          <w:p>
            <w:pPr>
              <w:ind w:left="160"/>
              <w:spacing w:after="0"/>
              <w:rPr>
                <w:sz w:val="20"/>
                <w:szCs w:val="20"/>
                <w:color w:val="auto"/>
              </w:rPr>
            </w:pPr>
            <w:r>
              <w:rPr>
                <w:rFonts w:ascii="Arial" w:cs="Arial" w:eastAsia="Arial" w:hAnsi="Arial"/>
                <w:sz w:val="16"/>
                <w:szCs w:val="16"/>
                <w:color w:val="auto"/>
              </w:rPr>
              <w:t>outstanding as of December 31, 2019)</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812,863</w:t>
            </w:r>
          </w:p>
        </w:tc>
        <w:tc>
          <w:tcPr>
            <w:tcW w:w="1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606,811</w:t>
            </w:r>
          </w:p>
        </w:tc>
        <w:tc>
          <w:tcPr>
            <w:tcW w:w="0" w:type="dxa"/>
            <w:vAlign w:val="bottom"/>
          </w:tcPr>
          <w:p>
            <w:pPr>
              <w:spacing w:after="0"/>
              <w:rPr>
                <w:sz w:val="1"/>
                <w:szCs w:val="1"/>
                <w:color w:val="auto"/>
              </w:rPr>
            </w:pPr>
          </w:p>
        </w:tc>
      </w:tr>
      <w:tr>
        <w:trPr>
          <w:trHeight w:val="193"/>
        </w:trPr>
        <w:tc>
          <w:tcPr>
            <w:tcW w:w="8260" w:type="dxa"/>
            <w:vAlign w:val="bottom"/>
          </w:tcPr>
          <w:p>
            <w:pPr>
              <w:spacing w:after="0"/>
              <w:rPr>
                <w:sz w:val="20"/>
                <w:szCs w:val="20"/>
                <w:color w:val="auto"/>
              </w:rPr>
            </w:pPr>
            <w:r>
              <w:rPr>
                <w:rFonts w:ascii="Arial" w:cs="Arial" w:eastAsia="Arial" w:hAnsi="Arial"/>
                <w:sz w:val="16"/>
                <w:szCs w:val="16"/>
                <w:color w:val="auto"/>
                <w:w w:val="92"/>
              </w:rPr>
              <w:t>Class B unitholders (nil units issued and outstanding as of December 31, 2018 and 2,490,000 units issued and outstanding as</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260" w:type="dxa"/>
            <w:vAlign w:val="bottom"/>
          </w:tcPr>
          <w:p>
            <w:pPr>
              <w:ind w:left="160"/>
              <w:spacing w:after="0"/>
              <w:rPr>
                <w:sz w:val="20"/>
                <w:szCs w:val="20"/>
                <w:color w:val="auto"/>
              </w:rPr>
            </w:pPr>
            <w:r>
              <w:rPr>
                <w:rFonts w:ascii="Arial" w:cs="Arial" w:eastAsia="Arial" w:hAnsi="Arial"/>
                <w:sz w:val="16"/>
                <w:szCs w:val="16"/>
                <w:color w:val="auto"/>
              </w:rPr>
              <w:t>of December 31, 2019)</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8260" w:type="dxa"/>
            <w:vAlign w:val="bottom"/>
            <w:shd w:val="clear" w:color="auto" w:fill="E5FFFF"/>
          </w:tcPr>
          <w:p>
            <w:pPr>
              <w:spacing w:after="0"/>
              <w:rPr>
                <w:sz w:val="20"/>
                <w:szCs w:val="20"/>
                <w:color w:val="auto"/>
              </w:rPr>
            </w:pPr>
            <w:r>
              <w:rPr>
                <w:rFonts w:ascii="Arial" w:cs="Arial" w:eastAsia="Arial" w:hAnsi="Arial"/>
                <w:sz w:val="16"/>
                <w:szCs w:val="16"/>
                <w:color w:val="auto"/>
                <w:w w:val="93"/>
              </w:rPr>
              <w:t>General partner (927,532 units issued and outstanding as of December 31, 2018 and 1,021,336 units issued and outstanding</w:t>
            </w: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E5FFFF"/>
          </w:tcPr>
          <w:p>
            <w:pPr>
              <w:ind w:left="160"/>
              <w:spacing w:after="0"/>
              <w:rPr>
                <w:sz w:val="20"/>
                <w:szCs w:val="20"/>
                <w:color w:val="auto"/>
              </w:rPr>
            </w:pPr>
            <w:r>
              <w:rPr>
                <w:rFonts w:ascii="Arial" w:cs="Arial" w:eastAsia="Arial" w:hAnsi="Arial"/>
                <w:sz w:val="16"/>
                <w:szCs w:val="16"/>
                <w:color w:val="auto"/>
              </w:rPr>
              <w:t>as of December 31, 2019)</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13,289</w:t>
            </w:r>
          </w:p>
        </w:tc>
        <w:tc>
          <w:tcPr>
            <w:tcW w:w="1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11,271</w:t>
            </w:r>
          </w:p>
        </w:tc>
        <w:tc>
          <w:tcPr>
            <w:tcW w:w="0" w:type="dxa"/>
            <w:vAlign w:val="bottom"/>
          </w:tcPr>
          <w:p>
            <w:pPr>
              <w:spacing w:after="0"/>
              <w:rPr>
                <w:sz w:val="1"/>
                <w:szCs w:val="1"/>
                <w:color w:val="auto"/>
              </w:rPr>
            </w:pPr>
          </w:p>
        </w:tc>
      </w:tr>
      <w:tr>
        <w:trPr>
          <w:trHeight w:val="203"/>
        </w:trPr>
        <w:tc>
          <w:tcPr>
            <w:tcW w:w="8260" w:type="dxa"/>
            <w:vAlign w:val="bottom"/>
          </w:tcPr>
          <w:p>
            <w:pPr>
              <w:spacing w:after="0"/>
              <w:rPr>
                <w:sz w:val="20"/>
                <w:szCs w:val="20"/>
                <w:color w:val="auto"/>
              </w:rPr>
            </w:pPr>
            <w:r>
              <w:rPr>
                <w:rFonts w:ascii="Arial" w:cs="Arial" w:eastAsia="Arial" w:hAnsi="Arial"/>
                <w:sz w:val="16"/>
                <w:szCs w:val="16"/>
                <w:color w:val="auto"/>
              </w:rPr>
              <w:t>Incentive distribution rights (“IDR”)</w:t>
            </w:r>
          </w:p>
        </w:tc>
        <w:tc>
          <w:tcPr>
            <w:tcW w:w="1480" w:type="dxa"/>
            <w:vAlign w:val="bottom"/>
          </w:tcPr>
          <w:p>
            <w:pPr>
              <w:jc w:val="right"/>
              <w:spacing w:after="0"/>
              <w:rPr>
                <w:sz w:val="20"/>
                <w:szCs w:val="20"/>
                <w:color w:val="auto"/>
              </w:rPr>
            </w:pPr>
            <w:r>
              <w:rPr>
                <w:rFonts w:ascii="Arial" w:cs="Arial" w:eastAsia="Arial" w:hAnsi="Arial"/>
                <w:sz w:val="16"/>
                <w:szCs w:val="16"/>
                <w:color w:val="auto"/>
              </w:rPr>
              <w:t>5,176</w:t>
            </w:r>
          </w:p>
        </w:tc>
        <w:tc>
          <w:tcPr>
            <w:tcW w:w="1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8260" w:type="dxa"/>
            <w:vAlign w:val="bottom"/>
            <w:shd w:val="clear" w:color="auto" w:fill="E5FFFF"/>
          </w:tcPr>
          <w:p>
            <w:pPr>
              <w:spacing w:after="0"/>
              <w:rPr>
                <w:sz w:val="20"/>
                <w:szCs w:val="20"/>
                <w:color w:val="auto"/>
              </w:rPr>
            </w:pPr>
            <w:r>
              <w:rPr>
                <w:rFonts w:ascii="Arial" w:cs="Arial" w:eastAsia="Arial" w:hAnsi="Arial"/>
                <w:sz w:val="16"/>
                <w:szCs w:val="16"/>
                <w:color w:val="auto"/>
                <w:w w:val="94"/>
              </w:rPr>
              <w:t>Preference unitholders (5,750,000 Series A Preference Units, 4,600,000 Series B Preference Units and 4,000,000 Series C</w:t>
            </w:r>
          </w:p>
        </w:tc>
        <w:tc>
          <w:tcPr>
            <w:tcW w:w="14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4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E5FFFF"/>
          </w:tcPr>
          <w:p>
            <w:pPr>
              <w:ind w:left="160"/>
              <w:spacing w:after="0"/>
              <w:rPr>
                <w:sz w:val="20"/>
                <w:szCs w:val="20"/>
                <w:color w:val="auto"/>
              </w:rPr>
            </w:pPr>
            <w:r>
              <w:rPr>
                <w:rFonts w:ascii="Arial" w:cs="Arial" w:eastAsia="Arial" w:hAnsi="Arial"/>
                <w:sz w:val="16"/>
                <w:szCs w:val="16"/>
                <w:color w:val="auto"/>
              </w:rPr>
              <w:t>Preference Units issued and outstanding as of December 31, 2018 and December 31, 2019)</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348,331</w:t>
            </w:r>
          </w:p>
        </w:tc>
        <w:tc>
          <w:tcPr>
            <w:tcW w:w="1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347,889</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partners’ equity</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1,252,793</w:t>
            </w:r>
          </w:p>
        </w:tc>
        <w:tc>
          <w:tcPr>
            <w:tcW w:w="100" w:type="dxa"/>
            <w:vAlign w:val="bottom"/>
            <w:tcBorders>
              <w:bottom w:val="single" w:sz="8" w:color="E5FF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965,971</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2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14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14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60" w:type="dxa"/>
            <w:vAlign w:val="bottom"/>
          </w:tcPr>
          <w:p>
            <w:pPr>
              <w:spacing w:after="0"/>
              <w:rPr>
                <w:sz w:val="20"/>
                <w:szCs w:val="20"/>
                <w:color w:val="auto"/>
              </w:rPr>
            </w:pPr>
            <w:r>
              <w:rPr>
                <w:rFonts w:ascii="Arial" w:cs="Arial" w:eastAsia="Arial" w:hAnsi="Arial"/>
                <w:sz w:val="16"/>
                <w:szCs w:val="16"/>
                <w:color w:val="auto"/>
              </w:rPr>
              <w:t>Trade accounts payable</w:t>
            </w:r>
          </w:p>
        </w:tc>
        <w:tc>
          <w:tcPr>
            <w:tcW w:w="1480" w:type="dxa"/>
            <w:vAlign w:val="bottom"/>
          </w:tcPr>
          <w:p>
            <w:pPr>
              <w:jc w:val="right"/>
              <w:spacing w:after="0"/>
              <w:rPr>
                <w:sz w:val="20"/>
                <w:szCs w:val="20"/>
                <w:color w:val="auto"/>
              </w:rPr>
            </w:pPr>
            <w:r>
              <w:rPr>
                <w:rFonts w:ascii="Arial" w:cs="Arial" w:eastAsia="Arial" w:hAnsi="Arial"/>
                <w:sz w:val="16"/>
                <w:szCs w:val="16"/>
                <w:color w:val="auto"/>
              </w:rPr>
              <w:t>7,626</w:t>
            </w:r>
          </w:p>
        </w:tc>
        <w:tc>
          <w:tcPr>
            <w:tcW w:w="1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16,630</w:t>
            </w:r>
          </w:p>
        </w:tc>
        <w:tc>
          <w:tcPr>
            <w:tcW w:w="0" w:type="dxa"/>
            <w:vAlign w:val="bottom"/>
          </w:tcPr>
          <w:p>
            <w:pPr>
              <w:spacing w:after="0"/>
              <w:rPr>
                <w:sz w:val="1"/>
                <w:szCs w:val="1"/>
                <w:color w:val="auto"/>
              </w:rPr>
            </w:pPr>
          </w:p>
        </w:tc>
      </w:tr>
      <w:tr>
        <w:trPr>
          <w:trHeight w:val="203"/>
        </w:trPr>
        <w:tc>
          <w:tcPr>
            <w:tcW w:w="8260" w:type="dxa"/>
            <w:vAlign w:val="bottom"/>
            <w:shd w:val="clear" w:color="auto" w:fill="E5FFFF"/>
          </w:tcPr>
          <w:p>
            <w:pPr>
              <w:spacing w:after="0"/>
              <w:rPr>
                <w:sz w:val="20"/>
                <w:szCs w:val="20"/>
                <w:color w:val="auto"/>
              </w:rPr>
            </w:pPr>
            <w:r>
              <w:rPr>
                <w:rFonts w:ascii="Arial" w:cs="Arial" w:eastAsia="Arial" w:hAnsi="Arial"/>
                <w:sz w:val="16"/>
                <w:szCs w:val="16"/>
                <w:color w:val="auto"/>
              </w:rPr>
              <w:t>Due to related parties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2,623</w:t>
            </w:r>
          </w:p>
        </w:tc>
        <w:tc>
          <w:tcPr>
            <w:tcW w:w="10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5,642</w:t>
            </w:r>
          </w:p>
        </w:tc>
        <w:tc>
          <w:tcPr>
            <w:tcW w:w="0" w:type="dxa"/>
            <w:vAlign w:val="bottom"/>
          </w:tcPr>
          <w:p>
            <w:pPr>
              <w:spacing w:after="0"/>
              <w:rPr>
                <w:sz w:val="1"/>
                <w:szCs w:val="1"/>
                <w:color w:val="auto"/>
              </w:rPr>
            </w:pPr>
          </w:p>
        </w:tc>
      </w:tr>
      <w:tr>
        <w:trPr>
          <w:trHeight w:val="203"/>
        </w:trPr>
        <w:tc>
          <w:tcPr>
            <w:tcW w:w="826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1480" w:type="dxa"/>
            <w:vAlign w:val="bottom"/>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2,607</w:t>
            </w:r>
          </w:p>
        </w:tc>
        <w:tc>
          <w:tcPr>
            <w:tcW w:w="0" w:type="dxa"/>
            <w:vAlign w:val="bottom"/>
          </w:tcPr>
          <w:p>
            <w:pPr>
              <w:spacing w:after="0"/>
              <w:rPr>
                <w:sz w:val="1"/>
                <w:szCs w:val="1"/>
                <w:color w:val="auto"/>
              </w:rPr>
            </w:pPr>
          </w:p>
        </w:tc>
      </w:tr>
      <w:tr>
        <w:trPr>
          <w:trHeight w:val="203"/>
        </w:trPr>
        <w:tc>
          <w:tcPr>
            <w:tcW w:w="8260" w:type="dxa"/>
            <w:vAlign w:val="bottom"/>
            <w:shd w:val="clear" w:color="auto" w:fill="E5FFFF"/>
          </w:tcPr>
          <w:p>
            <w:pPr>
              <w:spacing w:after="0"/>
              <w:rPr>
                <w:sz w:val="20"/>
                <w:szCs w:val="20"/>
                <w:color w:val="auto"/>
              </w:rPr>
            </w:pPr>
            <w:r>
              <w:rPr>
                <w:rFonts w:ascii="Arial" w:cs="Arial" w:eastAsia="Arial" w:hAnsi="Arial"/>
                <w:sz w:val="16"/>
                <w:szCs w:val="16"/>
                <w:color w:val="auto"/>
              </w:rPr>
              <w:t>Other payables and accruals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60,671</w:t>
            </w:r>
          </w:p>
        </w:tc>
        <w:tc>
          <w:tcPr>
            <w:tcW w:w="10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51,570</w:t>
            </w:r>
          </w:p>
        </w:tc>
        <w:tc>
          <w:tcPr>
            <w:tcW w:w="0" w:type="dxa"/>
            <w:vAlign w:val="bottom"/>
          </w:tcPr>
          <w:p>
            <w:pPr>
              <w:spacing w:after="0"/>
              <w:rPr>
                <w:sz w:val="1"/>
                <w:szCs w:val="1"/>
                <w:color w:val="auto"/>
              </w:rPr>
            </w:pPr>
          </w:p>
        </w:tc>
      </w:tr>
      <w:tr>
        <w:trPr>
          <w:trHeight w:val="203"/>
        </w:trPr>
        <w:tc>
          <w:tcPr>
            <w:tcW w:w="8260" w:type="dxa"/>
            <w:vAlign w:val="bottom"/>
          </w:tcPr>
          <w:p>
            <w:pPr>
              <w:spacing w:after="0"/>
              <w:rPr>
                <w:sz w:val="20"/>
                <w:szCs w:val="20"/>
                <w:color w:val="auto"/>
              </w:rPr>
            </w:pPr>
            <w:r>
              <w:rPr>
                <w:rFonts w:ascii="Arial" w:cs="Arial" w:eastAsia="Arial" w:hAnsi="Arial"/>
                <w:sz w:val="16"/>
                <w:szCs w:val="16"/>
                <w:color w:val="auto"/>
              </w:rPr>
              <w:t>Borrowings—current portion</w:t>
            </w:r>
          </w:p>
        </w:tc>
        <w:tc>
          <w:tcPr>
            <w:tcW w:w="1480" w:type="dxa"/>
            <w:vAlign w:val="bottom"/>
          </w:tcPr>
          <w:p>
            <w:pPr>
              <w:jc w:val="right"/>
              <w:spacing w:after="0"/>
              <w:rPr>
                <w:sz w:val="20"/>
                <w:szCs w:val="20"/>
                <w:color w:val="auto"/>
              </w:rPr>
            </w:pPr>
            <w:r>
              <w:rPr>
                <w:rFonts w:ascii="Arial" w:cs="Arial" w:eastAsia="Arial" w:hAnsi="Arial"/>
                <w:sz w:val="16"/>
                <w:szCs w:val="16"/>
                <w:color w:val="auto"/>
              </w:rPr>
              <w:t>440,389</w:t>
            </w:r>
          </w:p>
        </w:tc>
        <w:tc>
          <w:tcPr>
            <w:tcW w:w="1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109,822</w:t>
            </w:r>
          </w:p>
        </w:tc>
        <w:tc>
          <w:tcPr>
            <w:tcW w:w="0" w:type="dxa"/>
            <w:vAlign w:val="bottom"/>
          </w:tcPr>
          <w:p>
            <w:pPr>
              <w:spacing w:after="0"/>
              <w:rPr>
                <w:sz w:val="1"/>
                <w:szCs w:val="1"/>
                <w:color w:val="auto"/>
              </w:rPr>
            </w:pPr>
          </w:p>
        </w:tc>
      </w:tr>
      <w:tr>
        <w:trPr>
          <w:trHeight w:val="203"/>
        </w:trPr>
        <w:tc>
          <w:tcPr>
            <w:tcW w:w="8260" w:type="dxa"/>
            <w:vAlign w:val="bottom"/>
            <w:shd w:val="clear" w:color="auto" w:fill="E5FFFF"/>
          </w:tcPr>
          <w:p>
            <w:pPr>
              <w:spacing w:after="0"/>
              <w:rPr>
                <w:sz w:val="20"/>
                <w:szCs w:val="20"/>
                <w:color w:val="auto"/>
              </w:rPr>
            </w:pPr>
            <w:r>
              <w:rPr>
                <w:rFonts w:ascii="Arial" w:cs="Arial" w:eastAsia="Arial" w:hAnsi="Arial"/>
                <w:sz w:val="16"/>
                <w:szCs w:val="16"/>
                <w:color w:val="auto"/>
              </w:rPr>
              <w:t>Lease liabilities—current portion</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512,562</w:t>
            </w:r>
          </w:p>
        </w:tc>
        <w:tc>
          <w:tcPr>
            <w:tcW w:w="100" w:type="dxa"/>
            <w:vAlign w:val="bottom"/>
            <w:tcBorders>
              <w:bottom w:val="single" w:sz="8" w:color="E5FF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186,743</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2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14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14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6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1480" w:type="dxa"/>
            <w:vAlign w:val="bottom"/>
          </w:tcPr>
          <w:p>
            <w:pPr>
              <w:jc w:val="right"/>
              <w:spacing w:after="0"/>
              <w:rPr>
                <w:sz w:val="20"/>
                <w:szCs w:val="20"/>
                <w:color w:val="auto"/>
              </w:rPr>
            </w:pPr>
            <w:r>
              <w:rPr>
                <w:rFonts w:ascii="Arial" w:cs="Arial" w:eastAsia="Arial" w:hAnsi="Arial"/>
                <w:sz w:val="16"/>
                <w:szCs w:val="16"/>
                <w:color w:val="auto"/>
              </w:rPr>
              <w:t>3,543</w:t>
            </w:r>
          </w:p>
        </w:tc>
        <w:tc>
          <w:tcPr>
            <w:tcW w:w="1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6,688</w:t>
            </w:r>
          </w:p>
        </w:tc>
        <w:tc>
          <w:tcPr>
            <w:tcW w:w="0" w:type="dxa"/>
            <w:vAlign w:val="bottom"/>
          </w:tcPr>
          <w:p>
            <w:pPr>
              <w:spacing w:after="0"/>
              <w:rPr>
                <w:sz w:val="1"/>
                <w:szCs w:val="1"/>
                <w:color w:val="auto"/>
              </w:rPr>
            </w:pPr>
          </w:p>
        </w:tc>
      </w:tr>
      <w:tr>
        <w:trPr>
          <w:trHeight w:val="203"/>
        </w:trPr>
        <w:tc>
          <w:tcPr>
            <w:tcW w:w="8260" w:type="dxa"/>
            <w:vAlign w:val="bottom"/>
            <w:shd w:val="clear" w:color="auto" w:fill="E5FFFF"/>
          </w:tcPr>
          <w:p>
            <w:pPr>
              <w:spacing w:after="0"/>
              <w:rPr>
                <w:sz w:val="20"/>
                <w:szCs w:val="20"/>
                <w:color w:val="auto"/>
              </w:rPr>
            </w:pPr>
            <w:r>
              <w:rPr>
                <w:rFonts w:ascii="Arial" w:cs="Arial" w:eastAsia="Arial" w:hAnsi="Arial"/>
                <w:sz w:val="16"/>
                <w:szCs w:val="16"/>
                <w:color w:val="auto"/>
              </w:rPr>
              <w:t>Borrowings—non-current portion</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925,411</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1,236,202</w:t>
            </w:r>
          </w:p>
        </w:tc>
        <w:tc>
          <w:tcPr>
            <w:tcW w:w="0" w:type="dxa"/>
            <w:vAlign w:val="bottom"/>
          </w:tcPr>
          <w:p>
            <w:pPr>
              <w:spacing w:after="0"/>
              <w:rPr>
                <w:sz w:val="1"/>
                <w:szCs w:val="1"/>
                <w:color w:val="auto"/>
              </w:rPr>
            </w:pPr>
          </w:p>
        </w:tc>
      </w:tr>
      <w:tr>
        <w:trPr>
          <w:trHeight w:val="203"/>
        </w:trPr>
        <w:tc>
          <w:tcPr>
            <w:tcW w:w="8260" w:type="dxa"/>
            <w:vAlign w:val="bottom"/>
          </w:tcPr>
          <w:p>
            <w:pPr>
              <w:spacing w:after="0"/>
              <w:rPr>
                <w:sz w:val="20"/>
                <w:szCs w:val="20"/>
                <w:color w:val="auto"/>
              </w:rPr>
            </w:pPr>
            <w:r>
              <w:rPr>
                <w:rFonts w:ascii="Arial" w:cs="Arial" w:eastAsia="Arial" w:hAnsi="Arial"/>
                <w:sz w:val="16"/>
                <w:szCs w:val="16"/>
                <w:color w:val="auto"/>
              </w:rPr>
              <w:t>Lease liabilities—non-current portion</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03"/>
        </w:trPr>
        <w:tc>
          <w:tcPr>
            <w:tcW w:w="826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liabilities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1,900</w:t>
            </w:r>
          </w:p>
        </w:tc>
        <w:tc>
          <w:tcPr>
            <w:tcW w:w="10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930,854</w:t>
            </w:r>
          </w:p>
        </w:tc>
        <w:tc>
          <w:tcPr>
            <w:tcW w:w="100" w:type="dxa"/>
            <w:vAlign w:val="bottom"/>
            <w:tcBorders>
              <w:bottom w:val="single" w:sz="8" w:color="E5FF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1,244,230</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2,696,209</w:t>
            </w:r>
          </w:p>
        </w:tc>
        <w:tc>
          <w:tcPr>
            <w:tcW w:w="100" w:type="dxa"/>
            <w:vAlign w:val="bottom"/>
            <w:tcBorders>
              <w:bottom w:val="single" w:sz="8" w:color="E5FFFF"/>
            </w:tcBorders>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2,396,944</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ind w:right="4960"/>
        <w:spacing w:after="0" w:line="288" w:lineRule="auto"/>
        <w:rPr>
          <w:sz w:val="20"/>
          <w:szCs w:val="20"/>
          <w:color w:val="auto"/>
        </w:rPr>
      </w:pPr>
      <w:r>
        <w:rPr>
          <w:rFonts w:ascii="Arial" w:cs="Arial" w:eastAsia="Arial" w:hAnsi="Arial"/>
          <w:sz w:val="16"/>
          <w:szCs w:val="16"/>
          <w:b w:val="1"/>
          <w:bCs w:val="1"/>
          <w:color w:val="auto"/>
        </w:rPr>
        <w:t>For the three-month periods and the years ended December 31, 2018 and December 31, 2019 (All amounts expressed in thousands of U.S. Dollars, except per unit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30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For the three months ended</w:t>
            </w:r>
          </w:p>
        </w:tc>
        <w:tc>
          <w:tcPr>
            <w:tcW w:w="306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For the years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December 31,</w:t>
            </w:r>
          </w:p>
        </w:tc>
        <w:tc>
          <w:tcPr>
            <w:tcW w:w="15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December 31,</w:t>
            </w:r>
          </w:p>
        </w:tc>
        <w:tc>
          <w:tcPr>
            <w:tcW w:w="15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December 31,</w:t>
            </w:r>
          </w:p>
        </w:tc>
        <w:tc>
          <w:tcPr>
            <w:tcW w:w="15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E5FFFF"/>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E5FFFF"/>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94,575</w:t>
            </w:r>
          </w:p>
        </w:tc>
        <w:tc>
          <w:tcPr>
            <w:tcW w:w="10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96,512</w:t>
            </w:r>
          </w:p>
        </w:tc>
        <w:tc>
          <w:tcPr>
            <w:tcW w:w="10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383,201</w:t>
            </w:r>
          </w:p>
        </w:tc>
        <w:tc>
          <w:tcPr>
            <w:tcW w:w="10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378,687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6"/>
                <w:szCs w:val="16"/>
                <w:color w:val="auto"/>
              </w:rPr>
              <w:t>Net pool allocation</w:t>
            </w: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3,277</w:t>
            </w:r>
          </w:p>
        </w:tc>
        <w:tc>
          <w:tcPr>
            <w:tcW w:w="15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3,700</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5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(897)</w:t>
            </w:r>
          </w:p>
        </w:tc>
        <w:tc>
          <w:tcPr>
            <w:tcW w:w="1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(1,761)</w:t>
            </w:r>
          </w:p>
        </w:tc>
        <w:tc>
          <w:tcPr>
            <w:tcW w:w="15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(7,506)</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(16,767)</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(21,447)</w:t>
            </w:r>
          </w:p>
        </w:tc>
        <w:tc>
          <w:tcPr>
            <w:tcW w:w="1560" w:type="dxa"/>
            <w:vAlign w:val="bottom"/>
            <w:gridSpan w:val="2"/>
          </w:tcPr>
          <w:p>
            <w:pPr>
              <w:jc w:val="right"/>
              <w:ind w:right="40"/>
              <w:spacing w:after="0"/>
              <w:rPr>
                <w:sz w:val="20"/>
                <w:szCs w:val="20"/>
                <w:color w:val="auto"/>
              </w:rPr>
            </w:pPr>
            <w:r>
              <w:rPr>
                <w:rFonts w:ascii="Arial" w:cs="Arial" w:eastAsia="Arial" w:hAnsi="Arial"/>
                <w:sz w:val="16"/>
                <w:szCs w:val="16"/>
                <w:color w:val="auto"/>
              </w:rPr>
              <w:t>(73,697)</w:t>
            </w:r>
          </w:p>
        </w:tc>
        <w:tc>
          <w:tcPr>
            <w:tcW w:w="1460" w:type="dxa"/>
            <w:vAlign w:val="bottom"/>
          </w:tcPr>
          <w:p>
            <w:pPr>
              <w:jc w:val="right"/>
              <w:spacing w:after="0"/>
              <w:rPr>
                <w:sz w:val="20"/>
                <w:szCs w:val="20"/>
                <w:color w:val="auto"/>
              </w:rPr>
            </w:pPr>
            <w:r>
              <w:rPr>
                <w:rFonts w:ascii="Arial" w:cs="Arial" w:eastAsia="Arial" w:hAnsi="Arial"/>
                <w:sz w:val="16"/>
                <w:szCs w:val="16"/>
                <w:color w:val="auto"/>
              </w:rPr>
              <w:t>(76,742)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5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(22,126)</w:t>
            </w:r>
          </w:p>
        </w:tc>
        <w:tc>
          <w:tcPr>
            <w:tcW w:w="1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(22,483)</w:t>
            </w:r>
          </w:p>
        </w:tc>
        <w:tc>
          <w:tcPr>
            <w:tcW w:w="15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(87,584)</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(89,309)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(5,086)</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(5,049)</w:t>
            </w:r>
          </w:p>
        </w:tc>
        <w:tc>
          <w:tcPr>
            <w:tcW w:w="1560" w:type="dxa"/>
            <w:vAlign w:val="bottom"/>
            <w:gridSpan w:val="2"/>
          </w:tcPr>
          <w:p>
            <w:pPr>
              <w:jc w:val="right"/>
              <w:ind w:right="40"/>
              <w:spacing w:after="0"/>
              <w:rPr>
                <w:sz w:val="20"/>
                <w:szCs w:val="20"/>
                <w:color w:val="auto"/>
              </w:rPr>
            </w:pPr>
            <w:r>
              <w:rPr>
                <w:rFonts w:ascii="Arial" w:cs="Arial" w:eastAsia="Arial" w:hAnsi="Arial"/>
                <w:sz w:val="16"/>
                <w:szCs w:val="16"/>
                <w:color w:val="auto"/>
              </w:rPr>
              <w:t>(19,754)</w:t>
            </w:r>
          </w:p>
        </w:tc>
        <w:tc>
          <w:tcPr>
            <w:tcW w:w="1460" w:type="dxa"/>
            <w:vAlign w:val="bottom"/>
          </w:tcPr>
          <w:p>
            <w:pPr>
              <w:jc w:val="right"/>
              <w:spacing w:after="0"/>
              <w:rPr>
                <w:sz w:val="20"/>
                <w:szCs w:val="20"/>
                <w:color w:val="auto"/>
              </w:rPr>
            </w:pPr>
            <w:r>
              <w:rPr>
                <w:rFonts w:ascii="Arial" w:cs="Arial" w:eastAsia="Arial" w:hAnsi="Arial"/>
                <w:sz w:val="16"/>
                <w:szCs w:val="16"/>
                <w:color w:val="auto"/>
              </w:rPr>
              <w:t>(19,401)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w:t>
            </w:r>
          </w:p>
        </w:tc>
        <w:tc>
          <w:tcPr>
            <w:tcW w:w="15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(138,848)</w:t>
            </w: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(138,848)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Profit/(loss) from operations</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52,976</w:t>
            </w:r>
          </w:p>
        </w:tc>
        <w:tc>
          <w:tcPr>
            <w:tcW w:w="100" w:type="dxa"/>
            <w:vAlign w:val="bottom"/>
            <w:tcBorders>
              <w:bottom w:val="single" w:sz="8" w:color="E5FF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(93,076)</w:t>
            </w:r>
          </w:p>
        </w:tc>
        <w:tc>
          <w:tcPr>
            <w:tcW w:w="10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198,360</w:t>
            </w:r>
          </w:p>
        </w:tc>
        <w:tc>
          <w:tcPr>
            <w:tcW w:w="10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48,137</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(18,601)</w:t>
            </w:r>
          </w:p>
        </w:tc>
        <w:tc>
          <w:tcPr>
            <w:tcW w:w="100" w:type="dxa"/>
            <w:vAlign w:val="bottom"/>
            <w:shd w:val="clear" w:color="auto" w:fill="E5FFFF"/>
          </w:tcPr>
          <w:p>
            <w:pPr>
              <w:spacing w:after="0"/>
              <w:rPr>
                <w:sz w:val="17"/>
                <w:szCs w:val="17"/>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(16,348)</w:t>
            </w:r>
          </w:p>
        </w:tc>
        <w:tc>
          <w:tcPr>
            <w:tcW w:w="10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(72,714)</w:t>
            </w:r>
          </w:p>
        </w:tc>
        <w:tc>
          <w:tcPr>
            <w:tcW w:w="10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(71,998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6"/>
                <w:szCs w:val="16"/>
                <w:color w:val="auto"/>
              </w:rPr>
              <w:t>Financial income</w:t>
            </w: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730</w:t>
            </w:r>
          </w:p>
        </w:tc>
        <w:tc>
          <w:tcPr>
            <w:tcW w:w="1540" w:type="dxa"/>
            <w:vAlign w:val="bottom"/>
            <w:gridSpan w:val="2"/>
          </w:tcPr>
          <w:p>
            <w:pPr>
              <w:jc w:val="right"/>
              <w:ind w:right="19"/>
              <w:spacing w:after="0"/>
              <w:rPr>
                <w:sz w:val="20"/>
                <w:szCs w:val="20"/>
                <w:color w:val="auto"/>
              </w:rPr>
            </w:pPr>
            <w:r>
              <w:rPr>
                <w:rFonts w:ascii="Arial" w:cs="Arial" w:eastAsia="Arial" w:hAnsi="Arial"/>
                <w:sz w:val="16"/>
                <w:szCs w:val="16"/>
                <w:color w:val="auto"/>
              </w:rPr>
              <w:t>329</w:t>
            </w:r>
          </w:p>
        </w:tc>
        <w:tc>
          <w:tcPr>
            <w:tcW w:w="1460" w:type="dxa"/>
            <w:vAlign w:val="bottom"/>
          </w:tcPr>
          <w:p>
            <w:pPr>
              <w:jc w:val="right"/>
              <w:spacing w:after="0"/>
              <w:rPr>
                <w:sz w:val="20"/>
                <w:szCs w:val="20"/>
                <w:color w:val="auto"/>
              </w:rPr>
            </w:pPr>
            <w:r>
              <w:rPr>
                <w:rFonts w:ascii="Arial" w:cs="Arial" w:eastAsia="Arial" w:hAnsi="Arial"/>
                <w:sz w:val="16"/>
                <w:szCs w:val="16"/>
                <w:color w:val="auto"/>
              </w:rPr>
              <w:t>2,448</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6"/>
                <w:szCs w:val="16"/>
                <w:color w:val="auto"/>
              </w:rPr>
              <w:t>(Loss)/gain on derivatives</w:t>
            </w:r>
          </w:p>
        </w:tc>
        <w:tc>
          <w:tcPr>
            <w:tcW w:w="15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(10,045)</w:t>
            </w:r>
          </w:p>
        </w:tc>
        <w:tc>
          <w:tcPr>
            <w:tcW w:w="154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2,733</w:t>
            </w:r>
          </w:p>
        </w:tc>
        <w:tc>
          <w:tcPr>
            <w:tcW w:w="15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(48)</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(12,795)</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(27,916)</w:t>
            </w:r>
          </w:p>
        </w:tc>
        <w:tc>
          <w:tcPr>
            <w:tcW w:w="100" w:type="dxa"/>
            <w:vAlign w:val="bottom"/>
            <w:tcBorders>
              <w:bottom w:val="single" w:sz="8" w:color="E5FF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(13,286)</w:t>
            </w:r>
          </w:p>
        </w:tc>
        <w:tc>
          <w:tcPr>
            <w:tcW w:w="10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(70,314)</w:t>
            </w:r>
          </w:p>
        </w:tc>
        <w:tc>
          <w:tcPr>
            <w:tcW w:w="10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(82,906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Profit/(loss) for the year</w:t>
            </w: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25,060</w:t>
            </w:r>
          </w:p>
        </w:tc>
        <w:tc>
          <w:tcPr>
            <w:tcW w:w="100" w:type="dxa"/>
            <w:vAlign w:val="bottom"/>
            <w:tcBorders>
              <w:bottom w:val="single" w:sz="8" w:color="E5FFFF"/>
            </w:tcBorders>
            <w:shd w:val="clear" w:color="auto" w:fill="E5FFFF"/>
          </w:tcPr>
          <w:p>
            <w:pPr>
              <w:spacing w:after="0"/>
              <w:rPr>
                <w:sz w:val="17"/>
                <w:szCs w:val="17"/>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(106,362</w:t>
            </w:r>
          </w:p>
        </w:tc>
        <w:tc>
          <w:tcPr>
            <w:tcW w:w="10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128,046</w:t>
            </w:r>
          </w:p>
        </w:tc>
        <w:tc>
          <w:tcPr>
            <w:tcW w:w="100" w:type="dxa"/>
            <w:vAlign w:val="bottom"/>
            <w:tcBorders>
              <w:bottom w:val="single" w:sz="8" w:color="E5FFFF"/>
            </w:tcBorders>
            <w:shd w:val="clear" w:color="auto" w:fill="E5FFFF"/>
          </w:tcPr>
          <w:p>
            <w:pPr>
              <w:spacing w:after="0"/>
              <w:rPr>
                <w:sz w:val="17"/>
                <w:szCs w:val="17"/>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(34,769</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spacing w:after="0"/>
              <w:rPr>
                <w:sz w:val="20"/>
                <w:szCs w:val="20"/>
                <w:color w:val="auto"/>
              </w:rPr>
            </w:pPr>
            <w:r>
              <w:rPr>
                <w:rFonts w:ascii="Arial" w:cs="Arial" w:eastAsia="Arial" w:hAnsi="Arial"/>
                <w:sz w:val="16"/>
                <w:szCs w:val="16"/>
                <w:color w:val="auto"/>
              </w:rPr>
              <w:t>Less:</w:t>
            </w: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20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6"/>
                <w:szCs w:val="16"/>
                <w:color w:val="auto"/>
              </w:rPr>
              <w:t>Profit attributable to GasLog’s operations</w:t>
            </w:r>
          </w:p>
        </w:tc>
        <w:tc>
          <w:tcPr>
            <w:tcW w:w="15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(4,636)</w:t>
            </w:r>
          </w:p>
        </w:tc>
        <w:tc>
          <w:tcPr>
            <w:tcW w:w="154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(25,449)</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(2,650)</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Profit/(loss) attributable to Partnership’s operations</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20,424</w:t>
            </w:r>
          </w:p>
        </w:tc>
        <w:tc>
          <w:tcPr>
            <w:tcW w:w="100" w:type="dxa"/>
            <w:vAlign w:val="bottom"/>
            <w:tcBorders>
              <w:bottom w:val="single" w:sz="8" w:color="E5FFFF"/>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(106,362</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102,597</w:t>
            </w:r>
          </w:p>
        </w:tc>
        <w:tc>
          <w:tcPr>
            <w:tcW w:w="100" w:type="dxa"/>
            <w:vAlign w:val="bottom"/>
            <w:tcBorders>
              <w:bottom w:val="single" w:sz="8" w:color="E5FFFF"/>
            </w:tcBorders>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(37,419</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0" w:type="dxa"/>
            <w:vAlign w:val="bottom"/>
            <w:shd w:val="clear" w:color="auto" w:fill="E5FFFF"/>
          </w:tcPr>
          <w:p>
            <w:pPr>
              <w:spacing w:after="0" w:line="156" w:lineRule="exact"/>
              <w:rPr>
                <w:sz w:val="20"/>
                <w:szCs w:val="20"/>
                <w:color w:val="auto"/>
              </w:rPr>
            </w:pPr>
            <w:r>
              <w:rPr>
                <w:rFonts w:ascii="Arial" w:cs="Arial" w:eastAsia="Arial" w:hAnsi="Arial"/>
                <w:sz w:val="16"/>
                <w:szCs w:val="16"/>
                <w:b w:val="1"/>
                <w:bCs w:val="1"/>
                <w:color w:val="auto"/>
              </w:rPr>
              <w:t>Partnership’s profit/(loss) attributable to:</w:t>
            </w:r>
          </w:p>
        </w:tc>
        <w:tc>
          <w:tcPr>
            <w:tcW w:w="1440" w:type="dxa"/>
            <w:vAlign w:val="bottom"/>
            <w:shd w:val="clear" w:color="auto" w:fill="E5FFFF"/>
          </w:tcPr>
          <w:p>
            <w:pPr>
              <w:spacing w:after="0"/>
              <w:rPr>
                <w:sz w:val="13"/>
                <w:szCs w:val="13"/>
                <w:color w:val="auto"/>
              </w:rPr>
            </w:pPr>
          </w:p>
        </w:tc>
        <w:tc>
          <w:tcPr>
            <w:tcW w:w="100" w:type="dxa"/>
            <w:vAlign w:val="bottom"/>
            <w:shd w:val="clear" w:color="auto" w:fill="E5FFFF"/>
          </w:tcPr>
          <w:p>
            <w:pPr>
              <w:spacing w:after="0"/>
              <w:rPr>
                <w:sz w:val="13"/>
                <w:szCs w:val="13"/>
                <w:color w:val="auto"/>
              </w:rPr>
            </w:pPr>
          </w:p>
        </w:tc>
        <w:tc>
          <w:tcPr>
            <w:tcW w:w="1440" w:type="dxa"/>
            <w:vAlign w:val="bottom"/>
            <w:shd w:val="clear" w:color="auto" w:fill="E5FFFF"/>
          </w:tcPr>
          <w:p>
            <w:pPr>
              <w:spacing w:after="0"/>
              <w:rPr>
                <w:sz w:val="13"/>
                <w:szCs w:val="13"/>
                <w:color w:val="auto"/>
              </w:rPr>
            </w:pPr>
          </w:p>
        </w:tc>
        <w:tc>
          <w:tcPr>
            <w:tcW w:w="100" w:type="dxa"/>
            <w:vAlign w:val="bottom"/>
            <w:shd w:val="clear" w:color="auto" w:fill="E5FFFF"/>
          </w:tcPr>
          <w:p>
            <w:pPr>
              <w:spacing w:after="0"/>
              <w:rPr>
                <w:sz w:val="13"/>
                <w:szCs w:val="13"/>
                <w:color w:val="auto"/>
              </w:rPr>
            </w:pPr>
          </w:p>
        </w:tc>
        <w:tc>
          <w:tcPr>
            <w:tcW w:w="1460" w:type="dxa"/>
            <w:vAlign w:val="bottom"/>
            <w:shd w:val="clear" w:color="auto" w:fill="E5FFFF"/>
          </w:tcPr>
          <w:p>
            <w:pPr>
              <w:spacing w:after="0"/>
              <w:rPr>
                <w:sz w:val="13"/>
                <w:szCs w:val="13"/>
                <w:color w:val="auto"/>
              </w:rPr>
            </w:pPr>
          </w:p>
        </w:tc>
        <w:tc>
          <w:tcPr>
            <w:tcW w:w="100" w:type="dxa"/>
            <w:vAlign w:val="bottom"/>
            <w:shd w:val="clear" w:color="auto" w:fill="E5FFFF"/>
          </w:tcPr>
          <w:p>
            <w:pPr>
              <w:spacing w:after="0"/>
              <w:rPr>
                <w:sz w:val="13"/>
                <w:szCs w:val="13"/>
                <w:color w:val="auto"/>
              </w:rPr>
            </w:pPr>
          </w:p>
        </w:tc>
        <w:tc>
          <w:tcPr>
            <w:tcW w:w="1460" w:type="dxa"/>
            <w:vAlign w:val="bottom"/>
            <w:shd w:val="clear" w:color="auto" w:fill="E5FF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6"/>
                <w:szCs w:val="16"/>
                <w:color w:val="auto"/>
              </w:rPr>
              <w:t>Common units</w:t>
            </w: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13,600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(111,514)</w:t>
            </w:r>
          </w:p>
        </w:tc>
        <w:tc>
          <w:tcPr>
            <w:tcW w:w="1460" w:type="dxa"/>
            <w:vAlign w:val="bottom"/>
          </w:tcPr>
          <w:p>
            <w:pPr>
              <w:jc w:val="right"/>
              <w:spacing w:after="0"/>
              <w:rPr>
                <w:sz w:val="20"/>
                <w:szCs w:val="20"/>
                <w:color w:val="auto"/>
              </w:rPr>
            </w:pPr>
            <w:r>
              <w:rPr>
                <w:rFonts w:ascii="Arial" w:cs="Arial" w:eastAsia="Arial" w:hAnsi="Arial"/>
                <w:sz w:val="16"/>
                <w:szCs w:val="16"/>
                <w:color w:val="auto"/>
              </w:rPr>
              <w:t>75,879</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(66,268)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5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278</w:t>
            </w:r>
          </w:p>
        </w:tc>
        <w:tc>
          <w:tcPr>
            <w:tcW w:w="1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(2,430)</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1,602</w:t>
            </w:r>
          </w:p>
        </w:tc>
        <w:tc>
          <w:tcPr>
            <w:tcW w:w="10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6"/>
                <w:szCs w:val="16"/>
                <w:color w:val="auto"/>
              </w:rPr>
              <w:t>Incentive distribution rights</w:t>
            </w: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2,618</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6"/>
                <w:szCs w:val="16"/>
                <w:color w:val="auto"/>
              </w:rPr>
              <w:t>Preference units</w:t>
            </w:r>
          </w:p>
        </w:tc>
        <w:tc>
          <w:tcPr>
            <w:tcW w:w="15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6,546</w:t>
            </w:r>
          </w:p>
        </w:tc>
        <w:tc>
          <w:tcPr>
            <w:tcW w:w="154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7,582</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22,498</w:t>
            </w:r>
          </w:p>
        </w:tc>
        <w:tc>
          <w:tcPr>
            <w:tcW w:w="10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30,328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Earnings/(loss) per unit for the period (basic and diluted):</w:t>
            </w:r>
          </w:p>
        </w:tc>
        <w:tc>
          <w:tcPr>
            <w:tcW w:w="14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4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4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46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6"/>
                <w:szCs w:val="16"/>
                <w:color w:val="auto"/>
              </w:rPr>
              <w:t>Common unit (basic)</w:t>
            </w: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0.30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(2.37)</w:t>
            </w:r>
          </w:p>
        </w:tc>
        <w:tc>
          <w:tcPr>
            <w:tcW w:w="146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6"/>
                <w:szCs w:val="16"/>
                <w:color w:val="auto"/>
              </w:rPr>
              <w:t>Common unit (diluted)</w:t>
            </w:r>
          </w:p>
        </w:tc>
        <w:tc>
          <w:tcPr>
            <w:tcW w:w="15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0.30</w:t>
            </w:r>
          </w:p>
        </w:tc>
        <w:tc>
          <w:tcPr>
            <w:tcW w:w="1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(2.37)</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6"/>
                <w:szCs w:val="16"/>
                <w:color w:val="auto"/>
              </w:rPr>
              <w:t>General partner unit</w:t>
            </w: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0.30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(2.38)</w:t>
            </w:r>
          </w:p>
        </w:tc>
        <w:tc>
          <w:tcPr>
            <w:tcW w:w="146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years ended December 31, 2018 and December 31,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3440" w:type="dxa"/>
            <w:vAlign w:val="bottom"/>
            <w:gridSpan w:val="4"/>
          </w:tcPr>
          <w:p>
            <w:pPr>
              <w:jc w:val="right"/>
              <w:ind w:right="1055"/>
              <w:spacing w:after="0"/>
              <w:rPr>
                <w:sz w:val="20"/>
                <w:szCs w:val="20"/>
                <w:color w:val="auto"/>
              </w:rPr>
            </w:pPr>
            <w:r>
              <w:rPr>
                <w:rFonts w:ascii="Arial" w:cs="Arial" w:eastAsia="Arial" w:hAnsi="Arial"/>
                <w:sz w:val="16"/>
                <w:szCs w:val="16"/>
                <w:b w:val="1"/>
                <w:bCs w:val="1"/>
                <w:color w:val="auto"/>
              </w:rPr>
              <w:t>For the years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196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December 31,</w:t>
            </w:r>
          </w:p>
        </w:tc>
        <w:tc>
          <w:tcPr>
            <w:tcW w:w="1480" w:type="dxa"/>
            <w:vAlign w:val="bottom"/>
            <w:gridSpan w:val="2"/>
          </w:tcPr>
          <w:p>
            <w:pPr>
              <w:jc w:val="right"/>
              <w:ind w:right="295"/>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48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1440" w:type="dxa"/>
            <w:vAlign w:val="bottom"/>
            <w:tcBorders>
              <w:right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Profit/(loss) for the year</w:t>
            </w:r>
          </w:p>
        </w:tc>
        <w:tc>
          <w:tcPr>
            <w:tcW w:w="1480" w:type="dxa"/>
            <w:vAlign w:val="bottom"/>
          </w:tcPr>
          <w:p>
            <w:pPr>
              <w:jc w:val="right"/>
              <w:spacing w:after="0"/>
              <w:rPr>
                <w:sz w:val="20"/>
                <w:szCs w:val="20"/>
                <w:color w:val="auto"/>
              </w:rPr>
            </w:pPr>
            <w:r>
              <w:rPr>
                <w:rFonts w:ascii="Arial" w:cs="Arial" w:eastAsia="Arial" w:hAnsi="Arial"/>
                <w:sz w:val="16"/>
                <w:szCs w:val="16"/>
                <w:color w:val="auto"/>
              </w:rPr>
              <w:t>128,046</w:t>
            </w:r>
          </w:p>
        </w:tc>
        <w:tc>
          <w:tcPr>
            <w:tcW w:w="4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(34,769)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148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1440" w:type="dxa"/>
            <w:vAlign w:val="bottom"/>
            <w:tcBorders>
              <w:right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Depreciation</w:t>
            </w:r>
          </w:p>
        </w:tc>
        <w:tc>
          <w:tcPr>
            <w:tcW w:w="1480" w:type="dxa"/>
            <w:vAlign w:val="bottom"/>
          </w:tcPr>
          <w:p>
            <w:pPr>
              <w:jc w:val="right"/>
              <w:spacing w:after="0"/>
              <w:rPr>
                <w:sz w:val="20"/>
                <w:szCs w:val="20"/>
                <w:color w:val="auto"/>
              </w:rPr>
            </w:pPr>
            <w:r>
              <w:rPr>
                <w:rFonts w:ascii="Arial" w:cs="Arial" w:eastAsia="Arial" w:hAnsi="Arial"/>
                <w:sz w:val="16"/>
                <w:szCs w:val="16"/>
                <w:color w:val="auto"/>
              </w:rPr>
              <w:t>87,584</w:t>
            </w:r>
          </w:p>
        </w:tc>
        <w:tc>
          <w:tcPr>
            <w:tcW w:w="4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89,309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w:t>
            </w:r>
          </w:p>
        </w:tc>
        <w:tc>
          <w:tcPr>
            <w:tcW w:w="1960" w:type="dxa"/>
            <w:vAlign w:val="bottom"/>
            <w:gridSpan w:val="2"/>
            <w:shd w:val="clear" w:color="auto" w:fill="E5FFFF"/>
          </w:tcPr>
          <w:p>
            <w:pPr>
              <w:jc w:val="right"/>
              <w:ind w:right="399"/>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138,848</w:t>
            </w:r>
          </w:p>
        </w:tc>
        <w:tc>
          <w:tcPr>
            <w:tcW w:w="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Financial costs</w:t>
            </w:r>
          </w:p>
        </w:tc>
        <w:tc>
          <w:tcPr>
            <w:tcW w:w="1480" w:type="dxa"/>
            <w:vAlign w:val="bottom"/>
          </w:tcPr>
          <w:p>
            <w:pPr>
              <w:jc w:val="right"/>
              <w:spacing w:after="0"/>
              <w:rPr>
                <w:sz w:val="20"/>
                <w:szCs w:val="20"/>
                <w:color w:val="auto"/>
              </w:rPr>
            </w:pPr>
            <w:r>
              <w:rPr>
                <w:rFonts w:ascii="Arial" w:cs="Arial" w:eastAsia="Arial" w:hAnsi="Arial"/>
                <w:sz w:val="16"/>
                <w:szCs w:val="16"/>
                <w:color w:val="auto"/>
              </w:rPr>
              <w:t>72,714</w:t>
            </w:r>
          </w:p>
        </w:tc>
        <w:tc>
          <w:tcPr>
            <w:tcW w:w="4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71,998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960" w:type="dxa"/>
            <w:vAlign w:val="bottom"/>
            <w:gridSpan w:val="2"/>
            <w:shd w:val="clear" w:color="auto" w:fill="E5FFFF"/>
          </w:tcPr>
          <w:p>
            <w:pPr>
              <w:jc w:val="right"/>
              <w:ind w:right="339"/>
              <w:spacing w:after="0"/>
              <w:rPr>
                <w:sz w:val="20"/>
                <w:szCs w:val="20"/>
                <w:color w:val="auto"/>
              </w:rPr>
            </w:pPr>
            <w:r>
              <w:rPr>
                <w:rFonts w:ascii="Arial" w:cs="Arial" w:eastAsia="Arial" w:hAnsi="Arial"/>
                <w:sz w:val="16"/>
                <w:szCs w:val="16"/>
                <w:color w:val="auto"/>
              </w:rPr>
              <w:t>(2,448)</w:t>
            </w:r>
          </w:p>
        </w:tc>
        <w:tc>
          <w:tcPr>
            <w:tcW w:w="144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(1,887)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Unrealized loss on derivatives held for trading</w:t>
            </w:r>
          </w:p>
        </w:tc>
        <w:tc>
          <w:tcPr>
            <w:tcW w:w="1960" w:type="dxa"/>
            <w:vAlign w:val="bottom"/>
            <w:gridSpan w:val="2"/>
          </w:tcPr>
          <w:p>
            <w:pPr>
              <w:jc w:val="right"/>
              <w:ind w:right="399"/>
              <w:spacing w:after="0"/>
              <w:rPr>
                <w:sz w:val="20"/>
                <w:szCs w:val="20"/>
                <w:color w:val="auto"/>
              </w:rPr>
            </w:pPr>
            <w:r>
              <w:rPr>
                <w:rFonts w:ascii="Arial" w:cs="Arial" w:eastAsia="Arial" w:hAnsi="Arial"/>
                <w:sz w:val="16"/>
                <w:szCs w:val="16"/>
                <w:color w:val="auto"/>
              </w:rPr>
              <w:t>1,411</w:t>
            </w:r>
          </w:p>
        </w:tc>
        <w:tc>
          <w:tcPr>
            <w:tcW w:w="1440" w:type="dxa"/>
            <w:vAlign w:val="bottom"/>
          </w:tcPr>
          <w:p>
            <w:pPr>
              <w:jc w:val="right"/>
              <w:spacing w:after="0"/>
              <w:rPr>
                <w:sz w:val="20"/>
                <w:szCs w:val="20"/>
                <w:color w:val="auto"/>
              </w:rPr>
            </w:pPr>
            <w:r>
              <w:rPr>
                <w:rFonts w:ascii="Arial" w:cs="Arial" w:eastAsia="Arial" w:hAnsi="Arial"/>
                <w:sz w:val="16"/>
                <w:szCs w:val="16"/>
                <w:color w:val="auto"/>
              </w:rPr>
              <w:t>13,858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1,034</w:t>
            </w:r>
          </w:p>
        </w:tc>
        <w:tc>
          <w:tcPr>
            <w:tcW w:w="480" w:type="dxa"/>
            <w:vAlign w:val="bottom"/>
            <w:shd w:val="clear" w:color="auto" w:fill="E5FFFF"/>
          </w:tcPr>
          <w:p>
            <w:pPr>
              <w:spacing w:after="0"/>
              <w:rPr>
                <w:sz w:val="17"/>
                <w:szCs w:val="17"/>
                <w:color w:val="auto"/>
              </w:rPr>
            </w:pPr>
          </w:p>
        </w:tc>
        <w:tc>
          <w:tcPr>
            <w:tcW w:w="144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1,158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Realized foreign exchange losses</w:t>
            </w:r>
          </w:p>
        </w:tc>
        <w:tc>
          <w:tcPr>
            <w:tcW w:w="1960" w:type="dxa"/>
            <w:vAlign w:val="bottom"/>
            <w:gridSpan w:val="2"/>
          </w:tcPr>
          <w:p>
            <w:pPr>
              <w:jc w:val="right"/>
              <w:ind w:right="39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288,341</w:t>
            </w:r>
          </w:p>
        </w:tc>
        <w:tc>
          <w:tcPr>
            <w:tcW w:w="48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279,057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1960" w:type="dxa"/>
            <w:vAlign w:val="bottom"/>
            <w:gridSpan w:val="2"/>
            <w:shd w:val="clear" w:color="auto" w:fill="E5FFFF"/>
          </w:tcPr>
          <w:p>
            <w:pPr>
              <w:jc w:val="right"/>
              <w:ind w:right="339"/>
              <w:spacing w:after="0"/>
              <w:rPr>
                <w:sz w:val="20"/>
                <w:szCs w:val="20"/>
                <w:color w:val="auto"/>
              </w:rPr>
            </w:pPr>
            <w:r>
              <w:rPr>
                <w:rFonts w:ascii="Arial" w:cs="Arial" w:eastAsia="Arial" w:hAnsi="Arial"/>
                <w:sz w:val="16"/>
                <w:szCs w:val="16"/>
                <w:color w:val="auto"/>
              </w:rPr>
              <w:t>(28,471)</w:t>
            </w:r>
          </w:p>
        </w:tc>
        <w:tc>
          <w:tcPr>
            <w:tcW w:w="144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27,763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Cash provided by operations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259,870</w:t>
            </w:r>
          </w:p>
        </w:tc>
        <w:tc>
          <w:tcPr>
            <w:tcW w:w="480" w:type="dxa"/>
            <w:vAlign w:val="bottom"/>
            <w:tcBorders>
              <w:bottom w:val="single" w:sz="8" w:color="E5FF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306,820</w:t>
            </w:r>
          </w:p>
        </w:tc>
        <w:tc>
          <w:tcPr>
            <w:tcW w:w="40" w:type="dxa"/>
            <w:vAlign w:val="bottom"/>
            <w:vMerge w:val="restart"/>
          </w:tcPr>
          <w:p>
            <w:pPr>
              <w:jc w:val="right"/>
              <w:ind w:right="15"/>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Interest paid</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(63,227</w:t>
            </w:r>
          </w:p>
        </w:tc>
        <w:tc>
          <w:tcPr>
            <w:tcW w:w="480" w:type="dxa"/>
            <w:vAlign w:val="bottom"/>
            <w:shd w:val="clear" w:color="auto" w:fill="E5FFFF"/>
          </w:tcPr>
          <w:p>
            <w:pPr>
              <w:jc w:val="right"/>
              <w:ind w:right="339"/>
              <w:spacing w:after="0"/>
              <w:rPr>
                <w:sz w:val="20"/>
                <w:szCs w:val="20"/>
                <w:color w:val="auto"/>
              </w:rPr>
            </w:pPr>
            <w:r>
              <w:rPr>
                <w:rFonts w:ascii="Arial" w:cs="Arial" w:eastAsia="Arial" w:hAnsi="Arial"/>
                <w:sz w:val="16"/>
                <w:szCs w:val="16"/>
                <w:color w:val="auto"/>
                <w:w w:val="74"/>
              </w:rPr>
              <w:t>)</w:t>
            </w:r>
          </w:p>
        </w:tc>
        <w:tc>
          <w:tcPr>
            <w:tcW w:w="1440" w:type="dxa"/>
            <w:vAlign w:val="bottom"/>
            <w:tcBorders>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(67,759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196,643</w:t>
            </w:r>
          </w:p>
        </w:tc>
        <w:tc>
          <w:tcPr>
            <w:tcW w:w="480" w:type="dxa"/>
            <w:vAlign w:val="bottom"/>
            <w:tcBorders>
              <w:bottom w:val="single" w:sz="8" w:color="E5FF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239,061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9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480" w:type="dxa"/>
            <w:vAlign w:val="bottom"/>
            <w:shd w:val="clear" w:color="auto" w:fill="E5FFFF"/>
          </w:tcPr>
          <w:p>
            <w:pPr>
              <w:spacing w:after="0"/>
              <w:rPr>
                <w:sz w:val="15"/>
                <w:szCs w:val="15"/>
                <w:color w:val="auto"/>
              </w:rPr>
            </w:pPr>
          </w:p>
        </w:tc>
        <w:tc>
          <w:tcPr>
            <w:tcW w:w="480" w:type="dxa"/>
            <w:vAlign w:val="bottom"/>
            <w:shd w:val="clear" w:color="auto" w:fill="E5FFFF"/>
          </w:tcPr>
          <w:p>
            <w:pPr>
              <w:spacing w:after="0"/>
              <w:rPr>
                <w:sz w:val="15"/>
                <w:szCs w:val="15"/>
                <w:color w:val="auto"/>
              </w:rPr>
            </w:pPr>
          </w:p>
        </w:tc>
        <w:tc>
          <w:tcPr>
            <w:tcW w:w="1440" w:type="dxa"/>
            <w:vAlign w:val="bottom"/>
            <w:tcBorders>
              <w:right w:val="single" w:sz="8" w:color="E5FFFF"/>
            </w:tcBorders>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Payments for vessels’ additions</w:t>
            </w:r>
          </w:p>
        </w:tc>
        <w:tc>
          <w:tcPr>
            <w:tcW w:w="1960" w:type="dxa"/>
            <w:vAlign w:val="bottom"/>
            <w:gridSpan w:val="2"/>
          </w:tcPr>
          <w:p>
            <w:pPr>
              <w:jc w:val="right"/>
              <w:ind w:right="339"/>
              <w:spacing w:after="0"/>
              <w:rPr>
                <w:sz w:val="20"/>
                <w:szCs w:val="20"/>
                <w:color w:val="auto"/>
              </w:rPr>
            </w:pPr>
            <w:r>
              <w:rPr>
                <w:rFonts w:ascii="Arial" w:cs="Arial" w:eastAsia="Arial" w:hAnsi="Arial"/>
                <w:sz w:val="16"/>
                <w:szCs w:val="16"/>
                <w:color w:val="auto"/>
              </w:rPr>
              <w:t>(24,177)</w:t>
            </w:r>
          </w:p>
        </w:tc>
        <w:tc>
          <w:tcPr>
            <w:tcW w:w="1440" w:type="dxa"/>
            <w:vAlign w:val="bottom"/>
          </w:tcPr>
          <w:p>
            <w:pPr>
              <w:jc w:val="right"/>
              <w:spacing w:after="0"/>
              <w:rPr>
                <w:sz w:val="20"/>
                <w:szCs w:val="20"/>
                <w:color w:val="auto"/>
              </w:rPr>
            </w:pPr>
            <w:r>
              <w:rPr>
                <w:rFonts w:ascii="Arial" w:cs="Arial" w:eastAsia="Arial" w:hAnsi="Arial"/>
                <w:sz w:val="16"/>
                <w:szCs w:val="16"/>
                <w:color w:val="auto"/>
              </w:rPr>
              <w:t>(13,940)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Return of capital expenditures</w:t>
            </w:r>
          </w:p>
        </w:tc>
        <w:tc>
          <w:tcPr>
            <w:tcW w:w="1960" w:type="dxa"/>
            <w:vAlign w:val="bottom"/>
            <w:gridSpan w:val="2"/>
            <w:shd w:val="clear" w:color="auto" w:fill="E5FFFF"/>
          </w:tcPr>
          <w:p>
            <w:pPr>
              <w:jc w:val="right"/>
              <w:ind w:right="399"/>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7,465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Financial income received</w:t>
            </w:r>
          </w:p>
        </w:tc>
        <w:tc>
          <w:tcPr>
            <w:tcW w:w="1480" w:type="dxa"/>
            <w:vAlign w:val="bottom"/>
          </w:tcPr>
          <w:p>
            <w:pPr>
              <w:jc w:val="right"/>
              <w:spacing w:after="0"/>
              <w:rPr>
                <w:sz w:val="20"/>
                <w:szCs w:val="20"/>
                <w:color w:val="auto"/>
              </w:rPr>
            </w:pPr>
            <w:r>
              <w:rPr>
                <w:rFonts w:ascii="Arial" w:cs="Arial" w:eastAsia="Arial" w:hAnsi="Arial"/>
                <w:sz w:val="16"/>
                <w:szCs w:val="16"/>
                <w:color w:val="auto"/>
              </w:rPr>
              <w:t>2,361</w:t>
            </w:r>
          </w:p>
        </w:tc>
        <w:tc>
          <w:tcPr>
            <w:tcW w:w="4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Purchase of short-term investments</w:t>
            </w:r>
          </w:p>
        </w:tc>
        <w:tc>
          <w:tcPr>
            <w:tcW w:w="1960" w:type="dxa"/>
            <w:vAlign w:val="bottom"/>
            <w:gridSpan w:val="2"/>
            <w:shd w:val="clear" w:color="auto" w:fill="E5FFFF"/>
          </w:tcPr>
          <w:p>
            <w:pPr>
              <w:jc w:val="right"/>
              <w:ind w:right="339"/>
              <w:spacing w:after="0"/>
              <w:rPr>
                <w:sz w:val="20"/>
                <w:szCs w:val="20"/>
                <w:color w:val="auto"/>
              </w:rPr>
            </w:pPr>
            <w:r>
              <w:rPr>
                <w:rFonts w:ascii="Arial" w:cs="Arial" w:eastAsia="Arial" w:hAnsi="Arial"/>
                <w:sz w:val="16"/>
                <w:szCs w:val="16"/>
                <w:color w:val="auto"/>
              </w:rPr>
              <w:t>(38,000)</w:t>
            </w:r>
          </w:p>
        </w:tc>
        <w:tc>
          <w:tcPr>
            <w:tcW w:w="144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(33,000)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Maturity of short-term investments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28,000</w:t>
            </w:r>
          </w:p>
        </w:tc>
        <w:tc>
          <w:tcPr>
            <w:tcW w:w="480" w:type="dxa"/>
            <w:vAlign w:val="bottom"/>
            <w:tcBorders>
              <w:bottom w:val="single" w:sz="8" w:color="E5FF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Net cash (used in)/provided by investing activities</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(31,816</w:t>
            </w:r>
          </w:p>
        </w:tc>
        <w:tc>
          <w:tcPr>
            <w:tcW w:w="480" w:type="dxa"/>
            <w:vAlign w:val="bottom"/>
            <w:shd w:val="clear" w:color="auto" w:fill="E5FFFF"/>
          </w:tcPr>
          <w:p>
            <w:pPr>
              <w:jc w:val="right"/>
              <w:ind w:right="339"/>
              <w:spacing w:after="0"/>
              <w:rPr>
                <w:sz w:val="20"/>
                <w:szCs w:val="20"/>
                <w:color w:val="auto"/>
              </w:rPr>
            </w:pPr>
            <w:r>
              <w:rPr>
                <w:rFonts w:ascii="Arial" w:cs="Arial" w:eastAsia="Arial" w:hAnsi="Arial"/>
                <w:sz w:val="16"/>
                <w:szCs w:val="16"/>
                <w:b w:val="1"/>
                <w:bCs w:val="1"/>
                <w:color w:val="auto"/>
                <w:w w:val="74"/>
              </w:rPr>
              <w:t>)</w:t>
            </w:r>
          </w:p>
        </w:tc>
        <w:tc>
          <w:tcPr>
            <w:tcW w:w="1440" w:type="dxa"/>
            <w:vAlign w:val="bottom"/>
            <w:tcBorders>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5,475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96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Borrowings drawdowns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25,940</w:t>
            </w:r>
          </w:p>
        </w:tc>
        <w:tc>
          <w:tcPr>
            <w:tcW w:w="480" w:type="dxa"/>
            <w:vAlign w:val="bottom"/>
            <w:shd w:val="clear" w:color="auto" w:fill="E5FFFF"/>
          </w:tcPr>
          <w:p>
            <w:pPr>
              <w:spacing w:after="0"/>
              <w:rPr>
                <w:sz w:val="17"/>
                <w:szCs w:val="17"/>
                <w:color w:val="auto"/>
              </w:rPr>
            </w:pPr>
          </w:p>
        </w:tc>
        <w:tc>
          <w:tcPr>
            <w:tcW w:w="144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445,000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Borrowings repayments</w:t>
            </w:r>
          </w:p>
        </w:tc>
        <w:tc>
          <w:tcPr>
            <w:tcW w:w="1960" w:type="dxa"/>
            <w:vAlign w:val="bottom"/>
            <w:gridSpan w:val="2"/>
          </w:tcPr>
          <w:p>
            <w:pPr>
              <w:jc w:val="right"/>
              <w:ind w:right="339"/>
              <w:spacing w:after="0"/>
              <w:rPr>
                <w:sz w:val="20"/>
                <w:szCs w:val="20"/>
                <w:color w:val="auto"/>
              </w:rPr>
            </w:pPr>
            <w:r>
              <w:rPr>
                <w:rFonts w:ascii="Arial" w:cs="Arial" w:eastAsia="Arial" w:hAnsi="Arial"/>
                <w:sz w:val="16"/>
                <w:szCs w:val="16"/>
                <w:color w:val="auto"/>
              </w:rPr>
              <w:t>(209,336)</w:t>
            </w:r>
          </w:p>
        </w:tc>
        <w:tc>
          <w:tcPr>
            <w:tcW w:w="1440" w:type="dxa"/>
            <w:vAlign w:val="bottom"/>
          </w:tcPr>
          <w:p>
            <w:pPr>
              <w:jc w:val="right"/>
              <w:spacing w:after="0"/>
              <w:rPr>
                <w:sz w:val="20"/>
                <w:szCs w:val="20"/>
                <w:color w:val="auto"/>
              </w:rPr>
            </w:pPr>
            <w:r>
              <w:rPr>
                <w:rFonts w:ascii="Arial" w:cs="Arial" w:eastAsia="Arial" w:hAnsi="Arial"/>
                <w:sz w:val="16"/>
                <w:szCs w:val="16"/>
                <w:color w:val="auto"/>
              </w:rPr>
              <w:t>(465,195)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Payment of loan issuance costs</w:t>
            </w:r>
          </w:p>
        </w:tc>
        <w:tc>
          <w:tcPr>
            <w:tcW w:w="1960" w:type="dxa"/>
            <w:vAlign w:val="bottom"/>
            <w:gridSpan w:val="2"/>
            <w:shd w:val="clear" w:color="auto" w:fill="E5FFFF"/>
          </w:tcPr>
          <w:p>
            <w:pPr>
              <w:jc w:val="right"/>
              <w:ind w:right="339"/>
              <w:spacing w:after="0"/>
              <w:rPr>
                <w:sz w:val="20"/>
                <w:szCs w:val="20"/>
                <w:color w:val="auto"/>
              </w:rPr>
            </w:pPr>
            <w:r>
              <w:rPr>
                <w:rFonts w:ascii="Arial" w:cs="Arial" w:eastAsia="Arial" w:hAnsi="Arial"/>
                <w:sz w:val="16"/>
                <w:szCs w:val="16"/>
                <w:color w:val="auto"/>
              </w:rPr>
              <w:t>(153)</w:t>
            </w:r>
          </w:p>
        </w:tc>
        <w:tc>
          <w:tcPr>
            <w:tcW w:w="144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(6,173)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Proceeds from public offerings and issuances of common units and general partner units (net of underwriting</w:t>
            </w:r>
          </w:p>
        </w:tc>
        <w:tc>
          <w:tcPr>
            <w:tcW w:w="1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60" w:type="dxa"/>
            <w:vAlign w:val="bottom"/>
          </w:tcPr>
          <w:p>
            <w:pPr>
              <w:ind w:left="160"/>
              <w:spacing w:after="0"/>
              <w:rPr>
                <w:sz w:val="20"/>
                <w:szCs w:val="20"/>
                <w:color w:val="auto"/>
              </w:rPr>
            </w:pPr>
            <w:r>
              <w:rPr>
                <w:rFonts w:ascii="Arial" w:cs="Arial" w:eastAsia="Arial" w:hAnsi="Arial"/>
                <w:sz w:val="16"/>
                <w:szCs w:val="16"/>
                <w:color w:val="auto"/>
              </w:rPr>
              <w:t>discounts and commissions)</w:t>
            </w:r>
          </w:p>
        </w:tc>
        <w:tc>
          <w:tcPr>
            <w:tcW w:w="1480" w:type="dxa"/>
            <w:vAlign w:val="bottom"/>
          </w:tcPr>
          <w:p>
            <w:pPr>
              <w:jc w:val="right"/>
              <w:spacing w:after="0"/>
              <w:rPr>
                <w:sz w:val="20"/>
                <w:szCs w:val="20"/>
                <w:color w:val="auto"/>
              </w:rPr>
            </w:pPr>
            <w:r>
              <w:rPr>
                <w:rFonts w:ascii="Arial" w:cs="Arial" w:eastAsia="Arial" w:hAnsi="Arial"/>
                <w:sz w:val="16"/>
                <w:szCs w:val="16"/>
                <w:color w:val="auto"/>
              </w:rPr>
              <w:t>62,516</w:t>
            </w:r>
          </w:p>
        </w:tc>
        <w:tc>
          <w:tcPr>
            <w:tcW w:w="4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Proceeds from public offering of preference units (net of underwriting discounts and commissions)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208,394</w:t>
            </w:r>
          </w:p>
        </w:tc>
        <w:tc>
          <w:tcPr>
            <w:tcW w:w="480" w:type="dxa"/>
            <w:vAlign w:val="bottom"/>
            <w:shd w:val="clear" w:color="auto" w:fill="E5FFFF"/>
          </w:tcPr>
          <w:p>
            <w:pPr>
              <w:spacing w:after="0"/>
              <w:rPr>
                <w:sz w:val="18"/>
                <w:szCs w:val="18"/>
                <w:color w:val="auto"/>
              </w:rPr>
            </w:pPr>
          </w:p>
        </w:tc>
        <w:tc>
          <w:tcPr>
            <w:tcW w:w="144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Repurchases of common units</w:t>
            </w:r>
          </w:p>
        </w:tc>
        <w:tc>
          <w:tcPr>
            <w:tcW w:w="1960" w:type="dxa"/>
            <w:vAlign w:val="bottom"/>
            <w:gridSpan w:val="2"/>
          </w:tcPr>
          <w:p>
            <w:pPr>
              <w:jc w:val="right"/>
              <w:ind w:right="39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(22,890)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Payment of offering costs</w:t>
            </w:r>
          </w:p>
        </w:tc>
        <w:tc>
          <w:tcPr>
            <w:tcW w:w="1960" w:type="dxa"/>
            <w:vAlign w:val="bottom"/>
            <w:gridSpan w:val="2"/>
            <w:shd w:val="clear" w:color="auto" w:fill="E5FFFF"/>
          </w:tcPr>
          <w:p>
            <w:pPr>
              <w:jc w:val="right"/>
              <w:ind w:right="339"/>
              <w:spacing w:after="0"/>
              <w:rPr>
                <w:sz w:val="20"/>
                <w:szCs w:val="20"/>
                <w:color w:val="auto"/>
              </w:rPr>
            </w:pPr>
            <w:r>
              <w:rPr>
                <w:rFonts w:ascii="Arial" w:cs="Arial" w:eastAsia="Arial" w:hAnsi="Arial"/>
                <w:sz w:val="16"/>
                <w:szCs w:val="16"/>
                <w:color w:val="auto"/>
              </w:rPr>
              <w:t>(915)</w:t>
            </w:r>
          </w:p>
        </w:tc>
        <w:tc>
          <w:tcPr>
            <w:tcW w:w="144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(1,670)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Cash distributions to GasLog in exchange for contribution of net assets</w:t>
            </w:r>
          </w:p>
        </w:tc>
        <w:tc>
          <w:tcPr>
            <w:tcW w:w="1960" w:type="dxa"/>
            <w:vAlign w:val="bottom"/>
            <w:gridSpan w:val="2"/>
          </w:tcPr>
          <w:p>
            <w:pPr>
              <w:jc w:val="right"/>
              <w:ind w:right="339"/>
              <w:spacing w:after="0"/>
              <w:rPr>
                <w:sz w:val="20"/>
                <w:szCs w:val="20"/>
                <w:color w:val="auto"/>
              </w:rPr>
            </w:pPr>
            <w:r>
              <w:rPr>
                <w:rFonts w:ascii="Arial" w:cs="Arial" w:eastAsia="Arial" w:hAnsi="Arial"/>
                <w:sz w:val="16"/>
                <w:szCs w:val="16"/>
                <w:color w:val="auto"/>
              </w:rPr>
              <w:t>(128,482)</w:t>
            </w:r>
          </w:p>
        </w:tc>
        <w:tc>
          <w:tcPr>
            <w:tcW w:w="1440" w:type="dxa"/>
            <w:vAlign w:val="bottom"/>
          </w:tcPr>
          <w:p>
            <w:pPr>
              <w:jc w:val="right"/>
              <w:spacing w:after="0"/>
              <w:rPr>
                <w:sz w:val="20"/>
                <w:szCs w:val="20"/>
                <w:color w:val="auto"/>
              </w:rPr>
            </w:pPr>
            <w:r>
              <w:rPr>
                <w:rFonts w:ascii="Arial" w:cs="Arial" w:eastAsia="Arial" w:hAnsi="Arial"/>
                <w:sz w:val="16"/>
                <w:szCs w:val="16"/>
                <w:color w:val="auto"/>
              </w:rPr>
              <w:t>(93,646)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Payments for IDR modification (including third-party fees)</w:t>
            </w:r>
          </w:p>
        </w:tc>
        <w:tc>
          <w:tcPr>
            <w:tcW w:w="1960" w:type="dxa"/>
            <w:vAlign w:val="bottom"/>
            <w:gridSpan w:val="2"/>
            <w:shd w:val="clear" w:color="auto" w:fill="E5FFFF"/>
          </w:tcPr>
          <w:p>
            <w:pPr>
              <w:jc w:val="right"/>
              <w:ind w:right="339"/>
              <w:spacing w:after="0"/>
              <w:rPr>
                <w:sz w:val="20"/>
                <w:szCs w:val="20"/>
                <w:color w:val="auto"/>
              </w:rPr>
            </w:pPr>
            <w:r>
              <w:rPr>
                <w:rFonts w:ascii="Arial" w:cs="Arial" w:eastAsia="Arial" w:hAnsi="Arial"/>
                <w:sz w:val="16"/>
                <w:szCs w:val="16"/>
                <w:color w:val="auto"/>
              </w:rPr>
              <w:t>(25,002)</w:t>
            </w:r>
          </w:p>
        </w:tc>
        <w:tc>
          <w:tcPr>
            <w:tcW w:w="144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Distributions paid</w:t>
            </w:r>
          </w:p>
        </w:tc>
        <w:tc>
          <w:tcPr>
            <w:tcW w:w="1960" w:type="dxa"/>
            <w:vAlign w:val="bottom"/>
            <w:gridSpan w:val="2"/>
          </w:tcPr>
          <w:p>
            <w:pPr>
              <w:jc w:val="right"/>
              <w:ind w:right="339"/>
              <w:spacing w:after="0"/>
              <w:rPr>
                <w:sz w:val="20"/>
                <w:szCs w:val="20"/>
                <w:color w:val="auto"/>
              </w:rPr>
            </w:pPr>
            <w:r>
              <w:rPr>
                <w:rFonts w:ascii="Arial" w:cs="Arial" w:eastAsia="Arial" w:hAnsi="Arial"/>
                <w:sz w:val="16"/>
                <w:szCs w:val="16"/>
                <w:color w:val="auto"/>
              </w:rPr>
              <w:t>(118,094)</w:t>
            </w:r>
          </w:p>
        </w:tc>
        <w:tc>
          <w:tcPr>
            <w:tcW w:w="1440" w:type="dxa"/>
            <w:vAlign w:val="bottom"/>
          </w:tcPr>
          <w:p>
            <w:pPr>
              <w:jc w:val="right"/>
              <w:spacing w:after="0"/>
              <w:rPr>
                <w:sz w:val="20"/>
                <w:szCs w:val="20"/>
                <w:color w:val="auto"/>
              </w:rPr>
            </w:pPr>
            <w:r>
              <w:rPr>
                <w:rFonts w:ascii="Arial" w:cs="Arial" w:eastAsia="Arial" w:hAnsi="Arial"/>
                <w:sz w:val="16"/>
                <w:szCs w:val="16"/>
                <w:color w:val="auto"/>
              </w:rPr>
              <w:t>(137,953)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Payments for lease liabilities</w:t>
            </w:r>
          </w:p>
        </w:tc>
        <w:tc>
          <w:tcPr>
            <w:tcW w:w="1960" w:type="dxa"/>
            <w:vAlign w:val="bottom"/>
            <w:gridSpan w:val="2"/>
            <w:shd w:val="clear" w:color="auto" w:fill="E5FFFF"/>
          </w:tcPr>
          <w:p>
            <w:pPr>
              <w:jc w:val="right"/>
              <w:ind w:right="399"/>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(491)</w:t>
            </w:r>
          </w:p>
        </w:tc>
        <w:tc>
          <w:tcPr>
            <w:tcW w:w="40" w:type="dxa"/>
            <w:vAlign w:val="bottom"/>
            <w:vMerge w:val="restart"/>
          </w:tcPr>
          <w:p>
            <w:pPr>
              <w:jc w:val="right"/>
              <w:ind w:right="15"/>
              <w:spacing w:after="0"/>
              <w:rPr>
                <w:sz w:val="20"/>
                <w:szCs w:val="20"/>
                <w:color w:val="auto"/>
              </w:rPr>
            </w:pPr>
            <w:r>
              <w:rPr>
                <w:rFonts w:ascii="Arial" w:cs="Arial" w:eastAsia="Arial" w:hAnsi="Arial"/>
                <w:sz w:val="1"/>
                <w:szCs w:val="1"/>
                <w:b w:val="1"/>
                <w:bCs w:val="1"/>
                <w:color w:val="auto"/>
                <w:w w:val="4294967281"/>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(185,132)</w:t>
            </w:r>
          </w:p>
        </w:tc>
        <w:tc>
          <w:tcPr>
            <w:tcW w:w="480" w:type="dxa"/>
            <w:vAlign w:val="bottom"/>
            <w:tcBorders>
              <w:bottom w:val="single" w:sz="8" w:color="E5FF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(281,022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(20,305)</w:t>
            </w:r>
          </w:p>
        </w:tc>
        <w:tc>
          <w:tcPr>
            <w:tcW w:w="480" w:type="dxa"/>
            <w:vAlign w:val="bottom"/>
            <w:shd w:val="clear" w:color="auto" w:fill="E5FFFF"/>
          </w:tcPr>
          <w:p>
            <w:pPr>
              <w:spacing w:after="0"/>
              <w:rPr>
                <w:sz w:val="17"/>
                <w:szCs w:val="17"/>
                <w:color w:val="auto"/>
              </w:rPr>
            </w:pPr>
          </w:p>
        </w:tc>
        <w:tc>
          <w:tcPr>
            <w:tcW w:w="1440" w:type="dxa"/>
            <w:vAlign w:val="bottom"/>
            <w:tcBorders>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(36,486</w:t>
            </w:r>
          </w:p>
        </w:tc>
        <w:tc>
          <w:tcPr>
            <w:tcW w:w="40" w:type="dxa"/>
            <w:vAlign w:val="bottom"/>
          </w:tcPr>
          <w:p>
            <w:pPr>
              <w:jc w:val="right"/>
              <w:ind w:right="15"/>
              <w:spacing w:after="0"/>
              <w:rPr>
                <w:sz w:val="20"/>
                <w:szCs w:val="20"/>
                <w:color w:val="auto"/>
              </w:rPr>
            </w:pPr>
            <w:r>
              <w:rPr>
                <w:rFonts w:ascii="Arial" w:cs="Arial" w:eastAsia="Arial" w:hAnsi="Arial"/>
                <w:sz w:val="1"/>
                <w:szCs w:val="1"/>
                <w:b w:val="1"/>
                <w:bCs w:val="1"/>
                <w:color w:val="auto"/>
                <w:w w:val="4294967281"/>
              </w:rPr>
              <w:t>)</w:t>
            </w:r>
          </w:p>
        </w:tc>
        <w:tc>
          <w:tcPr>
            <w:tcW w:w="0" w:type="dxa"/>
            <w:vAlign w:val="bottom"/>
          </w:tcPr>
          <w:p>
            <w:pPr>
              <w:spacing w:after="0"/>
              <w:rPr>
                <w:sz w:val="1"/>
                <w:szCs w:val="1"/>
                <w:color w:val="auto"/>
              </w:rPr>
            </w:pPr>
          </w:p>
        </w:tc>
      </w:tr>
      <w:tr>
        <w:trPr>
          <w:trHeight w:val="196"/>
        </w:trPr>
        <w:tc>
          <w:tcPr>
            <w:tcW w:w="7980" w:type="dxa"/>
            <w:vAlign w:val="bottom"/>
            <w:gridSpan w:val="2"/>
          </w:tcPr>
          <w:p>
            <w:pPr>
              <w:spacing w:after="0"/>
              <w:rPr>
                <w:sz w:val="20"/>
                <w:szCs w:val="20"/>
                <w:color w:val="auto"/>
              </w:rPr>
            </w:pPr>
            <w:r>
              <w:rPr>
                <w:rFonts w:ascii="Arial" w:cs="Arial" w:eastAsia="Arial" w:hAnsi="Arial"/>
                <w:sz w:val="16"/>
                <w:szCs w:val="16"/>
                <w:color w:val="auto"/>
              </w:rPr>
              <w:t>Cash and cash equivalents, beginning of the year</w:t>
            </w:r>
          </w:p>
        </w:tc>
        <w:tc>
          <w:tcPr>
            <w:tcW w:w="1480" w:type="dxa"/>
            <w:vAlign w:val="bottom"/>
          </w:tcPr>
          <w:p>
            <w:pPr>
              <w:jc w:val="right"/>
              <w:spacing w:after="0"/>
              <w:rPr>
                <w:sz w:val="20"/>
                <w:szCs w:val="20"/>
                <w:color w:val="auto"/>
              </w:rPr>
            </w:pPr>
            <w:r>
              <w:rPr>
                <w:rFonts w:ascii="Arial" w:cs="Arial" w:eastAsia="Arial" w:hAnsi="Arial"/>
                <w:sz w:val="16"/>
                <w:szCs w:val="16"/>
                <w:color w:val="auto"/>
              </w:rPr>
              <w:t>153,675</w:t>
            </w:r>
          </w:p>
        </w:tc>
        <w:tc>
          <w:tcPr>
            <w:tcW w:w="4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133,370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year</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133,370</w:t>
            </w:r>
          </w:p>
        </w:tc>
        <w:tc>
          <w:tcPr>
            <w:tcW w:w="480" w:type="dxa"/>
            <w:vAlign w:val="bottom"/>
            <w:tcBorders>
              <w:top w:val="single" w:sz="8" w:color="E5FFFF"/>
              <w:bottom w:val="single" w:sz="8" w:color="E5FFFF"/>
            </w:tcBorders>
            <w:shd w:val="clear" w:color="auto" w:fill="E5FFFF"/>
          </w:tcPr>
          <w:p>
            <w:pPr>
              <w:spacing w:after="0"/>
              <w:rPr>
                <w:sz w:val="17"/>
                <w:szCs w:val="17"/>
                <w:color w:val="auto"/>
              </w:rPr>
            </w:pPr>
          </w:p>
        </w:tc>
        <w:tc>
          <w:tcPr>
            <w:tcW w:w="144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96,884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EXHIBIT II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IFRS Common Control Reported Results in our Financial Statements to Partnership Performance Results: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 xml:space="preserve">Our Partnership Performance Results presented below are non-GAAP measures and exclude amounts related to GAS-fourteen Ltd. (the owner of the </w:t>
      </w:r>
      <w:r>
        <w:rPr>
          <w:rFonts w:ascii="Arial" w:cs="Arial" w:eastAsia="Arial" w:hAnsi="Arial"/>
          <w:sz w:val="15"/>
          <w:szCs w:val="15"/>
          <w:i w:val="1"/>
          <w:iCs w:val="1"/>
          <w:color w:val="auto"/>
        </w:rPr>
        <w:t>GasLog Gibraltar</w:t>
      </w:r>
      <w:r>
        <w:rPr>
          <w:rFonts w:ascii="Arial" w:cs="Arial" w:eastAsia="Arial" w:hAnsi="Arial"/>
          <w:sz w:val="15"/>
          <w:szCs w:val="15"/>
          <w:color w:val="auto"/>
        </w:rPr>
        <w:t xml:space="preserve">), GAS-twenty seven Ltd. (the owner of the </w:t>
      </w:r>
      <w:r>
        <w:rPr>
          <w:rFonts w:ascii="Arial" w:cs="Arial" w:eastAsia="Arial" w:hAnsi="Arial"/>
          <w:sz w:val="15"/>
          <w:szCs w:val="15"/>
          <w:i w:val="1"/>
          <w:iCs w:val="1"/>
          <w:color w:val="auto"/>
        </w:rPr>
        <w:t>Methane Becki Anne</w:t>
      </w:r>
      <w:r>
        <w:rPr>
          <w:rFonts w:ascii="Arial" w:cs="Arial" w:eastAsia="Arial" w:hAnsi="Arial"/>
          <w:sz w:val="15"/>
          <w:szCs w:val="15"/>
          <w:color w:val="auto"/>
        </w:rPr>
        <w:t xml:space="preserve">) and GAS-twelve Ltd. (the owner of the </w:t>
      </w:r>
      <w:r>
        <w:rPr>
          <w:rFonts w:ascii="Arial" w:cs="Arial" w:eastAsia="Arial" w:hAnsi="Arial"/>
          <w:sz w:val="15"/>
          <w:szCs w:val="15"/>
          <w:i w:val="1"/>
          <w:iCs w:val="1"/>
          <w:color w:val="auto"/>
        </w:rPr>
        <w:t>GasLog Glasgow</w:t>
      </w:r>
      <w:r>
        <w:rPr>
          <w:rFonts w:ascii="Arial" w:cs="Arial" w:eastAsia="Arial" w:hAnsi="Arial"/>
          <w:sz w:val="15"/>
          <w:szCs w:val="15"/>
          <w:color w:val="auto"/>
        </w:rPr>
        <w:t>), for the periods prior to their transfers to the Partnership on April 26, 2018, November 14, 2018 and April 1, 2019, respectively. While such amounts are reflected in the Partnership’s unaudited condensed consolidated financial statements because the transfers to the Partnership were accounted for as reorganizations of entities under common control under IFRS, GAS-fourteen Ltd., GAS-twenty seven Ltd. and GAS-twelve Ltd. were not owned by the Partnership prior to their respective transfers to the Partnership on April 26, 2018, November 14, 2018 and April 1, 2019, respectively, and accordingly the Partnership was not entitled to the cash or results generated in the periods prior to such transfers.</w:t>
      </w:r>
    </w:p>
    <w:p>
      <w:pPr>
        <w:spacing w:after="0" w:line="163"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Our IFRS Common Control Reported Results presented below include the accounts of the Partnership and its subsidiaries. Transfers of vessel owning subsidiaries from GasLog are accounted for as reorganizations of entities under common control and the Partnership’s consolidated financial statements are restated to reflect such subsidiaries from the date of their incorporation by GasLog as they were under the common control of GasLog.</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GasLog Partners believes that these non-GAAP financial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acquired vessels prior to their transfers to the Partnership. These non-GAAP financial measures should not be viewed in isolation or as substitutes for the equivalent GAAP measures presented in accordance with IFRS, but should be used in conjunction with the most directly comparable IFRS Common Control Reported Results.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4120" w:type="dxa"/>
            <w:vAlign w:val="bottom"/>
            <w:gridSpan w:val="6"/>
          </w:tcPr>
          <w:p>
            <w:pPr>
              <w:jc w:val="center"/>
              <w:ind w:right="199"/>
              <w:spacing w:after="0"/>
              <w:rPr>
                <w:sz w:val="20"/>
                <w:szCs w:val="20"/>
                <w:color w:val="auto"/>
              </w:rPr>
            </w:pPr>
            <w:r>
              <w:rPr>
                <w:rFonts w:ascii="Arial" w:cs="Arial" w:eastAsia="Arial" w:hAnsi="Arial"/>
                <w:sz w:val="14"/>
                <w:szCs w:val="14"/>
                <w:b w:val="1"/>
                <w:bCs w:val="1"/>
                <w:color w:val="auto"/>
                <w:w w:val="91"/>
              </w:rPr>
              <w:t>For the three months ended December 31, 2018</w:t>
            </w:r>
          </w:p>
        </w:tc>
        <w:tc>
          <w:tcPr>
            <w:tcW w:w="3960" w:type="dxa"/>
            <w:vAlign w:val="bottom"/>
            <w:gridSpan w:val="6"/>
          </w:tcPr>
          <w:p>
            <w:pPr>
              <w:jc w:val="center"/>
              <w:ind w:right="59"/>
              <w:spacing w:after="0"/>
              <w:rPr>
                <w:sz w:val="20"/>
                <w:szCs w:val="20"/>
                <w:color w:val="auto"/>
              </w:rPr>
            </w:pPr>
            <w:r>
              <w:rPr>
                <w:rFonts w:ascii="Arial" w:cs="Arial" w:eastAsia="Arial" w:hAnsi="Arial"/>
                <w:sz w:val="14"/>
                <w:szCs w:val="14"/>
                <w:b w:val="1"/>
                <w:bCs w:val="1"/>
                <w:color w:val="auto"/>
                <w:w w:val="91"/>
              </w:rPr>
              <w:t>For the year ended December 31, 2018</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Results</w:t>
            </w:r>
          </w:p>
        </w:tc>
        <w:tc>
          <w:tcPr>
            <w:tcW w:w="1380" w:type="dxa"/>
            <w:vAlign w:val="bottom"/>
            <w:gridSpan w:val="2"/>
            <w:vMerge w:val="restart"/>
          </w:tcPr>
          <w:p>
            <w:pPr>
              <w:jc w:val="center"/>
              <w:ind w:right="179"/>
              <w:spacing w:after="0"/>
              <w:rPr>
                <w:sz w:val="20"/>
                <w:szCs w:val="20"/>
                <w:color w:val="auto"/>
              </w:rPr>
            </w:pPr>
            <w:r>
              <w:rPr>
                <w:rFonts w:ascii="Arial" w:cs="Arial" w:eastAsia="Arial" w:hAnsi="Arial"/>
                <w:sz w:val="14"/>
                <w:szCs w:val="14"/>
                <w:b w:val="1"/>
                <w:bCs w:val="1"/>
                <w:color w:val="auto"/>
                <w:w w:val="92"/>
              </w:rPr>
              <w:t>Partnership</w:t>
            </w:r>
          </w:p>
        </w:tc>
        <w:tc>
          <w:tcPr>
            <w:tcW w:w="138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IFRS Common</w:t>
            </w: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Results</w:t>
            </w:r>
          </w:p>
        </w:tc>
        <w:tc>
          <w:tcPr>
            <w:tcW w:w="1360" w:type="dxa"/>
            <w:vAlign w:val="bottom"/>
            <w:gridSpan w:val="2"/>
            <w:vMerge w:val="restart"/>
          </w:tcPr>
          <w:p>
            <w:pPr>
              <w:jc w:val="center"/>
              <w:ind w:right="179"/>
              <w:spacing w:after="0"/>
              <w:rPr>
                <w:sz w:val="20"/>
                <w:szCs w:val="20"/>
                <w:color w:val="auto"/>
              </w:rPr>
            </w:pPr>
            <w:r>
              <w:rPr>
                <w:rFonts w:ascii="Arial" w:cs="Arial" w:eastAsia="Arial" w:hAnsi="Arial"/>
                <w:sz w:val="14"/>
                <w:szCs w:val="14"/>
                <w:b w:val="1"/>
                <w:bCs w:val="1"/>
                <w:color w:val="auto"/>
                <w:w w:val="95"/>
              </w:rPr>
              <w:t>Partnership</w:t>
            </w:r>
          </w:p>
        </w:tc>
        <w:tc>
          <w:tcPr>
            <w:tcW w:w="1240" w:type="dxa"/>
            <w:vAlign w:val="bottom"/>
            <w:gridSpan w:val="2"/>
          </w:tcPr>
          <w:p>
            <w:pPr>
              <w:jc w:val="center"/>
              <w:ind w:right="59"/>
              <w:spacing w:after="0" w:line="149" w:lineRule="exact"/>
              <w:rPr>
                <w:sz w:val="20"/>
                <w:szCs w:val="20"/>
                <w:color w:val="auto"/>
              </w:rPr>
            </w:pPr>
            <w:r>
              <w:rPr>
                <w:rFonts w:ascii="Arial" w:cs="Arial" w:eastAsia="Arial" w:hAnsi="Arial"/>
                <w:sz w:val="14"/>
                <w:szCs w:val="14"/>
                <w:b w:val="1"/>
                <w:bCs w:val="1"/>
                <w:color w:val="auto"/>
                <w:w w:val="97"/>
              </w:rPr>
              <w:t>IFRS Common</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6"/>
              </w:rPr>
              <w:t>Control</w:t>
            </w:r>
          </w:p>
        </w:tc>
        <w:tc>
          <w:tcPr>
            <w:tcW w:w="13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79"/>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(All amounts expressed in</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38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38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1"/>
              </w:rPr>
              <w:t>Reported</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1360" w:type="dxa"/>
            <w:vAlign w:val="bottom"/>
            <w:gridSpan w:val="2"/>
          </w:tcPr>
          <w:p>
            <w:pPr>
              <w:jc w:val="center"/>
              <w:ind w:right="159"/>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240" w:type="dxa"/>
            <w:vAlign w:val="bottom"/>
            <w:gridSpan w:val="2"/>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Reported</w:t>
            </w:r>
          </w:p>
        </w:tc>
        <w:tc>
          <w:tcPr>
            <w:tcW w:w="0" w:type="dxa"/>
            <w:vAlign w:val="bottom"/>
          </w:tcPr>
          <w:p>
            <w:pPr>
              <w:spacing w:after="0"/>
              <w:rPr>
                <w:sz w:val="1"/>
                <w:szCs w:val="1"/>
                <w:color w:val="auto"/>
              </w:rPr>
            </w:pPr>
          </w:p>
        </w:tc>
      </w:tr>
      <w:tr>
        <w:trPr>
          <w:trHeight w:val="171"/>
        </w:trPr>
        <w:tc>
          <w:tcPr>
            <w:tcW w:w="3340" w:type="dxa"/>
            <w:vAlign w:val="bottom"/>
          </w:tcPr>
          <w:p>
            <w:pPr>
              <w:ind w:left="180"/>
              <w:spacing w:after="0"/>
              <w:rPr>
                <w:sz w:val="20"/>
                <w:szCs w:val="20"/>
                <w:color w:val="auto"/>
              </w:rPr>
            </w:pPr>
            <w:r>
              <w:rPr>
                <w:rFonts w:ascii="Arial" w:cs="Arial" w:eastAsia="Arial" w:hAnsi="Arial"/>
                <w:sz w:val="14"/>
                <w:szCs w:val="14"/>
                <w:b w:val="1"/>
                <w:bCs w:val="1"/>
                <w:i w:val="1"/>
                <w:iCs w:val="1"/>
                <w:color w:val="auto"/>
              </w:rPr>
              <w:t>thousands of U.S. dollars)</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GasLog</w:t>
            </w:r>
          </w:p>
        </w:tc>
        <w:tc>
          <w:tcPr>
            <w:tcW w:w="1380" w:type="dxa"/>
            <w:vAlign w:val="bottom"/>
            <w:gridSpan w:val="2"/>
          </w:tcPr>
          <w:p>
            <w:pPr>
              <w:jc w:val="center"/>
              <w:ind w:right="179"/>
              <w:spacing w:after="0"/>
              <w:rPr>
                <w:sz w:val="20"/>
                <w:szCs w:val="20"/>
                <w:color w:val="auto"/>
              </w:rPr>
            </w:pPr>
            <w:r>
              <w:rPr>
                <w:rFonts w:ascii="Arial" w:cs="Arial" w:eastAsia="Arial" w:hAnsi="Arial"/>
                <w:sz w:val="14"/>
                <w:szCs w:val="14"/>
                <w:b w:val="1"/>
                <w:bCs w:val="1"/>
                <w:color w:val="auto"/>
                <w:w w:val="86"/>
              </w:rPr>
              <w:t>Results</w:t>
            </w:r>
          </w:p>
        </w:tc>
        <w:tc>
          <w:tcPr>
            <w:tcW w:w="1380" w:type="dxa"/>
            <w:vAlign w:val="bottom"/>
            <w:gridSpan w:val="2"/>
          </w:tcPr>
          <w:p>
            <w:pPr>
              <w:jc w:val="center"/>
              <w:ind w:right="179"/>
              <w:spacing w:after="0"/>
              <w:rPr>
                <w:sz w:val="20"/>
                <w:szCs w:val="20"/>
                <w:color w:val="auto"/>
              </w:rPr>
            </w:pPr>
            <w:r>
              <w:rPr>
                <w:rFonts w:ascii="Arial" w:cs="Arial" w:eastAsia="Arial" w:hAnsi="Arial"/>
                <w:sz w:val="14"/>
                <w:szCs w:val="14"/>
                <w:b w:val="1"/>
                <w:bCs w:val="1"/>
                <w:color w:val="auto"/>
                <w:w w:val="86"/>
              </w:rPr>
              <w:t>Results</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GasLog</w:t>
            </w:r>
          </w:p>
        </w:tc>
        <w:tc>
          <w:tcPr>
            <w:tcW w:w="136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86"/>
              </w:rPr>
              <w:t>Results</w:t>
            </w:r>
          </w:p>
        </w:tc>
        <w:tc>
          <w:tcPr>
            <w:tcW w:w="124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86"/>
              </w:rPr>
              <w:t>Results</w:t>
            </w:r>
          </w:p>
        </w:tc>
        <w:tc>
          <w:tcPr>
            <w:tcW w:w="0" w:type="dxa"/>
            <w:vAlign w:val="bottom"/>
          </w:tcPr>
          <w:p>
            <w:pPr>
              <w:spacing w:after="0"/>
              <w:rPr>
                <w:sz w:val="1"/>
                <w:szCs w:val="1"/>
                <w:color w:val="auto"/>
              </w:rPr>
            </w:pPr>
          </w:p>
        </w:tc>
      </w:tr>
      <w:tr>
        <w:trPr>
          <w:trHeight w:val="142"/>
        </w:trPr>
        <w:tc>
          <w:tcPr>
            <w:tcW w:w="3340" w:type="dxa"/>
            <w:vAlign w:val="bottom"/>
            <w:tcBorders>
              <w:top w:val="single" w:sz="8" w:color="E5FFFF"/>
            </w:tcBorders>
            <w:shd w:val="clear" w:color="auto" w:fill="E5FFFF"/>
          </w:tcPr>
          <w:p>
            <w:pPr>
              <w:spacing w:after="0" w:line="142" w:lineRule="exact"/>
              <w:rPr>
                <w:sz w:val="20"/>
                <w:szCs w:val="20"/>
                <w:color w:val="auto"/>
              </w:rPr>
            </w:pPr>
            <w:r>
              <w:rPr>
                <w:rFonts w:ascii="Arial" w:cs="Arial" w:eastAsia="Arial" w:hAnsi="Arial"/>
                <w:sz w:val="14"/>
                <w:szCs w:val="14"/>
                <w:color w:val="auto"/>
              </w:rPr>
              <w:t>Revenues</w:t>
            </w:r>
          </w:p>
        </w:tc>
        <w:tc>
          <w:tcPr>
            <w:tcW w:w="114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11,441</w:t>
            </w:r>
          </w:p>
        </w:tc>
        <w:tc>
          <w:tcPr>
            <w:tcW w:w="220" w:type="dxa"/>
            <w:vAlign w:val="bottom"/>
            <w:tcBorders>
              <w:top w:val="single" w:sz="8" w:color="E5FFFF"/>
            </w:tcBorders>
            <w:shd w:val="clear" w:color="auto" w:fill="E5FFFF"/>
          </w:tcPr>
          <w:p>
            <w:pPr>
              <w:spacing w:after="0"/>
              <w:rPr>
                <w:sz w:val="12"/>
                <w:szCs w:val="12"/>
                <w:color w:val="auto"/>
              </w:rPr>
            </w:pPr>
          </w:p>
        </w:tc>
        <w:tc>
          <w:tcPr>
            <w:tcW w:w="116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83,134</w:t>
            </w:r>
          </w:p>
        </w:tc>
        <w:tc>
          <w:tcPr>
            <w:tcW w:w="220" w:type="dxa"/>
            <w:vAlign w:val="bottom"/>
            <w:tcBorders>
              <w:top w:val="single" w:sz="8" w:color="E5FFFF"/>
            </w:tcBorders>
            <w:shd w:val="clear" w:color="auto" w:fill="E5FFFF"/>
          </w:tcPr>
          <w:p>
            <w:pPr>
              <w:spacing w:after="0"/>
              <w:rPr>
                <w:sz w:val="12"/>
                <w:szCs w:val="12"/>
                <w:color w:val="auto"/>
              </w:rPr>
            </w:pPr>
          </w:p>
        </w:tc>
        <w:tc>
          <w:tcPr>
            <w:tcW w:w="116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94,575</w:t>
            </w:r>
          </w:p>
        </w:tc>
        <w:tc>
          <w:tcPr>
            <w:tcW w:w="220" w:type="dxa"/>
            <w:vAlign w:val="bottom"/>
            <w:tcBorders>
              <w:top w:val="single" w:sz="8" w:color="E5FFFF"/>
            </w:tcBorders>
            <w:shd w:val="clear" w:color="auto" w:fill="E5FFFF"/>
          </w:tcPr>
          <w:p>
            <w:pPr>
              <w:spacing w:after="0"/>
              <w:rPr>
                <w:sz w:val="12"/>
                <w:szCs w:val="12"/>
                <w:color w:val="auto"/>
              </w:rPr>
            </w:pPr>
          </w:p>
        </w:tc>
        <w:tc>
          <w:tcPr>
            <w:tcW w:w="116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66,210</w:t>
            </w:r>
          </w:p>
        </w:tc>
        <w:tc>
          <w:tcPr>
            <w:tcW w:w="200" w:type="dxa"/>
            <w:vAlign w:val="bottom"/>
            <w:tcBorders>
              <w:top w:val="single" w:sz="8" w:color="E5FFFF"/>
            </w:tcBorders>
            <w:shd w:val="clear" w:color="auto" w:fill="E5FFFF"/>
          </w:tcPr>
          <w:p>
            <w:pPr>
              <w:spacing w:after="0"/>
              <w:rPr>
                <w:sz w:val="12"/>
                <w:szCs w:val="12"/>
                <w:color w:val="auto"/>
              </w:rPr>
            </w:pPr>
          </w:p>
        </w:tc>
        <w:tc>
          <w:tcPr>
            <w:tcW w:w="114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316,991</w:t>
            </w:r>
          </w:p>
        </w:tc>
        <w:tc>
          <w:tcPr>
            <w:tcW w:w="220" w:type="dxa"/>
            <w:vAlign w:val="bottom"/>
            <w:tcBorders>
              <w:top w:val="single" w:sz="8" w:color="E5FFFF"/>
            </w:tcBorders>
            <w:shd w:val="clear" w:color="auto" w:fill="E5FFFF"/>
          </w:tcPr>
          <w:p>
            <w:pPr>
              <w:spacing w:after="0"/>
              <w:rPr>
                <w:sz w:val="12"/>
                <w:szCs w:val="12"/>
                <w:color w:val="auto"/>
              </w:rPr>
            </w:pPr>
          </w:p>
        </w:tc>
        <w:tc>
          <w:tcPr>
            <w:tcW w:w="114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383,201</w:t>
            </w:r>
          </w:p>
        </w:tc>
        <w:tc>
          <w:tcPr>
            <w:tcW w:w="10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Net pool allocation</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3,277</w:t>
            </w:r>
          </w:p>
        </w:tc>
        <w:tc>
          <w:tcPr>
            <w:tcW w:w="13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3,277</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3,700</w:t>
            </w:r>
          </w:p>
        </w:tc>
        <w:tc>
          <w:tcPr>
            <w:tcW w:w="12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3,700</w:t>
            </w:r>
          </w:p>
        </w:tc>
        <w:tc>
          <w:tcPr>
            <w:tcW w:w="0" w:type="dxa"/>
            <w:vAlign w:val="bottom"/>
          </w:tcPr>
          <w:p>
            <w:pPr>
              <w:spacing w:after="0"/>
              <w:rPr>
                <w:sz w:val="1"/>
                <w:szCs w:val="1"/>
                <w:color w:val="auto"/>
              </w:rPr>
            </w:pPr>
          </w:p>
        </w:tc>
      </w:tr>
      <w:tr>
        <w:trPr>
          <w:trHeight w:val="149"/>
        </w:trPr>
        <w:tc>
          <w:tcPr>
            <w:tcW w:w="334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Voyage expenses and commissions</w:t>
            </w:r>
          </w:p>
        </w:tc>
        <w:tc>
          <w:tcPr>
            <w:tcW w:w="13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(144)</w:t>
            </w:r>
          </w:p>
        </w:tc>
        <w:tc>
          <w:tcPr>
            <w:tcW w:w="1380" w:type="dxa"/>
            <w:vAlign w:val="bottom"/>
            <w:gridSpan w:val="2"/>
            <w:shd w:val="clear" w:color="auto" w:fill="E5FFFF"/>
          </w:tcPr>
          <w:p>
            <w:pPr>
              <w:jc w:val="right"/>
              <w:ind w:right="139"/>
              <w:spacing w:after="0" w:line="149" w:lineRule="exact"/>
              <w:rPr>
                <w:sz w:val="20"/>
                <w:szCs w:val="20"/>
                <w:color w:val="auto"/>
              </w:rPr>
            </w:pPr>
            <w:r>
              <w:rPr>
                <w:rFonts w:ascii="Arial" w:cs="Arial" w:eastAsia="Arial" w:hAnsi="Arial"/>
                <w:sz w:val="14"/>
                <w:szCs w:val="14"/>
                <w:color w:val="auto"/>
              </w:rPr>
              <w:t>(753)</w:t>
            </w:r>
          </w:p>
        </w:tc>
        <w:tc>
          <w:tcPr>
            <w:tcW w:w="1380" w:type="dxa"/>
            <w:vAlign w:val="bottom"/>
            <w:gridSpan w:val="2"/>
            <w:shd w:val="clear" w:color="auto" w:fill="E5FFFF"/>
          </w:tcPr>
          <w:p>
            <w:pPr>
              <w:jc w:val="right"/>
              <w:ind w:right="139"/>
              <w:spacing w:after="0" w:line="149" w:lineRule="exact"/>
              <w:rPr>
                <w:sz w:val="20"/>
                <w:szCs w:val="20"/>
                <w:color w:val="auto"/>
              </w:rPr>
            </w:pPr>
            <w:r>
              <w:rPr>
                <w:rFonts w:ascii="Arial" w:cs="Arial" w:eastAsia="Arial" w:hAnsi="Arial"/>
                <w:sz w:val="14"/>
                <w:szCs w:val="14"/>
                <w:color w:val="auto"/>
              </w:rPr>
              <w:t>(897)</w:t>
            </w:r>
          </w:p>
        </w:tc>
        <w:tc>
          <w:tcPr>
            <w:tcW w:w="136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(828)</w:t>
            </w:r>
          </w:p>
        </w:tc>
        <w:tc>
          <w:tcPr>
            <w:tcW w:w="1360" w:type="dxa"/>
            <w:vAlign w:val="bottom"/>
            <w:gridSpan w:val="2"/>
            <w:shd w:val="clear" w:color="auto" w:fill="E5FFFF"/>
          </w:tcPr>
          <w:p>
            <w:pPr>
              <w:jc w:val="right"/>
              <w:ind w:right="139"/>
              <w:spacing w:after="0" w:line="149" w:lineRule="exact"/>
              <w:rPr>
                <w:sz w:val="20"/>
                <w:szCs w:val="20"/>
                <w:color w:val="auto"/>
              </w:rPr>
            </w:pPr>
            <w:r>
              <w:rPr>
                <w:rFonts w:ascii="Arial" w:cs="Arial" w:eastAsia="Arial" w:hAnsi="Arial"/>
                <w:sz w:val="14"/>
                <w:szCs w:val="14"/>
                <w:color w:val="auto"/>
              </w:rPr>
              <w:t>(6,678)</w:t>
            </w:r>
          </w:p>
        </w:tc>
        <w:tc>
          <w:tcPr>
            <w:tcW w:w="1240" w:type="dxa"/>
            <w:vAlign w:val="bottom"/>
            <w:gridSpan w:val="2"/>
            <w:shd w:val="clear" w:color="auto" w:fill="E5FFFF"/>
          </w:tcPr>
          <w:p>
            <w:pPr>
              <w:jc w:val="right"/>
              <w:ind w:right="19"/>
              <w:spacing w:after="0" w:line="149" w:lineRule="exact"/>
              <w:rPr>
                <w:sz w:val="20"/>
                <w:szCs w:val="20"/>
                <w:color w:val="auto"/>
              </w:rPr>
            </w:pPr>
            <w:r>
              <w:rPr>
                <w:rFonts w:ascii="Arial" w:cs="Arial" w:eastAsia="Arial" w:hAnsi="Arial"/>
                <w:sz w:val="14"/>
                <w:szCs w:val="14"/>
                <w:color w:val="auto"/>
              </w:rPr>
              <w:t>(7,506)</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Vessel operating costs</w:t>
            </w: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(1,781)</w:t>
            </w:r>
          </w:p>
        </w:tc>
        <w:tc>
          <w:tcPr>
            <w:tcW w:w="138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(14,986)</w:t>
            </w:r>
          </w:p>
        </w:tc>
        <w:tc>
          <w:tcPr>
            <w:tcW w:w="138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(16,767)</w:t>
            </w: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(12,245)</w:t>
            </w:r>
          </w:p>
        </w:tc>
        <w:tc>
          <w:tcPr>
            <w:tcW w:w="13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(61,452)</w:t>
            </w:r>
          </w:p>
        </w:tc>
        <w:tc>
          <w:tcPr>
            <w:tcW w:w="12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(73,697)</w:t>
            </w:r>
          </w:p>
        </w:tc>
        <w:tc>
          <w:tcPr>
            <w:tcW w:w="0" w:type="dxa"/>
            <w:vAlign w:val="bottom"/>
          </w:tcPr>
          <w:p>
            <w:pPr>
              <w:spacing w:after="0"/>
              <w:rPr>
                <w:sz w:val="1"/>
                <w:szCs w:val="1"/>
                <w:color w:val="auto"/>
              </w:rPr>
            </w:pPr>
          </w:p>
        </w:tc>
      </w:tr>
      <w:tr>
        <w:trPr>
          <w:trHeight w:val="149"/>
        </w:trPr>
        <w:tc>
          <w:tcPr>
            <w:tcW w:w="334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Depreciation</w:t>
            </w:r>
          </w:p>
        </w:tc>
        <w:tc>
          <w:tcPr>
            <w:tcW w:w="13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(2,445)</w:t>
            </w:r>
          </w:p>
        </w:tc>
        <w:tc>
          <w:tcPr>
            <w:tcW w:w="1380" w:type="dxa"/>
            <w:vAlign w:val="bottom"/>
            <w:gridSpan w:val="2"/>
            <w:shd w:val="clear" w:color="auto" w:fill="E5FFFF"/>
          </w:tcPr>
          <w:p>
            <w:pPr>
              <w:jc w:val="right"/>
              <w:ind w:right="139"/>
              <w:spacing w:after="0" w:line="149" w:lineRule="exact"/>
              <w:rPr>
                <w:sz w:val="20"/>
                <w:szCs w:val="20"/>
                <w:color w:val="auto"/>
              </w:rPr>
            </w:pPr>
            <w:r>
              <w:rPr>
                <w:rFonts w:ascii="Arial" w:cs="Arial" w:eastAsia="Arial" w:hAnsi="Arial"/>
                <w:sz w:val="14"/>
                <w:szCs w:val="14"/>
                <w:color w:val="auto"/>
              </w:rPr>
              <w:t>(19,681)</w:t>
            </w:r>
          </w:p>
        </w:tc>
        <w:tc>
          <w:tcPr>
            <w:tcW w:w="1380" w:type="dxa"/>
            <w:vAlign w:val="bottom"/>
            <w:gridSpan w:val="2"/>
            <w:shd w:val="clear" w:color="auto" w:fill="E5FFFF"/>
          </w:tcPr>
          <w:p>
            <w:pPr>
              <w:jc w:val="right"/>
              <w:ind w:right="139"/>
              <w:spacing w:after="0" w:line="149" w:lineRule="exact"/>
              <w:rPr>
                <w:sz w:val="20"/>
                <w:szCs w:val="20"/>
                <w:color w:val="auto"/>
              </w:rPr>
            </w:pPr>
            <w:r>
              <w:rPr>
                <w:rFonts w:ascii="Arial" w:cs="Arial" w:eastAsia="Arial" w:hAnsi="Arial"/>
                <w:sz w:val="14"/>
                <w:szCs w:val="14"/>
                <w:color w:val="auto"/>
              </w:rPr>
              <w:t>(22,126)</w:t>
            </w:r>
          </w:p>
        </w:tc>
        <w:tc>
          <w:tcPr>
            <w:tcW w:w="136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(14,433)</w:t>
            </w:r>
          </w:p>
        </w:tc>
        <w:tc>
          <w:tcPr>
            <w:tcW w:w="1360" w:type="dxa"/>
            <w:vAlign w:val="bottom"/>
            <w:gridSpan w:val="2"/>
            <w:shd w:val="clear" w:color="auto" w:fill="E5FFFF"/>
          </w:tcPr>
          <w:p>
            <w:pPr>
              <w:jc w:val="right"/>
              <w:ind w:right="139"/>
              <w:spacing w:after="0" w:line="149" w:lineRule="exact"/>
              <w:rPr>
                <w:sz w:val="20"/>
                <w:szCs w:val="20"/>
                <w:color w:val="auto"/>
              </w:rPr>
            </w:pPr>
            <w:r>
              <w:rPr>
                <w:rFonts w:ascii="Arial" w:cs="Arial" w:eastAsia="Arial" w:hAnsi="Arial"/>
                <w:sz w:val="14"/>
                <w:szCs w:val="14"/>
                <w:color w:val="auto"/>
              </w:rPr>
              <w:t>(73,151)</w:t>
            </w:r>
          </w:p>
        </w:tc>
        <w:tc>
          <w:tcPr>
            <w:tcW w:w="1240" w:type="dxa"/>
            <w:vAlign w:val="bottom"/>
            <w:gridSpan w:val="2"/>
            <w:shd w:val="clear" w:color="auto" w:fill="E5FFFF"/>
          </w:tcPr>
          <w:p>
            <w:pPr>
              <w:jc w:val="right"/>
              <w:ind w:right="19"/>
              <w:spacing w:after="0" w:line="149" w:lineRule="exact"/>
              <w:rPr>
                <w:sz w:val="20"/>
                <w:szCs w:val="20"/>
                <w:color w:val="auto"/>
              </w:rPr>
            </w:pPr>
            <w:r>
              <w:rPr>
                <w:rFonts w:ascii="Arial" w:cs="Arial" w:eastAsia="Arial" w:hAnsi="Arial"/>
                <w:sz w:val="14"/>
                <w:szCs w:val="14"/>
                <w:color w:val="auto"/>
              </w:rPr>
              <w:t>(87,584)</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(130)</w:t>
            </w:r>
          </w:p>
        </w:tc>
        <w:tc>
          <w:tcPr>
            <w:tcW w:w="138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(4,956)</w:t>
            </w:r>
          </w:p>
        </w:tc>
        <w:tc>
          <w:tcPr>
            <w:tcW w:w="138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(5,086)</w:t>
            </w: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(849)</w:t>
            </w:r>
          </w:p>
        </w:tc>
        <w:tc>
          <w:tcPr>
            <w:tcW w:w="13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(18,905)</w:t>
            </w:r>
          </w:p>
        </w:tc>
        <w:tc>
          <w:tcPr>
            <w:tcW w:w="12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(19,754)</w:t>
            </w:r>
          </w:p>
        </w:tc>
        <w:tc>
          <w:tcPr>
            <w:tcW w:w="0" w:type="dxa"/>
            <w:vAlign w:val="bottom"/>
          </w:tcPr>
          <w:p>
            <w:pPr>
              <w:spacing w:after="0"/>
              <w:rPr>
                <w:sz w:val="1"/>
                <w:szCs w:val="1"/>
                <w:color w:val="auto"/>
              </w:rPr>
            </w:pPr>
          </w:p>
        </w:tc>
      </w:tr>
      <w:tr>
        <w:trPr>
          <w:trHeight w:val="142"/>
        </w:trPr>
        <w:tc>
          <w:tcPr>
            <w:tcW w:w="3340" w:type="dxa"/>
            <w:vAlign w:val="bottom"/>
            <w:tcBorders>
              <w:top w:val="single" w:sz="8" w:color="E5FFFF"/>
            </w:tcBorders>
            <w:shd w:val="clear" w:color="auto" w:fill="E5FFFF"/>
          </w:tcPr>
          <w:p>
            <w:pPr>
              <w:spacing w:after="0" w:line="142" w:lineRule="exact"/>
              <w:rPr>
                <w:sz w:val="20"/>
                <w:szCs w:val="20"/>
                <w:color w:val="auto"/>
              </w:rPr>
            </w:pPr>
            <w:r>
              <w:rPr>
                <w:rFonts w:ascii="Arial" w:cs="Arial" w:eastAsia="Arial" w:hAnsi="Arial"/>
                <w:sz w:val="14"/>
                <w:szCs w:val="14"/>
                <w:b w:val="1"/>
                <w:bCs w:val="1"/>
                <w:color w:val="auto"/>
              </w:rPr>
              <w:t>Profit from operations</w:t>
            </w:r>
          </w:p>
        </w:tc>
        <w:tc>
          <w:tcPr>
            <w:tcW w:w="11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6,941</w:t>
            </w:r>
          </w:p>
        </w:tc>
        <w:tc>
          <w:tcPr>
            <w:tcW w:w="220" w:type="dxa"/>
            <w:vAlign w:val="bottom"/>
            <w:tcBorders>
              <w:top w:val="single" w:sz="8" w:color="E5FFFF"/>
            </w:tcBorders>
            <w:shd w:val="clear" w:color="auto" w:fill="E5FFFF"/>
          </w:tcPr>
          <w:p>
            <w:pPr>
              <w:spacing w:after="0"/>
              <w:rPr>
                <w:sz w:val="12"/>
                <w:szCs w:val="12"/>
                <w:color w:val="auto"/>
              </w:rPr>
            </w:pPr>
          </w:p>
        </w:tc>
        <w:tc>
          <w:tcPr>
            <w:tcW w:w="116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46,035</w:t>
            </w:r>
          </w:p>
        </w:tc>
        <w:tc>
          <w:tcPr>
            <w:tcW w:w="220" w:type="dxa"/>
            <w:vAlign w:val="bottom"/>
            <w:tcBorders>
              <w:top w:val="single" w:sz="8" w:color="E5FFFF"/>
            </w:tcBorders>
            <w:shd w:val="clear" w:color="auto" w:fill="E5FFFF"/>
          </w:tcPr>
          <w:p>
            <w:pPr>
              <w:spacing w:after="0"/>
              <w:rPr>
                <w:sz w:val="12"/>
                <w:szCs w:val="12"/>
                <w:color w:val="auto"/>
              </w:rPr>
            </w:pPr>
          </w:p>
        </w:tc>
        <w:tc>
          <w:tcPr>
            <w:tcW w:w="116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52,976</w:t>
            </w:r>
          </w:p>
        </w:tc>
        <w:tc>
          <w:tcPr>
            <w:tcW w:w="220" w:type="dxa"/>
            <w:vAlign w:val="bottom"/>
            <w:tcBorders>
              <w:top w:val="single" w:sz="8" w:color="E5FFFF"/>
            </w:tcBorders>
            <w:shd w:val="clear" w:color="auto" w:fill="E5FFFF"/>
          </w:tcPr>
          <w:p>
            <w:pPr>
              <w:spacing w:after="0"/>
              <w:rPr>
                <w:sz w:val="12"/>
                <w:szCs w:val="12"/>
                <w:color w:val="auto"/>
              </w:rPr>
            </w:pPr>
          </w:p>
        </w:tc>
        <w:tc>
          <w:tcPr>
            <w:tcW w:w="116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37,855</w:t>
            </w:r>
          </w:p>
        </w:tc>
        <w:tc>
          <w:tcPr>
            <w:tcW w:w="200" w:type="dxa"/>
            <w:vAlign w:val="bottom"/>
            <w:tcBorders>
              <w:top w:val="single" w:sz="8" w:color="E5FFFF"/>
            </w:tcBorders>
            <w:shd w:val="clear" w:color="auto" w:fill="E5FFFF"/>
          </w:tcPr>
          <w:p>
            <w:pPr>
              <w:spacing w:after="0"/>
              <w:rPr>
                <w:sz w:val="12"/>
                <w:szCs w:val="12"/>
                <w:color w:val="auto"/>
              </w:rPr>
            </w:pPr>
          </w:p>
        </w:tc>
        <w:tc>
          <w:tcPr>
            <w:tcW w:w="11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160,505</w:t>
            </w:r>
          </w:p>
        </w:tc>
        <w:tc>
          <w:tcPr>
            <w:tcW w:w="220" w:type="dxa"/>
            <w:vAlign w:val="bottom"/>
            <w:tcBorders>
              <w:top w:val="single" w:sz="8" w:color="E5FFFF"/>
            </w:tcBorders>
            <w:shd w:val="clear" w:color="auto" w:fill="E5FFFF"/>
          </w:tcPr>
          <w:p>
            <w:pPr>
              <w:spacing w:after="0"/>
              <w:rPr>
                <w:sz w:val="12"/>
                <w:szCs w:val="12"/>
                <w:color w:val="auto"/>
              </w:rPr>
            </w:pPr>
          </w:p>
        </w:tc>
        <w:tc>
          <w:tcPr>
            <w:tcW w:w="11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198,360</w:t>
            </w:r>
          </w:p>
        </w:tc>
        <w:tc>
          <w:tcPr>
            <w:tcW w:w="10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line="142" w:lineRule="exact"/>
              <w:rPr>
                <w:sz w:val="20"/>
                <w:szCs w:val="20"/>
                <w:color w:val="auto"/>
              </w:rPr>
            </w:pPr>
            <w:r>
              <w:rPr>
                <w:rFonts w:ascii="Arial" w:cs="Arial" w:eastAsia="Arial" w:hAnsi="Arial"/>
                <w:sz w:val="14"/>
                <w:szCs w:val="14"/>
                <w:color w:val="auto"/>
              </w:rPr>
              <w:t>Financial costs</w:t>
            </w:r>
          </w:p>
        </w:tc>
        <w:tc>
          <w:tcPr>
            <w:tcW w:w="1140" w:type="dxa"/>
            <w:vAlign w:val="bottom"/>
          </w:tcPr>
          <w:p>
            <w:pPr>
              <w:jc w:val="right"/>
              <w:spacing w:after="0" w:line="142" w:lineRule="exact"/>
              <w:rPr>
                <w:sz w:val="20"/>
                <w:szCs w:val="20"/>
                <w:color w:val="auto"/>
              </w:rPr>
            </w:pPr>
            <w:r>
              <w:rPr>
                <w:rFonts w:ascii="Arial" w:cs="Arial" w:eastAsia="Arial" w:hAnsi="Arial"/>
                <w:sz w:val="14"/>
                <w:szCs w:val="14"/>
                <w:color w:val="auto"/>
              </w:rPr>
              <w:t>(2,316)</w:t>
            </w:r>
          </w:p>
        </w:tc>
        <w:tc>
          <w:tcPr>
            <w:tcW w:w="22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4"/>
                <w:szCs w:val="14"/>
                <w:color w:val="auto"/>
              </w:rPr>
              <w:t>(16,285)</w:t>
            </w:r>
          </w:p>
        </w:tc>
        <w:tc>
          <w:tcPr>
            <w:tcW w:w="22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4"/>
                <w:szCs w:val="14"/>
                <w:color w:val="auto"/>
              </w:rPr>
              <w:t>(18,601)</w:t>
            </w:r>
          </w:p>
        </w:tc>
        <w:tc>
          <w:tcPr>
            <w:tcW w:w="22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4"/>
                <w:szCs w:val="14"/>
                <w:color w:val="auto"/>
              </w:rPr>
              <w:t>(12,456)</w:t>
            </w:r>
          </w:p>
        </w:tc>
        <w:tc>
          <w:tcPr>
            <w:tcW w:w="20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4"/>
                <w:szCs w:val="14"/>
                <w:color w:val="auto"/>
              </w:rPr>
              <w:t>(60,258)</w:t>
            </w:r>
          </w:p>
        </w:tc>
        <w:tc>
          <w:tcPr>
            <w:tcW w:w="2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4"/>
                <w:szCs w:val="14"/>
                <w:color w:val="auto"/>
              </w:rPr>
              <w:t>(72,714)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Financial income</w:t>
            </w:r>
          </w:p>
        </w:tc>
        <w:tc>
          <w:tcPr>
            <w:tcW w:w="136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116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719</w:t>
            </w:r>
          </w:p>
        </w:tc>
        <w:tc>
          <w:tcPr>
            <w:tcW w:w="220" w:type="dxa"/>
            <w:vAlign w:val="bottom"/>
            <w:shd w:val="clear" w:color="auto" w:fill="E5FFFF"/>
          </w:tcPr>
          <w:p>
            <w:pPr>
              <w:spacing w:after="0"/>
              <w:rPr>
                <w:sz w:val="12"/>
                <w:szCs w:val="12"/>
                <w:color w:val="auto"/>
              </w:rPr>
            </w:pPr>
          </w:p>
        </w:tc>
        <w:tc>
          <w:tcPr>
            <w:tcW w:w="1380" w:type="dxa"/>
            <w:vAlign w:val="bottom"/>
            <w:gridSpan w:val="2"/>
            <w:shd w:val="clear" w:color="auto" w:fill="E5FFFF"/>
          </w:tcPr>
          <w:p>
            <w:pPr>
              <w:jc w:val="right"/>
              <w:ind w:right="179"/>
              <w:spacing w:after="0" w:line="149" w:lineRule="exact"/>
              <w:rPr>
                <w:sz w:val="20"/>
                <w:szCs w:val="20"/>
                <w:color w:val="auto"/>
              </w:rPr>
            </w:pPr>
            <w:r>
              <w:rPr>
                <w:rFonts w:ascii="Arial" w:cs="Arial" w:eastAsia="Arial" w:hAnsi="Arial"/>
                <w:sz w:val="14"/>
                <w:szCs w:val="14"/>
                <w:color w:val="auto"/>
              </w:rPr>
              <w:t>730</w:t>
            </w:r>
          </w:p>
        </w:tc>
        <w:tc>
          <w:tcPr>
            <w:tcW w:w="116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50</w:t>
            </w:r>
          </w:p>
        </w:tc>
        <w:tc>
          <w:tcPr>
            <w:tcW w:w="200" w:type="dxa"/>
            <w:vAlign w:val="bottom"/>
            <w:shd w:val="clear" w:color="auto" w:fill="E5FFFF"/>
          </w:tcPr>
          <w:p>
            <w:pPr>
              <w:spacing w:after="0"/>
              <w:rPr>
                <w:sz w:val="12"/>
                <w:szCs w:val="12"/>
                <w:color w:val="auto"/>
              </w:rPr>
            </w:pPr>
          </w:p>
        </w:tc>
        <w:tc>
          <w:tcPr>
            <w:tcW w:w="1360" w:type="dxa"/>
            <w:vAlign w:val="bottom"/>
            <w:gridSpan w:val="2"/>
            <w:shd w:val="clear" w:color="auto" w:fill="E5FFFF"/>
          </w:tcPr>
          <w:p>
            <w:pPr>
              <w:jc w:val="right"/>
              <w:ind w:right="179"/>
              <w:spacing w:after="0" w:line="149" w:lineRule="exact"/>
              <w:rPr>
                <w:sz w:val="20"/>
                <w:szCs w:val="20"/>
                <w:color w:val="auto"/>
              </w:rPr>
            </w:pPr>
            <w:r>
              <w:rPr>
                <w:rFonts w:ascii="Arial" w:cs="Arial" w:eastAsia="Arial" w:hAnsi="Arial"/>
                <w:sz w:val="14"/>
                <w:szCs w:val="14"/>
                <w:color w:val="auto"/>
              </w:rPr>
              <w:t>2,398</w:t>
            </w:r>
          </w:p>
        </w:tc>
        <w:tc>
          <w:tcPr>
            <w:tcW w:w="1240" w:type="dxa"/>
            <w:vAlign w:val="bottom"/>
            <w:gridSpan w:val="2"/>
            <w:shd w:val="clear" w:color="auto" w:fill="E5FFFF"/>
          </w:tcPr>
          <w:p>
            <w:pPr>
              <w:jc w:val="right"/>
              <w:ind w:right="59"/>
              <w:spacing w:after="0" w:line="149" w:lineRule="exact"/>
              <w:rPr>
                <w:sz w:val="20"/>
                <w:szCs w:val="20"/>
                <w:color w:val="auto"/>
              </w:rPr>
            </w:pPr>
            <w:r>
              <w:rPr>
                <w:rFonts w:ascii="Arial" w:cs="Arial" w:eastAsia="Arial" w:hAnsi="Arial"/>
                <w:sz w:val="14"/>
                <w:szCs w:val="14"/>
                <w:color w:val="auto"/>
              </w:rPr>
              <w:t>2,448</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Loss on derivatives</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(10,045)</w:t>
            </w:r>
          </w:p>
        </w:tc>
        <w:tc>
          <w:tcPr>
            <w:tcW w:w="138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(10,045)</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(48)</w:t>
            </w:r>
          </w:p>
        </w:tc>
        <w:tc>
          <w:tcPr>
            <w:tcW w:w="12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2"/>
        </w:trPr>
        <w:tc>
          <w:tcPr>
            <w:tcW w:w="3340" w:type="dxa"/>
            <w:vAlign w:val="bottom"/>
            <w:tcBorders>
              <w:top w:val="single" w:sz="8" w:color="E5FFFF"/>
            </w:tcBorders>
            <w:shd w:val="clear" w:color="auto" w:fill="E5FFFF"/>
          </w:tcPr>
          <w:p>
            <w:pPr>
              <w:spacing w:after="0" w:line="142" w:lineRule="exact"/>
              <w:rPr>
                <w:sz w:val="20"/>
                <w:szCs w:val="20"/>
                <w:color w:val="auto"/>
              </w:rPr>
            </w:pPr>
            <w:r>
              <w:rPr>
                <w:rFonts w:ascii="Arial" w:cs="Arial" w:eastAsia="Arial" w:hAnsi="Arial"/>
                <w:sz w:val="14"/>
                <w:szCs w:val="14"/>
                <w:b w:val="1"/>
                <w:bCs w:val="1"/>
                <w:color w:val="auto"/>
              </w:rPr>
              <w:t>Total other expenses, net</w:t>
            </w:r>
          </w:p>
        </w:tc>
        <w:tc>
          <w:tcPr>
            <w:tcW w:w="11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(2,305)</w:t>
            </w:r>
          </w:p>
        </w:tc>
        <w:tc>
          <w:tcPr>
            <w:tcW w:w="220" w:type="dxa"/>
            <w:vAlign w:val="bottom"/>
            <w:tcBorders>
              <w:top w:val="single" w:sz="8" w:color="E5FFFF"/>
            </w:tcBorders>
            <w:shd w:val="clear" w:color="auto" w:fill="E5FFFF"/>
          </w:tcPr>
          <w:p>
            <w:pPr>
              <w:spacing w:after="0"/>
              <w:rPr>
                <w:sz w:val="12"/>
                <w:szCs w:val="12"/>
                <w:color w:val="auto"/>
              </w:rPr>
            </w:pPr>
          </w:p>
        </w:tc>
        <w:tc>
          <w:tcPr>
            <w:tcW w:w="116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(25,611)</w:t>
            </w:r>
          </w:p>
        </w:tc>
        <w:tc>
          <w:tcPr>
            <w:tcW w:w="220" w:type="dxa"/>
            <w:vAlign w:val="bottom"/>
            <w:tcBorders>
              <w:top w:val="single" w:sz="8" w:color="E5FFFF"/>
            </w:tcBorders>
            <w:shd w:val="clear" w:color="auto" w:fill="E5FFFF"/>
          </w:tcPr>
          <w:p>
            <w:pPr>
              <w:spacing w:after="0"/>
              <w:rPr>
                <w:sz w:val="12"/>
                <w:szCs w:val="12"/>
                <w:color w:val="auto"/>
              </w:rPr>
            </w:pPr>
          </w:p>
        </w:tc>
        <w:tc>
          <w:tcPr>
            <w:tcW w:w="116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(27,916)</w:t>
            </w:r>
          </w:p>
        </w:tc>
        <w:tc>
          <w:tcPr>
            <w:tcW w:w="220" w:type="dxa"/>
            <w:vAlign w:val="bottom"/>
            <w:tcBorders>
              <w:top w:val="single" w:sz="8" w:color="E5FFFF"/>
            </w:tcBorders>
            <w:shd w:val="clear" w:color="auto" w:fill="E5FFFF"/>
          </w:tcPr>
          <w:p>
            <w:pPr>
              <w:spacing w:after="0"/>
              <w:rPr>
                <w:sz w:val="12"/>
                <w:szCs w:val="12"/>
                <w:color w:val="auto"/>
              </w:rPr>
            </w:pPr>
          </w:p>
        </w:tc>
        <w:tc>
          <w:tcPr>
            <w:tcW w:w="116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(12,406)</w:t>
            </w:r>
          </w:p>
        </w:tc>
        <w:tc>
          <w:tcPr>
            <w:tcW w:w="200" w:type="dxa"/>
            <w:vAlign w:val="bottom"/>
            <w:tcBorders>
              <w:top w:val="single" w:sz="8" w:color="E5FFFF"/>
            </w:tcBorders>
            <w:shd w:val="clear" w:color="auto" w:fill="E5FFFF"/>
          </w:tcPr>
          <w:p>
            <w:pPr>
              <w:spacing w:after="0"/>
              <w:rPr>
                <w:sz w:val="12"/>
                <w:szCs w:val="12"/>
                <w:color w:val="auto"/>
              </w:rPr>
            </w:pPr>
          </w:p>
        </w:tc>
        <w:tc>
          <w:tcPr>
            <w:tcW w:w="11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(57,908)</w:t>
            </w:r>
          </w:p>
        </w:tc>
        <w:tc>
          <w:tcPr>
            <w:tcW w:w="220" w:type="dxa"/>
            <w:vAlign w:val="bottom"/>
            <w:tcBorders>
              <w:top w:val="single" w:sz="8" w:color="E5FFFF"/>
            </w:tcBorders>
            <w:shd w:val="clear" w:color="auto" w:fill="E5FFFF"/>
          </w:tcPr>
          <w:p>
            <w:pPr>
              <w:spacing w:after="0"/>
              <w:rPr>
                <w:sz w:val="12"/>
                <w:szCs w:val="12"/>
                <w:color w:val="auto"/>
              </w:rPr>
            </w:pPr>
          </w:p>
        </w:tc>
        <w:tc>
          <w:tcPr>
            <w:tcW w:w="11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(70,314)</w:t>
            </w:r>
          </w:p>
        </w:tc>
        <w:tc>
          <w:tcPr>
            <w:tcW w:w="10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line="142" w:lineRule="exact"/>
              <w:rPr>
                <w:sz w:val="20"/>
                <w:szCs w:val="20"/>
                <w:color w:val="auto"/>
              </w:rPr>
            </w:pPr>
            <w:r>
              <w:rPr>
                <w:rFonts w:ascii="Arial" w:cs="Arial" w:eastAsia="Arial" w:hAnsi="Arial"/>
                <w:sz w:val="14"/>
                <w:szCs w:val="14"/>
                <w:b w:val="1"/>
                <w:bCs w:val="1"/>
                <w:color w:val="auto"/>
              </w:rPr>
              <w:t>Profit for the period</w:t>
            </w: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4,636</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20,424</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25,060</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25,449</w:t>
            </w:r>
          </w:p>
        </w:tc>
        <w:tc>
          <w:tcPr>
            <w:tcW w:w="20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102,597</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128,046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340" w:type="dxa"/>
            <w:vAlign w:val="bottom"/>
          </w:tcPr>
          <w:p>
            <w:pPr>
              <w:spacing w:after="0"/>
              <w:rPr>
                <w:sz w:val="24"/>
                <w:szCs w:val="24"/>
                <w:color w:val="auto"/>
              </w:rPr>
            </w:pPr>
          </w:p>
        </w:tc>
        <w:tc>
          <w:tcPr>
            <w:tcW w:w="4120" w:type="dxa"/>
            <w:vAlign w:val="bottom"/>
            <w:gridSpan w:val="6"/>
          </w:tcPr>
          <w:p>
            <w:pPr>
              <w:jc w:val="center"/>
              <w:ind w:right="199"/>
              <w:spacing w:after="0"/>
              <w:rPr>
                <w:sz w:val="20"/>
                <w:szCs w:val="20"/>
                <w:color w:val="auto"/>
              </w:rPr>
            </w:pPr>
            <w:r>
              <w:rPr>
                <w:rFonts w:ascii="Arial" w:cs="Arial" w:eastAsia="Arial" w:hAnsi="Arial"/>
                <w:sz w:val="14"/>
                <w:szCs w:val="14"/>
                <w:b w:val="1"/>
                <w:bCs w:val="1"/>
                <w:color w:val="auto"/>
                <w:w w:val="91"/>
              </w:rPr>
              <w:t>For the three months ended December 31, 2019</w:t>
            </w:r>
          </w:p>
        </w:tc>
        <w:tc>
          <w:tcPr>
            <w:tcW w:w="3960" w:type="dxa"/>
            <w:vAlign w:val="bottom"/>
            <w:gridSpan w:val="6"/>
          </w:tcPr>
          <w:p>
            <w:pPr>
              <w:jc w:val="center"/>
              <w:ind w:right="59"/>
              <w:spacing w:after="0"/>
              <w:rPr>
                <w:sz w:val="20"/>
                <w:szCs w:val="20"/>
                <w:color w:val="auto"/>
              </w:rPr>
            </w:pPr>
            <w:r>
              <w:rPr>
                <w:rFonts w:ascii="Arial" w:cs="Arial" w:eastAsia="Arial" w:hAnsi="Arial"/>
                <w:sz w:val="14"/>
                <w:szCs w:val="14"/>
                <w:b w:val="1"/>
                <w:bCs w:val="1"/>
                <w:color w:val="auto"/>
                <w:w w:val="91"/>
              </w:rPr>
              <w:t>For the year ended December 31, 2019</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Results</w:t>
            </w:r>
          </w:p>
        </w:tc>
        <w:tc>
          <w:tcPr>
            <w:tcW w:w="1380" w:type="dxa"/>
            <w:vAlign w:val="bottom"/>
            <w:gridSpan w:val="2"/>
            <w:vMerge w:val="restart"/>
          </w:tcPr>
          <w:p>
            <w:pPr>
              <w:jc w:val="center"/>
              <w:ind w:right="179"/>
              <w:spacing w:after="0"/>
              <w:rPr>
                <w:sz w:val="20"/>
                <w:szCs w:val="20"/>
                <w:color w:val="auto"/>
              </w:rPr>
            </w:pPr>
            <w:r>
              <w:rPr>
                <w:rFonts w:ascii="Arial" w:cs="Arial" w:eastAsia="Arial" w:hAnsi="Arial"/>
                <w:sz w:val="14"/>
                <w:szCs w:val="14"/>
                <w:b w:val="1"/>
                <w:bCs w:val="1"/>
                <w:color w:val="auto"/>
                <w:w w:val="92"/>
              </w:rPr>
              <w:t>Partnership</w:t>
            </w:r>
          </w:p>
        </w:tc>
        <w:tc>
          <w:tcPr>
            <w:tcW w:w="138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IFRS Common</w:t>
            </w: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Results</w:t>
            </w:r>
          </w:p>
        </w:tc>
        <w:tc>
          <w:tcPr>
            <w:tcW w:w="1360" w:type="dxa"/>
            <w:vAlign w:val="bottom"/>
            <w:gridSpan w:val="2"/>
            <w:vMerge w:val="restart"/>
          </w:tcPr>
          <w:p>
            <w:pPr>
              <w:jc w:val="center"/>
              <w:ind w:right="179"/>
              <w:spacing w:after="0"/>
              <w:rPr>
                <w:sz w:val="20"/>
                <w:szCs w:val="20"/>
                <w:color w:val="auto"/>
              </w:rPr>
            </w:pPr>
            <w:r>
              <w:rPr>
                <w:rFonts w:ascii="Arial" w:cs="Arial" w:eastAsia="Arial" w:hAnsi="Arial"/>
                <w:sz w:val="14"/>
                <w:szCs w:val="14"/>
                <w:b w:val="1"/>
                <w:bCs w:val="1"/>
                <w:color w:val="auto"/>
                <w:w w:val="95"/>
              </w:rPr>
              <w:t>Partnership</w:t>
            </w:r>
          </w:p>
        </w:tc>
        <w:tc>
          <w:tcPr>
            <w:tcW w:w="1240" w:type="dxa"/>
            <w:vAlign w:val="bottom"/>
            <w:gridSpan w:val="2"/>
          </w:tcPr>
          <w:p>
            <w:pPr>
              <w:jc w:val="center"/>
              <w:ind w:right="59"/>
              <w:spacing w:after="0" w:line="149" w:lineRule="exact"/>
              <w:rPr>
                <w:sz w:val="20"/>
                <w:szCs w:val="20"/>
                <w:color w:val="auto"/>
              </w:rPr>
            </w:pPr>
            <w:r>
              <w:rPr>
                <w:rFonts w:ascii="Arial" w:cs="Arial" w:eastAsia="Arial" w:hAnsi="Arial"/>
                <w:sz w:val="14"/>
                <w:szCs w:val="14"/>
                <w:b w:val="1"/>
                <w:bCs w:val="1"/>
                <w:color w:val="auto"/>
                <w:w w:val="97"/>
              </w:rPr>
              <w:t>IFRS Common</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6"/>
              </w:rPr>
              <w:t>Control</w:t>
            </w:r>
          </w:p>
        </w:tc>
        <w:tc>
          <w:tcPr>
            <w:tcW w:w="13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79"/>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(All amounts expressed in</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38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38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1"/>
              </w:rPr>
              <w:t>Reported</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1360" w:type="dxa"/>
            <w:vAlign w:val="bottom"/>
            <w:gridSpan w:val="2"/>
          </w:tcPr>
          <w:p>
            <w:pPr>
              <w:jc w:val="center"/>
              <w:ind w:right="159"/>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240" w:type="dxa"/>
            <w:vAlign w:val="bottom"/>
            <w:gridSpan w:val="2"/>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Reported</w:t>
            </w:r>
          </w:p>
        </w:tc>
        <w:tc>
          <w:tcPr>
            <w:tcW w:w="0" w:type="dxa"/>
            <w:vAlign w:val="bottom"/>
          </w:tcPr>
          <w:p>
            <w:pPr>
              <w:spacing w:after="0"/>
              <w:rPr>
                <w:sz w:val="1"/>
                <w:szCs w:val="1"/>
                <w:color w:val="auto"/>
              </w:rPr>
            </w:pPr>
          </w:p>
        </w:tc>
      </w:tr>
      <w:tr>
        <w:trPr>
          <w:trHeight w:val="171"/>
        </w:trPr>
        <w:tc>
          <w:tcPr>
            <w:tcW w:w="3340" w:type="dxa"/>
            <w:vAlign w:val="bottom"/>
          </w:tcPr>
          <w:p>
            <w:pPr>
              <w:ind w:left="180"/>
              <w:spacing w:after="0"/>
              <w:rPr>
                <w:sz w:val="20"/>
                <w:szCs w:val="20"/>
                <w:color w:val="auto"/>
              </w:rPr>
            </w:pPr>
            <w:r>
              <w:rPr>
                <w:rFonts w:ascii="Arial" w:cs="Arial" w:eastAsia="Arial" w:hAnsi="Arial"/>
                <w:sz w:val="14"/>
                <w:szCs w:val="14"/>
                <w:b w:val="1"/>
                <w:bCs w:val="1"/>
                <w:i w:val="1"/>
                <w:iCs w:val="1"/>
                <w:color w:val="auto"/>
              </w:rPr>
              <w:t>thousands of U.S. dollars)</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GasLog</w:t>
            </w:r>
          </w:p>
        </w:tc>
        <w:tc>
          <w:tcPr>
            <w:tcW w:w="1380" w:type="dxa"/>
            <w:vAlign w:val="bottom"/>
            <w:gridSpan w:val="2"/>
          </w:tcPr>
          <w:p>
            <w:pPr>
              <w:jc w:val="center"/>
              <w:ind w:right="179"/>
              <w:spacing w:after="0"/>
              <w:rPr>
                <w:sz w:val="20"/>
                <w:szCs w:val="20"/>
                <w:color w:val="auto"/>
              </w:rPr>
            </w:pPr>
            <w:r>
              <w:rPr>
                <w:rFonts w:ascii="Arial" w:cs="Arial" w:eastAsia="Arial" w:hAnsi="Arial"/>
                <w:sz w:val="14"/>
                <w:szCs w:val="14"/>
                <w:b w:val="1"/>
                <w:bCs w:val="1"/>
                <w:color w:val="auto"/>
                <w:w w:val="86"/>
              </w:rPr>
              <w:t>Results</w:t>
            </w:r>
          </w:p>
        </w:tc>
        <w:tc>
          <w:tcPr>
            <w:tcW w:w="1380" w:type="dxa"/>
            <w:vAlign w:val="bottom"/>
            <w:gridSpan w:val="2"/>
          </w:tcPr>
          <w:p>
            <w:pPr>
              <w:jc w:val="center"/>
              <w:ind w:right="179"/>
              <w:spacing w:after="0"/>
              <w:rPr>
                <w:sz w:val="20"/>
                <w:szCs w:val="20"/>
                <w:color w:val="auto"/>
              </w:rPr>
            </w:pPr>
            <w:r>
              <w:rPr>
                <w:rFonts w:ascii="Arial" w:cs="Arial" w:eastAsia="Arial" w:hAnsi="Arial"/>
                <w:sz w:val="14"/>
                <w:szCs w:val="14"/>
                <w:b w:val="1"/>
                <w:bCs w:val="1"/>
                <w:color w:val="auto"/>
                <w:w w:val="86"/>
              </w:rPr>
              <w:t>Results</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GasLog</w:t>
            </w:r>
          </w:p>
        </w:tc>
        <w:tc>
          <w:tcPr>
            <w:tcW w:w="136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86"/>
              </w:rPr>
              <w:t>Results</w:t>
            </w:r>
          </w:p>
        </w:tc>
        <w:tc>
          <w:tcPr>
            <w:tcW w:w="124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86"/>
              </w:rPr>
              <w:t>Results</w:t>
            </w:r>
          </w:p>
        </w:tc>
        <w:tc>
          <w:tcPr>
            <w:tcW w:w="0" w:type="dxa"/>
            <w:vAlign w:val="bottom"/>
          </w:tcPr>
          <w:p>
            <w:pPr>
              <w:spacing w:after="0"/>
              <w:rPr>
                <w:sz w:val="1"/>
                <w:szCs w:val="1"/>
                <w:color w:val="auto"/>
              </w:rPr>
            </w:pPr>
          </w:p>
        </w:tc>
      </w:tr>
      <w:tr>
        <w:trPr>
          <w:trHeight w:val="142"/>
        </w:trPr>
        <w:tc>
          <w:tcPr>
            <w:tcW w:w="3340" w:type="dxa"/>
            <w:vAlign w:val="bottom"/>
            <w:tcBorders>
              <w:top w:val="single" w:sz="8" w:color="E5FFFF"/>
            </w:tcBorders>
            <w:shd w:val="clear" w:color="auto" w:fill="E5FFFF"/>
          </w:tcPr>
          <w:p>
            <w:pPr>
              <w:spacing w:after="0" w:line="142" w:lineRule="exact"/>
              <w:rPr>
                <w:sz w:val="20"/>
                <w:szCs w:val="20"/>
                <w:color w:val="auto"/>
              </w:rPr>
            </w:pPr>
            <w:r>
              <w:rPr>
                <w:rFonts w:ascii="Arial" w:cs="Arial" w:eastAsia="Arial" w:hAnsi="Arial"/>
                <w:sz w:val="14"/>
                <w:szCs w:val="14"/>
                <w:color w:val="auto"/>
              </w:rPr>
              <w:t>Revenues</w:t>
            </w:r>
          </w:p>
        </w:tc>
        <w:tc>
          <w:tcPr>
            <w:tcW w:w="114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E5FFFF"/>
            </w:tcBorders>
            <w:shd w:val="clear" w:color="auto" w:fill="E5FFFF"/>
          </w:tcPr>
          <w:p>
            <w:pPr>
              <w:spacing w:after="0"/>
              <w:rPr>
                <w:sz w:val="12"/>
                <w:szCs w:val="12"/>
                <w:color w:val="auto"/>
              </w:rPr>
            </w:pPr>
          </w:p>
        </w:tc>
        <w:tc>
          <w:tcPr>
            <w:tcW w:w="116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96,512</w:t>
            </w:r>
          </w:p>
        </w:tc>
        <w:tc>
          <w:tcPr>
            <w:tcW w:w="220" w:type="dxa"/>
            <w:vAlign w:val="bottom"/>
            <w:tcBorders>
              <w:top w:val="single" w:sz="8" w:color="E5FFFF"/>
            </w:tcBorders>
            <w:shd w:val="clear" w:color="auto" w:fill="E5FFFF"/>
          </w:tcPr>
          <w:p>
            <w:pPr>
              <w:spacing w:after="0"/>
              <w:rPr>
                <w:sz w:val="12"/>
                <w:szCs w:val="12"/>
                <w:color w:val="auto"/>
              </w:rPr>
            </w:pPr>
          </w:p>
        </w:tc>
        <w:tc>
          <w:tcPr>
            <w:tcW w:w="116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96,512</w:t>
            </w:r>
          </w:p>
        </w:tc>
        <w:tc>
          <w:tcPr>
            <w:tcW w:w="220" w:type="dxa"/>
            <w:vAlign w:val="bottom"/>
            <w:tcBorders>
              <w:top w:val="single" w:sz="8" w:color="E5FFFF"/>
            </w:tcBorders>
            <w:shd w:val="clear" w:color="auto" w:fill="E5FFFF"/>
          </w:tcPr>
          <w:p>
            <w:pPr>
              <w:spacing w:after="0"/>
              <w:rPr>
                <w:sz w:val="12"/>
                <w:szCs w:val="12"/>
                <w:color w:val="auto"/>
              </w:rPr>
            </w:pPr>
          </w:p>
        </w:tc>
        <w:tc>
          <w:tcPr>
            <w:tcW w:w="116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7,560</w:t>
            </w:r>
          </w:p>
        </w:tc>
        <w:tc>
          <w:tcPr>
            <w:tcW w:w="200" w:type="dxa"/>
            <w:vAlign w:val="bottom"/>
            <w:tcBorders>
              <w:top w:val="single" w:sz="8" w:color="E5FFFF"/>
            </w:tcBorders>
            <w:shd w:val="clear" w:color="auto" w:fill="E5FFFF"/>
          </w:tcPr>
          <w:p>
            <w:pPr>
              <w:spacing w:after="0"/>
              <w:rPr>
                <w:sz w:val="12"/>
                <w:szCs w:val="12"/>
                <w:color w:val="auto"/>
              </w:rPr>
            </w:pPr>
          </w:p>
        </w:tc>
        <w:tc>
          <w:tcPr>
            <w:tcW w:w="114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371,127</w:t>
            </w:r>
          </w:p>
        </w:tc>
        <w:tc>
          <w:tcPr>
            <w:tcW w:w="220" w:type="dxa"/>
            <w:vAlign w:val="bottom"/>
            <w:tcBorders>
              <w:top w:val="single" w:sz="8" w:color="E5FFFF"/>
            </w:tcBorders>
            <w:shd w:val="clear" w:color="auto" w:fill="E5FFFF"/>
          </w:tcPr>
          <w:p>
            <w:pPr>
              <w:spacing w:after="0"/>
              <w:rPr>
                <w:sz w:val="12"/>
                <w:szCs w:val="12"/>
                <w:color w:val="auto"/>
              </w:rPr>
            </w:pPr>
          </w:p>
        </w:tc>
        <w:tc>
          <w:tcPr>
            <w:tcW w:w="114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378,687</w:t>
            </w:r>
          </w:p>
        </w:tc>
        <w:tc>
          <w:tcPr>
            <w:tcW w:w="10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Net pool allocation</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gridSpan w:val="2"/>
          </w:tcPr>
          <w:p>
            <w:pPr>
              <w:jc w:val="right"/>
              <w:ind w:right="179"/>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gridSpan w:val="2"/>
          </w:tcPr>
          <w:p>
            <w:pPr>
              <w:jc w:val="right"/>
              <w:ind w:right="179"/>
              <w:spacing w:after="0" w:line="149" w:lineRule="exact"/>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1,058</w:t>
            </w:r>
          </w:p>
        </w:tc>
        <w:tc>
          <w:tcPr>
            <w:tcW w:w="12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149"/>
        </w:trPr>
        <w:tc>
          <w:tcPr>
            <w:tcW w:w="334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Voyage expenses and commissions</w:t>
            </w:r>
          </w:p>
        </w:tc>
        <w:tc>
          <w:tcPr>
            <w:tcW w:w="136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gridSpan w:val="2"/>
            <w:shd w:val="clear" w:color="auto" w:fill="E5FFFF"/>
          </w:tcPr>
          <w:p>
            <w:pPr>
              <w:jc w:val="right"/>
              <w:ind w:right="139"/>
              <w:spacing w:after="0" w:line="149" w:lineRule="exact"/>
              <w:rPr>
                <w:sz w:val="20"/>
                <w:szCs w:val="20"/>
                <w:color w:val="auto"/>
              </w:rPr>
            </w:pPr>
            <w:r>
              <w:rPr>
                <w:rFonts w:ascii="Arial" w:cs="Arial" w:eastAsia="Arial" w:hAnsi="Arial"/>
                <w:sz w:val="14"/>
                <w:szCs w:val="14"/>
                <w:color w:val="auto"/>
              </w:rPr>
              <w:t>(1,761)</w:t>
            </w:r>
          </w:p>
        </w:tc>
        <w:tc>
          <w:tcPr>
            <w:tcW w:w="1380" w:type="dxa"/>
            <w:vAlign w:val="bottom"/>
            <w:gridSpan w:val="2"/>
            <w:shd w:val="clear" w:color="auto" w:fill="E5FFFF"/>
          </w:tcPr>
          <w:p>
            <w:pPr>
              <w:jc w:val="right"/>
              <w:ind w:right="139"/>
              <w:spacing w:after="0" w:line="149" w:lineRule="exact"/>
              <w:rPr>
                <w:sz w:val="20"/>
                <w:szCs w:val="20"/>
                <w:color w:val="auto"/>
              </w:rPr>
            </w:pPr>
            <w:r>
              <w:rPr>
                <w:rFonts w:ascii="Arial" w:cs="Arial" w:eastAsia="Arial" w:hAnsi="Arial"/>
                <w:sz w:val="14"/>
                <w:szCs w:val="14"/>
                <w:color w:val="auto"/>
              </w:rPr>
              <w:t>(1,761)</w:t>
            </w:r>
          </w:p>
        </w:tc>
        <w:tc>
          <w:tcPr>
            <w:tcW w:w="136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(95)</w:t>
            </w:r>
          </w:p>
        </w:tc>
        <w:tc>
          <w:tcPr>
            <w:tcW w:w="1360" w:type="dxa"/>
            <w:vAlign w:val="bottom"/>
            <w:gridSpan w:val="2"/>
            <w:shd w:val="clear" w:color="auto" w:fill="E5FFFF"/>
          </w:tcPr>
          <w:p>
            <w:pPr>
              <w:jc w:val="right"/>
              <w:ind w:right="139"/>
              <w:spacing w:after="0" w:line="149" w:lineRule="exact"/>
              <w:rPr>
                <w:sz w:val="20"/>
                <w:szCs w:val="20"/>
                <w:color w:val="auto"/>
              </w:rPr>
            </w:pPr>
            <w:r>
              <w:rPr>
                <w:rFonts w:ascii="Arial" w:cs="Arial" w:eastAsia="Arial" w:hAnsi="Arial"/>
                <w:sz w:val="14"/>
                <w:szCs w:val="14"/>
                <w:color w:val="auto"/>
              </w:rPr>
              <w:t>(7,213)</w:t>
            </w:r>
          </w:p>
        </w:tc>
        <w:tc>
          <w:tcPr>
            <w:tcW w:w="1240" w:type="dxa"/>
            <w:vAlign w:val="bottom"/>
            <w:gridSpan w:val="2"/>
            <w:shd w:val="clear" w:color="auto" w:fill="E5FFFF"/>
          </w:tcPr>
          <w:p>
            <w:pPr>
              <w:jc w:val="right"/>
              <w:ind w:right="19"/>
              <w:spacing w:after="0" w:line="149" w:lineRule="exact"/>
              <w:rPr>
                <w:sz w:val="20"/>
                <w:szCs w:val="20"/>
                <w:color w:val="auto"/>
              </w:rPr>
            </w:pPr>
            <w:r>
              <w:rPr>
                <w:rFonts w:ascii="Arial" w:cs="Arial" w:eastAsia="Arial" w:hAnsi="Arial"/>
                <w:sz w:val="14"/>
                <w:szCs w:val="14"/>
                <w:color w:val="auto"/>
              </w:rPr>
              <w:t>(7,308)</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Vessel operating costs</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(21,447)</w:t>
            </w:r>
          </w:p>
        </w:tc>
        <w:tc>
          <w:tcPr>
            <w:tcW w:w="138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(21,447)</w:t>
            </w: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(1,513)</w:t>
            </w:r>
          </w:p>
        </w:tc>
        <w:tc>
          <w:tcPr>
            <w:tcW w:w="13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(75,229)</w:t>
            </w:r>
          </w:p>
        </w:tc>
        <w:tc>
          <w:tcPr>
            <w:tcW w:w="12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(76,742)</w:t>
            </w:r>
          </w:p>
        </w:tc>
        <w:tc>
          <w:tcPr>
            <w:tcW w:w="0" w:type="dxa"/>
            <w:vAlign w:val="bottom"/>
          </w:tcPr>
          <w:p>
            <w:pPr>
              <w:spacing w:after="0"/>
              <w:rPr>
                <w:sz w:val="1"/>
                <w:szCs w:val="1"/>
                <w:color w:val="auto"/>
              </w:rPr>
            </w:pPr>
          </w:p>
        </w:tc>
      </w:tr>
      <w:tr>
        <w:trPr>
          <w:trHeight w:val="149"/>
        </w:trPr>
        <w:tc>
          <w:tcPr>
            <w:tcW w:w="334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Depreciation</w:t>
            </w:r>
          </w:p>
        </w:tc>
        <w:tc>
          <w:tcPr>
            <w:tcW w:w="136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gridSpan w:val="2"/>
            <w:shd w:val="clear" w:color="auto" w:fill="E5FFFF"/>
          </w:tcPr>
          <w:p>
            <w:pPr>
              <w:jc w:val="right"/>
              <w:ind w:right="139"/>
              <w:spacing w:after="0" w:line="149" w:lineRule="exact"/>
              <w:rPr>
                <w:sz w:val="20"/>
                <w:szCs w:val="20"/>
                <w:color w:val="auto"/>
              </w:rPr>
            </w:pPr>
            <w:r>
              <w:rPr>
                <w:rFonts w:ascii="Arial" w:cs="Arial" w:eastAsia="Arial" w:hAnsi="Arial"/>
                <w:sz w:val="14"/>
                <w:szCs w:val="14"/>
                <w:color w:val="auto"/>
              </w:rPr>
              <w:t>(22,483)</w:t>
            </w:r>
          </w:p>
        </w:tc>
        <w:tc>
          <w:tcPr>
            <w:tcW w:w="1380" w:type="dxa"/>
            <w:vAlign w:val="bottom"/>
            <w:gridSpan w:val="2"/>
            <w:shd w:val="clear" w:color="auto" w:fill="E5FFFF"/>
          </w:tcPr>
          <w:p>
            <w:pPr>
              <w:jc w:val="right"/>
              <w:ind w:right="139"/>
              <w:spacing w:after="0" w:line="149" w:lineRule="exact"/>
              <w:rPr>
                <w:sz w:val="20"/>
                <w:szCs w:val="20"/>
                <w:color w:val="auto"/>
              </w:rPr>
            </w:pPr>
            <w:r>
              <w:rPr>
                <w:rFonts w:ascii="Arial" w:cs="Arial" w:eastAsia="Arial" w:hAnsi="Arial"/>
                <w:sz w:val="14"/>
                <w:szCs w:val="14"/>
                <w:color w:val="auto"/>
              </w:rPr>
              <w:t>(22,483)</w:t>
            </w:r>
          </w:p>
        </w:tc>
        <w:tc>
          <w:tcPr>
            <w:tcW w:w="136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(1,490)</w:t>
            </w:r>
          </w:p>
        </w:tc>
        <w:tc>
          <w:tcPr>
            <w:tcW w:w="1360" w:type="dxa"/>
            <w:vAlign w:val="bottom"/>
            <w:gridSpan w:val="2"/>
            <w:shd w:val="clear" w:color="auto" w:fill="E5FFFF"/>
          </w:tcPr>
          <w:p>
            <w:pPr>
              <w:jc w:val="right"/>
              <w:ind w:right="139"/>
              <w:spacing w:after="0" w:line="149" w:lineRule="exact"/>
              <w:rPr>
                <w:sz w:val="20"/>
                <w:szCs w:val="20"/>
                <w:color w:val="auto"/>
              </w:rPr>
            </w:pPr>
            <w:r>
              <w:rPr>
                <w:rFonts w:ascii="Arial" w:cs="Arial" w:eastAsia="Arial" w:hAnsi="Arial"/>
                <w:sz w:val="14"/>
                <w:szCs w:val="14"/>
                <w:color w:val="auto"/>
              </w:rPr>
              <w:t>(87,819)</w:t>
            </w:r>
          </w:p>
        </w:tc>
        <w:tc>
          <w:tcPr>
            <w:tcW w:w="1240" w:type="dxa"/>
            <w:vAlign w:val="bottom"/>
            <w:gridSpan w:val="2"/>
            <w:shd w:val="clear" w:color="auto" w:fill="E5FFFF"/>
          </w:tcPr>
          <w:p>
            <w:pPr>
              <w:jc w:val="right"/>
              <w:ind w:right="19"/>
              <w:spacing w:after="0" w:line="149" w:lineRule="exact"/>
              <w:rPr>
                <w:sz w:val="20"/>
                <w:szCs w:val="20"/>
                <w:color w:val="auto"/>
              </w:rPr>
            </w:pPr>
            <w:r>
              <w:rPr>
                <w:rFonts w:ascii="Arial" w:cs="Arial" w:eastAsia="Arial" w:hAnsi="Arial"/>
                <w:sz w:val="14"/>
                <w:szCs w:val="14"/>
                <w:color w:val="auto"/>
              </w:rPr>
              <w:t>(89,309)</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(5,049)</w:t>
            </w:r>
          </w:p>
        </w:tc>
        <w:tc>
          <w:tcPr>
            <w:tcW w:w="138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(5,049)</w:t>
            </w: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(96)</w:t>
            </w:r>
          </w:p>
        </w:tc>
        <w:tc>
          <w:tcPr>
            <w:tcW w:w="13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(19,305)</w:t>
            </w:r>
          </w:p>
        </w:tc>
        <w:tc>
          <w:tcPr>
            <w:tcW w:w="12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(19,401)</w:t>
            </w:r>
          </w:p>
        </w:tc>
        <w:tc>
          <w:tcPr>
            <w:tcW w:w="0" w:type="dxa"/>
            <w:vAlign w:val="bottom"/>
          </w:tcPr>
          <w:p>
            <w:pPr>
              <w:spacing w:after="0"/>
              <w:rPr>
                <w:sz w:val="1"/>
                <w:szCs w:val="1"/>
                <w:color w:val="auto"/>
              </w:rPr>
            </w:pPr>
          </w:p>
        </w:tc>
      </w:tr>
      <w:tr>
        <w:trPr>
          <w:trHeight w:val="149"/>
        </w:trPr>
        <w:tc>
          <w:tcPr>
            <w:tcW w:w="334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Impairment loss on vessels</w:t>
            </w:r>
          </w:p>
        </w:tc>
        <w:tc>
          <w:tcPr>
            <w:tcW w:w="136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gridSpan w:val="2"/>
            <w:shd w:val="clear" w:color="auto" w:fill="E5FFFF"/>
          </w:tcPr>
          <w:p>
            <w:pPr>
              <w:jc w:val="right"/>
              <w:ind w:right="139"/>
              <w:spacing w:after="0" w:line="149" w:lineRule="exact"/>
              <w:rPr>
                <w:sz w:val="20"/>
                <w:szCs w:val="20"/>
                <w:color w:val="auto"/>
              </w:rPr>
            </w:pPr>
            <w:r>
              <w:rPr>
                <w:rFonts w:ascii="Arial" w:cs="Arial" w:eastAsia="Arial" w:hAnsi="Arial"/>
                <w:sz w:val="14"/>
                <w:szCs w:val="14"/>
                <w:color w:val="auto"/>
              </w:rPr>
              <w:t>(138,848)</w:t>
            </w:r>
          </w:p>
        </w:tc>
        <w:tc>
          <w:tcPr>
            <w:tcW w:w="1380" w:type="dxa"/>
            <w:vAlign w:val="bottom"/>
            <w:gridSpan w:val="2"/>
            <w:shd w:val="clear" w:color="auto" w:fill="E5FFFF"/>
          </w:tcPr>
          <w:p>
            <w:pPr>
              <w:jc w:val="right"/>
              <w:ind w:right="139"/>
              <w:spacing w:after="0" w:line="149" w:lineRule="exact"/>
              <w:rPr>
                <w:sz w:val="20"/>
                <w:szCs w:val="20"/>
                <w:color w:val="auto"/>
              </w:rPr>
            </w:pPr>
            <w:r>
              <w:rPr>
                <w:rFonts w:ascii="Arial" w:cs="Arial" w:eastAsia="Arial" w:hAnsi="Arial"/>
                <w:sz w:val="14"/>
                <w:szCs w:val="14"/>
                <w:color w:val="auto"/>
              </w:rPr>
              <w:t>(138,848)</w:t>
            </w:r>
          </w:p>
        </w:tc>
        <w:tc>
          <w:tcPr>
            <w:tcW w:w="1360" w:type="dxa"/>
            <w:vAlign w:val="bottom"/>
            <w:gridSpan w:val="2"/>
            <w:shd w:val="clear" w:color="auto" w:fill="E5FF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1360" w:type="dxa"/>
            <w:vAlign w:val="bottom"/>
            <w:gridSpan w:val="2"/>
            <w:shd w:val="clear" w:color="auto" w:fill="E5FFFF"/>
          </w:tcPr>
          <w:p>
            <w:pPr>
              <w:jc w:val="right"/>
              <w:ind w:right="139"/>
              <w:spacing w:after="0" w:line="149" w:lineRule="exact"/>
              <w:rPr>
                <w:sz w:val="20"/>
                <w:szCs w:val="20"/>
                <w:color w:val="auto"/>
              </w:rPr>
            </w:pPr>
            <w:r>
              <w:rPr>
                <w:rFonts w:ascii="Arial" w:cs="Arial" w:eastAsia="Arial" w:hAnsi="Arial"/>
                <w:sz w:val="14"/>
                <w:szCs w:val="14"/>
                <w:color w:val="auto"/>
              </w:rPr>
              <w:t>(138,848)</w:t>
            </w:r>
          </w:p>
        </w:tc>
        <w:tc>
          <w:tcPr>
            <w:tcW w:w="1240" w:type="dxa"/>
            <w:vAlign w:val="bottom"/>
            <w:gridSpan w:val="2"/>
            <w:shd w:val="clear" w:color="auto" w:fill="E5FFFF"/>
          </w:tcPr>
          <w:p>
            <w:pPr>
              <w:jc w:val="right"/>
              <w:ind w:right="19"/>
              <w:spacing w:after="0" w:line="149" w:lineRule="exact"/>
              <w:rPr>
                <w:sz w:val="20"/>
                <w:szCs w:val="20"/>
                <w:color w:val="auto"/>
              </w:rPr>
            </w:pPr>
            <w:r>
              <w:rPr>
                <w:rFonts w:ascii="Arial" w:cs="Arial" w:eastAsia="Arial" w:hAnsi="Arial"/>
                <w:sz w:val="14"/>
                <w:szCs w:val="14"/>
                <w:color w:val="auto"/>
              </w:rPr>
              <w:t>(138,848)</w:t>
            </w:r>
          </w:p>
        </w:tc>
        <w:tc>
          <w:tcPr>
            <w:tcW w:w="0" w:type="dxa"/>
            <w:vAlign w:val="bottom"/>
          </w:tcPr>
          <w:p>
            <w:pPr>
              <w:spacing w:after="0"/>
              <w:rPr>
                <w:sz w:val="1"/>
                <w:szCs w:val="1"/>
                <w:color w:val="auto"/>
              </w:rPr>
            </w:pPr>
          </w:p>
        </w:tc>
      </w:tr>
      <w:tr>
        <w:trPr>
          <w:trHeight w:val="142"/>
        </w:trPr>
        <w:tc>
          <w:tcPr>
            <w:tcW w:w="3340" w:type="dxa"/>
            <w:vAlign w:val="bottom"/>
            <w:tcBorders>
              <w:bottom w:val="single" w:sz="8" w:color="E5FFFF"/>
            </w:tcBorders>
          </w:tcPr>
          <w:p>
            <w:pPr>
              <w:spacing w:after="0" w:line="142" w:lineRule="exact"/>
              <w:rPr>
                <w:sz w:val="20"/>
                <w:szCs w:val="20"/>
                <w:color w:val="auto"/>
              </w:rPr>
            </w:pPr>
            <w:r>
              <w:rPr>
                <w:rFonts w:ascii="Arial" w:cs="Arial" w:eastAsia="Arial" w:hAnsi="Arial"/>
                <w:sz w:val="14"/>
                <w:szCs w:val="14"/>
                <w:b w:val="1"/>
                <w:bCs w:val="1"/>
                <w:color w:val="auto"/>
              </w:rPr>
              <w:t>(Loss)/profit from operations</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E5FFFF"/>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(93,076)</w:t>
            </w:r>
          </w:p>
        </w:tc>
        <w:tc>
          <w:tcPr>
            <w:tcW w:w="220" w:type="dxa"/>
            <w:vAlign w:val="bottom"/>
            <w:tcBorders>
              <w:bottom w:val="single" w:sz="8" w:color="E5FFFF"/>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(93,076)</w:t>
            </w:r>
          </w:p>
        </w:tc>
        <w:tc>
          <w:tcPr>
            <w:tcW w:w="220" w:type="dxa"/>
            <w:vAlign w:val="bottom"/>
            <w:tcBorders>
              <w:bottom w:val="single" w:sz="8" w:color="E5FFFF"/>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4,366</w:t>
            </w:r>
          </w:p>
        </w:tc>
        <w:tc>
          <w:tcPr>
            <w:tcW w:w="200" w:type="dxa"/>
            <w:vAlign w:val="bottom"/>
            <w:tcBorders>
              <w:bottom w:val="single" w:sz="8" w:color="E5FF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43,771</w:t>
            </w:r>
          </w:p>
        </w:tc>
        <w:tc>
          <w:tcPr>
            <w:tcW w:w="220" w:type="dxa"/>
            <w:vAlign w:val="bottom"/>
            <w:tcBorders>
              <w:bottom w:val="single" w:sz="8" w:color="E5FF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48,137</w:t>
            </w:r>
          </w:p>
        </w:tc>
        <w:tc>
          <w:tcPr>
            <w:tcW w:w="100" w:type="dxa"/>
            <w:vAlign w:val="bottom"/>
            <w:tcBorders>
              <w:bottom w:val="single" w:sz="8" w:color="E5FF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shd w:val="clear" w:color="auto" w:fill="E5FFFF"/>
          </w:tcPr>
          <w:p>
            <w:pPr>
              <w:spacing w:after="0" w:line="142" w:lineRule="exact"/>
              <w:rPr>
                <w:sz w:val="20"/>
                <w:szCs w:val="20"/>
                <w:color w:val="auto"/>
              </w:rPr>
            </w:pPr>
            <w:r>
              <w:rPr>
                <w:rFonts w:ascii="Arial" w:cs="Arial" w:eastAsia="Arial" w:hAnsi="Arial"/>
                <w:sz w:val="14"/>
                <w:szCs w:val="14"/>
                <w:color w:val="auto"/>
              </w:rPr>
              <w:t>Financial costs</w:t>
            </w:r>
          </w:p>
        </w:tc>
        <w:tc>
          <w:tcPr>
            <w:tcW w:w="1140" w:type="dxa"/>
            <w:vAlign w:val="bottom"/>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E5FFFF"/>
          </w:tcPr>
          <w:p>
            <w:pPr>
              <w:spacing w:after="0"/>
              <w:rPr>
                <w:sz w:val="12"/>
                <w:szCs w:val="12"/>
                <w:color w:val="auto"/>
              </w:rPr>
            </w:pPr>
          </w:p>
        </w:tc>
        <w:tc>
          <w:tcPr>
            <w:tcW w:w="1160" w:type="dxa"/>
            <w:vAlign w:val="bottom"/>
            <w:shd w:val="clear" w:color="auto" w:fill="E5FFFF"/>
          </w:tcPr>
          <w:p>
            <w:pPr>
              <w:jc w:val="right"/>
              <w:spacing w:after="0" w:line="142" w:lineRule="exact"/>
              <w:rPr>
                <w:sz w:val="20"/>
                <w:szCs w:val="20"/>
                <w:color w:val="auto"/>
              </w:rPr>
            </w:pPr>
            <w:r>
              <w:rPr>
                <w:rFonts w:ascii="Arial" w:cs="Arial" w:eastAsia="Arial" w:hAnsi="Arial"/>
                <w:sz w:val="14"/>
                <w:szCs w:val="14"/>
                <w:color w:val="auto"/>
              </w:rPr>
              <w:t>(16,348)</w:t>
            </w:r>
          </w:p>
        </w:tc>
        <w:tc>
          <w:tcPr>
            <w:tcW w:w="220" w:type="dxa"/>
            <w:vAlign w:val="bottom"/>
            <w:shd w:val="clear" w:color="auto" w:fill="E5FFFF"/>
          </w:tcPr>
          <w:p>
            <w:pPr>
              <w:spacing w:after="0"/>
              <w:rPr>
                <w:sz w:val="12"/>
                <w:szCs w:val="12"/>
                <w:color w:val="auto"/>
              </w:rPr>
            </w:pPr>
          </w:p>
        </w:tc>
        <w:tc>
          <w:tcPr>
            <w:tcW w:w="1160" w:type="dxa"/>
            <w:vAlign w:val="bottom"/>
            <w:shd w:val="clear" w:color="auto" w:fill="E5FFFF"/>
          </w:tcPr>
          <w:p>
            <w:pPr>
              <w:jc w:val="right"/>
              <w:spacing w:after="0" w:line="142" w:lineRule="exact"/>
              <w:rPr>
                <w:sz w:val="20"/>
                <w:szCs w:val="20"/>
                <w:color w:val="auto"/>
              </w:rPr>
            </w:pPr>
            <w:r>
              <w:rPr>
                <w:rFonts w:ascii="Arial" w:cs="Arial" w:eastAsia="Arial" w:hAnsi="Arial"/>
                <w:sz w:val="14"/>
                <w:szCs w:val="14"/>
                <w:color w:val="auto"/>
              </w:rPr>
              <w:t>(16,348)</w:t>
            </w:r>
          </w:p>
        </w:tc>
        <w:tc>
          <w:tcPr>
            <w:tcW w:w="220" w:type="dxa"/>
            <w:vAlign w:val="bottom"/>
            <w:shd w:val="clear" w:color="auto" w:fill="E5FFFF"/>
          </w:tcPr>
          <w:p>
            <w:pPr>
              <w:spacing w:after="0"/>
              <w:rPr>
                <w:sz w:val="12"/>
                <w:szCs w:val="12"/>
                <w:color w:val="auto"/>
              </w:rPr>
            </w:pPr>
          </w:p>
        </w:tc>
        <w:tc>
          <w:tcPr>
            <w:tcW w:w="1160" w:type="dxa"/>
            <w:vAlign w:val="bottom"/>
            <w:shd w:val="clear" w:color="auto" w:fill="E5FFFF"/>
          </w:tcPr>
          <w:p>
            <w:pPr>
              <w:jc w:val="right"/>
              <w:spacing w:after="0" w:line="142" w:lineRule="exact"/>
              <w:rPr>
                <w:sz w:val="20"/>
                <w:szCs w:val="20"/>
                <w:color w:val="auto"/>
              </w:rPr>
            </w:pPr>
            <w:r>
              <w:rPr>
                <w:rFonts w:ascii="Arial" w:cs="Arial" w:eastAsia="Arial" w:hAnsi="Arial"/>
                <w:sz w:val="14"/>
                <w:szCs w:val="14"/>
                <w:color w:val="auto"/>
              </w:rPr>
              <w:t>(1,730)</w:t>
            </w:r>
          </w:p>
        </w:tc>
        <w:tc>
          <w:tcPr>
            <w:tcW w:w="200" w:type="dxa"/>
            <w:vAlign w:val="bottom"/>
            <w:shd w:val="clear" w:color="auto" w:fill="E5FFFF"/>
          </w:tcPr>
          <w:p>
            <w:pPr>
              <w:spacing w:after="0"/>
              <w:rPr>
                <w:sz w:val="12"/>
                <w:szCs w:val="12"/>
                <w:color w:val="auto"/>
              </w:rPr>
            </w:pPr>
          </w:p>
        </w:tc>
        <w:tc>
          <w:tcPr>
            <w:tcW w:w="1140" w:type="dxa"/>
            <w:vAlign w:val="bottom"/>
            <w:shd w:val="clear" w:color="auto" w:fill="E5FFFF"/>
          </w:tcPr>
          <w:p>
            <w:pPr>
              <w:jc w:val="right"/>
              <w:spacing w:after="0" w:line="142" w:lineRule="exact"/>
              <w:rPr>
                <w:sz w:val="20"/>
                <w:szCs w:val="20"/>
                <w:color w:val="auto"/>
              </w:rPr>
            </w:pPr>
            <w:r>
              <w:rPr>
                <w:rFonts w:ascii="Arial" w:cs="Arial" w:eastAsia="Arial" w:hAnsi="Arial"/>
                <w:sz w:val="14"/>
                <w:szCs w:val="14"/>
                <w:color w:val="auto"/>
              </w:rPr>
              <w:t>(70,268)</w:t>
            </w:r>
          </w:p>
        </w:tc>
        <w:tc>
          <w:tcPr>
            <w:tcW w:w="220" w:type="dxa"/>
            <w:vAlign w:val="bottom"/>
            <w:shd w:val="clear" w:color="auto" w:fill="E5FFFF"/>
          </w:tcPr>
          <w:p>
            <w:pPr>
              <w:spacing w:after="0"/>
              <w:rPr>
                <w:sz w:val="12"/>
                <w:szCs w:val="12"/>
                <w:color w:val="auto"/>
              </w:rPr>
            </w:pPr>
          </w:p>
        </w:tc>
        <w:tc>
          <w:tcPr>
            <w:tcW w:w="1140" w:type="dxa"/>
            <w:vAlign w:val="bottom"/>
            <w:shd w:val="clear" w:color="auto" w:fill="E5FFFF"/>
          </w:tcPr>
          <w:p>
            <w:pPr>
              <w:jc w:val="right"/>
              <w:spacing w:after="0" w:line="142" w:lineRule="exact"/>
              <w:rPr>
                <w:sz w:val="20"/>
                <w:szCs w:val="20"/>
                <w:color w:val="auto"/>
              </w:rPr>
            </w:pPr>
            <w:r>
              <w:rPr>
                <w:rFonts w:ascii="Arial" w:cs="Arial" w:eastAsia="Arial" w:hAnsi="Arial"/>
                <w:sz w:val="14"/>
                <w:szCs w:val="14"/>
                <w:color w:val="auto"/>
              </w:rPr>
              <w:t>(71,998)</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Financial income</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329</w:t>
            </w:r>
          </w:p>
        </w:tc>
        <w:tc>
          <w:tcPr>
            <w:tcW w:w="220" w:type="dxa"/>
            <w:vAlign w:val="bottom"/>
          </w:tcPr>
          <w:p>
            <w:pPr>
              <w:spacing w:after="0"/>
              <w:rPr>
                <w:sz w:val="12"/>
                <w:szCs w:val="12"/>
                <w:color w:val="auto"/>
              </w:rPr>
            </w:pPr>
          </w:p>
        </w:tc>
        <w:tc>
          <w:tcPr>
            <w:tcW w:w="13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329</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2"/>
                <w:szCs w:val="12"/>
                <w:color w:val="auto"/>
              </w:rPr>
            </w:pPr>
          </w:p>
        </w:tc>
        <w:tc>
          <w:tcPr>
            <w:tcW w:w="136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1,873</w:t>
            </w:r>
          </w:p>
        </w:tc>
        <w:tc>
          <w:tcPr>
            <w:tcW w:w="12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149"/>
        </w:trPr>
        <w:tc>
          <w:tcPr>
            <w:tcW w:w="334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Gain/(loss) on derivatives</w:t>
            </w:r>
          </w:p>
        </w:tc>
        <w:tc>
          <w:tcPr>
            <w:tcW w:w="136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380" w:type="dxa"/>
            <w:vAlign w:val="bottom"/>
            <w:gridSpan w:val="2"/>
            <w:shd w:val="clear" w:color="auto" w:fill="E5FFFF"/>
          </w:tcPr>
          <w:p>
            <w:pPr>
              <w:jc w:val="right"/>
              <w:ind w:right="179"/>
              <w:spacing w:after="0" w:line="149" w:lineRule="exact"/>
              <w:rPr>
                <w:sz w:val="20"/>
                <w:szCs w:val="20"/>
                <w:color w:val="auto"/>
              </w:rPr>
            </w:pPr>
            <w:r>
              <w:rPr>
                <w:rFonts w:ascii="Arial" w:cs="Arial" w:eastAsia="Arial" w:hAnsi="Arial"/>
                <w:sz w:val="14"/>
                <w:szCs w:val="14"/>
                <w:color w:val="auto"/>
              </w:rPr>
              <w:t>2,733</w:t>
            </w:r>
          </w:p>
        </w:tc>
        <w:tc>
          <w:tcPr>
            <w:tcW w:w="1380" w:type="dxa"/>
            <w:vAlign w:val="bottom"/>
            <w:gridSpan w:val="2"/>
            <w:shd w:val="clear" w:color="auto" w:fill="E5FFFF"/>
          </w:tcPr>
          <w:p>
            <w:pPr>
              <w:jc w:val="right"/>
              <w:ind w:right="179"/>
              <w:spacing w:after="0" w:line="149" w:lineRule="exact"/>
              <w:rPr>
                <w:sz w:val="20"/>
                <w:szCs w:val="20"/>
                <w:color w:val="auto"/>
              </w:rPr>
            </w:pPr>
            <w:r>
              <w:rPr>
                <w:rFonts w:ascii="Arial" w:cs="Arial" w:eastAsia="Arial" w:hAnsi="Arial"/>
                <w:sz w:val="14"/>
                <w:szCs w:val="14"/>
                <w:color w:val="auto"/>
              </w:rPr>
              <w:t>2,733</w:t>
            </w:r>
          </w:p>
        </w:tc>
        <w:tc>
          <w:tcPr>
            <w:tcW w:w="1360" w:type="dxa"/>
            <w:vAlign w:val="bottom"/>
            <w:gridSpan w:val="2"/>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E5FFFF"/>
          </w:tcPr>
          <w:p>
            <w:pPr>
              <w:jc w:val="right"/>
              <w:ind w:right="139"/>
              <w:spacing w:after="0" w:line="149" w:lineRule="exact"/>
              <w:rPr>
                <w:sz w:val="20"/>
                <w:szCs w:val="20"/>
                <w:color w:val="auto"/>
              </w:rPr>
            </w:pPr>
            <w:r>
              <w:rPr>
                <w:rFonts w:ascii="Arial" w:cs="Arial" w:eastAsia="Arial" w:hAnsi="Arial"/>
                <w:sz w:val="14"/>
                <w:szCs w:val="14"/>
                <w:color w:val="auto"/>
              </w:rPr>
              <w:t>(12,795)</w:t>
            </w:r>
          </w:p>
        </w:tc>
        <w:tc>
          <w:tcPr>
            <w:tcW w:w="1240" w:type="dxa"/>
            <w:vAlign w:val="bottom"/>
            <w:gridSpan w:val="2"/>
            <w:shd w:val="clear" w:color="auto" w:fill="E5FFFF"/>
          </w:tcPr>
          <w:p>
            <w:pPr>
              <w:jc w:val="right"/>
              <w:ind w:right="19"/>
              <w:spacing w:after="0" w:line="149" w:lineRule="exact"/>
              <w:rPr>
                <w:sz w:val="20"/>
                <w:szCs w:val="20"/>
                <w:color w:val="auto"/>
              </w:rPr>
            </w:pPr>
            <w:r>
              <w:rPr>
                <w:rFonts w:ascii="Arial" w:cs="Arial" w:eastAsia="Arial" w:hAnsi="Arial"/>
                <w:sz w:val="14"/>
                <w:szCs w:val="14"/>
                <w:color w:val="auto"/>
              </w:rPr>
              <w:t>(12,795)</w:t>
            </w:r>
          </w:p>
        </w:tc>
        <w:tc>
          <w:tcPr>
            <w:tcW w:w="0" w:type="dxa"/>
            <w:vAlign w:val="bottom"/>
          </w:tcPr>
          <w:p>
            <w:pPr>
              <w:spacing w:after="0"/>
              <w:rPr>
                <w:sz w:val="1"/>
                <w:szCs w:val="1"/>
                <w:color w:val="auto"/>
              </w:rPr>
            </w:pPr>
          </w:p>
        </w:tc>
      </w:tr>
      <w:tr>
        <w:trPr>
          <w:trHeight w:val="142"/>
        </w:trPr>
        <w:tc>
          <w:tcPr>
            <w:tcW w:w="3340" w:type="dxa"/>
            <w:vAlign w:val="bottom"/>
            <w:tcBorders>
              <w:bottom w:val="single" w:sz="8" w:color="E5FFFF"/>
            </w:tcBorders>
          </w:tcPr>
          <w:p>
            <w:pPr>
              <w:spacing w:after="0" w:line="142" w:lineRule="exact"/>
              <w:rPr>
                <w:sz w:val="20"/>
                <w:szCs w:val="20"/>
                <w:color w:val="auto"/>
              </w:rPr>
            </w:pPr>
            <w:r>
              <w:rPr>
                <w:rFonts w:ascii="Arial" w:cs="Arial" w:eastAsia="Arial" w:hAnsi="Arial"/>
                <w:sz w:val="14"/>
                <w:szCs w:val="14"/>
                <w:b w:val="1"/>
                <w:bCs w:val="1"/>
                <w:color w:val="auto"/>
              </w:rPr>
              <w:t>Total other expenses, net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E5FFFF"/>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(13,286)</w:t>
            </w:r>
          </w:p>
        </w:tc>
        <w:tc>
          <w:tcPr>
            <w:tcW w:w="220" w:type="dxa"/>
            <w:vAlign w:val="bottom"/>
            <w:tcBorders>
              <w:bottom w:val="single" w:sz="8" w:color="E5FFFF"/>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(13,286)</w:t>
            </w:r>
          </w:p>
        </w:tc>
        <w:tc>
          <w:tcPr>
            <w:tcW w:w="220" w:type="dxa"/>
            <w:vAlign w:val="bottom"/>
            <w:tcBorders>
              <w:bottom w:val="single" w:sz="8" w:color="E5FFFF"/>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(1,716)</w:t>
            </w:r>
          </w:p>
        </w:tc>
        <w:tc>
          <w:tcPr>
            <w:tcW w:w="200" w:type="dxa"/>
            <w:vAlign w:val="bottom"/>
            <w:tcBorders>
              <w:bottom w:val="single" w:sz="8" w:color="E5FF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(81,190)</w:t>
            </w:r>
          </w:p>
        </w:tc>
        <w:tc>
          <w:tcPr>
            <w:tcW w:w="220" w:type="dxa"/>
            <w:vAlign w:val="bottom"/>
            <w:tcBorders>
              <w:bottom w:val="single" w:sz="8" w:color="E5FF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(82,906)</w:t>
            </w:r>
          </w:p>
        </w:tc>
        <w:tc>
          <w:tcPr>
            <w:tcW w:w="100" w:type="dxa"/>
            <w:vAlign w:val="bottom"/>
            <w:tcBorders>
              <w:bottom w:val="single" w:sz="8" w:color="E5FF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40" w:type="dxa"/>
            <w:vAlign w:val="bottom"/>
            <w:tcBorders>
              <w:bottom w:val="single" w:sz="8" w:color="E5FFFF"/>
            </w:tcBorders>
            <w:shd w:val="clear" w:color="auto" w:fill="E5FFFF"/>
          </w:tcPr>
          <w:p>
            <w:pPr>
              <w:spacing w:after="0" w:line="155" w:lineRule="exact"/>
              <w:rPr>
                <w:sz w:val="20"/>
                <w:szCs w:val="20"/>
                <w:color w:val="auto"/>
              </w:rPr>
            </w:pPr>
            <w:r>
              <w:rPr>
                <w:rFonts w:ascii="Arial" w:cs="Arial" w:eastAsia="Arial" w:hAnsi="Arial"/>
                <w:sz w:val="14"/>
                <w:szCs w:val="14"/>
                <w:b w:val="1"/>
                <w:bCs w:val="1"/>
                <w:color w:val="auto"/>
              </w:rPr>
              <w:t>(Loss)/profit for the period</w:t>
            </w:r>
          </w:p>
        </w:tc>
        <w:tc>
          <w:tcPr>
            <w:tcW w:w="1140" w:type="dxa"/>
            <w:vAlign w:val="bottom"/>
            <w:tcBorders>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E5FFFF"/>
            </w:tcBorders>
            <w:shd w:val="clear" w:color="auto" w:fill="E5FFFF"/>
          </w:tcPr>
          <w:p>
            <w:pPr>
              <w:spacing w:after="0"/>
              <w:rPr>
                <w:sz w:val="13"/>
                <w:szCs w:val="13"/>
                <w:color w:val="auto"/>
              </w:rPr>
            </w:pPr>
          </w:p>
        </w:tc>
        <w:tc>
          <w:tcPr>
            <w:tcW w:w="1160" w:type="dxa"/>
            <w:vAlign w:val="bottom"/>
            <w:tcBorders>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(106,362</w:t>
            </w:r>
          </w:p>
        </w:tc>
        <w:tc>
          <w:tcPr>
            <w:tcW w:w="220" w:type="dxa"/>
            <w:vAlign w:val="bottom"/>
            <w:tcBorders>
              <w:bottom w:val="single" w:sz="8" w:color="E5FFFF"/>
            </w:tcBorders>
            <w:shd w:val="clear" w:color="auto" w:fill="E5FFFF"/>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160" w:type="dxa"/>
            <w:vAlign w:val="bottom"/>
            <w:tcBorders>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(106,362</w:t>
            </w:r>
          </w:p>
        </w:tc>
        <w:tc>
          <w:tcPr>
            <w:tcW w:w="220" w:type="dxa"/>
            <w:vAlign w:val="bottom"/>
            <w:tcBorders>
              <w:bottom w:val="single" w:sz="8" w:color="E5FFFF"/>
            </w:tcBorders>
            <w:shd w:val="clear" w:color="auto" w:fill="E5FFFF"/>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160" w:type="dxa"/>
            <w:vAlign w:val="bottom"/>
            <w:tcBorders>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2,650</w:t>
            </w:r>
          </w:p>
        </w:tc>
        <w:tc>
          <w:tcPr>
            <w:tcW w:w="200" w:type="dxa"/>
            <w:vAlign w:val="bottom"/>
            <w:tcBorders>
              <w:bottom w:val="single" w:sz="8" w:color="E5FFFF"/>
            </w:tcBorders>
            <w:shd w:val="clear" w:color="auto" w:fill="E5FFFF"/>
          </w:tcPr>
          <w:p>
            <w:pPr>
              <w:spacing w:after="0"/>
              <w:rPr>
                <w:sz w:val="13"/>
                <w:szCs w:val="13"/>
                <w:color w:val="auto"/>
              </w:rPr>
            </w:pPr>
          </w:p>
        </w:tc>
        <w:tc>
          <w:tcPr>
            <w:tcW w:w="1140" w:type="dxa"/>
            <w:vAlign w:val="bottom"/>
            <w:tcBorders>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(37,419</w:t>
            </w:r>
          </w:p>
        </w:tc>
        <w:tc>
          <w:tcPr>
            <w:tcW w:w="220" w:type="dxa"/>
            <w:vAlign w:val="bottom"/>
            <w:tcBorders>
              <w:bottom w:val="single" w:sz="8" w:color="E5FFFF"/>
            </w:tcBorders>
            <w:shd w:val="clear" w:color="auto" w:fill="E5FFFF"/>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140" w:type="dxa"/>
            <w:vAlign w:val="bottom"/>
            <w:tcBorders>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(34,769</w:t>
            </w:r>
          </w:p>
        </w:tc>
        <w:tc>
          <w:tcPr>
            <w:tcW w:w="100" w:type="dxa"/>
            <w:vAlign w:val="bottom"/>
            <w:tcBorders>
              <w:bottom w:val="single" w:sz="8" w:color="E5FFFF"/>
            </w:tcBorders>
            <w:shd w:val="clear" w:color="auto" w:fill="E5FF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EXHIBIT III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color w:val="auto"/>
        </w:rPr>
        <w:t>EBITDA is defined as earnings before financial income and costs, gain/loss on derivatives, taxes, depreciation and amortization. Adjusted EBITDA is defined as EBITDA before impairment loss on vessels. Adjusted Profit represents earnings before (a) non-cash gain/loss on derivatives that includes unrealized gain/loss on derivatives held for trading, (b) write-off and accelerated amortization of unamortized loan fees and (c) impairment loss on vessels. Adjusted EPU, represents earnings attributable to unitholders before (a) non-cash gain/loss on derivatives that includes unrealized gain/loss on derivatives held for trading, (b) write-off and accelerated amortization of unamortized loan fees and (c) impairment loss on vessels. EBITDA, Adjusted EBITDA, Adjusted Profit, and Adjusted EPU,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Adjusted EBITDA, Adjusted Profit and Adjusted EPU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and Adjusted EBITDA, financial costs, gain/loss on derivatives, taxes, depreciation and amortization; in the case of Adjusted EBITDA, impairment loss on vessels and, in the case of Adjusted Profit and Adjusted EPU, non-cash gain/loss on derivatives, write-off and accelerated amortization of unamortized loan fees and impairment loss on vessels, which items are affected by various and possibly changing financing methods, financial market conditions, general shipping market conditions, capital structure and historical cost basis and which items may significantly affect results of operations between periods. In the current period, impairment has been excluded from Adjusted EBITDA, Adjusted Profit and Adjusted EPU because impairment loss on vessels represents the excess of their carrying amount over the amount that is expected to be recovered from them in the future and therefore is not considered representative of the underlying operations of the Partnership.</w:t>
      </w:r>
    </w:p>
    <w:p>
      <w:pPr>
        <w:spacing w:after="0" w:line="160"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EBITDA, Adjusted EBITDA, Adjusted Profit and Adjusted EPU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and Adjusted EBITDA do not reflect any cash requirements for such replacements. EBITDA, Adjusted EBITDA, Adjusted Profit and Adjusted EPU are not adjusted for all non-cash income or expense items that are reflected in our statement of cash flows and other companies in our industry may calculate these measures differently to how we do, limiting their usefulness as comparative measures. EBITDA, Adjusted EBITDA, Adjusted Profit and Adjusted EPU exclude some, but not all, items that affect profit or loss and these measures may vary among other companies. Therefore, EBITDA, Adjusted EBITDA, Adjusted Profit and Adjusted EPU as presented herein may not be comparable to similarly titled measures of other companies. The following tables reconcile EBITDA, Adjusted EBITDA, Adjusted Profit and Adjusted EPU to Profit, the most directly comparable IFRS financial measure, for the periods presented.</w:t>
      </w:r>
    </w:p>
    <w:p>
      <w:pPr>
        <w:spacing w:after="0" w:line="170" w:lineRule="exact"/>
        <w:rPr>
          <w:sz w:val="20"/>
          <w:szCs w:val="20"/>
          <w:color w:val="auto"/>
        </w:rPr>
      </w:pPr>
    </w:p>
    <w:p>
      <w:pPr>
        <w:jc w:val="both"/>
        <w:ind w:right="60"/>
        <w:spacing w:after="0" w:line="278" w:lineRule="auto"/>
        <w:rPr>
          <w:sz w:val="20"/>
          <w:szCs w:val="20"/>
          <w:color w:val="auto"/>
        </w:rPr>
      </w:pPr>
      <w:r>
        <w:rPr>
          <w:rFonts w:ascii="Arial" w:cs="Arial" w:eastAsia="Arial" w:hAnsi="Arial"/>
          <w:sz w:val="16"/>
          <w:szCs w:val="16"/>
          <w:color w:val="auto"/>
        </w:rPr>
        <w:t>In evaluating EBITDA, Adjusted EBITDA, Adjusted Profit, and Adjusted EPU you should be aware that in the future we may incur expenses that are the same as or similar to some of the adjustments in this presentation. Our presentation of EBITDA, Adjusted EBITDA, Adjusted Profit and Adjusted EPU should not be construed as an inference that our future results will be unaffected by the excluded items.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Adjusted EBITDA guidance for 2020 is based on the following assumptions:</w:t>
      </w:r>
    </w:p>
    <w:p>
      <w:pPr>
        <w:spacing w:after="0" w:line="221" w:lineRule="exact"/>
        <w:rPr>
          <w:sz w:val="20"/>
          <w:szCs w:val="20"/>
          <w:color w:val="auto"/>
        </w:rPr>
      </w:pPr>
    </w:p>
    <w:p>
      <w:pPr>
        <w:ind w:left="940" w:hanging="608"/>
        <w:spacing w:after="0"/>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timely receipt of charter hire specified in the fixed-rate or spot charter contract;</w:t>
      </w:r>
    </w:p>
    <w:p>
      <w:pPr>
        <w:spacing w:after="0" w:line="22" w:lineRule="exact"/>
        <w:rPr>
          <w:rFonts w:ascii="Arial" w:cs="Arial" w:eastAsia="Arial" w:hAnsi="Arial"/>
          <w:sz w:val="16"/>
          <w:szCs w:val="16"/>
          <w:color w:val="auto"/>
        </w:rPr>
      </w:pPr>
    </w:p>
    <w:p>
      <w:pPr>
        <w:ind w:left="940" w:hanging="608"/>
        <w:spacing w:after="0"/>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utilization of 363 days per year and 35 off-hire days due to dry-docking and ballast water treatment installation;</w:t>
      </w:r>
    </w:p>
    <w:p>
      <w:pPr>
        <w:spacing w:after="0" w:line="18" w:lineRule="exact"/>
        <w:rPr>
          <w:rFonts w:ascii="Arial" w:cs="Arial" w:eastAsia="Arial" w:hAnsi="Arial"/>
          <w:sz w:val="16"/>
          <w:szCs w:val="16"/>
          <w:color w:val="auto"/>
        </w:rPr>
      </w:pPr>
    </w:p>
    <w:p>
      <w:pPr>
        <w:ind w:left="940" w:hanging="608"/>
        <w:spacing w:after="0"/>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vessel operating and supervision costs and voyage expenses and commissions per current internal estimates;</w:t>
      </w:r>
    </w:p>
    <w:p>
      <w:pPr>
        <w:spacing w:after="0" w:line="18" w:lineRule="exact"/>
        <w:rPr>
          <w:rFonts w:ascii="Arial" w:cs="Arial" w:eastAsia="Arial" w:hAnsi="Arial"/>
          <w:sz w:val="16"/>
          <w:szCs w:val="16"/>
          <w:color w:val="auto"/>
        </w:rPr>
      </w:pPr>
    </w:p>
    <w:p>
      <w:pPr>
        <w:ind w:left="940" w:hanging="608"/>
        <w:spacing w:after="0"/>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general and administrative expenses based on management’s current internal estimates;</w:t>
      </w:r>
    </w:p>
    <w:p>
      <w:pPr>
        <w:spacing w:after="0" w:line="18" w:lineRule="exact"/>
        <w:rPr>
          <w:rFonts w:ascii="Arial" w:cs="Arial" w:eastAsia="Arial" w:hAnsi="Arial"/>
          <w:sz w:val="16"/>
          <w:szCs w:val="16"/>
          <w:color w:val="auto"/>
        </w:rPr>
      </w:pPr>
    </w:p>
    <w:p>
      <w:pPr>
        <w:ind w:left="940" w:hanging="608"/>
        <w:spacing w:after="0"/>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estimates of TCE rates to be earned by the seven vessels whose term charters have expired or are scheduled to expire during 2020; and</w:t>
      </w:r>
    </w:p>
    <w:p>
      <w:pPr>
        <w:spacing w:after="0" w:line="18" w:lineRule="exact"/>
        <w:rPr>
          <w:rFonts w:ascii="Arial" w:cs="Arial" w:eastAsia="Arial" w:hAnsi="Arial"/>
          <w:sz w:val="16"/>
          <w:szCs w:val="16"/>
          <w:color w:val="auto"/>
        </w:rPr>
      </w:pPr>
    </w:p>
    <w:p>
      <w:pPr>
        <w:ind w:left="980" w:right="120" w:hanging="648"/>
        <w:spacing w:after="0" w:line="288" w:lineRule="auto"/>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that the six vessels whose term charters have expired or are scheduled to expire during 2020 (excluding the </w:t>
      </w:r>
      <w:r>
        <w:rPr>
          <w:rFonts w:ascii="Arial" w:cs="Arial" w:eastAsia="Arial" w:hAnsi="Arial"/>
          <w:sz w:val="16"/>
          <w:szCs w:val="16"/>
          <w:i w:val="1"/>
          <w:iCs w:val="1"/>
          <w:color w:val="auto"/>
        </w:rPr>
        <w:t>GasLog Shanghai</w:t>
      </w:r>
      <w:r>
        <w:rPr>
          <w:rFonts w:ascii="Arial" w:cs="Arial" w:eastAsia="Arial" w:hAnsi="Arial"/>
          <w:sz w:val="16"/>
          <w:szCs w:val="16"/>
          <w:color w:val="auto"/>
        </w:rPr>
        <w:t>) are to operate in the spot market for the remaining period of 2020 after the expiry of their term charters.</w:t>
      </w:r>
    </w:p>
    <w:p>
      <w:pPr>
        <w:spacing w:after="0" w:line="162" w:lineRule="exact"/>
        <w:rPr>
          <w:sz w:val="20"/>
          <w:szCs w:val="20"/>
          <w:color w:val="auto"/>
        </w:rPr>
      </w:pPr>
    </w:p>
    <w:p>
      <w:pPr>
        <w:ind w:right="80"/>
        <w:spacing w:after="0" w:line="369" w:lineRule="auto"/>
        <w:rPr>
          <w:sz w:val="20"/>
          <w:szCs w:val="20"/>
          <w:color w:val="auto"/>
        </w:rPr>
      </w:pPr>
      <w:r>
        <w:rPr>
          <w:rFonts w:ascii="Arial" w:cs="Arial" w:eastAsia="Arial" w:hAnsi="Arial"/>
          <w:sz w:val="14"/>
          <w:szCs w:val="14"/>
          <w:color w:val="auto"/>
        </w:rPr>
        <w:t>We believe that the lower end of our guidance range reflects conservative assumptions relative to long-term average headline spot rates and utilization observed for TFDE and Steam vessels, while the higher end assumes TFDE TCE earnings approximately in line with mid-cycle TFDE headline rates and an appropriate discount for Steam vessels.</w:t>
      </w:r>
    </w:p>
    <w:p>
      <w:pPr>
        <w:spacing w:after="0" w:line="113" w:lineRule="exact"/>
        <w:rPr>
          <w:sz w:val="20"/>
          <w:szCs w:val="20"/>
          <w:color w:val="auto"/>
        </w:rPr>
      </w:pPr>
    </w:p>
    <w:p>
      <w:pPr>
        <w:ind w:right="140"/>
        <w:spacing w:after="0" w:line="293" w:lineRule="auto"/>
        <w:rPr>
          <w:sz w:val="20"/>
          <w:szCs w:val="20"/>
          <w:color w:val="auto"/>
        </w:rPr>
      </w:pPr>
      <w:r>
        <w:rPr>
          <w:rFonts w:ascii="Arial" w:cs="Arial" w:eastAsia="Arial" w:hAnsi="Arial"/>
          <w:sz w:val="15"/>
          <w:szCs w:val="15"/>
          <w:color w:val="auto"/>
        </w:rPr>
        <w:t>We consider the above assumptions to be reasonable as of the date of this press release, but if these assumptions prove to be incorrect, actual EBITDA for the entities owning the vessels could differ materially from our estimates. The prospective financial information was not prepared with a view toward public disclosure or with a view toward complying with the guidelines established by the American Institute of Certified Public Accountants, but, in the view of the Partnership’s management, was prepared on a reasonable basis and reflects the best currently available estimates and judgments. However, this information is not fact and should not be relied upon as being necessarily indicative of future results, and readers of this press release are cautioned not to place undue reliance on the prospective financial information.</w:t>
      </w:r>
    </w:p>
    <w:p>
      <w:pPr>
        <w:spacing w:after="0" w:line="16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Neither our independent auditors nor any other independent accountants have compiled, examined, or performed any procedures with respect to the prospective financial information contained above, nor have they expressed any opinion or any other form of assurance on such information or its achievability and assume no responsibility for, and disclaim any association with, such prospective financial information.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16" w:name="page17"/>
    <w:bookmarkEnd w:id="16"/>
    <w:p>
      <w:pPr>
        <w:jc w:val="both"/>
        <w:spacing w:after="0" w:line="278" w:lineRule="auto"/>
        <w:rPr>
          <w:sz w:val="20"/>
          <w:szCs w:val="20"/>
          <w:color w:val="auto"/>
        </w:rPr>
      </w:pPr>
      <w:r>
        <w:rPr>
          <w:rFonts w:ascii="Arial" w:cs="Arial" w:eastAsia="Arial" w:hAnsi="Arial"/>
          <w:sz w:val="16"/>
          <w:szCs w:val="16"/>
          <w:color w:val="auto"/>
        </w:rPr>
        <w:t>EBITDA, Adjusted EBITDA, Adjusted Profit and Adjusted EPU are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reconciliations below.</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Profit to EBITDA and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gridSpan w:val="5"/>
          </w:tcPr>
          <w:p>
            <w:pPr>
              <w:jc w:val="center"/>
              <w:ind w:right="600"/>
              <w:spacing w:after="0"/>
              <w:rPr>
                <w:sz w:val="20"/>
                <w:szCs w:val="20"/>
                <w:color w:val="auto"/>
              </w:rPr>
            </w:pPr>
            <w:r>
              <w:rPr>
                <w:rFonts w:ascii="Arial" w:cs="Arial" w:eastAsia="Arial" w:hAnsi="Arial"/>
                <w:sz w:val="16"/>
                <w:szCs w:val="16"/>
                <w:b w:val="1"/>
                <w:bCs w:val="1"/>
                <w:color w:val="auto"/>
                <w:w w:val="89"/>
              </w:rPr>
              <w:t>For the three months ended</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33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4"/>
              </w:rPr>
              <w:t>IFRS Common Control Reported</w:t>
            </w:r>
          </w:p>
        </w:tc>
        <w:tc>
          <w:tcPr>
            <w:tcW w:w="310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3"/>
              </w:rPr>
              <w:t>Partnership Performance</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1800" w:type="dxa"/>
            <w:vAlign w:val="bottom"/>
            <w:tcBorders>
              <w:bottom w:val="single" w:sz="8" w:color="auto"/>
            </w:tcBorders>
            <w:gridSpan w:val="3"/>
          </w:tcPr>
          <w:p>
            <w:pPr>
              <w:jc w:val="center"/>
              <w:ind w:left="1139"/>
              <w:spacing w:after="0"/>
              <w:rPr>
                <w:sz w:val="20"/>
                <w:szCs w:val="20"/>
                <w:color w:val="auto"/>
              </w:rPr>
            </w:pPr>
            <w:r>
              <w:rPr>
                <w:rFonts w:ascii="Arial" w:cs="Arial" w:eastAsia="Arial" w:hAnsi="Arial"/>
                <w:sz w:val="16"/>
                <w:szCs w:val="16"/>
                <w:b w:val="1"/>
                <w:bCs w:val="1"/>
                <w:color w:val="auto"/>
                <w:w w:val="86"/>
              </w:rPr>
              <w:t>Results</w:t>
            </w:r>
          </w:p>
        </w:tc>
        <w:tc>
          <w:tcPr>
            <w:tcW w:w="12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Borders>
              <w:bottom w:val="single" w:sz="8" w:color="auto"/>
            </w:tcBorders>
            <w:gridSpan w:val="3"/>
          </w:tcPr>
          <w:p>
            <w:pPr>
              <w:jc w:val="center"/>
              <w:ind w:left="1099"/>
              <w:spacing w:after="0"/>
              <w:rPr>
                <w:sz w:val="20"/>
                <w:szCs w:val="20"/>
                <w:color w:val="auto"/>
              </w:rPr>
            </w:pPr>
            <w:r>
              <w:rPr>
                <w:rFonts w:ascii="Arial" w:cs="Arial" w:eastAsia="Arial" w:hAnsi="Arial"/>
                <w:sz w:val="16"/>
                <w:szCs w:val="16"/>
                <w:b w:val="1"/>
                <w:bCs w:val="1"/>
                <w:color w:val="auto"/>
                <w:w w:val="86"/>
              </w:rPr>
              <w:t>Results</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560" w:type="dxa"/>
            <w:vAlign w:val="bottom"/>
          </w:tcPr>
          <w:p>
            <w:pPr>
              <w:spacing w:after="0"/>
              <w:rPr>
                <w:sz w:val="16"/>
                <w:szCs w:val="16"/>
                <w:color w:val="auto"/>
              </w:rPr>
            </w:pPr>
          </w:p>
        </w:tc>
        <w:tc>
          <w:tcPr>
            <w:tcW w:w="18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0"/>
              </w:rPr>
              <w:t>December 31,</w:t>
            </w: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December 31,</w:t>
            </w:r>
          </w:p>
        </w:tc>
        <w:tc>
          <w:tcPr>
            <w:tcW w:w="280" w:type="dxa"/>
            <w:vAlign w:val="bottom"/>
          </w:tcPr>
          <w:p>
            <w:pPr>
              <w:spacing w:after="0"/>
              <w:rPr>
                <w:sz w:val="16"/>
                <w:szCs w:val="16"/>
                <w:color w:val="auto"/>
              </w:rPr>
            </w:pPr>
          </w:p>
        </w:tc>
        <w:tc>
          <w:tcPr>
            <w:tcW w:w="180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0"/>
              </w:rPr>
              <w:t>December 31,</w:t>
            </w:r>
          </w:p>
        </w:tc>
        <w:tc>
          <w:tcPr>
            <w:tcW w:w="120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5"/>
              </w:rPr>
              <w:t>2019</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Profit/(loss) for the period</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25,060</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(106,362)</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20,424</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(106,362)</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Depreciation</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22,126</w:t>
            </w:r>
          </w:p>
        </w:tc>
        <w:tc>
          <w:tcPr>
            <w:tcW w:w="160" w:type="dxa"/>
            <w:vAlign w:val="bottom"/>
          </w:tcPr>
          <w:p>
            <w:pPr>
              <w:spacing w:after="0"/>
              <w:rPr>
                <w:sz w:val="17"/>
                <w:szCs w:val="17"/>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22,483</w:t>
            </w:r>
          </w:p>
        </w:tc>
        <w:tc>
          <w:tcPr>
            <w:tcW w:w="1360" w:type="dxa"/>
            <w:vAlign w:val="bottom"/>
          </w:tcPr>
          <w:p>
            <w:pPr>
              <w:jc w:val="right"/>
              <w:spacing w:after="0"/>
              <w:rPr>
                <w:sz w:val="20"/>
                <w:szCs w:val="20"/>
                <w:color w:val="auto"/>
              </w:rPr>
            </w:pPr>
            <w:r>
              <w:rPr>
                <w:rFonts w:ascii="Arial" w:cs="Arial" w:eastAsia="Arial" w:hAnsi="Arial"/>
                <w:sz w:val="16"/>
                <w:szCs w:val="16"/>
                <w:color w:val="auto"/>
              </w:rPr>
              <w:t>19,681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22,483</w:t>
            </w:r>
          </w:p>
        </w:tc>
        <w:tc>
          <w:tcPr>
            <w:tcW w:w="0" w:type="dxa"/>
            <w:vAlign w:val="bottom"/>
          </w:tcPr>
          <w:p>
            <w:pPr>
              <w:spacing w:after="0"/>
              <w:rPr>
                <w:sz w:val="1"/>
                <w:szCs w:val="1"/>
                <w:color w:val="auto"/>
              </w:rPr>
            </w:pPr>
          </w:p>
        </w:tc>
      </w:tr>
      <w:tr>
        <w:trPr>
          <w:trHeight w:val="203"/>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18,601</w:t>
            </w:r>
          </w:p>
        </w:tc>
        <w:tc>
          <w:tcPr>
            <w:tcW w:w="16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16,348</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16,285</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16,348</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Financial income</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(730)</w:t>
            </w:r>
          </w:p>
        </w:tc>
        <w:tc>
          <w:tcPr>
            <w:tcW w:w="16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(329)</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(719)</w:t>
            </w: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03"/>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Loss/(gain) on derivatives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10,045</w:t>
            </w:r>
          </w:p>
        </w:tc>
        <w:tc>
          <w:tcPr>
            <w:tcW w:w="16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(2,733)</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10,045</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(2,733)</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EBITDA</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75,102</w:t>
            </w:r>
          </w:p>
        </w:tc>
        <w:tc>
          <w:tcPr>
            <w:tcW w:w="280" w:type="dxa"/>
            <w:vAlign w:val="bottom"/>
            <w:tcBorders>
              <w:bottom w:val="single" w:sz="8" w:color="E5FF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(70,593)</w:t>
            </w:r>
          </w:p>
        </w:tc>
        <w:tc>
          <w:tcPr>
            <w:tcW w:w="2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65,716</w:t>
            </w:r>
          </w:p>
        </w:tc>
        <w:tc>
          <w:tcPr>
            <w:tcW w:w="280" w:type="dxa"/>
            <w:vAlign w:val="bottom"/>
            <w:tcBorders>
              <w:bottom w:val="single" w:sz="8" w:color="E5FF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(70,593)</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spacing w:after="0"/>
              <w:rPr>
                <w:sz w:val="17"/>
                <w:szCs w:val="17"/>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138,848</w:t>
            </w:r>
          </w:p>
        </w:tc>
        <w:tc>
          <w:tcPr>
            <w:tcW w:w="28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spacing w:after="0"/>
              <w:rPr>
                <w:sz w:val="17"/>
                <w:szCs w:val="17"/>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138,848</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75,102</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68,255</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65,716</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68,255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gridSpan w:val="5"/>
          </w:tcPr>
          <w:p>
            <w:pPr>
              <w:jc w:val="center"/>
              <w:ind w:right="600"/>
              <w:spacing w:after="0"/>
              <w:rPr>
                <w:sz w:val="20"/>
                <w:szCs w:val="20"/>
                <w:color w:val="auto"/>
              </w:rPr>
            </w:pPr>
            <w:r>
              <w:rPr>
                <w:rFonts w:ascii="Arial" w:cs="Arial" w:eastAsia="Arial" w:hAnsi="Arial"/>
                <w:sz w:val="16"/>
                <w:szCs w:val="16"/>
                <w:b w:val="1"/>
                <w:bCs w:val="1"/>
                <w:color w:val="auto"/>
                <w:w w:val="90"/>
              </w:rPr>
              <w:t>For the years ended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33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4"/>
              </w:rPr>
              <w:t>IFRS Common Control Reported</w:t>
            </w:r>
          </w:p>
        </w:tc>
        <w:tc>
          <w:tcPr>
            <w:tcW w:w="310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3"/>
              </w:rPr>
              <w:t>Partnership Performance</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1800" w:type="dxa"/>
            <w:vAlign w:val="bottom"/>
            <w:tcBorders>
              <w:bottom w:val="single" w:sz="8" w:color="auto"/>
            </w:tcBorders>
            <w:gridSpan w:val="3"/>
          </w:tcPr>
          <w:p>
            <w:pPr>
              <w:jc w:val="center"/>
              <w:ind w:left="1139"/>
              <w:spacing w:after="0"/>
              <w:rPr>
                <w:sz w:val="20"/>
                <w:szCs w:val="20"/>
                <w:color w:val="auto"/>
              </w:rPr>
            </w:pPr>
            <w:r>
              <w:rPr>
                <w:rFonts w:ascii="Arial" w:cs="Arial" w:eastAsia="Arial" w:hAnsi="Arial"/>
                <w:sz w:val="16"/>
                <w:szCs w:val="16"/>
                <w:b w:val="1"/>
                <w:bCs w:val="1"/>
                <w:color w:val="auto"/>
                <w:w w:val="86"/>
              </w:rPr>
              <w:t>Results</w:t>
            </w:r>
          </w:p>
        </w:tc>
        <w:tc>
          <w:tcPr>
            <w:tcW w:w="12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Borders>
              <w:bottom w:val="single" w:sz="8" w:color="auto"/>
            </w:tcBorders>
            <w:gridSpan w:val="3"/>
          </w:tcPr>
          <w:p>
            <w:pPr>
              <w:jc w:val="center"/>
              <w:ind w:left="1099"/>
              <w:spacing w:after="0"/>
              <w:rPr>
                <w:sz w:val="20"/>
                <w:szCs w:val="20"/>
                <w:color w:val="auto"/>
              </w:rPr>
            </w:pPr>
            <w:r>
              <w:rPr>
                <w:rFonts w:ascii="Arial" w:cs="Arial" w:eastAsia="Arial" w:hAnsi="Arial"/>
                <w:sz w:val="16"/>
                <w:szCs w:val="16"/>
                <w:b w:val="1"/>
                <w:bCs w:val="1"/>
                <w:color w:val="auto"/>
                <w:w w:val="86"/>
              </w:rPr>
              <w:t>Results</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560" w:type="dxa"/>
            <w:vAlign w:val="bottom"/>
          </w:tcPr>
          <w:p>
            <w:pPr>
              <w:spacing w:after="0"/>
              <w:rPr>
                <w:sz w:val="16"/>
                <w:szCs w:val="16"/>
                <w:color w:val="auto"/>
              </w:rPr>
            </w:pPr>
          </w:p>
        </w:tc>
        <w:tc>
          <w:tcPr>
            <w:tcW w:w="18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0"/>
              </w:rPr>
              <w:t>December 31,</w:t>
            </w: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December 31,</w:t>
            </w:r>
          </w:p>
        </w:tc>
        <w:tc>
          <w:tcPr>
            <w:tcW w:w="280" w:type="dxa"/>
            <w:vAlign w:val="bottom"/>
          </w:tcPr>
          <w:p>
            <w:pPr>
              <w:spacing w:after="0"/>
              <w:rPr>
                <w:sz w:val="16"/>
                <w:szCs w:val="16"/>
                <w:color w:val="auto"/>
              </w:rPr>
            </w:pPr>
          </w:p>
        </w:tc>
        <w:tc>
          <w:tcPr>
            <w:tcW w:w="180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0"/>
              </w:rPr>
              <w:t>December 31,</w:t>
            </w:r>
          </w:p>
        </w:tc>
        <w:tc>
          <w:tcPr>
            <w:tcW w:w="120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5"/>
              </w:rPr>
              <w:t>2019</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Profit/(loss) for the year</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128,046</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(34,769)</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102,597</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(37,419)</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Depreciation</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87,584</w:t>
            </w:r>
          </w:p>
        </w:tc>
        <w:tc>
          <w:tcPr>
            <w:tcW w:w="160" w:type="dxa"/>
            <w:vAlign w:val="bottom"/>
          </w:tcPr>
          <w:p>
            <w:pPr>
              <w:spacing w:after="0"/>
              <w:rPr>
                <w:sz w:val="17"/>
                <w:szCs w:val="17"/>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89,309</w:t>
            </w:r>
          </w:p>
        </w:tc>
        <w:tc>
          <w:tcPr>
            <w:tcW w:w="1360" w:type="dxa"/>
            <w:vAlign w:val="bottom"/>
          </w:tcPr>
          <w:p>
            <w:pPr>
              <w:jc w:val="right"/>
              <w:spacing w:after="0"/>
              <w:rPr>
                <w:sz w:val="20"/>
                <w:szCs w:val="20"/>
                <w:color w:val="auto"/>
              </w:rPr>
            </w:pPr>
            <w:r>
              <w:rPr>
                <w:rFonts w:ascii="Arial" w:cs="Arial" w:eastAsia="Arial" w:hAnsi="Arial"/>
                <w:sz w:val="16"/>
                <w:szCs w:val="16"/>
                <w:color w:val="auto"/>
              </w:rPr>
              <w:t>73,151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87,819</w:t>
            </w:r>
          </w:p>
        </w:tc>
        <w:tc>
          <w:tcPr>
            <w:tcW w:w="0" w:type="dxa"/>
            <w:vAlign w:val="bottom"/>
          </w:tcPr>
          <w:p>
            <w:pPr>
              <w:spacing w:after="0"/>
              <w:rPr>
                <w:sz w:val="1"/>
                <w:szCs w:val="1"/>
                <w:color w:val="auto"/>
              </w:rPr>
            </w:pPr>
          </w:p>
        </w:tc>
      </w:tr>
      <w:tr>
        <w:trPr>
          <w:trHeight w:val="203"/>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72,714</w:t>
            </w:r>
          </w:p>
        </w:tc>
        <w:tc>
          <w:tcPr>
            <w:tcW w:w="16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71,998</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60,258</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70,268</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Financial income</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(2,448)</w:t>
            </w:r>
          </w:p>
        </w:tc>
        <w:tc>
          <w:tcPr>
            <w:tcW w:w="16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(1,887)</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(2,398)</w:t>
            </w: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(1,873)</w:t>
            </w:r>
          </w:p>
        </w:tc>
        <w:tc>
          <w:tcPr>
            <w:tcW w:w="0" w:type="dxa"/>
            <w:vAlign w:val="bottom"/>
          </w:tcPr>
          <w:p>
            <w:pPr>
              <w:spacing w:after="0"/>
              <w:rPr>
                <w:sz w:val="1"/>
                <w:szCs w:val="1"/>
                <w:color w:val="auto"/>
              </w:rPr>
            </w:pPr>
          </w:p>
        </w:tc>
      </w:tr>
      <w:tr>
        <w:trPr>
          <w:trHeight w:val="203"/>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Loss on derivatives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48</w:t>
            </w:r>
          </w:p>
        </w:tc>
        <w:tc>
          <w:tcPr>
            <w:tcW w:w="16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12,795</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12,795</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EBITDA</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285,944</w:t>
            </w:r>
          </w:p>
        </w:tc>
        <w:tc>
          <w:tcPr>
            <w:tcW w:w="280" w:type="dxa"/>
            <w:vAlign w:val="bottom"/>
            <w:tcBorders>
              <w:bottom w:val="single" w:sz="8" w:color="E5FF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137,446</w:t>
            </w:r>
          </w:p>
        </w:tc>
        <w:tc>
          <w:tcPr>
            <w:tcW w:w="2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233,656</w:t>
            </w:r>
          </w:p>
        </w:tc>
        <w:tc>
          <w:tcPr>
            <w:tcW w:w="280" w:type="dxa"/>
            <w:vAlign w:val="bottom"/>
            <w:tcBorders>
              <w:bottom w:val="single" w:sz="8" w:color="E5FF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131,590</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spacing w:after="0"/>
              <w:rPr>
                <w:sz w:val="17"/>
                <w:szCs w:val="17"/>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138,848</w:t>
            </w:r>
          </w:p>
        </w:tc>
        <w:tc>
          <w:tcPr>
            <w:tcW w:w="28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spacing w:after="0"/>
              <w:rPr>
                <w:sz w:val="17"/>
                <w:szCs w:val="17"/>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138,848</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285,944</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276,294</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233,656</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270,438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6"/>
                <w:szCs w:val="16"/>
                <w:b w:val="1"/>
                <w:bCs w:val="1"/>
                <w:color w:val="auto"/>
              </w:rPr>
              <w:t>Reconciliation of Profit to Adjusted Profit:</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5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6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4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gridSpan w:val="5"/>
          </w:tcPr>
          <w:p>
            <w:pPr>
              <w:jc w:val="center"/>
              <w:ind w:right="600"/>
              <w:spacing w:after="0"/>
              <w:rPr>
                <w:sz w:val="20"/>
                <w:szCs w:val="20"/>
                <w:color w:val="auto"/>
              </w:rPr>
            </w:pPr>
            <w:r>
              <w:rPr>
                <w:rFonts w:ascii="Arial" w:cs="Arial" w:eastAsia="Arial" w:hAnsi="Arial"/>
                <w:sz w:val="16"/>
                <w:szCs w:val="16"/>
                <w:b w:val="1"/>
                <w:bCs w:val="1"/>
                <w:color w:val="auto"/>
                <w:w w:val="89"/>
              </w:rPr>
              <w:t>For the three months ended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33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4"/>
              </w:rPr>
              <w:t>IFRS Common Control Reported</w:t>
            </w:r>
          </w:p>
        </w:tc>
        <w:tc>
          <w:tcPr>
            <w:tcW w:w="310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3"/>
              </w:rPr>
              <w:t>Partnership Performance</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1800" w:type="dxa"/>
            <w:vAlign w:val="bottom"/>
            <w:tcBorders>
              <w:bottom w:val="single" w:sz="8" w:color="auto"/>
            </w:tcBorders>
            <w:gridSpan w:val="3"/>
          </w:tcPr>
          <w:p>
            <w:pPr>
              <w:jc w:val="center"/>
              <w:ind w:left="1139"/>
              <w:spacing w:after="0"/>
              <w:rPr>
                <w:sz w:val="20"/>
                <w:szCs w:val="20"/>
                <w:color w:val="auto"/>
              </w:rPr>
            </w:pPr>
            <w:r>
              <w:rPr>
                <w:rFonts w:ascii="Arial" w:cs="Arial" w:eastAsia="Arial" w:hAnsi="Arial"/>
                <w:sz w:val="16"/>
                <w:szCs w:val="16"/>
                <w:b w:val="1"/>
                <w:bCs w:val="1"/>
                <w:color w:val="auto"/>
                <w:w w:val="86"/>
              </w:rPr>
              <w:t>Results</w:t>
            </w:r>
          </w:p>
        </w:tc>
        <w:tc>
          <w:tcPr>
            <w:tcW w:w="12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Borders>
              <w:bottom w:val="single" w:sz="8" w:color="auto"/>
            </w:tcBorders>
            <w:gridSpan w:val="3"/>
          </w:tcPr>
          <w:p>
            <w:pPr>
              <w:jc w:val="center"/>
              <w:ind w:left="1099"/>
              <w:spacing w:after="0"/>
              <w:rPr>
                <w:sz w:val="20"/>
                <w:szCs w:val="20"/>
                <w:color w:val="auto"/>
              </w:rPr>
            </w:pPr>
            <w:r>
              <w:rPr>
                <w:rFonts w:ascii="Arial" w:cs="Arial" w:eastAsia="Arial" w:hAnsi="Arial"/>
                <w:sz w:val="16"/>
                <w:szCs w:val="16"/>
                <w:b w:val="1"/>
                <w:bCs w:val="1"/>
                <w:color w:val="auto"/>
                <w:w w:val="86"/>
              </w:rPr>
              <w:t>Results</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560" w:type="dxa"/>
            <w:vAlign w:val="bottom"/>
          </w:tcPr>
          <w:p>
            <w:pPr>
              <w:spacing w:after="0"/>
              <w:rPr>
                <w:sz w:val="16"/>
                <w:szCs w:val="16"/>
                <w:color w:val="auto"/>
              </w:rPr>
            </w:pPr>
          </w:p>
        </w:tc>
        <w:tc>
          <w:tcPr>
            <w:tcW w:w="18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0"/>
              </w:rPr>
              <w:t>December 31,</w:t>
            </w: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December 31,</w:t>
            </w:r>
          </w:p>
        </w:tc>
        <w:tc>
          <w:tcPr>
            <w:tcW w:w="280" w:type="dxa"/>
            <w:vAlign w:val="bottom"/>
          </w:tcPr>
          <w:p>
            <w:pPr>
              <w:spacing w:after="0"/>
              <w:rPr>
                <w:sz w:val="16"/>
                <w:szCs w:val="16"/>
                <w:color w:val="auto"/>
              </w:rPr>
            </w:pPr>
          </w:p>
        </w:tc>
        <w:tc>
          <w:tcPr>
            <w:tcW w:w="180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0"/>
              </w:rPr>
              <w:t>December 31,</w:t>
            </w:r>
          </w:p>
        </w:tc>
        <w:tc>
          <w:tcPr>
            <w:tcW w:w="120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5"/>
              </w:rPr>
              <w:t>2019</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Profit/(loss) for the period</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25,060</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(106,362)</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20,424</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(106,362)</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Non-cash loss/(gain) on derivatives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10,435</w:t>
            </w:r>
          </w:p>
        </w:tc>
        <w:tc>
          <w:tcPr>
            <w:tcW w:w="16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(2,840)</w:t>
            </w:r>
          </w:p>
        </w:tc>
        <w:tc>
          <w:tcPr>
            <w:tcW w:w="1360" w:type="dxa"/>
            <w:vAlign w:val="bottom"/>
          </w:tcPr>
          <w:p>
            <w:pPr>
              <w:jc w:val="right"/>
              <w:spacing w:after="0"/>
              <w:rPr>
                <w:sz w:val="20"/>
                <w:szCs w:val="20"/>
                <w:color w:val="auto"/>
              </w:rPr>
            </w:pPr>
            <w:r>
              <w:rPr>
                <w:rFonts w:ascii="Arial" w:cs="Arial" w:eastAsia="Arial" w:hAnsi="Arial"/>
                <w:sz w:val="16"/>
                <w:szCs w:val="16"/>
                <w:color w:val="auto"/>
              </w:rPr>
              <w:t>10,435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(2,840)</w:t>
            </w:r>
          </w:p>
        </w:tc>
        <w:tc>
          <w:tcPr>
            <w:tcW w:w="0" w:type="dxa"/>
            <w:vAlign w:val="bottom"/>
          </w:tcPr>
          <w:p>
            <w:pPr>
              <w:spacing w:after="0"/>
              <w:rPr>
                <w:sz w:val="1"/>
                <w:szCs w:val="1"/>
                <w:color w:val="auto"/>
              </w:rPr>
            </w:pPr>
          </w:p>
        </w:tc>
      </w:tr>
      <w:tr>
        <w:trPr>
          <w:trHeight w:val="203"/>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w:t>
            </w:r>
          </w:p>
        </w:tc>
        <w:tc>
          <w:tcPr>
            <w:tcW w:w="1800" w:type="dxa"/>
            <w:vAlign w:val="bottom"/>
            <w:gridSpan w:val="3"/>
            <w:shd w:val="clear" w:color="auto" w:fill="E5FFFF"/>
          </w:tcPr>
          <w:p>
            <w:pPr>
              <w:jc w:val="right"/>
              <w:ind w:right="440"/>
              <w:spacing w:after="0"/>
              <w:rPr>
                <w:sz w:val="20"/>
                <w:szCs w:val="20"/>
                <w:color w:val="auto"/>
              </w:rPr>
            </w:pPr>
            <w:r>
              <w:rPr>
                <w:rFonts w:ascii="Arial" w:cs="Arial" w:eastAsia="Arial" w:hAnsi="Arial"/>
                <w:sz w:val="16"/>
                <w:szCs w:val="16"/>
                <w:b w:val="1"/>
                <w:bCs w:val="1"/>
                <w:color w:val="auto"/>
              </w:rPr>
              <w:t>—</w:t>
            </w:r>
          </w:p>
        </w:tc>
        <w:tc>
          <w:tcPr>
            <w:tcW w:w="15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138,848</w:t>
            </w:r>
          </w:p>
        </w:tc>
        <w:tc>
          <w:tcPr>
            <w:tcW w:w="1800" w:type="dxa"/>
            <w:vAlign w:val="bottom"/>
            <w:gridSpan w:val="3"/>
            <w:shd w:val="clear" w:color="auto" w:fill="E5FFFF"/>
          </w:tcPr>
          <w:p>
            <w:pPr>
              <w:jc w:val="right"/>
              <w:ind w:right="440"/>
              <w:spacing w:after="0"/>
              <w:rPr>
                <w:sz w:val="20"/>
                <w:szCs w:val="20"/>
                <w:color w:val="auto"/>
              </w:rPr>
            </w:pPr>
            <w:r>
              <w:rPr>
                <w:rFonts w:ascii="Arial" w:cs="Arial" w:eastAsia="Arial" w:hAnsi="Arial"/>
                <w:sz w:val="16"/>
                <w:szCs w:val="16"/>
                <w:b w:val="1"/>
                <w:bCs w:val="1"/>
                <w:color w:val="auto"/>
              </w:rPr>
              <w:t>—</w:t>
            </w:r>
          </w:p>
        </w:tc>
        <w:tc>
          <w:tcPr>
            <w:tcW w:w="13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138,848</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b w:val="1"/>
                <w:bCs w:val="1"/>
                <w:color w:val="auto"/>
              </w:rPr>
              <w:t>Adjusted Profit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35,495</w:t>
            </w:r>
          </w:p>
        </w:tc>
        <w:tc>
          <w:tcPr>
            <w:tcW w:w="2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29,646</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30,859</w:t>
            </w:r>
          </w:p>
        </w:tc>
        <w:tc>
          <w:tcPr>
            <w:tcW w:w="2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gridSpan w:val="5"/>
          </w:tcPr>
          <w:p>
            <w:pPr>
              <w:jc w:val="center"/>
              <w:ind w:right="600"/>
              <w:spacing w:after="0"/>
              <w:rPr>
                <w:sz w:val="20"/>
                <w:szCs w:val="20"/>
                <w:color w:val="auto"/>
              </w:rPr>
            </w:pPr>
            <w:r>
              <w:rPr>
                <w:rFonts w:ascii="Arial" w:cs="Arial" w:eastAsia="Arial" w:hAnsi="Arial"/>
                <w:sz w:val="16"/>
                <w:szCs w:val="16"/>
                <w:b w:val="1"/>
                <w:bCs w:val="1"/>
                <w:color w:val="auto"/>
                <w:w w:val="90"/>
              </w:rPr>
              <w:t>For the years ended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33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4"/>
              </w:rPr>
              <w:t>IFRS Common Control Reported</w:t>
            </w:r>
          </w:p>
        </w:tc>
        <w:tc>
          <w:tcPr>
            <w:tcW w:w="310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3"/>
              </w:rPr>
              <w:t>Partnership Performance</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1800" w:type="dxa"/>
            <w:vAlign w:val="bottom"/>
            <w:tcBorders>
              <w:bottom w:val="single" w:sz="8" w:color="auto"/>
            </w:tcBorders>
            <w:gridSpan w:val="3"/>
          </w:tcPr>
          <w:p>
            <w:pPr>
              <w:jc w:val="center"/>
              <w:ind w:left="1139"/>
              <w:spacing w:after="0"/>
              <w:rPr>
                <w:sz w:val="20"/>
                <w:szCs w:val="20"/>
                <w:color w:val="auto"/>
              </w:rPr>
            </w:pPr>
            <w:r>
              <w:rPr>
                <w:rFonts w:ascii="Arial" w:cs="Arial" w:eastAsia="Arial" w:hAnsi="Arial"/>
                <w:sz w:val="16"/>
                <w:szCs w:val="16"/>
                <w:b w:val="1"/>
                <w:bCs w:val="1"/>
                <w:color w:val="auto"/>
                <w:w w:val="86"/>
              </w:rPr>
              <w:t>Results</w:t>
            </w:r>
          </w:p>
        </w:tc>
        <w:tc>
          <w:tcPr>
            <w:tcW w:w="12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Borders>
              <w:bottom w:val="single" w:sz="8" w:color="auto"/>
            </w:tcBorders>
            <w:gridSpan w:val="3"/>
          </w:tcPr>
          <w:p>
            <w:pPr>
              <w:jc w:val="center"/>
              <w:ind w:left="1099"/>
              <w:spacing w:after="0"/>
              <w:rPr>
                <w:sz w:val="20"/>
                <w:szCs w:val="20"/>
                <w:color w:val="auto"/>
              </w:rPr>
            </w:pPr>
            <w:r>
              <w:rPr>
                <w:rFonts w:ascii="Arial" w:cs="Arial" w:eastAsia="Arial" w:hAnsi="Arial"/>
                <w:sz w:val="16"/>
                <w:szCs w:val="16"/>
                <w:b w:val="1"/>
                <w:bCs w:val="1"/>
                <w:color w:val="auto"/>
                <w:w w:val="86"/>
              </w:rPr>
              <w:t>Results</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560" w:type="dxa"/>
            <w:vAlign w:val="bottom"/>
          </w:tcPr>
          <w:p>
            <w:pPr>
              <w:spacing w:after="0"/>
              <w:rPr>
                <w:sz w:val="16"/>
                <w:szCs w:val="16"/>
                <w:color w:val="auto"/>
              </w:rPr>
            </w:pPr>
          </w:p>
        </w:tc>
        <w:tc>
          <w:tcPr>
            <w:tcW w:w="18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0"/>
              </w:rPr>
              <w:t>December 31,</w:t>
            </w: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December 31,</w:t>
            </w:r>
          </w:p>
        </w:tc>
        <w:tc>
          <w:tcPr>
            <w:tcW w:w="280" w:type="dxa"/>
            <w:vAlign w:val="bottom"/>
          </w:tcPr>
          <w:p>
            <w:pPr>
              <w:spacing w:after="0"/>
              <w:rPr>
                <w:sz w:val="16"/>
                <w:szCs w:val="16"/>
                <w:color w:val="auto"/>
              </w:rPr>
            </w:pPr>
          </w:p>
        </w:tc>
        <w:tc>
          <w:tcPr>
            <w:tcW w:w="180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0"/>
              </w:rPr>
              <w:t>December 31,</w:t>
            </w:r>
          </w:p>
        </w:tc>
        <w:tc>
          <w:tcPr>
            <w:tcW w:w="120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5"/>
              </w:rPr>
              <w:t>2019</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Profit/(loss) for the year</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128,046</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(34,769)</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102,597</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(37,419)</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Non-cash loss on derivatives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1,411</w:t>
            </w:r>
          </w:p>
        </w:tc>
        <w:tc>
          <w:tcPr>
            <w:tcW w:w="160" w:type="dxa"/>
            <w:vAlign w:val="bottom"/>
          </w:tcPr>
          <w:p>
            <w:pPr>
              <w:spacing w:after="0"/>
              <w:rPr>
                <w:sz w:val="17"/>
                <w:szCs w:val="17"/>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13,858</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1,411</w:t>
            </w:r>
          </w:p>
        </w:tc>
        <w:tc>
          <w:tcPr>
            <w:tcW w:w="16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13,858</w:t>
            </w:r>
          </w:p>
        </w:tc>
        <w:tc>
          <w:tcPr>
            <w:tcW w:w="0" w:type="dxa"/>
            <w:vAlign w:val="bottom"/>
          </w:tcPr>
          <w:p>
            <w:pPr>
              <w:spacing w:after="0"/>
              <w:rPr>
                <w:sz w:val="1"/>
                <w:szCs w:val="1"/>
                <w:color w:val="auto"/>
              </w:rPr>
            </w:pPr>
          </w:p>
        </w:tc>
      </w:tr>
      <w:tr>
        <w:trPr>
          <w:trHeight w:val="203"/>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Write-off and accelerated amortization of unamortized loan fees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988</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900</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180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138,848</w:t>
            </w:r>
          </w:p>
        </w:tc>
        <w:tc>
          <w:tcPr>
            <w:tcW w:w="180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138,848</w:t>
            </w:r>
          </w:p>
        </w:tc>
        <w:tc>
          <w:tcPr>
            <w:tcW w:w="0" w:type="dxa"/>
            <w:vAlign w:val="bottom"/>
          </w:tcPr>
          <w:p>
            <w:pPr>
              <w:spacing w:after="0"/>
              <w:rPr>
                <w:sz w:val="1"/>
                <w:szCs w:val="1"/>
                <w:color w:val="auto"/>
              </w:rPr>
            </w:pPr>
          </w:p>
        </w:tc>
      </w:tr>
      <w:tr>
        <w:trPr>
          <w:trHeight w:val="196"/>
        </w:trPr>
        <w:tc>
          <w:tcPr>
            <w:tcW w:w="45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Adjusted Profit</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130,357</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118,925</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104,908</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spacing w:after="0"/>
              <w:rPr>
                <w:sz w:val="17"/>
                <w:szCs w:val="17"/>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116,275</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2"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0"/>
        </w:trPr>
        <w:tc>
          <w:tcPr>
            <w:tcW w:w="4560" w:type="dxa"/>
            <w:vAlign w:val="bottom"/>
          </w:tcPr>
          <w:p>
            <w:pPr>
              <w:spacing w:after="0"/>
              <w:rPr>
                <w:sz w:val="20"/>
                <w:szCs w:val="20"/>
                <w:color w:val="auto"/>
              </w:rPr>
            </w:pPr>
            <w:r>
              <w:rPr>
                <w:rFonts w:ascii="Arial" w:cs="Arial" w:eastAsia="Arial" w:hAnsi="Arial"/>
                <w:sz w:val="16"/>
                <w:szCs w:val="16"/>
                <w:b w:val="1"/>
                <w:bCs w:val="1"/>
                <w:color w:val="auto"/>
              </w:rPr>
              <w:t>Reconciliation of Profit to EPU and Adjusted EPU:</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456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60" w:type="dxa"/>
            <w:vAlign w:val="bottom"/>
          </w:tcPr>
          <w:p>
            <w:pPr>
              <w:spacing w:after="0"/>
              <w:rPr>
                <w:sz w:val="24"/>
                <w:szCs w:val="24"/>
                <w:color w:val="auto"/>
              </w:rPr>
            </w:pPr>
          </w:p>
        </w:tc>
        <w:tc>
          <w:tcPr>
            <w:tcW w:w="3300" w:type="dxa"/>
            <w:vAlign w:val="bottom"/>
            <w:gridSpan w:val="4"/>
          </w:tcPr>
          <w:p>
            <w:pPr>
              <w:jc w:val="right"/>
              <w:ind w:right="840"/>
              <w:spacing w:after="0"/>
              <w:rPr>
                <w:sz w:val="20"/>
                <w:szCs w:val="20"/>
                <w:color w:val="auto"/>
              </w:rPr>
            </w:pPr>
            <w:r>
              <w:rPr>
                <w:rFonts w:ascii="Arial" w:cs="Arial" w:eastAsia="Arial" w:hAnsi="Arial"/>
                <w:sz w:val="16"/>
                <w:szCs w:val="16"/>
                <w:b w:val="1"/>
                <w:bCs w:val="1"/>
                <w:color w:val="auto"/>
              </w:rPr>
              <w:t>For the three months ended</w:t>
            </w:r>
          </w:p>
        </w:tc>
        <w:tc>
          <w:tcPr>
            <w:tcW w:w="3100" w:type="dxa"/>
            <w:vAlign w:val="bottom"/>
            <w:gridSpan w:val="4"/>
          </w:tcPr>
          <w:p>
            <w:pPr>
              <w:jc w:val="right"/>
              <w:ind w:right="920"/>
              <w:spacing w:after="0"/>
              <w:rPr>
                <w:sz w:val="20"/>
                <w:szCs w:val="20"/>
                <w:color w:val="auto"/>
              </w:rPr>
            </w:pPr>
            <w:r>
              <w:rPr>
                <w:rFonts w:ascii="Arial" w:cs="Arial" w:eastAsia="Arial" w:hAnsi="Arial"/>
                <w:sz w:val="16"/>
                <w:szCs w:val="16"/>
                <w:b w:val="1"/>
                <w:bCs w:val="1"/>
                <w:color w:val="auto"/>
              </w:rPr>
              <w:t>For the years ended</w:t>
            </w:r>
          </w:p>
        </w:tc>
        <w:tc>
          <w:tcPr>
            <w:tcW w:w="0" w:type="dxa"/>
            <w:vAlign w:val="bottom"/>
          </w:tcPr>
          <w:p>
            <w:pPr>
              <w:spacing w:after="0"/>
              <w:rPr>
                <w:sz w:val="1"/>
                <w:szCs w:val="1"/>
                <w:color w:val="auto"/>
              </w:rPr>
            </w:pPr>
          </w:p>
        </w:tc>
      </w:tr>
      <w:tr>
        <w:trPr>
          <w:trHeight w:val="188"/>
        </w:trPr>
        <w:tc>
          <w:tcPr>
            <w:tcW w:w="4560" w:type="dxa"/>
            <w:vAlign w:val="bottom"/>
          </w:tcPr>
          <w:p>
            <w:pPr>
              <w:spacing w:after="0"/>
              <w:rPr>
                <w:sz w:val="16"/>
                <w:szCs w:val="16"/>
                <w:color w:val="auto"/>
              </w:rPr>
            </w:pPr>
          </w:p>
        </w:tc>
        <w:tc>
          <w:tcPr>
            <w:tcW w:w="16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280" w:type="dxa"/>
            <w:vAlign w:val="bottom"/>
          </w:tcPr>
          <w:p>
            <w:pPr>
              <w:spacing w:after="0"/>
              <w:rPr>
                <w:sz w:val="16"/>
                <w:szCs w:val="16"/>
                <w:color w:val="auto"/>
              </w:rPr>
            </w:pPr>
          </w:p>
        </w:tc>
        <w:tc>
          <w:tcPr>
            <w:tcW w:w="164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Profit/(loss) for the period</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25,060</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(106,362)</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128,046</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(34,769)</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Less: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Profit attributable to GasLog’s operations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(4,636)</w:t>
            </w:r>
          </w:p>
        </w:tc>
        <w:tc>
          <w:tcPr>
            <w:tcW w:w="16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(25,449)</w:t>
            </w:r>
          </w:p>
        </w:tc>
        <w:tc>
          <w:tcPr>
            <w:tcW w:w="14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b w:val="1"/>
                <w:bCs w:val="1"/>
                <w:color w:val="auto"/>
              </w:rPr>
              <w:t>Profit/(loss) attributable to Partnership’s operations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20,424</w:t>
            </w:r>
          </w:p>
        </w:tc>
        <w:tc>
          <w:tcPr>
            <w:tcW w:w="28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(106,362)</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102,597</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(37,419)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Adjustment for:</w:t>
            </w: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Paid and accrued preference unit distributions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(6,546)</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(7,582)</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(22,498)</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(30,328)</w:t>
            </w:r>
          </w:p>
        </w:tc>
        <w:tc>
          <w:tcPr>
            <w:tcW w:w="0" w:type="dxa"/>
            <w:vAlign w:val="bottom"/>
          </w:tcPr>
          <w:p>
            <w:pPr>
              <w:spacing w:after="0"/>
              <w:rPr>
                <w:sz w:val="1"/>
                <w:szCs w:val="1"/>
                <w:color w:val="auto"/>
              </w:rPr>
            </w:pPr>
          </w:p>
        </w:tc>
      </w:tr>
      <w:tr>
        <w:trPr>
          <w:trHeight w:val="196"/>
        </w:trPr>
        <w:tc>
          <w:tcPr>
            <w:tcW w:w="45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Partnership’s profit/(loss) attributable to:</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13,878</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(113,944)</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80,099</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(67,747)</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6"/>
                <w:szCs w:val="16"/>
                <w:color w:val="auto"/>
              </w:rPr>
              <w:t>Common units</w:t>
            </w: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60" w:type="dxa"/>
            <w:vAlign w:val="bottom"/>
            <w:vMerge w:val="continue"/>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13,600</w:t>
            </w:r>
          </w:p>
        </w:tc>
        <w:tc>
          <w:tcPr>
            <w:tcW w:w="280" w:type="dxa"/>
            <w:vAlign w:val="bottom"/>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(111,514)</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75,879</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(66,268)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278</w:t>
            </w:r>
          </w:p>
        </w:tc>
        <w:tc>
          <w:tcPr>
            <w:tcW w:w="16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(2,430)</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1,602</w:t>
            </w:r>
          </w:p>
        </w:tc>
        <w:tc>
          <w:tcPr>
            <w:tcW w:w="280" w:type="dxa"/>
            <w:vAlign w:val="bottom"/>
            <w:shd w:val="clear" w:color="auto" w:fill="E5FFFF"/>
          </w:tcPr>
          <w:p>
            <w:pPr>
              <w:spacing w:after="0"/>
              <w:rPr>
                <w:sz w:val="17"/>
                <w:szCs w:val="17"/>
                <w:color w:val="auto"/>
              </w:rPr>
            </w:pPr>
          </w:p>
        </w:tc>
        <w:tc>
          <w:tcPr>
            <w:tcW w:w="14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Incentive distribution rights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360" w:type="dxa"/>
            <w:vAlign w:val="bottom"/>
          </w:tcPr>
          <w:p>
            <w:pPr>
              <w:jc w:val="right"/>
              <w:spacing w:after="0"/>
              <w:rPr>
                <w:sz w:val="20"/>
                <w:szCs w:val="20"/>
                <w:color w:val="auto"/>
              </w:rPr>
            </w:pPr>
            <w:r>
              <w:rPr>
                <w:rFonts w:ascii="Arial" w:cs="Arial" w:eastAsia="Arial" w:hAnsi="Arial"/>
                <w:sz w:val="16"/>
                <w:szCs w:val="16"/>
                <w:color w:val="auto"/>
              </w:rPr>
              <w:t>2,618</w:t>
            </w:r>
          </w:p>
        </w:tc>
        <w:tc>
          <w:tcPr>
            <w:tcW w:w="28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Weighted average units outstanding (basic)</w:t>
            </w: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Common units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45,399,044</w:t>
            </w:r>
          </w:p>
        </w:tc>
        <w:tc>
          <w:tcPr>
            <w:tcW w:w="1660" w:type="dxa"/>
            <w:vAlign w:val="bottom"/>
            <w:gridSpan w:val="2"/>
          </w:tcPr>
          <w:p>
            <w:pPr>
              <w:jc w:val="right"/>
              <w:ind w:right="280"/>
              <w:spacing w:after="0"/>
              <w:rPr>
                <w:sz w:val="20"/>
                <w:szCs w:val="20"/>
                <w:color w:val="auto"/>
              </w:rPr>
            </w:pPr>
            <w:r>
              <w:rPr>
                <w:rFonts w:ascii="Arial" w:cs="Arial" w:eastAsia="Arial" w:hAnsi="Arial"/>
                <w:sz w:val="16"/>
                <w:szCs w:val="16"/>
                <w:color w:val="auto"/>
              </w:rPr>
              <w:t>46,986,958</w:t>
            </w:r>
          </w:p>
        </w:tc>
        <w:tc>
          <w:tcPr>
            <w:tcW w:w="1360" w:type="dxa"/>
            <w:vAlign w:val="bottom"/>
          </w:tcPr>
          <w:p>
            <w:pPr>
              <w:jc w:val="right"/>
              <w:spacing w:after="0"/>
              <w:rPr>
                <w:sz w:val="20"/>
                <w:szCs w:val="20"/>
                <w:color w:val="auto"/>
              </w:rPr>
            </w:pPr>
            <w:r>
              <w:rPr>
                <w:rFonts w:ascii="Arial" w:cs="Arial" w:eastAsia="Arial" w:hAnsi="Arial"/>
                <w:sz w:val="16"/>
                <w:szCs w:val="16"/>
                <w:color w:val="auto"/>
              </w:rPr>
              <w:t>42,945,432</w:t>
            </w:r>
          </w:p>
        </w:tc>
        <w:tc>
          <w:tcPr>
            <w:tcW w:w="28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46,272,598</w:t>
            </w:r>
          </w:p>
        </w:tc>
        <w:tc>
          <w:tcPr>
            <w:tcW w:w="0" w:type="dxa"/>
            <w:vAlign w:val="bottom"/>
          </w:tcPr>
          <w:p>
            <w:pPr>
              <w:spacing w:after="0"/>
              <w:rPr>
                <w:sz w:val="1"/>
                <w:szCs w:val="1"/>
                <w:color w:val="auto"/>
              </w:rPr>
            </w:pPr>
          </w:p>
        </w:tc>
      </w:tr>
      <w:tr>
        <w:trPr>
          <w:trHeight w:val="203"/>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925,912</w:t>
            </w:r>
          </w:p>
        </w:tc>
        <w:tc>
          <w:tcPr>
            <w:tcW w:w="16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1,021,336</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876,255</w:t>
            </w:r>
          </w:p>
        </w:tc>
        <w:tc>
          <w:tcPr>
            <w:tcW w:w="280" w:type="dxa"/>
            <w:vAlign w:val="bottom"/>
            <w:shd w:val="clear" w:color="auto" w:fill="E5FFFF"/>
          </w:tcPr>
          <w:p>
            <w:pPr>
              <w:spacing w:after="0"/>
              <w:rPr>
                <w:sz w:val="17"/>
                <w:szCs w:val="17"/>
                <w:color w:val="auto"/>
              </w:rPr>
            </w:pP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975,531</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b w:val="1"/>
                <w:bCs w:val="1"/>
                <w:color w:val="auto"/>
              </w:rPr>
              <w:t>EPU (basic)</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Common units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0.30</w:t>
            </w:r>
          </w:p>
        </w:tc>
        <w:tc>
          <w:tcPr>
            <w:tcW w:w="16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(2.37)</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1.77</w:t>
            </w:r>
          </w:p>
        </w:tc>
        <w:tc>
          <w:tcPr>
            <w:tcW w:w="280" w:type="dxa"/>
            <w:vAlign w:val="bottom"/>
            <w:shd w:val="clear" w:color="auto" w:fill="E5FFFF"/>
          </w:tcPr>
          <w:p>
            <w:pPr>
              <w:spacing w:after="0"/>
              <w:rPr>
                <w:sz w:val="17"/>
                <w:szCs w:val="17"/>
                <w:color w:val="auto"/>
              </w:rPr>
            </w:pPr>
          </w:p>
        </w:tc>
        <w:tc>
          <w:tcPr>
            <w:tcW w:w="14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6"/>
        </w:trPr>
        <w:tc>
          <w:tcPr>
            <w:tcW w:w="4560" w:type="dxa"/>
            <w:vAlign w:val="bottom"/>
          </w:tcPr>
          <w:p>
            <w:pPr>
              <w:spacing w:after="0"/>
              <w:rPr>
                <w:sz w:val="20"/>
                <w:szCs w:val="20"/>
                <w:color w:val="auto"/>
              </w:rPr>
            </w:pPr>
            <w:r>
              <w:rPr>
                <w:rFonts w:ascii="Arial" w:cs="Arial" w:eastAsia="Arial" w:hAnsi="Arial"/>
                <w:sz w:val="16"/>
                <w:szCs w:val="16"/>
                <w:color w:val="auto"/>
              </w:rPr>
              <w:t>General partner units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0.30</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(2.38)</w:t>
            </w:r>
          </w:p>
        </w:tc>
        <w:tc>
          <w:tcPr>
            <w:tcW w:w="1360" w:type="dxa"/>
            <w:vAlign w:val="bottom"/>
          </w:tcPr>
          <w:p>
            <w:pPr>
              <w:jc w:val="right"/>
              <w:spacing w:after="0"/>
              <w:rPr>
                <w:sz w:val="20"/>
                <w:szCs w:val="20"/>
                <w:color w:val="auto"/>
              </w:rPr>
            </w:pPr>
            <w:r>
              <w:rPr>
                <w:rFonts w:ascii="Arial" w:cs="Arial" w:eastAsia="Arial" w:hAnsi="Arial"/>
                <w:sz w:val="16"/>
                <w:szCs w:val="16"/>
                <w:color w:val="auto"/>
              </w:rPr>
              <w:t>1.83</w:t>
            </w:r>
          </w:p>
        </w:tc>
        <w:tc>
          <w:tcPr>
            <w:tcW w:w="28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503"/>
        </w:trPr>
        <w:tc>
          <w:tcPr>
            <w:tcW w:w="4560" w:type="dxa"/>
            <w:vAlign w:val="bottom"/>
          </w:tcPr>
          <w:p>
            <w:pPr>
              <w:spacing w:after="0"/>
              <w:rPr>
                <w:sz w:val="24"/>
                <w:szCs w:val="24"/>
                <w:color w:val="auto"/>
              </w:rPr>
            </w:pPr>
          </w:p>
        </w:tc>
        <w:tc>
          <w:tcPr>
            <w:tcW w:w="3300" w:type="dxa"/>
            <w:vAlign w:val="bottom"/>
            <w:gridSpan w:val="4"/>
          </w:tcPr>
          <w:p>
            <w:pPr>
              <w:jc w:val="right"/>
              <w:ind w:right="840"/>
              <w:spacing w:after="0"/>
              <w:rPr>
                <w:sz w:val="20"/>
                <w:szCs w:val="20"/>
                <w:color w:val="auto"/>
              </w:rPr>
            </w:pPr>
            <w:r>
              <w:rPr>
                <w:rFonts w:ascii="Arial" w:cs="Arial" w:eastAsia="Arial" w:hAnsi="Arial"/>
                <w:sz w:val="16"/>
                <w:szCs w:val="16"/>
                <w:b w:val="1"/>
                <w:bCs w:val="1"/>
                <w:color w:val="auto"/>
              </w:rPr>
              <w:t>For the three months ended</w:t>
            </w:r>
          </w:p>
        </w:tc>
        <w:tc>
          <w:tcPr>
            <w:tcW w:w="3100" w:type="dxa"/>
            <w:vAlign w:val="bottom"/>
            <w:gridSpan w:val="4"/>
          </w:tcPr>
          <w:p>
            <w:pPr>
              <w:jc w:val="right"/>
              <w:ind w:right="920"/>
              <w:spacing w:after="0"/>
              <w:rPr>
                <w:sz w:val="20"/>
                <w:szCs w:val="20"/>
                <w:color w:val="auto"/>
              </w:rPr>
            </w:pPr>
            <w:r>
              <w:rPr>
                <w:rFonts w:ascii="Arial" w:cs="Arial" w:eastAsia="Arial" w:hAnsi="Arial"/>
                <w:sz w:val="16"/>
                <w:szCs w:val="16"/>
                <w:b w:val="1"/>
                <w:bCs w:val="1"/>
                <w:color w:val="auto"/>
              </w:rPr>
              <w:t>For the years ended</w:t>
            </w:r>
          </w:p>
        </w:tc>
        <w:tc>
          <w:tcPr>
            <w:tcW w:w="0" w:type="dxa"/>
            <w:vAlign w:val="bottom"/>
          </w:tcPr>
          <w:p>
            <w:pPr>
              <w:spacing w:after="0"/>
              <w:rPr>
                <w:sz w:val="1"/>
                <w:szCs w:val="1"/>
                <w:color w:val="auto"/>
              </w:rPr>
            </w:pPr>
          </w:p>
        </w:tc>
      </w:tr>
      <w:tr>
        <w:trPr>
          <w:trHeight w:val="188"/>
        </w:trPr>
        <w:tc>
          <w:tcPr>
            <w:tcW w:w="4560" w:type="dxa"/>
            <w:vAlign w:val="bottom"/>
          </w:tcPr>
          <w:p>
            <w:pPr>
              <w:spacing w:after="0"/>
              <w:rPr>
                <w:sz w:val="16"/>
                <w:szCs w:val="16"/>
                <w:color w:val="auto"/>
              </w:rPr>
            </w:pPr>
          </w:p>
        </w:tc>
        <w:tc>
          <w:tcPr>
            <w:tcW w:w="16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280" w:type="dxa"/>
            <w:vAlign w:val="bottom"/>
          </w:tcPr>
          <w:p>
            <w:pPr>
              <w:spacing w:after="0"/>
              <w:rPr>
                <w:sz w:val="16"/>
                <w:szCs w:val="16"/>
                <w:color w:val="auto"/>
              </w:rPr>
            </w:pPr>
          </w:p>
        </w:tc>
        <w:tc>
          <w:tcPr>
            <w:tcW w:w="164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Profit/(loss) for the period</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25,060</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(106,362)</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128,046</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(34,769)</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Less: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Profit attributable to GasLog’s operations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(4,636)</w:t>
            </w:r>
          </w:p>
        </w:tc>
        <w:tc>
          <w:tcPr>
            <w:tcW w:w="16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(25,449)</w:t>
            </w:r>
          </w:p>
        </w:tc>
        <w:tc>
          <w:tcPr>
            <w:tcW w:w="14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b w:val="1"/>
                <w:bCs w:val="1"/>
                <w:color w:val="auto"/>
              </w:rPr>
              <w:t>Profit/(loss) attributable to Partnership’s operations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20,424</w:t>
            </w:r>
          </w:p>
        </w:tc>
        <w:tc>
          <w:tcPr>
            <w:tcW w:w="28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(106,362)</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102,597</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(37,419)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Adjustment for:</w:t>
            </w: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Paid and accrued preference unit distributions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(6,546)</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(7,582)</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(22,498)</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(30,328)</w:t>
            </w:r>
          </w:p>
        </w:tc>
        <w:tc>
          <w:tcPr>
            <w:tcW w:w="0" w:type="dxa"/>
            <w:vAlign w:val="bottom"/>
          </w:tcPr>
          <w:p>
            <w:pPr>
              <w:spacing w:after="0"/>
              <w:rPr>
                <w:sz w:val="1"/>
                <w:szCs w:val="1"/>
                <w:color w:val="auto"/>
              </w:rPr>
            </w:pPr>
          </w:p>
        </w:tc>
      </w:tr>
      <w:tr>
        <w:trPr>
          <w:trHeight w:val="196"/>
        </w:trPr>
        <w:tc>
          <w:tcPr>
            <w:tcW w:w="45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Partnership’s profit/(loss) used in EPU calculation</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13,878</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(113,944)</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80,099</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(67,747)</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Non-cash loss/(gain) on derivatives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10,435</w:t>
            </w:r>
          </w:p>
        </w:tc>
        <w:tc>
          <w:tcPr>
            <w:tcW w:w="1380" w:type="dxa"/>
            <w:vAlign w:val="bottom"/>
          </w:tcPr>
          <w:p>
            <w:pPr>
              <w:jc w:val="right"/>
              <w:spacing w:after="0"/>
              <w:rPr>
                <w:sz w:val="20"/>
                <w:szCs w:val="20"/>
                <w:color w:val="auto"/>
              </w:rPr>
            </w:pPr>
            <w:r>
              <w:rPr>
                <w:rFonts w:ascii="Arial" w:cs="Arial" w:eastAsia="Arial" w:hAnsi="Arial"/>
                <w:sz w:val="16"/>
                <w:szCs w:val="16"/>
                <w:color w:val="auto"/>
              </w:rPr>
              <w:t>(2,840)</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1,411</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13,858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Write-off and accelerated amortization of unamortized loan fees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6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900</w:t>
            </w:r>
          </w:p>
        </w:tc>
        <w:tc>
          <w:tcPr>
            <w:tcW w:w="280" w:type="dxa"/>
            <w:vAlign w:val="bottom"/>
            <w:shd w:val="clear" w:color="auto" w:fill="E5FFFF"/>
          </w:tcPr>
          <w:p>
            <w:pPr>
              <w:spacing w:after="0"/>
              <w:rPr>
                <w:sz w:val="17"/>
                <w:szCs w:val="17"/>
                <w:color w:val="auto"/>
              </w:rPr>
            </w:pP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660" w:type="dxa"/>
            <w:vAlign w:val="bottom"/>
            <w:gridSpan w:val="2"/>
          </w:tcPr>
          <w:p>
            <w:pPr>
              <w:jc w:val="right"/>
              <w:ind w:right="280"/>
              <w:spacing w:after="0"/>
              <w:rPr>
                <w:sz w:val="20"/>
                <w:szCs w:val="20"/>
                <w:color w:val="auto"/>
              </w:rPr>
            </w:pPr>
            <w:r>
              <w:rPr>
                <w:rFonts w:ascii="Arial" w:cs="Arial" w:eastAsia="Arial" w:hAnsi="Arial"/>
                <w:sz w:val="16"/>
                <w:szCs w:val="16"/>
                <w:color w:val="auto"/>
              </w:rPr>
              <w:t>138,848</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138,848</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rPr>
              <w:t>Adjusted Partnership’s profit/(loss) used in EPU calculation</w:t>
            </w: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60" w:type="dxa"/>
            <w:vAlign w:val="bottom"/>
            <w:vMerge w:val="continue"/>
            <w:shd w:val="clear" w:color="auto" w:fill="E5FFFF"/>
          </w:tcPr>
          <w:p>
            <w:pPr>
              <w:spacing w:after="0"/>
              <w:rPr>
                <w:sz w:val="14"/>
                <w:szCs w:val="14"/>
                <w:color w:val="auto"/>
              </w:rPr>
            </w:pPr>
          </w:p>
        </w:tc>
        <w:tc>
          <w:tcPr>
            <w:tcW w:w="1640" w:type="dxa"/>
            <w:vAlign w:val="bottom"/>
            <w:gridSpan w:val="2"/>
            <w:vMerge w:val="restart"/>
            <w:shd w:val="clear" w:color="auto" w:fill="E5FFFF"/>
          </w:tcPr>
          <w:p>
            <w:pPr>
              <w:jc w:val="right"/>
              <w:ind w:right="280"/>
              <w:spacing w:after="0"/>
              <w:rPr>
                <w:sz w:val="20"/>
                <w:szCs w:val="20"/>
                <w:color w:val="auto"/>
              </w:rPr>
            </w:pPr>
            <w:r>
              <w:rPr>
                <w:rFonts w:ascii="Arial" w:cs="Arial" w:eastAsia="Arial" w:hAnsi="Arial"/>
                <w:sz w:val="16"/>
                <w:szCs w:val="16"/>
                <w:b w:val="1"/>
                <w:bCs w:val="1"/>
                <w:color w:val="auto"/>
              </w:rPr>
              <w:t>24,313</w:t>
            </w:r>
          </w:p>
        </w:tc>
        <w:tc>
          <w:tcPr>
            <w:tcW w:w="1660" w:type="dxa"/>
            <w:vAlign w:val="bottom"/>
            <w:gridSpan w:val="2"/>
            <w:vMerge w:val="restart"/>
            <w:shd w:val="clear" w:color="auto" w:fill="E5FFFF"/>
          </w:tcPr>
          <w:p>
            <w:pPr>
              <w:jc w:val="right"/>
              <w:ind w:right="280"/>
              <w:spacing w:after="0"/>
              <w:rPr>
                <w:sz w:val="20"/>
                <w:szCs w:val="20"/>
                <w:color w:val="auto"/>
              </w:rPr>
            </w:pPr>
            <w:r>
              <w:rPr>
                <w:rFonts w:ascii="Arial" w:cs="Arial" w:eastAsia="Arial" w:hAnsi="Arial"/>
                <w:sz w:val="16"/>
                <w:szCs w:val="16"/>
                <w:b w:val="1"/>
                <w:bCs w:val="1"/>
                <w:color w:val="auto"/>
              </w:rPr>
              <w:t>22,064</w:t>
            </w:r>
          </w:p>
        </w:tc>
        <w:tc>
          <w:tcPr>
            <w:tcW w:w="136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82,410</w:t>
            </w:r>
          </w:p>
        </w:tc>
        <w:tc>
          <w:tcPr>
            <w:tcW w:w="280" w:type="dxa"/>
            <w:vAlign w:val="bottom"/>
            <w:shd w:val="clear" w:color="auto" w:fill="E5FFFF"/>
          </w:tcPr>
          <w:p>
            <w:pPr>
              <w:spacing w:after="0"/>
              <w:rPr>
                <w:sz w:val="14"/>
                <w:szCs w:val="14"/>
                <w:color w:val="auto"/>
              </w:rPr>
            </w:pPr>
          </w:p>
        </w:tc>
        <w:tc>
          <w:tcPr>
            <w:tcW w:w="146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85,947</w:t>
            </w:r>
          </w:p>
        </w:tc>
        <w:tc>
          <w:tcPr>
            <w:tcW w:w="0" w:type="dxa"/>
            <w:vAlign w:val="bottom"/>
          </w:tcPr>
          <w:p>
            <w:pPr>
              <w:spacing w:after="0"/>
              <w:rPr>
                <w:sz w:val="1"/>
                <w:szCs w:val="1"/>
                <w:color w:val="auto"/>
              </w:rPr>
            </w:pPr>
          </w:p>
        </w:tc>
      </w:tr>
      <w:tr>
        <w:trPr>
          <w:trHeight w:val="203"/>
        </w:trPr>
        <w:tc>
          <w:tcPr>
            <w:tcW w:w="4560" w:type="dxa"/>
            <w:vAlign w:val="bottom"/>
            <w:shd w:val="clear" w:color="auto" w:fill="E5FFFF"/>
          </w:tcPr>
          <w:p>
            <w:pPr>
              <w:ind w:left="180"/>
              <w:spacing w:after="0"/>
              <w:rPr>
                <w:sz w:val="20"/>
                <w:szCs w:val="20"/>
                <w:color w:val="auto"/>
              </w:rPr>
            </w:pPr>
            <w:r>
              <w:rPr>
                <w:rFonts w:ascii="Arial" w:cs="Arial" w:eastAsia="Arial" w:hAnsi="Arial"/>
                <w:sz w:val="16"/>
                <w:szCs w:val="16"/>
                <w:b w:val="1"/>
                <w:bCs w:val="1"/>
                <w:color w:val="auto"/>
              </w:rPr>
              <w:t>attributable to:</w:t>
            </w:r>
          </w:p>
        </w:tc>
        <w:tc>
          <w:tcPr>
            <w:tcW w:w="1640" w:type="dxa"/>
            <w:vAlign w:val="bottom"/>
            <w:gridSpan w:val="2"/>
            <w:vMerge w:val="continue"/>
            <w:shd w:val="clear" w:color="auto" w:fill="E5FFFF"/>
          </w:tcPr>
          <w:p>
            <w:pPr>
              <w:spacing w:after="0"/>
              <w:rPr>
                <w:sz w:val="17"/>
                <w:szCs w:val="17"/>
                <w:color w:val="auto"/>
              </w:rPr>
            </w:pPr>
          </w:p>
        </w:tc>
        <w:tc>
          <w:tcPr>
            <w:tcW w:w="1660" w:type="dxa"/>
            <w:vAlign w:val="bottom"/>
            <w:gridSpan w:val="2"/>
            <w:vMerge w:val="continue"/>
            <w:shd w:val="clear" w:color="auto" w:fill="E5FFFF"/>
          </w:tcPr>
          <w:p>
            <w:pPr>
              <w:spacing w:after="0"/>
              <w:rPr>
                <w:sz w:val="17"/>
                <w:szCs w:val="17"/>
                <w:color w:val="auto"/>
              </w:rPr>
            </w:pPr>
          </w:p>
        </w:tc>
        <w:tc>
          <w:tcPr>
            <w:tcW w:w="1360" w:type="dxa"/>
            <w:vAlign w:val="bottom"/>
            <w:vMerge w:val="continue"/>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60" w:type="dxa"/>
            <w:vAlign w:val="bottom"/>
            <w:gridSpan w:val="2"/>
            <w:vMerge w:val="continue"/>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6"/>
                <w:szCs w:val="16"/>
                <w:color w:val="auto"/>
              </w:rPr>
              <w:t>Common units</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60" w:type="dxa"/>
            <w:vAlign w:val="bottom"/>
            <w:vMerge w:val="continue"/>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23,035</w:t>
            </w: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21,593</w:t>
            </w: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79,322</w:t>
            </w: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84,168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486</w:t>
            </w:r>
          </w:p>
        </w:tc>
        <w:tc>
          <w:tcPr>
            <w:tcW w:w="16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471</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1,648</w:t>
            </w:r>
          </w:p>
        </w:tc>
        <w:tc>
          <w:tcPr>
            <w:tcW w:w="280" w:type="dxa"/>
            <w:vAlign w:val="bottom"/>
            <w:shd w:val="clear" w:color="auto" w:fill="E5FFFF"/>
          </w:tcPr>
          <w:p>
            <w:pPr>
              <w:spacing w:after="0"/>
              <w:rPr>
                <w:sz w:val="17"/>
                <w:szCs w:val="17"/>
                <w:color w:val="auto"/>
              </w:rPr>
            </w:pP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Incentive distribution rights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792</w:t>
            </w:r>
          </w:p>
        </w:tc>
        <w:tc>
          <w:tcPr>
            <w:tcW w:w="16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360" w:type="dxa"/>
            <w:vAlign w:val="bottom"/>
          </w:tcPr>
          <w:p>
            <w:pPr>
              <w:jc w:val="right"/>
              <w:spacing w:after="0"/>
              <w:rPr>
                <w:sz w:val="20"/>
                <w:szCs w:val="20"/>
                <w:color w:val="auto"/>
              </w:rPr>
            </w:pPr>
            <w:r>
              <w:rPr>
                <w:rFonts w:ascii="Arial" w:cs="Arial" w:eastAsia="Arial" w:hAnsi="Arial"/>
                <w:sz w:val="16"/>
                <w:szCs w:val="16"/>
                <w:color w:val="auto"/>
              </w:rPr>
              <w:t>1,440</w:t>
            </w:r>
          </w:p>
        </w:tc>
        <w:tc>
          <w:tcPr>
            <w:tcW w:w="28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Weighted average units outstanding (basic)</w:t>
            </w: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Common units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45,399,044</w:t>
            </w:r>
          </w:p>
        </w:tc>
        <w:tc>
          <w:tcPr>
            <w:tcW w:w="1660" w:type="dxa"/>
            <w:vAlign w:val="bottom"/>
            <w:gridSpan w:val="2"/>
          </w:tcPr>
          <w:p>
            <w:pPr>
              <w:jc w:val="right"/>
              <w:ind w:right="280"/>
              <w:spacing w:after="0"/>
              <w:rPr>
                <w:sz w:val="20"/>
                <w:szCs w:val="20"/>
                <w:color w:val="auto"/>
              </w:rPr>
            </w:pPr>
            <w:r>
              <w:rPr>
                <w:rFonts w:ascii="Arial" w:cs="Arial" w:eastAsia="Arial" w:hAnsi="Arial"/>
                <w:sz w:val="16"/>
                <w:szCs w:val="16"/>
                <w:color w:val="auto"/>
              </w:rPr>
              <w:t>46,986,958</w:t>
            </w:r>
          </w:p>
        </w:tc>
        <w:tc>
          <w:tcPr>
            <w:tcW w:w="1360" w:type="dxa"/>
            <w:vAlign w:val="bottom"/>
          </w:tcPr>
          <w:p>
            <w:pPr>
              <w:jc w:val="right"/>
              <w:spacing w:after="0"/>
              <w:rPr>
                <w:sz w:val="20"/>
                <w:szCs w:val="20"/>
                <w:color w:val="auto"/>
              </w:rPr>
            </w:pPr>
            <w:r>
              <w:rPr>
                <w:rFonts w:ascii="Arial" w:cs="Arial" w:eastAsia="Arial" w:hAnsi="Arial"/>
                <w:sz w:val="16"/>
                <w:szCs w:val="16"/>
                <w:color w:val="auto"/>
              </w:rPr>
              <w:t>42,945,432</w:t>
            </w:r>
          </w:p>
        </w:tc>
        <w:tc>
          <w:tcPr>
            <w:tcW w:w="28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46,272,598</w:t>
            </w:r>
          </w:p>
        </w:tc>
        <w:tc>
          <w:tcPr>
            <w:tcW w:w="0" w:type="dxa"/>
            <w:vAlign w:val="bottom"/>
          </w:tcPr>
          <w:p>
            <w:pPr>
              <w:spacing w:after="0"/>
              <w:rPr>
                <w:sz w:val="1"/>
                <w:szCs w:val="1"/>
                <w:color w:val="auto"/>
              </w:rPr>
            </w:pPr>
          </w:p>
        </w:tc>
      </w:tr>
      <w:tr>
        <w:trPr>
          <w:trHeight w:val="203"/>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925,912</w:t>
            </w:r>
          </w:p>
        </w:tc>
        <w:tc>
          <w:tcPr>
            <w:tcW w:w="16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1,021,336</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876,255</w:t>
            </w:r>
          </w:p>
        </w:tc>
        <w:tc>
          <w:tcPr>
            <w:tcW w:w="280" w:type="dxa"/>
            <w:vAlign w:val="bottom"/>
            <w:shd w:val="clear" w:color="auto" w:fill="E5FFFF"/>
          </w:tcPr>
          <w:p>
            <w:pPr>
              <w:spacing w:after="0"/>
              <w:rPr>
                <w:sz w:val="17"/>
                <w:szCs w:val="17"/>
                <w:color w:val="auto"/>
              </w:rPr>
            </w:pP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975,531</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b w:val="1"/>
                <w:bCs w:val="1"/>
                <w:color w:val="auto"/>
              </w:rPr>
              <w:t>Adjusted EPU (basic)</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E5FFFF"/>
          </w:tcPr>
          <w:p>
            <w:pPr>
              <w:spacing w:after="0"/>
              <w:rPr>
                <w:sz w:val="20"/>
                <w:szCs w:val="20"/>
                <w:color w:val="auto"/>
              </w:rPr>
            </w:pPr>
            <w:r>
              <w:rPr>
                <w:rFonts w:ascii="Arial" w:cs="Arial" w:eastAsia="Arial" w:hAnsi="Arial"/>
                <w:sz w:val="16"/>
                <w:szCs w:val="16"/>
                <w:color w:val="auto"/>
              </w:rPr>
              <w:t>Common units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0.51</w:t>
            </w:r>
          </w:p>
        </w:tc>
        <w:tc>
          <w:tcPr>
            <w:tcW w:w="16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0.46</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1.85</w:t>
            </w:r>
          </w:p>
        </w:tc>
        <w:tc>
          <w:tcPr>
            <w:tcW w:w="280" w:type="dxa"/>
            <w:vAlign w:val="bottom"/>
            <w:shd w:val="clear" w:color="auto" w:fill="E5FFFF"/>
          </w:tcPr>
          <w:p>
            <w:pPr>
              <w:spacing w:after="0"/>
              <w:rPr>
                <w:sz w:val="17"/>
                <w:szCs w:val="17"/>
                <w:color w:val="auto"/>
              </w:rPr>
            </w:pP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6"/>
        </w:trPr>
        <w:tc>
          <w:tcPr>
            <w:tcW w:w="4560" w:type="dxa"/>
            <w:vAlign w:val="bottom"/>
          </w:tcPr>
          <w:p>
            <w:pPr>
              <w:spacing w:after="0"/>
              <w:rPr>
                <w:sz w:val="20"/>
                <w:szCs w:val="20"/>
                <w:color w:val="auto"/>
              </w:rPr>
            </w:pPr>
            <w:r>
              <w:rPr>
                <w:rFonts w:ascii="Arial" w:cs="Arial" w:eastAsia="Arial" w:hAnsi="Arial"/>
                <w:sz w:val="16"/>
                <w:szCs w:val="16"/>
                <w:color w:val="auto"/>
              </w:rPr>
              <w:t>General partner units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0.53</w:t>
            </w:r>
          </w:p>
        </w:tc>
        <w:tc>
          <w:tcPr>
            <w:tcW w:w="1660" w:type="dxa"/>
            <w:vAlign w:val="bottom"/>
            <w:gridSpan w:val="2"/>
          </w:tcPr>
          <w:p>
            <w:pPr>
              <w:jc w:val="right"/>
              <w:ind w:right="280"/>
              <w:spacing w:after="0"/>
              <w:rPr>
                <w:sz w:val="20"/>
                <w:szCs w:val="20"/>
                <w:color w:val="auto"/>
              </w:rPr>
            </w:pPr>
            <w:r>
              <w:rPr>
                <w:rFonts w:ascii="Arial" w:cs="Arial" w:eastAsia="Arial" w:hAnsi="Arial"/>
                <w:sz w:val="16"/>
                <w:szCs w:val="16"/>
                <w:color w:val="auto"/>
              </w:rPr>
              <w:t>0.46</w:t>
            </w:r>
          </w:p>
        </w:tc>
        <w:tc>
          <w:tcPr>
            <w:tcW w:w="1360" w:type="dxa"/>
            <w:vAlign w:val="bottom"/>
          </w:tcPr>
          <w:p>
            <w:pPr>
              <w:jc w:val="right"/>
              <w:spacing w:after="0"/>
              <w:rPr>
                <w:sz w:val="20"/>
                <w:szCs w:val="20"/>
                <w:color w:val="auto"/>
              </w:rPr>
            </w:pPr>
            <w:r>
              <w:rPr>
                <w:rFonts w:ascii="Arial" w:cs="Arial" w:eastAsia="Arial" w:hAnsi="Arial"/>
                <w:sz w:val="16"/>
                <w:szCs w:val="16"/>
                <w:color w:val="auto"/>
              </w:rPr>
              <w:t>1.88</w:t>
            </w:r>
          </w:p>
        </w:tc>
        <w:tc>
          <w:tcPr>
            <w:tcW w:w="28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60"/>
          </w:cols>
          <w:pgMar w:left="240" w:top="328" w:right="69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Distributable Cash Flow</w:t>
      </w:r>
    </w:p>
    <w:p>
      <w:pPr>
        <w:spacing w:after="0" w:line="225" w:lineRule="exact"/>
        <w:rPr>
          <w:sz w:val="20"/>
          <w:szCs w:val="20"/>
          <w:color w:val="auto"/>
        </w:rPr>
      </w:pPr>
    </w:p>
    <w:p>
      <w:pPr>
        <w:ind w:right="140"/>
        <w:spacing w:after="0" w:line="311" w:lineRule="auto"/>
        <w:rPr>
          <w:sz w:val="20"/>
          <w:szCs w:val="20"/>
          <w:color w:val="auto"/>
        </w:rPr>
      </w:pPr>
      <w:r>
        <w:rPr>
          <w:rFonts w:ascii="Arial" w:cs="Arial" w:eastAsia="Arial" w:hAnsi="Arial"/>
          <w:sz w:val="14"/>
          <w:szCs w:val="14"/>
          <w:color w:val="auto"/>
        </w:rPr>
        <w:t>Distributable cash flow means Adjusted EBITDA, on the basis of the Partnership Performance Results, after considering financial costs for the period, including realized loss on derivatives (interest rate swaps and forward foreign exchange contracts) and excluding amortization of loan fees, lease expense,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long-term the operating capacity of, or the revenues generated by, our capital assets. Distributable cash flow, which is a non-GAAP financial measure, is a quantitative standard used by investors in publicly traded partnerships to assess their ability to make quarterly cash distributions. Our calculation of Distributable cash flow may not be comparable to that reported by other companies. 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 The table below reconciles Distributable cash flow to Profit for the period attributable to the Partnership.</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Distributable Cash Flow to Partnership’s Profit: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4220" w:type="dxa"/>
            <w:vAlign w:val="bottom"/>
            <w:gridSpan w:val="4"/>
          </w:tcPr>
          <w:p>
            <w:pPr>
              <w:jc w:val="right"/>
              <w:ind w:right="1400"/>
              <w:spacing w:after="0"/>
              <w:rPr>
                <w:sz w:val="20"/>
                <w:szCs w:val="20"/>
                <w:color w:val="auto"/>
              </w:rPr>
            </w:pPr>
            <w:r>
              <w:rPr>
                <w:rFonts w:ascii="Arial" w:cs="Arial" w:eastAsia="Arial" w:hAnsi="Arial"/>
                <w:sz w:val="14"/>
                <w:szCs w:val="14"/>
                <w:b w:val="1"/>
                <w:bCs w:val="1"/>
                <w:color w:val="auto"/>
              </w:rPr>
              <w:t>For the three months ended</w:t>
            </w:r>
          </w:p>
        </w:tc>
        <w:tc>
          <w:tcPr>
            <w:tcW w:w="4040" w:type="dxa"/>
            <w:vAlign w:val="bottom"/>
            <w:gridSpan w:val="4"/>
          </w:tcPr>
          <w:p>
            <w:pPr>
              <w:jc w:val="right"/>
              <w:ind w:right="1460"/>
              <w:spacing w:after="0"/>
              <w:rPr>
                <w:sz w:val="20"/>
                <w:szCs w:val="20"/>
                <w:color w:val="auto"/>
              </w:rPr>
            </w:pPr>
            <w:r>
              <w:rPr>
                <w:rFonts w:ascii="Arial" w:cs="Arial" w:eastAsia="Arial" w:hAnsi="Arial"/>
                <w:sz w:val="14"/>
                <w:szCs w:val="14"/>
                <w:b w:val="1"/>
                <w:bCs w:val="1"/>
                <w:color w:val="auto"/>
              </w:rPr>
              <w:t>For the years ended</w:t>
            </w:r>
          </w:p>
        </w:tc>
      </w:tr>
      <w:tr>
        <w:trPr>
          <w:trHeight w:val="174"/>
        </w:trPr>
        <w:tc>
          <w:tcPr>
            <w:tcW w:w="3160" w:type="dxa"/>
            <w:vAlign w:val="bottom"/>
          </w:tcPr>
          <w:p>
            <w:pPr>
              <w:spacing w:after="0"/>
              <w:rPr>
                <w:sz w:val="15"/>
                <w:szCs w:val="15"/>
                <w:color w:val="auto"/>
              </w:rPr>
            </w:pPr>
          </w:p>
        </w:tc>
        <w:tc>
          <w:tcPr>
            <w:tcW w:w="2120" w:type="dxa"/>
            <w:vAlign w:val="bottom"/>
            <w:gridSpan w:val="2"/>
          </w:tcPr>
          <w:p>
            <w:pPr>
              <w:jc w:val="right"/>
              <w:ind w:right="560"/>
              <w:spacing w:after="0" w:line="174" w:lineRule="exact"/>
              <w:rPr>
                <w:sz w:val="20"/>
                <w:szCs w:val="20"/>
                <w:color w:val="auto"/>
              </w:rPr>
            </w:pPr>
            <w:r>
              <w:rPr>
                <w:rFonts w:ascii="Arial" w:cs="Arial" w:eastAsia="Arial" w:hAnsi="Arial"/>
                <w:sz w:val="14"/>
                <w:szCs w:val="14"/>
                <w:b w:val="1"/>
                <w:bCs w:val="1"/>
                <w:color w:val="auto"/>
              </w:rPr>
              <w:t>December 31, 2018</w:t>
            </w:r>
            <w:r>
              <w:rPr>
                <w:rFonts w:ascii="Arial" w:cs="Arial" w:eastAsia="Arial" w:hAnsi="Arial"/>
                <w:sz w:val="17"/>
                <w:szCs w:val="17"/>
                <w:b w:val="1"/>
                <w:bCs w:val="1"/>
                <w:color w:val="auto"/>
                <w:vertAlign w:val="superscript"/>
              </w:rPr>
              <w:t>(1)</w:t>
            </w:r>
          </w:p>
        </w:tc>
        <w:tc>
          <w:tcPr>
            <w:tcW w:w="2100" w:type="dxa"/>
            <w:vAlign w:val="bottom"/>
            <w:gridSpan w:val="2"/>
          </w:tcPr>
          <w:p>
            <w:pPr>
              <w:jc w:val="right"/>
              <w:ind w:right="500"/>
              <w:spacing w:after="0" w:line="174" w:lineRule="exact"/>
              <w:rPr>
                <w:sz w:val="20"/>
                <w:szCs w:val="20"/>
                <w:color w:val="auto"/>
              </w:rPr>
            </w:pPr>
            <w:r>
              <w:rPr>
                <w:rFonts w:ascii="Arial" w:cs="Arial" w:eastAsia="Arial" w:hAnsi="Arial"/>
                <w:sz w:val="14"/>
                <w:szCs w:val="14"/>
                <w:b w:val="1"/>
                <w:bCs w:val="1"/>
                <w:color w:val="auto"/>
              </w:rPr>
              <w:t>December 31, 2019</w:t>
            </w:r>
            <w:r>
              <w:rPr>
                <w:rFonts w:ascii="Arial" w:cs="Arial" w:eastAsia="Arial" w:hAnsi="Arial"/>
                <w:sz w:val="17"/>
                <w:szCs w:val="17"/>
                <w:b w:val="1"/>
                <w:bCs w:val="1"/>
                <w:color w:val="auto"/>
                <w:vertAlign w:val="superscript"/>
              </w:rPr>
              <w:t>(1)(4)</w:t>
            </w:r>
          </w:p>
        </w:tc>
        <w:tc>
          <w:tcPr>
            <w:tcW w:w="2100" w:type="dxa"/>
            <w:vAlign w:val="bottom"/>
            <w:gridSpan w:val="2"/>
          </w:tcPr>
          <w:p>
            <w:pPr>
              <w:jc w:val="right"/>
              <w:ind w:right="560"/>
              <w:spacing w:after="0" w:line="174" w:lineRule="exact"/>
              <w:rPr>
                <w:sz w:val="20"/>
                <w:szCs w:val="20"/>
                <w:color w:val="auto"/>
              </w:rPr>
            </w:pPr>
            <w:r>
              <w:rPr>
                <w:rFonts w:ascii="Arial" w:cs="Arial" w:eastAsia="Arial" w:hAnsi="Arial"/>
                <w:sz w:val="14"/>
                <w:szCs w:val="14"/>
                <w:b w:val="1"/>
                <w:bCs w:val="1"/>
                <w:color w:val="auto"/>
              </w:rPr>
              <w:t>December 31, 2018</w:t>
            </w:r>
            <w:r>
              <w:rPr>
                <w:rFonts w:ascii="Arial" w:cs="Arial" w:eastAsia="Arial" w:hAnsi="Arial"/>
                <w:sz w:val="17"/>
                <w:szCs w:val="17"/>
                <w:b w:val="1"/>
                <w:bCs w:val="1"/>
                <w:color w:val="auto"/>
                <w:vertAlign w:val="superscript"/>
              </w:rPr>
              <w:t>(1)</w:t>
            </w:r>
          </w:p>
        </w:tc>
        <w:tc>
          <w:tcPr>
            <w:tcW w:w="1940" w:type="dxa"/>
            <w:vAlign w:val="bottom"/>
            <w:gridSpan w:val="2"/>
          </w:tcPr>
          <w:p>
            <w:pPr>
              <w:jc w:val="right"/>
              <w:ind w:right="380"/>
              <w:spacing w:after="0" w:line="174" w:lineRule="exact"/>
              <w:rPr>
                <w:sz w:val="20"/>
                <w:szCs w:val="20"/>
                <w:color w:val="auto"/>
              </w:rPr>
            </w:pPr>
            <w:r>
              <w:rPr>
                <w:rFonts w:ascii="Arial" w:cs="Arial" w:eastAsia="Arial" w:hAnsi="Arial"/>
                <w:sz w:val="14"/>
                <w:szCs w:val="14"/>
                <w:b w:val="1"/>
                <w:bCs w:val="1"/>
                <w:color w:val="auto"/>
              </w:rPr>
              <w:t>December 31, 2019</w:t>
            </w:r>
            <w:r>
              <w:rPr>
                <w:rFonts w:ascii="Arial" w:cs="Arial" w:eastAsia="Arial" w:hAnsi="Arial"/>
                <w:sz w:val="17"/>
                <w:szCs w:val="17"/>
                <w:b w:val="1"/>
                <w:bCs w:val="1"/>
                <w:color w:val="auto"/>
                <w:vertAlign w:val="superscript"/>
              </w:rPr>
              <w:t>(1)</w:t>
            </w:r>
          </w:p>
        </w:tc>
      </w:tr>
      <w:tr>
        <w:trPr>
          <w:trHeight w:val="142"/>
        </w:trPr>
        <w:tc>
          <w:tcPr>
            <w:tcW w:w="3160" w:type="dxa"/>
            <w:vAlign w:val="bottom"/>
            <w:tcBorders>
              <w:top w:val="single" w:sz="8" w:color="E5FFFF"/>
            </w:tcBorders>
            <w:shd w:val="clear" w:color="auto" w:fill="E5FFFF"/>
          </w:tcPr>
          <w:p>
            <w:pPr>
              <w:spacing w:after="0" w:line="142" w:lineRule="exact"/>
              <w:rPr>
                <w:sz w:val="20"/>
                <w:szCs w:val="20"/>
                <w:color w:val="auto"/>
              </w:rPr>
            </w:pPr>
            <w:r>
              <w:rPr>
                <w:rFonts w:ascii="Arial" w:cs="Arial" w:eastAsia="Arial" w:hAnsi="Arial"/>
                <w:sz w:val="14"/>
                <w:szCs w:val="14"/>
                <w:color w:val="auto"/>
              </w:rPr>
              <w:t>Partnership’s profit/(loss) for the period</w:t>
            </w:r>
          </w:p>
        </w:tc>
        <w:tc>
          <w:tcPr>
            <w:tcW w:w="184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20,424</w:t>
            </w:r>
          </w:p>
        </w:tc>
        <w:tc>
          <w:tcPr>
            <w:tcW w:w="280" w:type="dxa"/>
            <w:vAlign w:val="bottom"/>
            <w:tcBorders>
              <w:top w:val="single" w:sz="8" w:color="E5FFFF"/>
            </w:tcBorders>
            <w:shd w:val="clear" w:color="auto" w:fill="E5FFFF"/>
          </w:tcPr>
          <w:p>
            <w:pPr>
              <w:spacing w:after="0"/>
              <w:rPr>
                <w:sz w:val="12"/>
                <w:szCs w:val="12"/>
                <w:color w:val="auto"/>
              </w:rPr>
            </w:pPr>
          </w:p>
        </w:tc>
        <w:tc>
          <w:tcPr>
            <w:tcW w:w="182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(106,362)</w:t>
            </w:r>
          </w:p>
        </w:tc>
        <w:tc>
          <w:tcPr>
            <w:tcW w:w="280" w:type="dxa"/>
            <w:vAlign w:val="bottom"/>
            <w:tcBorders>
              <w:top w:val="single" w:sz="8" w:color="E5FFFF"/>
            </w:tcBorders>
            <w:shd w:val="clear" w:color="auto" w:fill="E5FFFF"/>
          </w:tcPr>
          <w:p>
            <w:pPr>
              <w:spacing w:after="0"/>
              <w:rPr>
                <w:sz w:val="12"/>
                <w:szCs w:val="12"/>
                <w:color w:val="auto"/>
              </w:rPr>
            </w:pPr>
          </w:p>
        </w:tc>
        <w:tc>
          <w:tcPr>
            <w:tcW w:w="182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102,597</w:t>
            </w:r>
          </w:p>
        </w:tc>
        <w:tc>
          <w:tcPr>
            <w:tcW w:w="280" w:type="dxa"/>
            <w:vAlign w:val="bottom"/>
            <w:tcBorders>
              <w:top w:val="single" w:sz="8" w:color="E5FFFF"/>
            </w:tcBorders>
            <w:shd w:val="clear" w:color="auto" w:fill="E5FFFF"/>
          </w:tcPr>
          <w:p>
            <w:pPr>
              <w:spacing w:after="0"/>
              <w:rPr>
                <w:sz w:val="12"/>
                <w:szCs w:val="12"/>
                <w:color w:val="auto"/>
              </w:rPr>
            </w:pPr>
          </w:p>
        </w:tc>
        <w:tc>
          <w:tcPr>
            <w:tcW w:w="184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(37,419)</w:t>
            </w:r>
          </w:p>
        </w:tc>
        <w:tc>
          <w:tcPr>
            <w:tcW w:w="100" w:type="dxa"/>
            <w:vAlign w:val="bottom"/>
            <w:tcBorders>
              <w:top w:val="single" w:sz="8" w:color="E5FFFF"/>
            </w:tcBorders>
            <w:shd w:val="clear" w:color="auto" w:fill="E5FFFF"/>
          </w:tcPr>
          <w:p>
            <w:pPr>
              <w:spacing w:after="0"/>
              <w:rPr>
                <w:sz w:val="12"/>
                <w:szCs w:val="12"/>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2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19,681</w:t>
            </w:r>
          </w:p>
        </w:tc>
        <w:tc>
          <w:tcPr>
            <w:tcW w:w="2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22,483</w:t>
            </w:r>
          </w:p>
        </w:tc>
        <w:tc>
          <w:tcPr>
            <w:tcW w:w="2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73,151</w:t>
            </w:r>
          </w:p>
        </w:tc>
        <w:tc>
          <w:tcPr>
            <w:tcW w:w="1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87,819</w:t>
            </w:r>
          </w:p>
        </w:tc>
      </w:tr>
      <w:tr>
        <w:trPr>
          <w:trHeight w:val="149"/>
        </w:trPr>
        <w:tc>
          <w:tcPr>
            <w:tcW w:w="31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Financial costs</w:t>
            </w:r>
          </w:p>
        </w:tc>
        <w:tc>
          <w:tcPr>
            <w:tcW w:w="2120" w:type="dxa"/>
            <w:vAlign w:val="bottom"/>
            <w:gridSpan w:val="2"/>
            <w:shd w:val="clear" w:color="auto" w:fill="E5FFFF"/>
          </w:tcPr>
          <w:p>
            <w:pPr>
              <w:jc w:val="right"/>
              <w:ind w:right="280"/>
              <w:spacing w:after="0" w:line="149" w:lineRule="exact"/>
              <w:rPr>
                <w:sz w:val="20"/>
                <w:szCs w:val="20"/>
                <w:color w:val="auto"/>
              </w:rPr>
            </w:pPr>
            <w:r>
              <w:rPr>
                <w:rFonts w:ascii="Arial" w:cs="Arial" w:eastAsia="Arial" w:hAnsi="Arial"/>
                <w:sz w:val="14"/>
                <w:szCs w:val="14"/>
                <w:color w:val="auto"/>
              </w:rPr>
              <w:t>16,285</w:t>
            </w:r>
          </w:p>
        </w:tc>
        <w:tc>
          <w:tcPr>
            <w:tcW w:w="2100" w:type="dxa"/>
            <w:vAlign w:val="bottom"/>
            <w:gridSpan w:val="2"/>
            <w:shd w:val="clear" w:color="auto" w:fill="E5FFFF"/>
          </w:tcPr>
          <w:p>
            <w:pPr>
              <w:jc w:val="right"/>
              <w:ind w:right="280"/>
              <w:spacing w:after="0" w:line="149" w:lineRule="exact"/>
              <w:rPr>
                <w:sz w:val="20"/>
                <w:szCs w:val="20"/>
                <w:color w:val="auto"/>
              </w:rPr>
            </w:pPr>
            <w:r>
              <w:rPr>
                <w:rFonts w:ascii="Arial" w:cs="Arial" w:eastAsia="Arial" w:hAnsi="Arial"/>
                <w:sz w:val="14"/>
                <w:szCs w:val="14"/>
                <w:color w:val="auto"/>
              </w:rPr>
              <w:t>16,348</w:t>
            </w:r>
          </w:p>
        </w:tc>
        <w:tc>
          <w:tcPr>
            <w:tcW w:w="2100" w:type="dxa"/>
            <w:vAlign w:val="bottom"/>
            <w:gridSpan w:val="2"/>
            <w:shd w:val="clear" w:color="auto" w:fill="E5FFFF"/>
          </w:tcPr>
          <w:p>
            <w:pPr>
              <w:jc w:val="right"/>
              <w:ind w:right="280"/>
              <w:spacing w:after="0" w:line="149" w:lineRule="exact"/>
              <w:rPr>
                <w:sz w:val="20"/>
                <w:szCs w:val="20"/>
                <w:color w:val="auto"/>
              </w:rPr>
            </w:pPr>
            <w:r>
              <w:rPr>
                <w:rFonts w:ascii="Arial" w:cs="Arial" w:eastAsia="Arial" w:hAnsi="Arial"/>
                <w:sz w:val="14"/>
                <w:szCs w:val="14"/>
                <w:color w:val="auto"/>
              </w:rPr>
              <w:t>60,258</w:t>
            </w:r>
          </w:p>
        </w:tc>
        <w:tc>
          <w:tcPr>
            <w:tcW w:w="194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70,268</w:t>
            </w: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Financial income</w:t>
            </w:r>
          </w:p>
        </w:tc>
        <w:tc>
          <w:tcPr>
            <w:tcW w:w="2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(719)</w:t>
            </w:r>
          </w:p>
        </w:tc>
        <w:tc>
          <w:tcPr>
            <w:tcW w:w="2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(329)</w:t>
            </w:r>
          </w:p>
        </w:tc>
        <w:tc>
          <w:tcPr>
            <w:tcW w:w="2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(2,398)</w:t>
            </w:r>
          </w:p>
        </w:tc>
        <w:tc>
          <w:tcPr>
            <w:tcW w:w="1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(1,873)</w:t>
            </w:r>
          </w:p>
        </w:tc>
      </w:tr>
      <w:tr>
        <w:trPr>
          <w:trHeight w:val="149"/>
        </w:trPr>
        <w:tc>
          <w:tcPr>
            <w:tcW w:w="31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Loss/(gain) on derivatives</w:t>
            </w:r>
          </w:p>
        </w:tc>
        <w:tc>
          <w:tcPr>
            <w:tcW w:w="2120" w:type="dxa"/>
            <w:vAlign w:val="bottom"/>
            <w:gridSpan w:val="2"/>
            <w:shd w:val="clear" w:color="auto" w:fill="E5FFFF"/>
          </w:tcPr>
          <w:p>
            <w:pPr>
              <w:jc w:val="right"/>
              <w:ind w:right="280"/>
              <w:spacing w:after="0" w:line="149" w:lineRule="exact"/>
              <w:rPr>
                <w:sz w:val="20"/>
                <w:szCs w:val="20"/>
                <w:color w:val="auto"/>
              </w:rPr>
            </w:pPr>
            <w:r>
              <w:rPr>
                <w:rFonts w:ascii="Arial" w:cs="Arial" w:eastAsia="Arial" w:hAnsi="Arial"/>
                <w:sz w:val="14"/>
                <w:szCs w:val="14"/>
                <w:color w:val="auto"/>
              </w:rPr>
              <w:t>10,045</w:t>
            </w:r>
          </w:p>
        </w:tc>
        <w:tc>
          <w:tcPr>
            <w:tcW w:w="2100" w:type="dxa"/>
            <w:vAlign w:val="bottom"/>
            <w:gridSpan w:val="2"/>
            <w:shd w:val="clear" w:color="auto" w:fill="E5FFFF"/>
          </w:tcPr>
          <w:p>
            <w:pPr>
              <w:jc w:val="right"/>
              <w:ind w:right="240"/>
              <w:spacing w:after="0" w:line="149" w:lineRule="exact"/>
              <w:rPr>
                <w:sz w:val="20"/>
                <w:szCs w:val="20"/>
                <w:color w:val="auto"/>
              </w:rPr>
            </w:pPr>
            <w:r>
              <w:rPr>
                <w:rFonts w:ascii="Arial" w:cs="Arial" w:eastAsia="Arial" w:hAnsi="Arial"/>
                <w:sz w:val="14"/>
                <w:szCs w:val="14"/>
                <w:color w:val="auto"/>
              </w:rPr>
              <w:t>(2,733)</w:t>
            </w:r>
          </w:p>
        </w:tc>
        <w:tc>
          <w:tcPr>
            <w:tcW w:w="2100" w:type="dxa"/>
            <w:vAlign w:val="bottom"/>
            <w:gridSpan w:val="2"/>
            <w:shd w:val="clear" w:color="auto" w:fill="E5FFFF"/>
          </w:tcPr>
          <w:p>
            <w:pPr>
              <w:jc w:val="right"/>
              <w:ind w:right="280"/>
              <w:spacing w:after="0" w:line="149" w:lineRule="exact"/>
              <w:rPr>
                <w:sz w:val="20"/>
                <w:szCs w:val="20"/>
                <w:color w:val="auto"/>
              </w:rPr>
            </w:pPr>
            <w:r>
              <w:rPr>
                <w:rFonts w:ascii="Arial" w:cs="Arial" w:eastAsia="Arial" w:hAnsi="Arial"/>
                <w:sz w:val="14"/>
                <w:szCs w:val="14"/>
                <w:color w:val="auto"/>
              </w:rPr>
              <w:t>48</w:t>
            </w:r>
          </w:p>
        </w:tc>
        <w:tc>
          <w:tcPr>
            <w:tcW w:w="194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12,795</w:t>
            </w:r>
          </w:p>
        </w:tc>
      </w:tr>
      <w:tr>
        <w:trPr>
          <w:trHeight w:val="142"/>
        </w:trPr>
        <w:tc>
          <w:tcPr>
            <w:tcW w:w="3160" w:type="dxa"/>
            <w:vAlign w:val="bottom"/>
            <w:tcBorders>
              <w:bottom w:val="single" w:sz="8" w:color="E5FFFF"/>
            </w:tcBorders>
          </w:tcPr>
          <w:p>
            <w:pPr>
              <w:spacing w:after="0" w:line="142" w:lineRule="exact"/>
              <w:rPr>
                <w:sz w:val="20"/>
                <w:szCs w:val="20"/>
                <w:color w:val="auto"/>
              </w:rPr>
            </w:pPr>
            <w:r>
              <w:rPr>
                <w:rFonts w:ascii="Arial" w:cs="Arial" w:eastAsia="Arial" w:hAnsi="Arial"/>
                <w:sz w:val="14"/>
                <w:szCs w:val="14"/>
                <w:b w:val="1"/>
                <w:bCs w:val="1"/>
                <w:color w:val="auto"/>
              </w:rPr>
              <w:t>EBITDA</w:t>
            </w:r>
          </w:p>
        </w:tc>
        <w:tc>
          <w:tcPr>
            <w:tcW w:w="1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65,716</w:t>
            </w:r>
          </w:p>
        </w:tc>
        <w:tc>
          <w:tcPr>
            <w:tcW w:w="280" w:type="dxa"/>
            <w:vAlign w:val="bottom"/>
            <w:tcBorders>
              <w:bottom w:val="single" w:sz="8" w:color="E5FFFF"/>
            </w:tcBorders>
          </w:tcPr>
          <w:p>
            <w:pPr>
              <w:spacing w:after="0"/>
              <w:rPr>
                <w:sz w:val="12"/>
                <w:szCs w:val="12"/>
                <w:color w:val="auto"/>
              </w:rPr>
            </w:pPr>
          </w:p>
        </w:tc>
        <w:tc>
          <w:tcPr>
            <w:tcW w:w="1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(70,593)</w:t>
            </w:r>
          </w:p>
        </w:tc>
        <w:tc>
          <w:tcPr>
            <w:tcW w:w="280" w:type="dxa"/>
            <w:vAlign w:val="bottom"/>
            <w:tcBorders>
              <w:bottom w:val="single" w:sz="8" w:color="E5FFFF"/>
            </w:tcBorders>
          </w:tcPr>
          <w:p>
            <w:pPr>
              <w:spacing w:after="0"/>
              <w:rPr>
                <w:sz w:val="12"/>
                <w:szCs w:val="12"/>
                <w:color w:val="auto"/>
              </w:rPr>
            </w:pPr>
          </w:p>
        </w:tc>
        <w:tc>
          <w:tcPr>
            <w:tcW w:w="1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233,656</w:t>
            </w:r>
          </w:p>
        </w:tc>
        <w:tc>
          <w:tcPr>
            <w:tcW w:w="280" w:type="dxa"/>
            <w:vAlign w:val="bottom"/>
            <w:tcBorders>
              <w:bottom w:val="single" w:sz="8" w:color="E5FFFF"/>
            </w:tcBorders>
          </w:tcPr>
          <w:p>
            <w:pPr>
              <w:spacing w:after="0"/>
              <w:rPr>
                <w:sz w:val="12"/>
                <w:szCs w:val="12"/>
                <w:color w:val="auto"/>
              </w:rPr>
            </w:pPr>
          </w:p>
        </w:tc>
        <w:tc>
          <w:tcPr>
            <w:tcW w:w="1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131,590</w:t>
            </w:r>
          </w:p>
        </w:tc>
        <w:tc>
          <w:tcPr>
            <w:tcW w:w="100" w:type="dxa"/>
            <w:vAlign w:val="bottom"/>
            <w:tcBorders>
              <w:bottom w:val="single" w:sz="8" w:color="E5FFFF"/>
            </w:tcBorders>
          </w:tcPr>
          <w:p>
            <w:pPr>
              <w:spacing w:after="0"/>
              <w:rPr>
                <w:sz w:val="12"/>
                <w:szCs w:val="12"/>
                <w:color w:val="auto"/>
              </w:rPr>
            </w:pPr>
          </w:p>
        </w:tc>
      </w:tr>
      <w:tr>
        <w:trPr>
          <w:trHeight w:val="142"/>
        </w:trPr>
        <w:tc>
          <w:tcPr>
            <w:tcW w:w="3160" w:type="dxa"/>
            <w:vAlign w:val="bottom"/>
            <w:shd w:val="clear" w:color="auto" w:fill="E5FFFF"/>
          </w:tcPr>
          <w:p>
            <w:pPr>
              <w:spacing w:after="0" w:line="142" w:lineRule="exact"/>
              <w:rPr>
                <w:sz w:val="20"/>
                <w:szCs w:val="20"/>
                <w:color w:val="auto"/>
              </w:rPr>
            </w:pPr>
            <w:r>
              <w:rPr>
                <w:rFonts w:ascii="Arial" w:cs="Arial" w:eastAsia="Arial" w:hAnsi="Arial"/>
                <w:sz w:val="14"/>
                <w:szCs w:val="14"/>
                <w:color w:val="auto"/>
              </w:rPr>
              <w:t>Impairment loss on vessels</w:t>
            </w:r>
          </w:p>
        </w:tc>
        <w:tc>
          <w:tcPr>
            <w:tcW w:w="184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E5FFFF"/>
          </w:tcPr>
          <w:p>
            <w:pPr>
              <w:spacing w:after="0"/>
              <w:rPr>
                <w:sz w:val="12"/>
                <w:szCs w:val="12"/>
                <w:color w:val="auto"/>
              </w:rPr>
            </w:pPr>
          </w:p>
        </w:tc>
        <w:tc>
          <w:tcPr>
            <w:tcW w:w="182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138,848</w:t>
            </w:r>
          </w:p>
        </w:tc>
        <w:tc>
          <w:tcPr>
            <w:tcW w:w="280" w:type="dxa"/>
            <w:vAlign w:val="bottom"/>
            <w:shd w:val="clear" w:color="auto" w:fill="E5FFFF"/>
          </w:tcPr>
          <w:p>
            <w:pPr>
              <w:spacing w:after="0"/>
              <w:rPr>
                <w:sz w:val="12"/>
                <w:szCs w:val="12"/>
                <w:color w:val="auto"/>
              </w:rPr>
            </w:pPr>
          </w:p>
        </w:tc>
        <w:tc>
          <w:tcPr>
            <w:tcW w:w="182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E5FFFF"/>
          </w:tcPr>
          <w:p>
            <w:pPr>
              <w:spacing w:after="0"/>
              <w:rPr>
                <w:sz w:val="12"/>
                <w:szCs w:val="12"/>
                <w:color w:val="auto"/>
              </w:rPr>
            </w:pPr>
          </w:p>
        </w:tc>
        <w:tc>
          <w:tcPr>
            <w:tcW w:w="184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138,848</w:t>
            </w:r>
          </w:p>
        </w:tc>
        <w:tc>
          <w:tcPr>
            <w:tcW w:w="100" w:type="dxa"/>
            <w:vAlign w:val="bottom"/>
            <w:shd w:val="clear" w:color="auto" w:fill="E5FFFF"/>
          </w:tcPr>
          <w:p>
            <w:pPr>
              <w:spacing w:after="0"/>
              <w:rPr>
                <w:sz w:val="12"/>
                <w:szCs w:val="12"/>
                <w:color w:val="auto"/>
              </w:rPr>
            </w:pPr>
          </w:p>
        </w:tc>
      </w:tr>
      <w:tr>
        <w:trPr>
          <w:trHeight w:val="142"/>
        </w:trPr>
        <w:tc>
          <w:tcPr>
            <w:tcW w:w="3160" w:type="dxa"/>
            <w:vAlign w:val="bottom"/>
            <w:tcBorders>
              <w:bottom w:val="single" w:sz="8" w:color="E5FFFF"/>
            </w:tcBorders>
          </w:tcPr>
          <w:p>
            <w:pPr>
              <w:spacing w:after="0" w:line="142" w:lineRule="exact"/>
              <w:rPr>
                <w:sz w:val="20"/>
                <w:szCs w:val="20"/>
                <w:color w:val="auto"/>
              </w:rPr>
            </w:pPr>
            <w:r>
              <w:rPr>
                <w:rFonts w:ascii="Arial" w:cs="Arial" w:eastAsia="Arial" w:hAnsi="Arial"/>
                <w:sz w:val="14"/>
                <w:szCs w:val="14"/>
                <w:b w:val="1"/>
                <w:bCs w:val="1"/>
                <w:color w:val="auto"/>
              </w:rPr>
              <w:t>Adjusted EBITDA</w:t>
            </w:r>
          </w:p>
        </w:tc>
        <w:tc>
          <w:tcPr>
            <w:tcW w:w="1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65,716</w:t>
            </w:r>
          </w:p>
        </w:tc>
        <w:tc>
          <w:tcPr>
            <w:tcW w:w="280" w:type="dxa"/>
            <w:vAlign w:val="bottom"/>
            <w:tcBorders>
              <w:bottom w:val="single" w:sz="8" w:color="E5FFFF"/>
            </w:tcBorders>
          </w:tcPr>
          <w:p>
            <w:pPr>
              <w:spacing w:after="0"/>
              <w:rPr>
                <w:sz w:val="12"/>
                <w:szCs w:val="12"/>
                <w:color w:val="auto"/>
              </w:rPr>
            </w:pPr>
          </w:p>
        </w:tc>
        <w:tc>
          <w:tcPr>
            <w:tcW w:w="1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68,255</w:t>
            </w:r>
          </w:p>
        </w:tc>
        <w:tc>
          <w:tcPr>
            <w:tcW w:w="280" w:type="dxa"/>
            <w:vAlign w:val="bottom"/>
            <w:tcBorders>
              <w:bottom w:val="single" w:sz="8" w:color="E5FFFF"/>
            </w:tcBorders>
          </w:tcPr>
          <w:p>
            <w:pPr>
              <w:spacing w:after="0"/>
              <w:rPr>
                <w:sz w:val="12"/>
                <w:szCs w:val="12"/>
                <w:color w:val="auto"/>
              </w:rPr>
            </w:pPr>
          </w:p>
        </w:tc>
        <w:tc>
          <w:tcPr>
            <w:tcW w:w="1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233,656</w:t>
            </w:r>
          </w:p>
        </w:tc>
        <w:tc>
          <w:tcPr>
            <w:tcW w:w="280" w:type="dxa"/>
            <w:vAlign w:val="bottom"/>
            <w:tcBorders>
              <w:bottom w:val="single" w:sz="8" w:color="E5FFFF"/>
            </w:tcBorders>
          </w:tcPr>
          <w:p>
            <w:pPr>
              <w:spacing w:after="0"/>
              <w:rPr>
                <w:sz w:val="12"/>
                <w:szCs w:val="12"/>
                <w:color w:val="auto"/>
              </w:rPr>
            </w:pPr>
          </w:p>
        </w:tc>
        <w:tc>
          <w:tcPr>
            <w:tcW w:w="1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270,438</w:t>
            </w:r>
          </w:p>
        </w:tc>
        <w:tc>
          <w:tcPr>
            <w:tcW w:w="100" w:type="dxa"/>
            <w:vAlign w:val="bottom"/>
            <w:tcBorders>
              <w:bottom w:val="single" w:sz="8" w:color="E5FFFF"/>
            </w:tcBorders>
          </w:tcPr>
          <w:p>
            <w:pPr>
              <w:spacing w:after="0"/>
              <w:rPr>
                <w:sz w:val="12"/>
                <w:szCs w:val="12"/>
                <w:color w:val="auto"/>
              </w:rPr>
            </w:pPr>
          </w:p>
        </w:tc>
      </w:tr>
      <w:tr>
        <w:trPr>
          <w:trHeight w:val="110"/>
        </w:trPr>
        <w:tc>
          <w:tcPr>
            <w:tcW w:w="3160" w:type="dxa"/>
            <w:vAlign w:val="bottom"/>
            <w:shd w:val="clear" w:color="auto" w:fill="E5FFFF"/>
          </w:tcPr>
          <w:p>
            <w:pPr>
              <w:spacing w:after="0" w:line="110" w:lineRule="exact"/>
              <w:rPr>
                <w:sz w:val="20"/>
                <w:szCs w:val="20"/>
                <w:color w:val="auto"/>
              </w:rPr>
            </w:pPr>
            <w:r>
              <w:rPr>
                <w:rFonts w:ascii="Arial" w:cs="Arial" w:eastAsia="Arial" w:hAnsi="Arial"/>
                <w:sz w:val="12"/>
                <w:szCs w:val="12"/>
                <w:color w:val="auto"/>
              </w:rPr>
              <w:t>Financial costs (excluding amortization of loan</w:t>
            </w:r>
          </w:p>
        </w:tc>
        <w:tc>
          <w:tcPr>
            <w:tcW w:w="1840" w:type="dxa"/>
            <w:vAlign w:val="bottom"/>
            <w:shd w:val="clear" w:color="auto" w:fill="E5FFFF"/>
          </w:tcPr>
          <w:p>
            <w:pPr>
              <w:spacing w:after="0"/>
              <w:rPr>
                <w:sz w:val="9"/>
                <w:szCs w:val="9"/>
                <w:color w:val="auto"/>
              </w:rPr>
            </w:pPr>
          </w:p>
        </w:tc>
        <w:tc>
          <w:tcPr>
            <w:tcW w:w="280" w:type="dxa"/>
            <w:vAlign w:val="bottom"/>
            <w:shd w:val="clear" w:color="auto" w:fill="E5FFFF"/>
          </w:tcPr>
          <w:p>
            <w:pPr>
              <w:spacing w:after="0"/>
              <w:rPr>
                <w:sz w:val="9"/>
                <w:szCs w:val="9"/>
                <w:color w:val="auto"/>
              </w:rPr>
            </w:pPr>
          </w:p>
        </w:tc>
        <w:tc>
          <w:tcPr>
            <w:tcW w:w="1820" w:type="dxa"/>
            <w:vAlign w:val="bottom"/>
            <w:shd w:val="clear" w:color="auto" w:fill="E5FFFF"/>
          </w:tcPr>
          <w:p>
            <w:pPr>
              <w:spacing w:after="0"/>
              <w:rPr>
                <w:sz w:val="9"/>
                <w:szCs w:val="9"/>
                <w:color w:val="auto"/>
              </w:rPr>
            </w:pPr>
          </w:p>
        </w:tc>
        <w:tc>
          <w:tcPr>
            <w:tcW w:w="280" w:type="dxa"/>
            <w:vAlign w:val="bottom"/>
            <w:shd w:val="clear" w:color="auto" w:fill="E5FFFF"/>
          </w:tcPr>
          <w:p>
            <w:pPr>
              <w:spacing w:after="0"/>
              <w:rPr>
                <w:sz w:val="9"/>
                <w:szCs w:val="9"/>
                <w:color w:val="auto"/>
              </w:rPr>
            </w:pPr>
          </w:p>
        </w:tc>
        <w:tc>
          <w:tcPr>
            <w:tcW w:w="1820" w:type="dxa"/>
            <w:vAlign w:val="bottom"/>
            <w:shd w:val="clear" w:color="auto" w:fill="E5FFFF"/>
          </w:tcPr>
          <w:p>
            <w:pPr>
              <w:spacing w:after="0"/>
              <w:rPr>
                <w:sz w:val="9"/>
                <w:szCs w:val="9"/>
                <w:color w:val="auto"/>
              </w:rPr>
            </w:pPr>
          </w:p>
        </w:tc>
        <w:tc>
          <w:tcPr>
            <w:tcW w:w="280" w:type="dxa"/>
            <w:vAlign w:val="bottom"/>
            <w:shd w:val="clear" w:color="auto" w:fill="E5FFFF"/>
          </w:tcPr>
          <w:p>
            <w:pPr>
              <w:spacing w:after="0"/>
              <w:rPr>
                <w:sz w:val="9"/>
                <w:szCs w:val="9"/>
                <w:color w:val="auto"/>
              </w:rPr>
            </w:pPr>
          </w:p>
        </w:tc>
        <w:tc>
          <w:tcPr>
            <w:tcW w:w="184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r>
      <w:tr>
        <w:trPr>
          <w:trHeight w:val="149"/>
        </w:trPr>
        <w:tc>
          <w:tcPr>
            <w:tcW w:w="3160" w:type="dxa"/>
            <w:vAlign w:val="bottom"/>
            <w:shd w:val="clear" w:color="auto" w:fill="E5FFFF"/>
          </w:tcPr>
          <w:p>
            <w:pPr>
              <w:ind w:left="180"/>
              <w:spacing w:after="0" w:line="149" w:lineRule="exact"/>
              <w:rPr>
                <w:sz w:val="20"/>
                <w:szCs w:val="20"/>
                <w:color w:val="auto"/>
              </w:rPr>
            </w:pPr>
            <w:r>
              <w:rPr>
                <w:rFonts w:ascii="Arial" w:cs="Arial" w:eastAsia="Arial" w:hAnsi="Arial"/>
                <w:sz w:val="14"/>
                <w:szCs w:val="14"/>
                <w:color w:val="auto"/>
              </w:rPr>
              <w:t>fees and lease expense) and realized loss on</w:t>
            </w:r>
          </w:p>
        </w:tc>
        <w:tc>
          <w:tcPr>
            <w:tcW w:w="184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82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82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8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r>
      <w:tr>
        <w:trPr>
          <w:trHeight w:val="167"/>
        </w:trPr>
        <w:tc>
          <w:tcPr>
            <w:tcW w:w="3160" w:type="dxa"/>
            <w:vAlign w:val="bottom"/>
            <w:shd w:val="clear" w:color="auto" w:fill="E5FFFF"/>
          </w:tcPr>
          <w:p>
            <w:pPr>
              <w:ind w:left="180"/>
              <w:spacing w:after="0"/>
              <w:rPr>
                <w:sz w:val="20"/>
                <w:szCs w:val="20"/>
                <w:color w:val="auto"/>
              </w:rPr>
            </w:pPr>
            <w:r>
              <w:rPr>
                <w:rFonts w:ascii="Arial" w:cs="Arial" w:eastAsia="Arial" w:hAnsi="Arial"/>
                <w:sz w:val="14"/>
                <w:szCs w:val="14"/>
                <w:color w:val="auto"/>
              </w:rPr>
              <w:t>derivatives</w:t>
            </w:r>
          </w:p>
        </w:tc>
        <w:tc>
          <w:tcPr>
            <w:tcW w:w="2120" w:type="dxa"/>
            <w:vAlign w:val="bottom"/>
            <w:gridSpan w:val="2"/>
            <w:shd w:val="clear" w:color="auto" w:fill="E5FFFF"/>
          </w:tcPr>
          <w:p>
            <w:pPr>
              <w:jc w:val="right"/>
              <w:ind w:right="240"/>
              <w:spacing w:after="0"/>
              <w:rPr>
                <w:sz w:val="20"/>
                <w:szCs w:val="20"/>
                <w:color w:val="auto"/>
              </w:rPr>
            </w:pPr>
            <w:r>
              <w:rPr>
                <w:rFonts w:ascii="Arial" w:cs="Arial" w:eastAsia="Arial" w:hAnsi="Arial"/>
                <w:sz w:val="14"/>
                <w:szCs w:val="14"/>
                <w:color w:val="auto"/>
              </w:rPr>
              <w:t>(14,667)</w:t>
            </w:r>
          </w:p>
        </w:tc>
        <w:tc>
          <w:tcPr>
            <w:tcW w:w="2100" w:type="dxa"/>
            <w:vAlign w:val="bottom"/>
            <w:gridSpan w:val="2"/>
            <w:shd w:val="clear" w:color="auto" w:fill="E5FFFF"/>
          </w:tcPr>
          <w:p>
            <w:pPr>
              <w:jc w:val="right"/>
              <w:ind w:right="240"/>
              <w:spacing w:after="0"/>
              <w:rPr>
                <w:sz w:val="20"/>
                <w:szCs w:val="20"/>
                <w:color w:val="auto"/>
              </w:rPr>
            </w:pPr>
            <w:r>
              <w:rPr>
                <w:rFonts w:ascii="Arial" w:cs="Arial" w:eastAsia="Arial" w:hAnsi="Arial"/>
                <w:sz w:val="14"/>
                <w:szCs w:val="14"/>
                <w:color w:val="auto"/>
              </w:rPr>
              <w:t>(15,036)</w:t>
            </w:r>
          </w:p>
        </w:tc>
        <w:tc>
          <w:tcPr>
            <w:tcW w:w="2100" w:type="dxa"/>
            <w:vAlign w:val="bottom"/>
            <w:gridSpan w:val="2"/>
            <w:shd w:val="clear" w:color="auto" w:fill="E5FFFF"/>
          </w:tcPr>
          <w:p>
            <w:pPr>
              <w:jc w:val="right"/>
              <w:ind w:right="220"/>
              <w:spacing w:after="0"/>
              <w:rPr>
                <w:sz w:val="20"/>
                <w:szCs w:val="20"/>
                <w:color w:val="auto"/>
              </w:rPr>
            </w:pPr>
            <w:r>
              <w:rPr>
                <w:rFonts w:ascii="Arial" w:cs="Arial" w:eastAsia="Arial" w:hAnsi="Arial"/>
                <w:sz w:val="14"/>
                <w:szCs w:val="14"/>
                <w:color w:val="auto"/>
              </w:rPr>
              <w:t>(52,876)</w:t>
            </w:r>
          </w:p>
        </w:tc>
        <w:tc>
          <w:tcPr>
            <w:tcW w:w="194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(62,507)</w:t>
            </w: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 xml:space="preserve">Dry-docking capital reserve </w:t>
            </w:r>
            <w:r>
              <w:rPr>
                <w:rFonts w:ascii="Arial" w:cs="Arial" w:eastAsia="Arial" w:hAnsi="Arial"/>
                <w:sz w:val="17"/>
                <w:szCs w:val="17"/>
                <w:color w:val="auto"/>
                <w:vertAlign w:val="superscript"/>
              </w:rPr>
              <w:t>(2)</w:t>
            </w:r>
          </w:p>
        </w:tc>
        <w:tc>
          <w:tcPr>
            <w:tcW w:w="2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(3,675)</w:t>
            </w:r>
          </w:p>
        </w:tc>
        <w:tc>
          <w:tcPr>
            <w:tcW w:w="2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(4,170)</w:t>
            </w:r>
          </w:p>
        </w:tc>
        <w:tc>
          <w:tcPr>
            <w:tcW w:w="2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(13,890)</w:t>
            </w:r>
          </w:p>
        </w:tc>
        <w:tc>
          <w:tcPr>
            <w:tcW w:w="1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(16,392)</w:t>
            </w:r>
          </w:p>
        </w:tc>
      </w:tr>
      <w:tr>
        <w:trPr>
          <w:trHeight w:val="149"/>
        </w:trPr>
        <w:tc>
          <w:tcPr>
            <w:tcW w:w="31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 xml:space="preserve">Replacement capital reserve </w:t>
            </w:r>
            <w:r>
              <w:rPr>
                <w:rFonts w:ascii="Arial" w:cs="Arial" w:eastAsia="Arial" w:hAnsi="Arial"/>
                <w:sz w:val="17"/>
                <w:szCs w:val="17"/>
                <w:color w:val="auto"/>
                <w:vertAlign w:val="superscript"/>
              </w:rPr>
              <w:t>(2)</w:t>
            </w:r>
          </w:p>
        </w:tc>
        <w:tc>
          <w:tcPr>
            <w:tcW w:w="2120" w:type="dxa"/>
            <w:vAlign w:val="bottom"/>
            <w:gridSpan w:val="2"/>
            <w:shd w:val="clear" w:color="auto" w:fill="E5FFFF"/>
          </w:tcPr>
          <w:p>
            <w:pPr>
              <w:jc w:val="right"/>
              <w:ind w:right="240"/>
              <w:spacing w:after="0" w:line="149" w:lineRule="exact"/>
              <w:rPr>
                <w:sz w:val="20"/>
                <w:szCs w:val="20"/>
                <w:color w:val="auto"/>
              </w:rPr>
            </w:pPr>
            <w:r>
              <w:rPr>
                <w:rFonts w:ascii="Arial" w:cs="Arial" w:eastAsia="Arial" w:hAnsi="Arial"/>
                <w:sz w:val="14"/>
                <w:szCs w:val="14"/>
                <w:color w:val="auto"/>
              </w:rPr>
              <w:t>(9,430)</w:t>
            </w:r>
          </w:p>
        </w:tc>
        <w:tc>
          <w:tcPr>
            <w:tcW w:w="2100" w:type="dxa"/>
            <w:vAlign w:val="bottom"/>
            <w:gridSpan w:val="2"/>
            <w:shd w:val="clear" w:color="auto" w:fill="E5FFFF"/>
          </w:tcPr>
          <w:p>
            <w:pPr>
              <w:jc w:val="right"/>
              <w:ind w:right="240"/>
              <w:spacing w:after="0" w:line="149" w:lineRule="exact"/>
              <w:rPr>
                <w:sz w:val="20"/>
                <w:szCs w:val="20"/>
                <w:color w:val="auto"/>
              </w:rPr>
            </w:pPr>
            <w:r>
              <w:rPr>
                <w:rFonts w:ascii="Arial" w:cs="Arial" w:eastAsia="Arial" w:hAnsi="Arial"/>
                <w:sz w:val="14"/>
                <w:szCs w:val="14"/>
                <w:color w:val="auto"/>
              </w:rPr>
              <w:t>(9,686)</w:t>
            </w:r>
          </w:p>
        </w:tc>
        <w:tc>
          <w:tcPr>
            <w:tcW w:w="210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(35,450)</w:t>
            </w:r>
          </w:p>
        </w:tc>
        <w:tc>
          <w:tcPr>
            <w:tcW w:w="194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(38,103)</w:t>
            </w: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Paid and accrued preferred equity distribution</w:t>
            </w:r>
          </w:p>
        </w:tc>
        <w:tc>
          <w:tcPr>
            <w:tcW w:w="2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(6,543)</w:t>
            </w:r>
          </w:p>
        </w:tc>
        <w:tc>
          <w:tcPr>
            <w:tcW w:w="2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(7,582)</w:t>
            </w:r>
          </w:p>
        </w:tc>
        <w:tc>
          <w:tcPr>
            <w:tcW w:w="2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(22,495</w:t>
            </w:r>
            <w:r>
              <w:rPr>
                <w:rFonts w:ascii="Arial" w:cs="Arial" w:eastAsia="Arial" w:hAnsi="Arial"/>
                <w:sz w:val="14"/>
                <w:szCs w:val="14"/>
                <w:b w:val="1"/>
                <w:bCs w:val="1"/>
                <w:color w:val="auto"/>
              </w:rPr>
              <w:t>)</w:t>
            </w:r>
          </w:p>
        </w:tc>
        <w:tc>
          <w:tcPr>
            <w:tcW w:w="1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(30,328)</w:t>
            </w:r>
          </w:p>
        </w:tc>
      </w:tr>
      <w:tr>
        <w:trPr>
          <w:trHeight w:val="142"/>
        </w:trPr>
        <w:tc>
          <w:tcPr>
            <w:tcW w:w="3160" w:type="dxa"/>
            <w:vAlign w:val="bottom"/>
            <w:tcBorders>
              <w:top w:val="single" w:sz="8" w:color="E5FFFF"/>
            </w:tcBorders>
            <w:shd w:val="clear" w:color="auto" w:fill="E5FFFF"/>
          </w:tcPr>
          <w:p>
            <w:pPr>
              <w:spacing w:after="0" w:line="142" w:lineRule="exact"/>
              <w:rPr>
                <w:sz w:val="20"/>
                <w:szCs w:val="20"/>
                <w:color w:val="auto"/>
              </w:rPr>
            </w:pPr>
            <w:r>
              <w:rPr>
                <w:rFonts w:ascii="Arial" w:cs="Arial" w:eastAsia="Arial" w:hAnsi="Arial"/>
                <w:sz w:val="14"/>
                <w:szCs w:val="14"/>
                <w:b w:val="1"/>
                <w:bCs w:val="1"/>
                <w:color w:val="auto"/>
              </w:rPr>
              <w:t>Distributable cash flow</w:t>
            </w:r>
          </w:p>
        </w:tc>
        <w:tc>
          <w:tcPr>
            <w:tcW w:w="18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31,401</w:t>
            </w:r>
          </w:p>
        </w:tc>
        <w:tc>
          <w:tcPr>
            <w:tcW w:w="280" w:type="dxa"/>
            <w:vAlign w:val="bottom"/>
            <w:tcBorders>
              <w:top w:val="single" w:sz="8" w:color="E5FFFF"/>
            </w:tcBorders>
            <w:shd w:val="clear" w:color="auto" w:fill="E5FFFF"/>
          </w:tcPr>
          <w:p>
            <w:pPr>
              <w:spacing w:after="0"/>
              <w:rPr>
                <w:sz w:val="12"/>
                <w:szCs w:val="12"/>
                <w:color w:val="auto"/>
              </w:rPr>
            </w:pPr>
          </w:p>
        </w:tc>
        <w:tc>
          <w:tcPr>
            <w:tcW w:w="182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31,781</w:t>
            </w:r>
          </w:p>
        </w:tc>
        <w:tc>
          <w:tcPr>
            <w:tcW w:w="280" w:type="dxa"/>
            <w:vAlign w:val="bottom"/>
            <w:tcBorders>
              <w:top w:val="single" w:sz="8" w:color="E5FFFF"/>
            </w:tcBorders>
            <w:shd w:val="clear" w:color="auto" w:fill="E5FFFF"/>
          </w:tcPr>
          <w:p>
            <w:pPr>
              <w:spacing w:after="0"/>
              <w:rPr>
                <w:sz w:val="12"/>
                <w:szCs w:val="12"/>
                <w:color w:val="auto"/>
              </w:rPr>
            </w:pPr>
          </w:p>
        </w:tc>
        <w:tc>
          <w:tcPr>
            <w:tcW w:w="182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108,945</w:t>
            </w:r>
          </w:p>
        </w:tc>
        <w:tc>
          <w:tcPr>
            <w:tcW w:w="280" w:type="dxa"/>
            <w:vAlign w:val="bottom"/>
            <w:tcBorders>
              <w:top w:val="single" w:sz="8" w:color="E5FFFF"/>
            </w:tcBorders>
            <w:shd w:val="clear" w:color="auto" w:fill="E5FFFF"/>
          </w:tcPr>
          <w:p>
            <w:pPr>
              <w:spacing w:after="0"/>
              <w:rPr>
                <w:sz w:val="12"/>
                <w:szCs w:val="12"/>
                <w:color w:val="auto"/>
              </w:rPr>
            </w:pPr>
          </w:p>
        </w:tc>
        <w:tc>
          <w:tcPr>
            <w:tcW w:w="18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123,108</w:t>
            </w:r>
          </w:p>
        </w:tc>
        <w:tc>
          <w:tcPr>
            <w:tcW w:w="100" w:type="dxa"/>
            <w:vAlign w:val="bottom"/>
            <w:tcBorders>
              <w:top w:val="single" w:sz="8" w:color="E5FFFF"/>
            </w:tcBorders>
            <w:shd w:val="clear" w:color="auto" w:fill="E5FFFF"/>
          </w:tcPr>
          <w:p>
            <w:pPr>
              <w:spacing w:after="0"/>
              <w:rPr>
                <w:sz w:val="12"/>
                <w:szCs w:val="12"/>
                <w:color w:val="auto"/>
              </w:rPr>
            </w:pPr>
          </w:p>
        </w:tc>
      </w:tr>
      <w:tr>
        <w:trPr>
          <w:trHeight w:val="142"/>
        </w:trPr>
        <w:tc>
          <w:tcPr>
            <w:tcW w:w="3160" w:type="dxa"/>
            <w:vAlign w:val="bottom"/>
            <w:tcBorders>
              <w:bottom w:val="single" w:sz="8" w:color="E5FFFF"/>
            </w:tcBorders>
          </w:tcPr>
          <w:p>
            <w:pPr>
              <w:spacing w:after="0" w:line="142" w:lineRule="exact"/>
              <w:rPr>
                <w:sz w:val="20"/>
                <w:szCs w:val="20"/>
                <w:color w:val="auto"/>
              </w:rPr>
            </w:pPr>
            <w:r>
              <w:rPr>
                <w:rFonts w:ascii="Arial" w:cs="Arial" w:eastAsia="Arial" w:hAnsi="Arial"/>
                <w:sz w:val="14"/>
                <w:szCs w:val="14"/>
                <w:color w:val="auto"/>
              </w:rPr>
              <w:t xml:space="preserve">Other reserves </w:t>
            </w:r>
            <w:r>
              <w:rPr>
                <w:rFonts w:ascii="Arial" w:cs="Arial" w:eastAsia="Arial" w:hAnsi="Arial"/>
                <w:sz w:val="16"/>
                <w:szCs w:val="16"/>
                <w:color w:val="auto"/>
                <w:vertAlign w:val="superscript"/>
              </w:rPr>
              <w:t>(3)</w:t>
            </w:r>
          </w:p>
        </w:tc>
        <w:tc>
          <w:tcPr>
            <w:tcW w:w="1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(4,472)</w:t>
            </w:r>
          </w:p>
        </w:tc>
        <w:tc>
          <w:tcPr>
            <w:tcW w:w="280" w:type="dxa"/>
            <w:vAlign w:val="bottom"/>
            <w:tcBorders>
              <w:bottom w:val="single" w:sz="8" w:color="E5FFFF"/>
            </w:tcBorders>
          </w:tcPr>
          <w:p>
            <w:pPr>
              <w:spacing w:after="0"/>
              <w:rPr>
                <w:sz w:val="12"/>
                <w:szCs w:val="12"/>
                <w:color w:val="auto"/>
              </w:rPr>
            </w:pPr>
          </w:p>
        </w:tc>
        <w:tc>
          <w:tcPr>
            <w:tcW w:w="1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(4,919)</w:t>
            </w:r>
          </w:p>
        </w:tc>
        <w:tc>
          <w:tcPr>
            <w:tcW w:w="280" w:type="dxa"/>
            <w:vAlign w:val="bottom"/>
            <w:tcBorders>
              <w:bottom w:val="single" w:sz="8" w:color="E5FFFF"/>
            </w:tcBorders>
          </w:tcPr>
          <w:p>
            <w:pPr>
              <w:spacing w:after="0"/>
              <w:rPr>
                <w:sz w:val="12"/>
                <w:szCs w:val="12"/>
                <w:color w:val="auto"/>
              </w:rPr>
            </w:pPr>
          </w:p>
        </w:tc>
        <w:tc>
          <w:tcPr>
            <w:tcW w:w="1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(7,756)</w:t>
            </w:r>
          </w:p>
        </w:tc>
        <w:tc>
          <w:tcPr>
            <w:tcW w:w="280" w:type="dxa"/>
            <w:vAlign w:val="bottom"/>
            <w:tcBorders>
              <w:bottom w:val="single" w:sz="8" w:color="E5FFFF"/>
            </w:tcBorders>
          </w:tcPr>
          <w:p>
            <w:pPr>
              <w:spacing w:after="0"/>
              <w:rPr>
                <w:sz w:val="12"/>
                <w:szCs w:val="12"/>
                <w:color w:val="auto"/>
              </w:rPr>
            </w:pPr>
          </w:p>
        </w:tc>
        <w:tc>
          <w:tcPr>
            <w:tcW w:w="1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(16,258)</w:t>
            </w:r>
          </w:p>
        </w:tc>
        <w:tc>
          <w:tcPr>
            <w:tcW w:w="100" w:type="dxa"/>
            <w:vAlign w:val="bottom"/>
            <w:tcBorders>
              <w:bottom w:val="single" w:sz="8" w:color="E5FFFF"/>
            </w:tcBorders>
          </w:tcPr>
          <w:p>
            <w:pPr>
              <w:spacing w:after="0"/>
              <w:rPr>
                <w:sz w:val="12"/>
                <w:szCs w:val="12"/>
                <w:color w:val="auto"/>
              </w:rPr>
            </w:pPr>
          </w:p>
        </w:tc>
      </w:tr>
      <w:tr>
        <w:trPr>
          <w:trHeight w:val="142"/>
        </w:trPr>
        <w:tc>
          <w:tcPr>
            <w:tcW w:w="3160" w:type="dxa"/>
            <w:vAlign w:val="bottom"/>
            <w:tcBorders>
              <w:bottom w:val="single" w:sz="8" w:color="E5FFFF"/>
            </w:tcBorders>
            <w:shd w:val="clear" w:color="auto" w:fill="E5FFFF"/>
          </w:tcPr>
          <w:p>
            <w:pPr>
              <w:spacing w:after="0" w:line="142" w:lineRule="exact"/>
              <w:rPr>
                <w:sz w:val="20"/>
                <w:szCs w:val="20"/>
                <w:color w:val="auto"/>
              </w:rPr>
            </w:pPr>
            <w:r>
              <w:rPr>
                <w:rFonts w:ascii="Arial" w:cs="Arial" w:eastAsia="Arial" w:hAnsi="Arial"/>
                <w:sz w:val="14"/>
                <w:szCs w:val="14"/>
                <w:b w:val="1"/>
                <w:bCs w:val="1"/>
                <w:color w:val="auto"/>
              </w:rPr>
              <w:t>Cash distribution declared</w:t>
            </w:r>
          </w:p>
        </w:tc>
        <w:tc>
          <w:tcPr>
            <w:tcW w:w="184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26,929</w:t>
            </w:r>
          </w:p>
        </w:tc>
        <w:tc>
          <w:tcPr>
            <w:tcW w:w="280" w:type="dxa"/>
            <w:vAlign w:val="bottom"/>
            <w:tcBorders>
              <w:bottom w:val="single" w:sz="8" w:color="E5FFFF"/>
            </w:tcBorders>
            <w:shd w:val="clear" w:color="auto" w:fill="E5FFFF"/>
          </w:tcPr>
          <w:p>
            <w:pPr>
              <w:spacing w:after="0"/>
              <w:rPr>
                <w:sz w:val="12"/>
                <w:szCs w:val="12"/>
                <w:color w:val="auto"/>
              </w:rPr>
            </w:pPr>
          </w:p>
        </w:tc>
        <w:tc>
          <w:tcPr>
            <w:tcW w:w="182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26,862</w:t>
            </w:r>
          </w:p>
        </w:tc>
        <w:tc>
          <w:tcPr>
            <w:tcW w:w="280" w:type="dxa"/>
            <w:vAlign w:val="bottom"/>
            <w:tcBorders>
              <w:bottom w:val="single" w:sz="8" w:color="E5FFFF"/>
            </w:tcBorders>
            <w:shd w:val="clear" w:color="auto" w:fill="E5FFFF"/>
          </w:tcPr>
          <w:p>
            <w:pPr>
              <w:spacing w:after="0"/>
              <w:rPr>
                <w:sz w:val="12"/>
                <w:szCs w:val="12"/>
                <w:color w:val="auto"/>
              </w:rPr>
            </w:pPr>
          </w:p>
        </w:tc>
        <w:tc>
          <w:tcPr>
            <w:tcW w:w="182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101,189</w:t>
            </w:r>
          </w:p>
        </w:tc>
        <w:tc>
          <w:tcPr>
            <w:tcW w:w="280" w:type="dxa"/>
            <w:vAlign w:val="bottom"/>
            <w:tcBorders>
              <w:bottom w:val="single" w:sz="8" w:color="E5FFFF"/>
            </w:tcBorders>
            <w:shd w:val="clear" w:color="auto" w:fill="E5FFFF"/>
          </w:tcPr>
          <w:p>
            <w:pPr>
              <w:spacing w:after="0"/>
              <w:rPr>
                <w:sz w:val="12"/>
                <w:szCs w:val="12"/>
                <w:color w:val="auto"/>
              </w:rPr>
            </w:pPr>
          </w:p>
        </w:tc>
        <w:tc>
          <w:tcPr>
            <w:tcW w:w="1840" w:type="dxa"/>
            <w:vAlign w:val="bottom"/>
            <w:tcBorders>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106,850</w:t>
            </w:r>
          </w:p>
        </w:tc>
        <w:tc>
          <w:tcPr>
            <w:tcW w:w="100" w:type="dxa"/>
            <w:vAlign w:val="bottom"/>
            <w:tcBorders>
              <w:bottom w:val="single" w:sz="8" w:color="E5FFFF"/>
            </w:tcBorders>
            <w:shd w:val="clear" w:color="auto" w:fill="E5FFFF"/>
          </w:tcPr>
          <w:p>
            <w:pPr>
              <w:spacing w:after="0"/>
              <w:rPr>
                <w:sz w:val="12"/>
                <w:szCs w:val="12"/>
                <w:color w:val="auto"/>
              </w:rPr>
            </w:pPr>
          </w:p>
        </w:tc>
      </w:tr>
      <w:tr>
        <w:trPr>
          <w:trHeight w:val="20"/>
        </w:trPr>
        <w:tc>
          <w:tcPr>
            <w:tcW w:w="31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7" w:lineRule="exact"/>
        <w:rPr>
          <w:sz w:val="20"/>
          <w:szCs w:val="20"/>
          <w:color w:val="auto"/>
        </w:rPr>
      </w:pPr>
    </w:p>
    <w:p>
      <w:pPr>
        <w:ind w:left="340" w:right="40" w:hanging="332"/>
        <w:spacing w:after="0" w:line="251" w:lineRule="auto"/>
        <w:tabs>
          <w:tab w:leader="none" w:pos="331"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 xml:space="preserve">Excludes amounts related to GAS-fourteen Ltd., the owner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GAS-twenty seven Ltd., the owner of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and GAS-twelve Ltd., the owner of the </w:t>
      </w:r>
      <w:r>
        <w:rPr>
          <w:rFonts w:ascii="Arial" w:cs="Arial" w:eastAsia="Arial" w:hAnsi="Arial"/>
          <w:sz w:val="16"/>
          <w:szCs w:val="16"/>
          <w:i w:val="1"/>
          <w:iCs w:val="1"/>
          <w:color w:val="auto"/>
        </w:rPr>
        <w:t>GasLog Glasgow</w:t>
      </w:r>
      <w:r>
        <w:rPr>
          <w:rFonts w:ascii="Arial" w:cs="Arial" w:eastAsia="Arial" w:hAnsi="Arial"/>
          <w:sz w:val="16"/>
          <w:szCs w:val="16"/>
          <w:color w:val="auto"/>
        </w:rPr>
        <w:t>, for the periods prior to their transfers to the Partnership on April 26, 2018, November 14, 2018 and April 1, 2019, respectively. While such amounts are reflected in the Partnership’s unaudited condensed consolidated financial statements because the transfers to the Partnership were accounted for as reorganizations of entities under common control under IFRS, GAS-fourteen Ltd., GAS-twenty seven Ltd. and GAS-twelve Ltd. were not owned by the Partnership prior to their respective transfers to the Partnership on April 26, 2018, November 14, 2018 and April 1, 2019, respectively, and accordingly the Partnership was not entitled to the cash or results generated in the period prior to such transfers.</w:t>
      </w:r>
    </w:p>
    <w:p>
      <w:pPr>
        <w:spacing w:after="0" w:line="137" w:lineRule="exact"/>
        <w:rPr>
          <w:rFonts w:ascii="Arial" w:cs="Arial" w:eastAsia="Arial" w:hAnsi="Arial"/>
          <w:sz w:val="22"/>
          <w:szCs w:val="22"/>
          <w:color w:val="auto"/>
          <w:vertAlign w:val="superscript"/>
        </w:rPr>
      </w:pPr>
    </w:p>
    <w:p>
      <w:pPr>
        <w:ind w:left="340" w:right="20" w:hanging="332"/>
        <w:spacing w:after="0" w:line="224" w:lineRule="auto"/>
        <w:tabs>
          <w:tab w:leader="none" w:pos="331"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Effective January 1, 2019, the Partnership revised the assumed re-investment rate used in calculating the dry-docking capital reserve and the replacement capital reserve to reflect the upward movement of the London Interbank Offered Rate (“LIBOR”) rates.</w:t>
      </w:r>
    </w:p>
    <w:p>
      <w:pPr>
        <w:spacing w:after="0" w:line="145" w:lineRule="exact"/>
        <w:rPr>
          <w:rFonts w:ascii="Arial" w:cs="Arial" w:eastAsia="Arial" w:hAnsi="Arial"/>
          <w:sz w:val="22"/>
          <w:szCs w:val="22"/>
          <w:color w:val="auto"/>
          <w:vertAlign w:val="superscript"/>
        </w:rPr>
      </w:pPr>
    </w:p>
    <w:p>
      <w:pPr>
        <w:ind w:left="340" w:right="800" w:hanging="332"/>
        <w:spacing w:after="0" w:line="224" w:lineRule="auto"/>
        <w:tabs>
          <w:tab w:leader="none" w:pos="331"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Refers to movements in reserves (other than the dry-docking and replacement capital reserves) for the proper conduct of the business of the Partnership and its subsidiaries.</w:t>
      </w:r>
    </w:p>
    <w:p>
      <w:pPr>
        <w:spacing w:after="0" w:line="145" w:lineRule="exact"/>
        <w:rPr>
          <w:rFonts w:ascii="Arial" w:cs="Arial" w:eastAsia="Arial" w:hAnsi="Arial"/>
          <w:sz w:val="22"/>
          <w:szCs w:val="22"/>
          <w:color w:val="auto"/>
          <w:vertAlign w:val="superscript"/>
        </w:rPr>
      </w:pPr>
    </w:p>
    <w:p>
      <w:pPr>
        <w:ind w:left="340" w:right="60" w:hanging="332"/>
        <w:spacing w:after="0" w:line="243" w:lineRule="auto"/>
        <w:tabs>
          <w:tab w:leader="none" w:pos="331"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For the three months ended December 31, 2019, the cash distributions declared and the other reserves have been calculated based on the number of units issued and outstanding as of December 31, 2019. Despite the increase in the declared distribution per unit, the marginal decrease in total cash distributions in absolute terms declared in the fourth quarter of 2019 as compared to the fourth quarter of 2018 is due to the decrease in the number of outstanding common units due to the repurchases of common units by GasLog Partners during 2019.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2020-02-06T05:49:35Z</dcterms:created>
  <dcterms:modified xsi:type="dcterms:W3CDTF">2020-02-06T05:49:35Z</dcterms:modified>
</cp:coreProperties>
</file>