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210185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20-F/A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ind w:left="460"/>
        <w:spacing w:after="0"/>
        <w:rPr>
          <w:sz w:val="20"/>
          <w:szCs w:val="20"/>
          <w:color w:val="auto"/>
        </w:rPr>
      </w:pPr>
      <w:r>
        <w:rPr>
          <w:rFonts w:ascii="Arial" w:cs="Arial" w:eastAsia="Arial" w:hAnsi="Arial"/>
          <w:sz w:val="13"/>
          <w:szCs w:val="13"/>
          <w:b w:val="1"/>
          <w:bCs w:val="1"/>
          <w:color w:val="auto"/>
        </w:rPr>
        <w:t>(Mark One)</w:t>
      </w:r>
    </w:p>
    <w:p>
      <w:pPr>
        <w:ind w:left="1540" w:hanging="794"/>
        <w:spacing w:after="0" w:line="216" w:lineRule="auto"/>
        <w:tabs>
          <w:tab w:leader="none" w:pos="154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REGISTRATION STATEMENT PURSUANT TO SECTION 12(b) OR (g) OF THE SECURITIES EXCHANGE ACT OF 1934</w:t>
      </w:r>
    </w:p>
    <w:p>
      <w:pPr>
        <w:ind w:left="1540" w:right="3540" w:hanging="794"/>
        <w:spacing w:after="0" w:line="216" w:lineRule="auto"/>
        <w:tabs>
          <w:tab w:leader="none" w:pos="1540" w:val="left"/>
        </w:tabs>
        <w:numPr>
          <w:ilvl w:val="0"/>
          <w:numId w:val="2"/>
        </w:numPr>
        <w:rPr>
          <w:rFonts w:ascii="Arial" w:cs="Arial" w:eastAsia="Arial" w:hAnsi="Arial"/>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2019</w:t>
      </w:r>
    </w:p>
    <w:p>
      <w:pPr>
        <w:ind w:left="1540" w:hanging="794"/>
        <w:spacing w:after="0" w:line="218" w:lineRule="auto"/>
        <w:tabs>
          <w:tab w:leader="none" w:pos="154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ind w:left="1540" w:hanging="794"/>
        <w:spacing w:after="0"/>
        <w:tabs>
          <w:tab w:leader="none" w:pos="154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199390</wp:posOffset>
            </wp:positionV>
            <wp:extent cx="180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5060"/>
        <w:spacing w:after="0"/>
        <w:rPr>
          <w:sz w:val="20"/>
          <w:szCs w:val="20"/>
          <w:color w:val="auto"/>
        </w:rPr>
      </w:pPr>
      <w:r>
        <w:rPr>
          <w:rFonts w:ascii="Arial" w:cs="Arial" w:eastAsia="Arial" w:hAnsi="Arial"/>
          <w:sz w:val="13"/>
          <w:szCs w:val="13"/>
          <w:b w:val="1"/>
          <w:bCs w:val="1"/>
          <w:color w:val="auto"/>
        </w:rPr>
        <w:t>GasLog Partners LP</w:t>
      </w:r>
    </w:p>
    <w:p>
      <w:pPr>
        <w:ind w:left="4300"/>
        <w:spacing w:after="0" w:line="216" w:lineRule="auto"/>
        <w:rPr>
          <w:sz w:val="20"/>
          <w:szCs w:val="20"/>
          <w:color w:val="auto"/>
        </w:rPr>
      </w:pPr>
      <w:r>
        <w:rPr>
          <w:rFonts w:ascii="Arial" w:cs="Arial" w:eastAsia="Arial" w:hAnsi="Arial"/>
          <w:sz w:val="13"/>
          <w:szCs w:val="13"/>
          <w:color w:val="auto"/>
        </w:rPr>
        <w:t>(Exact name of Registrant as specified in its charter)</w:t>
      </w:r>
    </w:p>
    <w:p>
      <w:pPr>
        <w:ind w:left="5240"/>
        <w:spacing w:after="0" w:line="217" w:lineRule="auto"/>
        <w:rPr>
          <w:sz w:val="20"/>
          <w:szCs w:val="20"/>
          <w:color w:val="auto"/>
        </w:rPr>
      </w:pPr>
      <w:r>
        <w:rPr>
          <w:rFonts w:ascii="Arial" w:cs="Arial" w:eastAsia="Arial" w:hAnsi="Arial"/>
          <w:sz w:val="13"/>
          <w:szCs w:val="13"/>
          <w:color w:val="auto"/>
        </w:rPr>
        <w:t>Not Applicable</w:t>
      </w:r>
    </w:p>
    <w:p>
      <w:pPr>
        <w:ind w:left="4360"/>
        <w:spacing w:after="0" w:line="217" w:lineRule="auto"/>
        <w:rPr>
          <w:sz w:val="20"/>
          <w:szCs w:val="20"/>
          <w:color w:val="auto"/>
        </w:rPr>
      </w:pPr>
      <w:r>
        <w:rPr>
          <w:rFonts w:ascii="Arial" w:cs="Arial" w:eastAsia="Arial" w:hAnsi="Arial"/>
          <w:sz w:val="13"/>
          <w:szCs w:val="13"/>
          <w:b w:val="1"/>
          <w:bCs w:val="1"/>
          <w:color w:val="auto"/>
        </w:rPr>
        <w:t>(Translation of Registrant’s name into English)</w:t>
      </w:r>
    </w:p>
    <w:p>
      <w:pPr>
        <w:ind w:left="4800"/>
        <w:spacing w:after="0" w:line="216" w:lineRule="auto"/>
        <w:rPr>
          <w:sz w:val="20"/>
          <w:szCs w:val="20"/>
          <w:color w:val="auto"/>
        </w:rPr>
      </w:pPr>
      <w:r>
        <w:rPr>
          <w:rFonts w:ascii="Arial" w:cs="Arial" w:eastAsia="Arial" w:hAnsi="Arial"/>
          <w:sz w:val="13"/>
          <w:szCs w:val="13"/>
          <w:color w:val="auto"/>
        </w:rPr>
        <w:t>Republic of the Marshall Islands</w:t>
      </w:r>
    </w:p>
    <w:p>
      <w:pPr>
        <w:ind w:left="4380"/>
        <w:spacing w:after="0" w:line="217" w:lineRule="auto"/>
        <w:rPr>
          <w:sz w:val="20"/>
          <w:szCs w:val="20"/>
          <w:color w:val="auto"/>
        </w:rPr>
      </w:pPr>
      <w:r>
        <w:rPr>
          <w:rFonts w:ascii="Arial" w:cs="Arial" w:eastAsia="Arial" w:hAnsi="Arial"/>
          <w:sz w:val="13"/>
          <w:szCs w:val="13"/>
          <w:b w:val="1"/>
          <w:bCs w:val="1"/>
          <w:color w:val="auto"/>
        </w:rPr>
        <w:t>(Jurisdiction of incorporation or organization)</w:t>
      </w:r>
    </w:p>
    <w:p>
      <w:pPr>
        <w:ind w:left="3860"/>
        <w:spacing w:after="0" w:line="217" w:lineRule="auto"/>
        <w:rPr>
          <w:sz w:val="20"/>
          <w:szCs w:val="20"/>
          <w:color w:val="auto"/>
        </w:rPr>
      </w:pPr>
      <w:r>
        <w:rPr>
          <w:rFonts w:ascii="Arial" w:cs="Arial" w:eastAsia="Arial" w:hAnsi="Arial"/>
          <w:sz w:val="13"/>
          <w:szCs w:val="13"/>
          <w:color w:val="auto"/>
        </w:rPr>
        <w:t>c/o GasLog LNG Services Ltd 69 Akti Miaouli 18537 Piraeus Greece</w:t>
      </w:r>
    </w:p>
    <w:p>
      <w:pPr>
        <w:ind w:left="4580"/>
        <w:spacing w:after="0" w:line="217" w:lineRule="auto"/>
        <w:rPr>
          <w:sz w:val="20"/>
          <w:szCs w:val="20"/>
          <w:color w:val="auto"/>
        </w:rPr>
      </w:pPr>
      <w:r>
        <w:rPr>
          <w:rFonts w:ascii="Arial" w:cs="Arial" w:eastAsia="Arial" w:hAnsi="Arial"/>
          <w:sz w:val="13"/>
          <w:szCs w:val="13"/>
          <w:b w:val="1"/>
          <w:bCs w:val="1"/>
          <w:color w:val="auto"/>
        </w:rPr>
        <w:t>(Address of principal executive offices)</w:t>
      </w:r>
    </w:p>
    <w:p>
      <w:pPr>
        <w:ind w:left="4840"/>
        <w:spacing w:after="0" w:line="216" w:lineRule="auto"/>
        <w:rPr>
          <w:sz w:val="20"/>
          <w:szCs w:val="20"/>
          <w:color w:val="auto"/>
        </w:rPr>
      </w:pPr>
      <w:r>
        <w:rPr>
          <w:rFonts w:ascii="Arial" w:cs="Arial" w:eastAsia="Arial" w:hAnsi="Arial"/>
          <w:sz w:val="13"/>
          <w:szCs w:val="13"/>
          <w:color w:val="auto"/>
        </w:rPr>
        <w:t>Nicola Lloyd, General Counsel</w:t>
      </w:r>
    </w:p>
    <w:p>
      <w:pPr>
        <w:ind w:left="4840"/>
        <w:spacing w:after="0" w:line="217" w:lineRule="auto"/>
        <w:rPr>
          <w:sz w:val="20"/>
          <w:szCs w:val="20"/>
          <w:color w:val="auto"/>
        </w:rPr>
      </w:pPr>
      <w:r>
        <w:rPr>
          <w:rFonts w:ascii="Arial" w:cs="Arial" w:eastAsia="Arial" w:hAnsi="Arial"/>
          <w:sz w:val="13"/>
          <w:szCs w:val="13"/>
          <w:color w:val="auto"/>
        </w:rPr>
        <w:t>c/o GasLog LNG Services Ltd,</w:t>
      </w:r>
    </w:p>
    <w:p>
      <w:pPr>
        <w:ind w:left="4280"/>
        <w:spacing w:after="0" w:line="217" w:lineRule="auto"/>
        <w:rPr>
          <w:sz w:val="20"/>
          <w:szCs w:val="20"/>
          <w:color w:val="auto"/>
        </w:rPr>
      </w:pPr>
      <w:r>
        <w:rPr>
          <w:rFonts w:ascii="Arial" w:cs="Arial" w:eastAsia="Arial" w:hAnsi="Arial"/>
          <w:sz w:val="13"/>
          <w:szCs w:val="13"/>
          <w:color w:val="auto"/>
        </w:rPr>
        <w:t>69 Akti Miaouli 18537</w:t>
      </w:r>
    </w:p>
    <w:p>
      <w:pPr>
        <w:ind w:left="5220"/>
        <w:spacing w:after="0" w:line="217" w:lineRule="auto"/>
        <w:rPr>
          <w:sz w:val="20"/>
          <w:szCs w:val="20"/>
          <w:color w:val="auto"/>
        </w:rPr>
      </w:pPr>
      <w:r>
        <w:rPr>
          <w:rFonts w:ascii="Arial" w:cs="Arial" w:eastAsia="Arial" w:hAnsi="Arial"/>
          <w:sz w:val="13"/>
          <w:szCs w:val="13"/>
          <w:color w:val="auto"/>
        </w:rPr>
        <w:t>Piraeus, Greece</w:t>
      </w:r>
    </w:p>
    <w:p>
      <w:pPr>
        <w:ind w:left="4860"/>
        <w:spacing w:after="0" w:line="216" w:lineRule="auto"/>
        <w:rPr>
          <w:sz w:val="20"/>
          <w:szCs w:val="20"/>
          <w:color w:val="auto"/>
        </w:rPr>
      </w:pPr>
      <w:r>
        <w:rPr>
          <w:rFonts w:ascii="Arial" w:cs="Arial" w:eastAsia="Arial" w:hAnsi="Arial"/>
          <w:sz w:val="13"/>
          <w:szCs w:val="13"/>
          <w:color w:val="auto"/>
        </w:rPr>
        <w:t>Telephone: +30 210 459 1000</w:t>
      </w:r>
    </w:p>
    <w:p>
      <w:pPr>
        <w:ind w:left="5020"/>
        <w:spacing w:after="0" w:line="217" w:lineRule="auto"/>
        <w:rPr>
          <w:sz w:val="20"/>
          <w:szCs w:val="20"/>
          <w:color w:val="auto"/>
        </w:rPr>
      </w:pPr>
      <w:r>
        <w:rPr>
          <w:rFonts w:ascii="Arial" w:cs="Arial" w:eastAsia="Arial" w:hAnsi="Arial"/>
          <w:sz w:val="13"/>
          <w:szCs w:val="13"/>
          <w:color w:val="auto"/>
        </w:rPr>
        <w:t>Fax: +30 210 459 1242</w:t>
      </w:r>
    </w:p>
    <w:p>
      <w:pPr>
        <w:ind w:left="3080"/>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Trading Symbols</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14"/>
        </w:trPr>
        <w:tc>
          <w:tcPr>
            <w:tcW w:w="362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Common Units representing limited partner interests</w:t>
            </w:r>
          </w:p>
        </w:tc>
        <w:tc>
          <w:tcPr>
            <w:tcW w:w="220" w:type="dxa"/>
            <w:vAlign w:val="bottom"/>
          </w:tcPr>
          <w:p>
            <w:pPr>
              <w:spacing w:after="0"/>
              <w:rPr>
                <w:sz w:val="9"/>
                <w:szCs w:val="9"/>
                <w:color w:val="auto"/>
              </w:rPr>
            </w:pPr>
          </w:p>
        </w:tc>
        <w:tc>
          <w:tcPr>
            <w:tcW w:w="36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GLOP</w:t>
            </w:r>
          </w:p>
        </w:tc>
        <w:tc>
          <w:tcPr>
            <w:tcW w:w="200" w:type="dxa"/>
            <w:vAlign w:val="bottom"/>
          </w:tcPr>
          <w:p>
            <w:pPr>
              <w:spacing w:after="0"/>
              <w:rPr>
                <w:sz w:val="9"/>
                <w:szCs w:val="9"/>
                <w:color w:val="auto"/>
              </w:rPr>
            </w:pPr>
          </w:p>
        </w:tc>
        <w:tc>
          <w:tcPr>
            <w:tcW w:w="36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w w:val="88"/>
              </w:rPr>
              <w:t>New York Stock Exchange</w:t>
            </w:r>
          </w:p>
        </w:tc>
      </w:tr>
      <w:tr>
        <w:trPr>
          <w:trHeight w:val="135"/>
        </w:trPr>
        <w:tc>
          <w:tcPr>
            <w:tcW w:w="384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6"/>
              </w:rPr>
              <w:t>Series A Preference Units</w:t>
            </w:r>
          </w:p>
        </w:tc>
        <w:tc>
          <w:tcPr>
            <w:tcW w:w="380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GLOP PR A</w:t>
            </w:r>
          </w:p>
        </w:tc>
        <w:tc>
          <w:tcPr>
            <w:tcW w:w="3600" w:type="dxa"/>
            <w:vAlign w:val="bottom"/>
          </w:tcPr>
          <w:p>
            <w:pPr>
              <w:jc w:val="center"/>
              <w:spacing w:after="0" w:line="135" w:lineRule="exact"/>
              <w:rPr>
                <w:sz w:val="20"/>
                <w:szCs w:val="20"/>
                <w:color w:val="auto"/>
              </w:rPr>
            </w:pPr>
            <w:r>
              <w:rPr>
                <w:rFonts w:ascii="Arial" w:cs="Arial" w:eastAsia="Arial" w:hAnsi="Arial"/>
                <w:sz w:val="13"/>
                <w:szCs w:val="13"/>
                <w:color w:val="auto"/>
                <w:w w:val="88"/>
              </w:rPr>
              <w:t>New York Stock Exchange</w:t>
            </w:r>
          </w:p>
        </w:tc>
      </w:tr>
      <w:tr>
        <w:trPr>
          <w:trHeight w:val="135"/>
        </w:trPr>
        <w:tc>
          <w:tcPr>
            <w:tcW w:w="384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6"/>
              </w:rPr>
              <w:t>Series B Preference Units</w:t>
            </w:r>
          </w:p>
        </w:tc>
        <w:tc>
          <w:tcPr>
            <w:tcW w:w="380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GLOP PR B</w:t>
            </w:r>
          </w:p>
        </w:tc>
        <w:tc>
          <w:tcPr>
            <w:tcW w:w="3600" w:type="dxa"/>
            <w:vAlign w:val="bottom"/>
          </w:tcPr>
          <w:p>
            <w:pPr>
              <w:jc w:val="center"/>
              <w:spacing w:after="0" w:line="135" w:lineRule="exact"/>
              <w:rPr>
                <w:sz w:val="20"/>
                <w:szCs w:val="20"/>
                <w:color w:val="auto"/>
              </w:rPr>
            </w:pPr>
            <w:r>
              <w:rPr>
                <w:rFonts w:ascii="Arial" w:cs="Arial" w:eastAsia="Arial" w:hAnsi="Arial"/>
                <w:sz w:val="13"/>
                <w:szCs w:val="13"/>
                <w:color w:val="auto"/>
                <w:w w:val="88"/>
              </w:rPr>
              <w:t>New York Stock Exchange</w:t>
            </w:r>
          </w:p>
        </w:tc>
      </w:tr>
      <w:tr>
        <w:trPr>
          <w:trHeight w:val="160"/>
        </w:trPr>
        <w:tc>
          <w:tcPr>
            <w:tcW w:w="384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Series C Preference Units</w:t>
            </w:r>
          </w:p>
        </w:tc>
        <w:tc>
          <w:tcPr>
            <w:tcW w:w="380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GLOP PR C</w:t>
            </w:r>
          </w:p>
        </w:tc>
        <w:tc>
          <w:tcPr>
            <w:tcW w:w="3600" w:type="dxa"/>
            <w:vAlign w:val="bottom"/>
          </w:tcPr>
          <w:p>
            <w:pPr>
              <w:jc w:val="center"/>
              <w:spacing w:after="0"/>
              <w:rPr>
                <w:sz w:val="20"/>
                <w:szCs w:val="20"/>
                <w:color w:val="auto"/>
              </w:rPr>
            </w:pPr>
            <w:r>
              <w:rPr>
                <w:rFonts w:ascii="Arial" w:cs="Arial" w:eastAsia="Arial" w:hAnsi="Arial"/>
                <w:sz w:val="13"/>
                <w:szCs w:val="13"/>
                <w:color w:val="auto"/>
                <w:w w:val="88"/>
              </w:rPr>
              <w:t>New York Stock Exchange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SECURITIES FOR WHICH THERE IS A REPORTING OBLIGATION PURSUANT TO SECTION 15(d) OF THE ACT: </w:t>
      </w:r>
      <w:r>
        <w:rPr>
          <w:rFonts w:ascii="Arial" w:cs="Arial" w:eastAsia="Arial" w:hAnsi="Arial"/>
          <w:sz w:val="18"/>
          <w:szCs w:val="18"/>
          <w:color w:val="auto"/>
        </w:rPr>
        <w:t>None</w:t>
      </w:r>
    </w:p>
    <w:p>
      <w:pPr>
        <w:spacing w:after="0" w:line="22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As of December 31, 2019, there were 46,860,182 Partnership common units, 2,490,000 Class B Units, 5,750,000 Series A Preference Units, 4,600,000 Series B Preference Units and 4,000,000 Series C Preference Units outstanding.</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Company is a well-known seasoned issuer, as defined in Rule 405 of the Securities Act.</w:t>
      </w:r>
    </w:p>
    <w:p>
      <w:pPr>
        <w:spacing w:after="0" w:line="225" w:lineRule="exact"/>
        <w:rPr>
          <w:sz w:val="24"/>
          <w:szCs w:val="24"/>
          <w:color w:val="auto"/>
        </w:rPr>
      </w:pPr>
    </w:p>
    <w:p>
      <w:pPr>
        <w:ind w:left="10400"/>
        <w:spacing w:after="0"/>
        <w:rPr>
          <w:sz w:val="20"/>
          <w:szCs w:val="20"/>
          <w:color w:val="auto"/>
        </w:rPr>
      </w:pPr>
      <w:r>
        <w:rPr>
          <w:rFonts w:ascii="Arial" w:cs="Arial" w:eastAsia="Arial" w:hAnsi="Arial"/>
          <w:sz w:val="17"/>
          <w:szCs w:val="17"/>
          <w:color w:val="auto"/>
        </w:rPr>
        <w:t>Yes x No o</w:t>
      </w:r>
    </w:p>
    <w:p>
      <w:pPr>
        <w:spacing w:after="0" w:line="237"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Company is not required to file reports pursuant to Section 13 or 15(d) of the Securities Exchange Act of 1934.</w:t>
      </w:r>
    </w:p>
    <w:p>
      <w:pPr>
        <w:spacing w:after="0" w:line="170" w:lineRule="exact"/>
        <w:rPr>
          <w:sz w:val="24"/>
          <w:szCs w:val="24"/>
          <w:color w:val="auto"/>
        </w:rPr>
      </w:pPr>
    </w:p>
    <w:p>
      <w:pPr>
        <w:ind w:left="10400"/>
        <w:spacing w:after="0"/>
        <w:rPr>
          <w:sz w:val="20"/>
          <w:szCs w:val="20"/>
          <w:color w:val="auto"/>
        </w:rPr>
      </w:pPr>
      <w:r>
        <w:rPr>
          <w:rFonts w:ascii="Arial" w:cs="Arial" w:eastAsia="Arial" w:hAnsi="Arial"/>
          <w:sz w:val="17"/>
          <w:szCs w:val="17"/>
          <w:color w:val="auto"/>
        </w:rPr>
        <w:t>Yes o No x</w:t>
      </w:r>
    </w:p>
    <w:p>
      <w:pPr>
        <w:spacing w:after="0" w:line="237"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Company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rPr>
          <w:sz w:val="24"/>
          <w:szCs w:val="24"/>
          <w:color w:val="auto"/>
        </w:rPr>
      </w:pPr>
    </w:p>
    <w:p>
      <w:pPr>
        <w:ind w:left="10400"/>
        <w:spacing w:after="0"/>
        <w:rPr>
          <w:sz w:val="20"/>
          <w:szCs w:val="20"/>
          <w:color w:val="auto"/>
        </w:rPr>
      </w:pPr>
      <w:r>
        <w:rPr>
          <w:rFonts w:ascii="Arial" w:cs="Arial" w:eastAsia="Arial" w:hAnsi="Arial"/>
          <w:sz w:val="17"/>
          <w:szCs w:val="17"/>
          <w:color w:val="auto"/>
        </w:rPr>
        <w:t>Yes x No o</w:t>
      </w:r>
    </w:p>
    <w:p>
      <w:pPr>
        <w:spacing w:after="0" w:line="237"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Indicate by check mark whether the Company has submitted electronically every Interactive Data File required to be submitted pursuant to Rule 405 of Regulation S-T (§232.405 of this chapter) during the preceding 12 months (or for such shorter period that the Company was required to submit such files).</w:t>
      </w:r>
    </w:p>
    <w:p>
      <w:pPr>
        <w:spacing w:after="0" w:line="124" w:lineRule="exact"/>
        <w:rPr>
          <w:sz w:val="24"/>
          <w:szCs w:val="24"/>
          <w:color w:val="auto"/>
        </w:rPr>
      </w:pPr>
    </w:p>
    <w:p>
      <w:pPr>
        <w:ind w:left="10400"/>
        <w:spacing w:after="0"/>
        <w:rPr>
          <w:sz w:val="20"/>
          <w:szCs w:val="20"/>
          <w:color w:val="auto"/>
        </w:rPr>
      </w:pPr>
      <w:r>
        <w:rPr>
          <w:rFonts w:ascii="Arial" w:cs="Arial" w:eastAsia="Arial" w:hAnsi="Arial"/>
          <w:sz w:val="17"/>
          <w:szCs w:val="17"/>
          <w:color w:val="auto"/>
        </w:rPr>
        <w:t>Yes x No o</w:t>
      </w:r>
    </w:p>
    <w:p>
      <w:pPr>
        <w:spacing w:after="0" w:line="237"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46" w:lineRule="exact"/>
        <w:rPr>
          <w:sz w:val="24"/>
          <w:szCs w:val="24"/>
          <w:color w:val="auto"/>
        </w:rPr>
      </w:pPr>
    </w:p>
    <w:p>
      <w:pPr>
        <w:ind w:left="880"/>
        <w:spacing w:after="0"/>
        <w:tabs>
          <w:tab w:leader="none" w:pos="3740" w:val="left"/>
          <w:tab w:leader="none" w:pos="6260" w:val="left"/>
          <w:tab w:leader="none" w:pos="9000" w:val="left"/>
        </w:tabs>
        <w:rPr>
          <w:sz w:val="20"/>
          <w:szCs w:val="20"/>
          <w:color w:val="auto"/>
        </w:rPr>
      </w:pPr>
      <w:r>
        <w:rPr>
          <w:rFonts w:ascii="Arial" w:cs="Arial" w:eastAsia="Arial" w:hAnsi="Arial"/>
          <w:sz w:val="13"/>
          <w:szCs w:val="13"/>
          <w:color w:val="auto"/>
        </w:rPr>
        <w:t>Large accelerated filer x</w:t>
      </w:r>
      <w:r>
        <w:rPr>
          <w:sz w:val="20"/>
          <w:szCs w:val="20"/>
          <w:color w:val="auto"/>
        </w:rPr>
        <w:tab/>
      </w:r>
      <w:r>
        <w:rPr>
          <w:rFonts w:ascii="Arial" w:cs="Arial" w:eastAsia="Arial" w:hAnsi="Arial"/>
          <w:sz w:val="13"/>
          <w:szCs w:val="13"/>
          <w:color w:val="auto"/>
        </w:rPr>
        <w:t>Accelerated filer o</w:t>
      </w:r>
      <w:r>
        <w:rPr>
          <w:sz w:val="20"/>
          <w:szCs w:val="20"/>
          <w:color w:val="auto"/>
        </w:rPr>
        <w:tab/>
      </w:r>
      <w:r>
        <w:rPr>
          <w:rFonts w:ascii="Arial" w:cs="Arial" w:eastAsia="Arial" w:hAnsi="Arial"/>
          <w:sz w:val="13"/>
          <w:szCs w:val="13"/>
          <w:color w:val="auto"/>
        </w:rPr>
        <w:t>Non-accelerated filer o</w:t>
      </w:r>
      <w:r>
        <w:rPr>
          <w:sz w:val="20"/>
          <w:szCs w:val="20"/>
          <w:color w:val="auto"/>
        </w:rPr>
        <w:tab/>
      </w:r>
      <w:r>
        <w:rPr>
          <w:rFonts w:ascii="Arial" w:cs="Arial" w:eastAsia="Arial" w:hAnsi="Arial"/>
          <w:sz w:val="10"/>
          <w:szCs w:val="10"/>
          <w:color w:val="auto"/>
        </w:rPr>
        <w:t>Emerging growth company o</w:t>
      </w:r>
    </w:p>
    <w:p>
      <w:pPr>
        <w:spacing w:after="0" w:line="201" w:lineRule="exact"/>
        <w:rPr>
          <w:sz w:val="24"/>
          <w:szCs w:val="24"/>
          <w:color w:val="auto"/>
        </w:rPr>
      </w:pPr>
    </w:p>
    <w:p>
      <w:pPr>
        <w:jc w:val="both"/>
        <w:ind w:right="200"/>
        <w:spacing w:after="0" w:line="234"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provided pursuant to Section 13(a) of the Exchange Act. o</w:t>
      </w:r>
    </w:p>
    <w:p>
      <w:pPr>
        <w:spacing w:after="0" w:line="203"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40"/>
          </w:cols>
          <w:pgMar w:left="320" w:top="55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Indicate by check mark which basis of accounting the Company has used to prepare the financial statements included in this filing.</w:t>
      </w:r>
    </w:p>
    <w:p>
      <w:pPr>
        <w:sectPr>
          <w:pgSz w:w="11900" w:h="16838" w:orient="portrait"/>
          <w:cols w:equalWidth="0" w:num="1">
            <w:col w:w="11240"/>
          </w:cols>
          <w:pgMar w:left="320" w:top="341" w:right="339" w:bottom="1440" w:gutter="0" w:footer="0" w:header="0"/>
        </w:sectPr>
      </w:pPr>
    </w:p>
    <w:p>
      <w:pPr>
        <w:spacing w:after="0" w:line="248" w:lineRule="exact"/>
        <w:rPr>
          <w:sz w:val="20"/>
          <w:szCs w:val="20"/>
          <w:color w:val="auto"/>
        </w:rPr>
      </w:pPr>
    </w:p>
    <w:p>
      <w:pPr>
        <w:ind w:left="800"/>
        <w:spacing w:after="0"/>
        <w:rPr>
          <w:sz w:val="20"/>
          <w:szCs w:val="20"/>
          <w:color w:val="auto"/>
        </w:rPr>
      </w:pPr>
      <w:r>
        <w:rPr>
          <w:rFonts w:ascii="Arial" w:cs="Arial" w:eastAsia="Arial" w:hAnsi="Arial"/>
          <w:sz w:val="10"/>
          <w:szCs w:val="10"/>
          <w:color w:val="auto"/>
        </w:rPr>
        <w:t>U.S. GAAP 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220"/>
        <w:spacing w:after="0"/>
        <w:rPr>
          <w:sz w:val="20"/>
          <w:szCs w:val="20"/>
          <w:color w:val="auto"/>
        </w:rPr>
      </w:pPr>
      <w:r>
        <w:rPr>
          <w:rFonts w:ascii="Arial" w:cs="Arial" w:eastAsia="Arial" w:hAnsi="Arial"/>
          <w:sz w:val="10"/>
          <w:szCs w:val="10"/>
          <w:color w:val="auto"/>
        </w:rPr>
        <w:t>International Financial Reporting Standards as issued</w:t>
      </w:r>
    </w:p>
    <w:p>
      <w:pPr>
        <w:spacing w:after="0" w:line="30" w:lineRule="exact"/>
        <w:rPr>
          <w:sz w:val="20"/>
          <w:szCs w:val="20"/>
          <w:color w:val="auto"/>
        </w:rPr>
      </w:pPr>
    </w:p>
    <w:p>
      <w:pPr>
        <w:jc w:val="center"/>
        <w:ind w:right="2220"/>
        <w:spacing w:after="0"/>
        <w:rPr>
          <w:sz w:val="20"/>
          <w:szCs w:val="20"/>
          <w:color w:val="auto"/>
        </w:rPr>
      </w:pPr>
      <w:r>
        <w:rPr>
          <w:rFonts w:ascii="Arial" w:cs="Arial" w:eastAsia="Arial" w:hAnsi="Arial"/>
          <w:sz w:val="12"/>
          <w:szCs w:val="12"/>
          <w:color w:val="auto"/>
        </w:rPr>
        <w:t>by the International Accounting Standards Board 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0"/>
          <w:szCs w:val="10"/>
          <w:color w:val="auto"/>
        </w:rPr>
        <w:t>Other o</w:t>
      </w:r>
    </w:p>
    <w:p>
      <w:pPr>
        <w:spacing w:after="0" w:line="367" w:lineRule="exact"/>
        <w:rPr>
          <w:sz w:val="20"/>
          <w:szCs w:val="20"/>
          <w:color w:val="auto"/>
        </w:rPr>
      </w:pPr>
    </w:p>
    <w:p>
      <w:pPr>
        <w:sectPr>
          <w:pgSz w:w="11900" w:h="16838" w:orient="portrait"/>
          <w:cols w:equalWidth="0" w:num="3">
            <w:col w:w="3560" w:space="720"/>
            <w:col w:w="4920" w:space="720"/>
            <w:col w:w="1320"/>
          </w:cols>
          <w:pgMar w:left="320" w:top="341" w:right="339" w:bottom="1440" w:gutter="0" w:footer="0" w:header="0"/>
          <w:type w:val="continuous"/>
        </w:sectPr>
      </w:pPr>
    </w:p>
    <w:p>
      <w:pPr>
        <w:spacing w:after="0" w:line="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Company has elected to follow.</w:t>
      </w:r>
    </w:p>
    <w:p>
      <w:pPr>
        <w:spacing w:after="0" w:line="170"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Item 17 o Item 18 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Company is a shell company (as defined in Rule 12b-2 of the Exchange Act).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Amendment No. 1 on Form 20-F/A (this “Amendment”) amends our annual report on Form 20-F for the year ended December 31, 2019, which was filed with the Securities and Exchange Commission on March 3, 2020 (the “Original Filing”). This Amendment is being made solely for the purpose of correcting a typographical error in the disclosure in Item 3 of the Original Filing, under the heading “Reconciliation of Partnership Performance Results to IFRS Common Control Reported Results in our Financial Statements”, to adjust the alignment of the column headers in the table below. The financial information disclosed in the table is unchanged. Only the alignment of the headers has been corrected.</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Amendment consists solely of the cover page and this explanatory note. Except as described above, this Amendment does not amend any information set forth in the Original Filing, and we have not updated disclosures included therein to reflect any events that occurred subsequent to March 3, 2020. Accordingly, this Amendment should be read in conjunction with the Original Filing and with our filings with the U.S. Securities Exchange Commission subsequent to the Original Filing.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10"/>
          </w:tcPr>
          <w:p>
            <w:pPr>
              <w:jc w:val="right"/>
              <w:ind w:right="660"/>
              <w:spacing w:after="0"/>
              <w:rPr>
                <w:sz w:val="20"/>
                <w:szCs w:val="20"/>
                <w:color w:val="auto"/>
              </w:rPr>
            </w:pPr>
            <w:r>
              <w:rPr>
                <w:rFonts w:ascii="Arial" w:cs="Arial" w:eastAsia="Arial" w:hAnsi="Arial"/>
                <w:sz w:val="11"/>
                <w:szCs w:val="11"/>
                <w:b w:val="1"/>
                <w:bCs w:val="1"/>
                <w:color w:val="auto"/>
              </w:rPr>
              <w:t>Year ended December 31, 2016</w:t>
            </w:r>
          </w:p>
        </w:tc>
        <w:tc>
          <w:tcPr>
            <w:tcW w:w="80" w:type="dxa"/>
            <w:vAlign w:val="bottom"/>
          </w:tcPr>
          <w:p>
            <w:pPr>
              <w:spacing w:after="0"/>
              <w:rPr>
                <w:sz w:val="11"/>
                <w:szCs w:val="11"/>
                <w:color w:val="auto"/>
              </w:rPr>
            </w:pPr>
          </w:p>
        </w:tc>
        <w:tc>
          <w:tcPr>
            <w:tcW w:w="2420" w:type="dxa"/>
            <w:vAlign w:val="bottom"/>
            <w:gridSpan w:val="9"/>
          </w:tcPr>
          <w:p>
            <w:pPr>
              <w:jc w:val="right"/>
              <w:ind w:right="580"/>
              <w:spacing w:after="0"/>
              <w:rPr>
                <w:sz w:val="20"/>
                <w:szCs w:val="20"/>
                <w:color w:val="auto"/>
              </w:rPr>
            </w:pPr>
            <w:r>
              <w:rPr>
                <w:rFonts w:ascii="Arial" w:cs="Arial" w:eastAsia="Arial" w:hAnsi="Arial"/>
                <w:sz w:val="11"/>
                <w:szCs w:val="11"/>
                <w:b w:val="1"/>
                <w:bCs w:val="1"/>
                <w:color w:val="auto"/>
              </w:rPr>
              <w:t>Year ended December 31, 2017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gridSpan w:val="9"/>
          </w:tcPr>
          <w:p>
            <w:pPr>
              <w:jc w:val="right"/>
              <w:ind w:right="560"/>
              <w:spacing w:after="0"/>
              <w:rPr>
                <w:sz w:val="20"/>
                <w:szCs w:val="20"/>
                <w:color w:val="auto"/>
              </w:rPr>
            </w:pPr>
            <w:r>
              <w:rPr>
                <w:rFonts w:ascii="Arial" w:cs="Arial" w:eastAsia="Arial" w:hAnsi="Arial"/>
                <w:sz w:val="11"/>
                <w:szCs w:val="11"/>
                <w:b w:val="1"/>
                <w:bCs w:val="1"/>
                <w:color w:val="auto"/>
              </w:rPr>
              <w:t>Year ended December 31, 2018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gridSpan w:val="8"/>
          </w:tcPr>
          <w:p>
            <w:pPr>
              <w:jc w:val="right"/>
              <w:ind w:right="40"/>
              <w:spacing w:after="0"/>
              <w:rPr>
                <w:sz w:val="20"/>
                <w:szCs w:val="20"/>
                <w:color w:val="auto"/>
              </w:rPr>
            </w:pPr>
            <w:r>
              <w:rPr>
                <w:rFonts w:ascii="Arial" w:cs="Arial" w:eastAsia="Arial" w:hAnsi="Arial"/>
                <w:sz w:val="11"/>
                <w:szCs w:val="11"/>
                <w:b w:val="1"/>
                <w:bCs w:val="1"/>
                <w:color w:val="auto"/>
              </w:rPr>
              <w:t>Year ended December 31, 2019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7"/>
              <w:spacing w:after="0" w:line="102" w:lineRule="exact"/>
              <w:rPr>
                <w:sz w:val="20"/>
                <w:szCs w:val="20"/>
                <w:color w:val="auto"/>
              </w:rPr>
            </w:pPr>
            <w:r>
              <w:rPr>
                <w:rFonts w:ascii="Arial" w:cs="Arial" w:eastAsia="Arial" w:hAnsi="Arial"/>
                <w:sz w:val="11"/>
                <w:szCs w:val="11"/>
                <w:b w:val="1"/>
                <w:bCs w:val="1"/>
                <w:color w:val="auto"/>
                <w:w w:val="95"/>
              </w:rPr>
              <w:t>IFRS</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27"/>
              <w:spacing w:after="0" w:line="102" w:lineRule="exact"/>
              <w:rPr>
                <w:sz w:val="20"/>
                <w:szCs w:val="20"/>
                <w:color w:val="auto"/>
              </w:rPr>
            </w:pPr>
            <w:r>
              <w:rPr>
                <w:rFonts w:ascii="Arial" w:cs="Arial" w:eastAsia="Arial" w:hAnsi="Arial"/>
                <w:sz w:val="11"/>
                <w:szCs w:val="11"/>
                <w:b w:val="1"/>
                <w:bCs w:val="1"/>
                <w:color w:val="auto"/>
              </w:rPr>
              <w:t>IFRS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7"/>
              <w:spacing w:after="0" w:line="102" w:lineRule="exact"/>
              <w:rPr>
                <w:sz w:val="20"/>
                <w:szCs w:val="20"/>
                <w:color w:val="auto"/>
              </w:rPr>
            </w:pPr>
            <w:r>
              <w:rPr>
                <w:rFonts w:ascii="Arial" w:cs="Arial" w:eastAsia="Arial" w:hAnsi="Arial"/>
                <w:sz w:val="11"/>
                <w:szCs w:val="11"/>
                <w:b w:val="1"/>
                <w:bCs w:val="1"/>
                <w:color w:val="auto"/>
                <w:w w:val="95"/>
              </w:rPr>
              <w:t>IFRS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jc w:val="center"/>
              <w:ind w:right="6"/>
              <w:spacing w:after="0" w:line="102" w:lineRule="exact"/>
              <w:rPr>
                <w:sz w:val="20"/>
                <w:szCs w:val="20"/>
                <w:color w:val="auto"/>
              </w:rPr>
            </w:pPr>
            <w:r>
              <w:rPr>
                <w:rFonts w:ascii="Arial" w:cs="Arial" w:eastAsia="Arial" w:hAnsi="Arial"/>
                <w:sz w:val="11"/>
                <w:szCs w:val="11"/>
                <w:b w:val="1"/>
                <w:bCs w:val="1"/>
                <w:color w:val="auto"/>
                <w:w w:val="95"/>
              </w:rPr>
              <w:t>IFRS</w:t>
            </w:r>
          </w:p>
        </w:tc>
        <w:tc>
          <w:tcPr>
            <w:tcW w:w="100" w:type="dxa"/>
            <w:vAlign w:val="bottom"/>
          </w:tcPr>
          <w:p>
            <w:pPr>
              <w:spacing w:after="0"/>
              <w:rPr>
                <w:sz w:val="8"/>
                <w:szCs w:val="8"/>
                <w:color w:val="auto"/>
              </w:rPr>
            </w:pPr>
          </w:p>
        </w:tc>
      </w:tr>
      <w:tr>
        <w:trPr>
          <w:trHeight w:val="122"/>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Results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Common</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8"/>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Common</w:t>
            </w:r>
          </w:p>
        </w:tc>
      </w:tr>
      <w:tr>
        <w:trPr>
          <w:trHeight w:val="122"/>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Attributable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Partnership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Control</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8"/>
              </w:rPr>
              <w:t>Partnership</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Control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Attributable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Partnership</w:t>
            </w:r>
          </w:p>
        </w:tc>
        <w:tc>
          <w:tcPr>
            <w:tcW w:w="8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Control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Partnership</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Control</w:t>
            </w:r>
          </w:p>
        </w:tc>
      </w:tr>
      <w:tr>
        <w:trPr>
          <w:trHeight w:val="122"/>
        </w:trPr>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Performance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Reported</w:t>
            </w:r>
          </w:p>
        </w:tc>
        <w:tc>
          <w:tcPr>
            <w:tcW w:w="80" w:type="dxa"/>
            <w:vAlign w:val="bottom"/>
          </w:tcPr>
          <w:p>
            <w:pPr>
              <w:spacing w:after="0"/>
              <w:rPr>
                <w:sz w:val="10"/>
                <w:szCs w:val="10"/>
                <w:color w:val="auto"/>
              </w:rPr>
            </w:pPr>
          </w:p>
        </w:tc>
        <w:tc>
          <w:tcPr>
            <w:tcW w:w="7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3"/>
              </w:rPr>
              <w:t>Attributable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8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Reported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to</w:t>
            </w:r>
          </w:p>
        </w:tc>
        <w:tc>
          <w:tcPr>
            <w:tcW w:w="40" w:type="dxa"/>
            <w:vAlign w:val="bottom"/>
          </w:tcPr>
          <w:p>
            <w:pPr>
              <w:spacing w:after="0"/>
              <w:rPr>
                <w:sz w:val="10"/>
                <w:szCs w:val="10"/>
                <w:color w:val="auto"/>
              </w:rPr>
            </w:pPr>
          </w:p>
        </w:tc>
        <w:tc>
          <w:tcPr>
            <w:tcW w:w="76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1"/>
              </w:rPr>
              <w:t>Reported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Attributable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Performance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1"/>
              </w:rPr>
              <w:t>Reported</w:t>
            </w:r>
          </w:p>
        </w:tc>
      </w:tr>
      <w:tr>
        <w:trPr>
          <w:trHeight w:val="135"/>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GasLog</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Results</w:t>
            </w:r>
          </w:p>
        </w:tc>
        <w:tc>
          <w:tcPr>
            <w:tcW w:w="80" w:type="dxa"/>
            <w:vAlign w:val="bottom"/>
          </w:tcPr>
          <w:p>
            <w:pPr>
              <w:spacing w:after="0"/>
              <w:rPr>
                <w:sz w:val="11"/>
                <w:szCs w:val="1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4"/>
              </w:rPr>
              <w:t>to GasLog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Results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GasLog</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Results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to GasLog</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Results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Results</w:t>
            </w:r>
          </w:p>
        </w:tc>
      </w:tr>
      <w:tr>
        <w:trPr>
          <w:trHeight w:val="101"/>
        </w:trPr>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ind w:right="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2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2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center"/>
              <w:ind w:right="2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center"/>
              <w:ind w:right="7"/>
              <w:spacing w:after="0" w:line="102" w:lineRule="exact"/>
              <w:rPr>
                <w:sz w:val="20"/>
                <w:szCs w:val="20"/>
                <w:color w:val="auto"/>
              </w:rPr>
            </w:pPr>
            <w:r>
              <w:rPr>
                <w:rFonts w:ascii="Arial" w:cs="Arial" w:eastAsia="Arial" w:hAnsi="Arial"/>
                <w:sz w:val="9"/>
                <w:szCs w:val="9"/>
                <w:b w:val="1"/>
                <w:bCs w:val="1"/>
                <w:color w:val="auto"/>
              </w:rPr>
              <w:t>Restated</w:t>
            </w:r>
            <w:r>
              <w:rPr>
                <w:rFonts w:ascii="Arial" w:cs="Arial" w:eastAsia="Arial" w:hAnsi="Arial"/>
                <w:sz w:val="11"/>
                <w:szCs w:val="11"/>
                <w:b w:val="1"/>
                <w:bCs w:val="1"/>
                <w:color w:val="auto"/>
                <w:vertAlign w:val="superscript"/>
              </w:rPr>
              <w:t>(1)</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35"/>
        </w:trPr>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7"/>
          </w:tcPr>
          <w:p>
            <w:pPr>
              <w:ind w:left="20"/>
              <w:spacing w:after="0"/>
              <w:rPr>
                <w:sz w:val="20"/>
                <w:szCs w:val="20"/>
                <w:color w:val="auto"/>
              </w:rPr>
            </w:pPr>
            <w:r>
              <w:rPr>
                <w:rFonts w:ascii="Arial" w:cs="Arial" w:eastAsia="Arial" w:hAnsi="Arial"/>
                <w:sz w:val="11"/>
                <w:szCs w:val="11"/>
                <w:b w:val="1"/>
                <w:bCs w:val="1"/>
                <w:color w:val="auto"/>
              </w:rPr>
              <w:t>(in thousands of U.S. dollars)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92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STATEMENT OF</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2"/>
        </w:trPr>
        <w:tc>
          <w:tcPr>
            <w:tcW w:w="92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b w:val="1"/>
                <w:bCs w:val="1"/>
                <w:color w:val="auto"/>
              </w:rPr>
              <w:t>PROFIT OR</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5"/>
        </w:trPr>
        <w:tc>
          <w:tcPr>
            <w:tcW w:w="92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LOSS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22"/>
        </w:trPr>
        <w:tc>
          <w:tcPr>
            <w:tcW w:w="920" w:type="dxa"/>
            <w:vAlign w:val="bottom"/>
          </w:tcPr>
          <w:p>
            <w:pPr>
              <w:spacing w:after="0" w:line="122" w:lineRule="exact"/>
              <w:rPr>
                <w:sz w:val="20"/>
                <w:szCs w:val="20"/>
                <w:color w:val="auto"/>
              </w:rPr>
            </w:pPr>
            <w:r>
              <w:rPr>
                <w:rFonts w:ascii="Arial" w:cs="Arial" w:eastAsia="Arial" w:hAnsi="Arial"/>
                <w:sz w:val="11"/>
                <w:szCs w:val="11"/>
                <w:color w:val="auto"/>
              </w:rPr>
              <w:t>Revenues</w:t>
            </w:r>
          </w:p>
        </w:tc>
        <w:tc>
          <w:tcPr>
            <w:tcW w:w="1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126,531</w:t>
            </w:r>
          </w:p>
        </w:tc>
        <w:tc>
          <w:tcPr>
            <w:tcW w:w="1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206,424</w:t>
            </w:r>
          </w:p>
        </w:tc>
        <w:tc>
          <w:tcPr>
            <w:tcW w:w="1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332,955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132,735</w:t>
            </w:r>
          </w:p>
        </w:tc>
        <w:tc>
          <w:tcPr>
            <w:tcW w:w="60" w:type="dxa"/>
            <w:vAlign w:val="bottom"/>
          </w:tcPr>
          <w:p>
            <w:pPr>
              <w:spacing w:after="0"/>
              <w:rPr>
                <w:sz w:val="10"/>
                <w:szCs w:val="10"/>
                <w:color w:val="auto"/>
              </w:rPr>
            </w:pPr>
          </w:p>
        </w:tc>
        <w:tc>
          <w:tcPr>
            <w:tcW w:w="1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269,071</w:t>
            </w: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401,806</w:t>
            </w:r>
          </w:p>
        </w:tc>
        <w:tc>
          <w:tcPr>
            <w:tcW w:w="80" w:type="dxa"/>
            <w:vAlign w:val="bottom"/>
          </w:tcPr>
          <w:p>
            <w:pPr>
              <w:spacing w:after="0"/>
              <w:rPr>
                <w:sz w:val="10"/>
                <w:szCs w:val="10"/>
                <w:color w:val="auto"/>
              </w:rPr>
            </w:pPr>
          </w:p>
        </w:tc>
        <w:tc>
          <w:tcPr>
            <w:tcW w:w="1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66,210</w:t>
            </w:r>
          </w:p>
        </w:tc>
        <w:tc>
          <w:tcPr>
            <w:tcW w:w="80" w:type="dxa"/>
            <w:vAlign w:val="bottom"/>
          </w:tcPr>
          <w:p>
            <w:pPr>
              <w:spacing w:after="0"/>
              <w:rPr>
                <w:sz w:val="10"/>
                <w:szCs w:val="10"/>
                <w:color w:val="auto"/>
              </w:rPr>
            </w:pPr>
          </w:p>
        </w:tc>
        <w:tc>
          <w:tcPr>
            <w:tcW w:w="8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7"/>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316,991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383,201</w:t>
            </w:r>
          </w:p>
        </w:tc>
        <w:tc>
          <w:tcPr>
            <w:tcW w:w="80" w:type="dxa"/>
            <w:vAlign w:val="bottom"/>
          </w:tcPr>
          <w:p>
            <w:pPr>
              <w:spacing w:after="0"/>
              <w:rPr>
                <w:sz w:val="10"/>
                <w:szCs w:val="10"/>
                <w:color w:val="auto"/>
              </w:rPr>
            </w:pPr>
          </w:p>
        </w:tc>
        <w:tc>
          <w:tcPr>
            <w:tcW w:w="1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7,560</w:t>
            </w:r>
          </w:p>
        </w:tc>
        <w:tc>
          <w:tcPr>
            <w:tcW w:w="60" w:type="dxa"/>
            <w:vAlign w:val="bottom"/>
          </w:tcPr>
          <w:p>
            <w:pPr>
              <w:spacing w:after="0"/>
              <w:rPr>
                <w:sz w:val="10"/>
                <w:szCs w:val="10"/>
                <w:color w:val="auto"/>
              </w:rPr>
            </w:pPr>
          </w:p>
        </w:tc>
        <w:tc>
          <w:tcPr>
            <w:tcW w:w="1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371,127</w:t>
            </w:r>
          </w:p>
        </w:tc>
        <w:tc>
          <w:tcPr>
            <w:tcW w:w="60" w:type="dxa"/>
            <w:vAlign w:val="bottom"/>
          </w:tcPr>
          <w:p>
            <w:pPr>
              <w:spacing w:after="0"/>
              <w:rPr>
                <w:sz w:val="10"/>
                <w:szCs w:val="10"/>
                <w:color w:val="auto"/>
              </w:rPr>
            </w:pP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378,687</w:t>
            </w:r>
          </w:p>
        </w:tc>
      </w:tr>
      <w:tr>
        <w:trPr>
          <w:trHeight w:val="122"/>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9"/>
              </w:rPr>
              <w:t>Net pool allocation</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3,700</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3,700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1,058</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1,058</w:t>
            </w:r>
          </w:p>
        </w:tc>
      </w:tr>
      <w:tr>
        <w:trPr>
          <w:trHeight w:val="112"/>
        </w:trPr>
        <w:tc>
          <w:tcPr>
            <w:tcW w:w="920" w:type="dxa"/>
            <w:vAlign w:val="bottom"/>
          </w:tcPr>
          <w:p>
            <w:pPr>
              <w:spacing w:after="0" w:line="112" w:lineRule="exact"/>
              <w:rPr>
                <w:sz w:val="20"/>
                <w:szCs w:val="20"/>
                <w:color w:val="auto"/>
              </w:rPr>
            </w:pPr>
            <w:r>
              <w:rPr>
                <w:rFonts w:ascii="Arial" w:cs="Arial" w:eastAsia="Arial" w:hAnsi="Arial"/>
                <w:sz w:val="11"/>
                <w:szCs w:val="11"/>
                <w:color w:val="auto"/>
              </w:rPr>
              <w:t>Voyage expenses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22"/>
        </w:trPr>
        <w:tc>
          <w:tcPr>
            <w:tcW w:w="920" w:type="dxa"/>
            <w:vAlign w:val="bottom"/>
          </w:tcPr>
          <w:p>
            <w:pPr>
              <w:ind w:left="180"/>
              <w:spacing w:after="0" w:line="122" w:lineRule="exact"/>
              <w:rPr>
                <w:sz w:val="20"/>
                <w:szCs w:val="20"/>
                <w:color w:val="auto"/>
              </w:rPr>
            </w:pPr>
            <w:r>
              <w:rPr>
                <w:rFonts w:ascii="Arial" w:cs="Arial" w:eastAsia="Arial" w:hAnsi="Arial"/>
                <w:sz w:val="11"/>
                <w:szCs w:val="11"/>
                <w:color w:val="auto"/>
              </w:rPr>
              <w:t>and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1"/>
        </w:trPr>
        <w:tc>
          <w:tcPr>
            <w:tcW w:w="920" w:type="dxa"/>
            <w:vAlign w:val="bottom"/>
          </w:tcPr>
          <w:p>
            <w:pPr>
              <w:ind w:left="180"/>
              <w:spacing w:after="0"/>
              <w:rPr>
                <w:sz w:val="20"/>
                <w:szCs w:val="20"/>
                <w:color w:val="auto"/>
              </w:rPr>
            </w:pPr>
            <w:r>
              <w:rPr>
                <w:rFonts w:ascii="Arial" w:cs="Arial" w:eastAsia="Arial" w:hAnsi="Arial"/>
                <w:sz w:val="11"/>
                <w:szCs w:val="11"/>
                <w:color w:val="auto"/>
              </w:rPr>
              <w:t>commissions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(1,716)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1"/>
                <w:szCs w:val="11"/>
                <w:color w:val="auto"/>
              </w:rPr>
              <w:t>(2,841)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(4,557)</w:t>
            </w:r>
          </w:p>
        </w:tc>
        <w:tc>
          <w:tcPr>
            <w:tcW w:w="80" w:type="dxa"/>
            <w:vAlign w:val="bottom"/>
          </w:tcPr>
          <w:p>
            <w:pPr>
              <w:spacing w:after="0"/>
              <w:rPr>
                <w:sz w:val="11"/>
                <w:szCs w:val="1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1"/>
                <w:szCs w:val="11"/>
                <w:color w:val="auto"/>
              </w:rPr>
              <w:t>(1,656)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(3,377)</w:t>
            </w:r>
          </w:p>
        </w:tc>
        <w:tc>
          <w:tcPr>
            <w:tcW w:w="8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(5,033)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(828)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(6,678)</w:t>
            </w:r>
          </w:p>
        </w:tc>
        <w:tc>
          <w:tcPr>
            <w:tcW w:w="8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(7,506)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(95)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(7,213)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(7,308)</w:t>
            </w:r>
          </w:p>
        </w:tc>
      </w:tr>
      <w:tr>
        <w:trPr>
          <w:trHeight w:val="112"/>
        </w:trPr>
        <w:tc>
          <w:tcPr>
            <w:tcW w:w="9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Vessel operating</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31"/>
        </w:trPr>
        <w:tc>
          <w:tcPr>
            <w:tcW w:w="9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(22,207)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(43,479)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(65,686)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(20,580)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(55,692)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(76,272)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(12,245)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(61,452)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(73,697)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(1,513)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(75,229)</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(76,742)</w:t>
            </w:r>
          </w:p>
        </w:tc>
      </w:tr>
      <w:tr>
        <w:trPr>
          <w:trHeight w:val="121"/>
        </w:trPr>
        <w:tc>
          <w:tcPr>
            <w:tcW w:w="920" w:type="dxa"/>
            <w:vAlign w:val="bottom"/>
          </w:tcPr>
          <w:p>
            <w:pPr>
              <w:spacing w:after="0" w:line="122" w:lineRule="exact"/>
              <w:rPr>
                <w:sz w:val="20"/>
                <w:szCs w:val="20"/>
                <w:color w:val="auto"/>
              </w:rPr>
            </w:pPr>
            <w:r>
              <w:rPr>
                <w:rFonts w:ascii="Arial" w:cs="Arial" w:eastAsia="Arial" w:hAnsi="Arial"/>
                <w:sz w:val="11"/>
                <w:szCs w:val="11"/>
                <w:color w:val="auto"/>
              </w:rPr>
              <w:t>Depreciation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(28,067)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(45,230)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(73,297)</w:t>
            </w:r>
          </w:p>
        </w:tc>
        <w:tc>
          <w:tcPr>
            <w:tcW w:w="80" w:type="dxa"/>
            <w:vAlign w:val="bottom"/>
          </w:tcPr>
          <w:p>
            <w:pPr>
              <w:spacing w:after="0"/>
              <w:rPr>
                <w:sz w:val="10"/>
                <w:szCs w:val="10"/>
                <w:color w:val="auto"/>
              </w:rPr>
            </w:pPr>
          </w:p>
        </w:tc>
        <w:tc>
          <w:tcPr>
            <w:tcW w:w="7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(28,855)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(58,193)</w:t>
            </w:r>
          </w:p>
        </w:tc>
        <w:tc>
          <w:tcPr>
            <w:tcW w:w="8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(87,048)</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(14,433)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(73,151)</w:t>
            </w:r>
          </w:p>
        </w:tc>
        <w:tc>
          <w:tcPr>
            <w:tcW w:w="80" w:type="dxa"/>
            <w:vAlign w:val="bottom"/>
          </w:tcPr>
          <w:p>
            <w:pPr>
              <w:spacing w:after="0"/>
              <w:rPr>
                <w:sz w:val="10"/>
                <w:szCs w:val="10"/>
                <w:color w:val="auto"/>
              </w:rPr>
            </w:pPr>
          </w:p>
        </w:tc>
        <w:tc>
          <w:tcPr>
            <w:tcW w:w="6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(87,584)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(1,490)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(87,819)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(89,309)</w:t>
            </w:r>
          </w:p>
        </w:tc>
      </w:tr>
      <w:tr>
        <w:trPr>
          <w:trHeight w:val="112"/>
        </w:trPr>
        <w:tc>
          <w:tcPr>
            <w:tcW w:w="9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General and</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21"/>
        </w:trPr>
        <w:tc>
          <w:tcPr>
            <w:tcW w:w="92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administrative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31"/>
        </w:trPr>
        <w:tc>
          <w:tcPr>
            <w:tcW w:w="9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expenses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(11,219)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(13,437)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(13,869)</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(15,719)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(849)</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(18,905)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(19,754)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(19,305)</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(19,401)</w:t>
            </w:r>
          </w:p>
        </w:tc>
      </w:tr>
      <w:tr>
        <w:trPr>
          <w:trHeight w:val="112"/>
        </w:trPr>
        <w:tc>
          <w:tcPr>
            <w:tcW w:w="920" w:type="dxa"/>
            <w:vAlign w:val="bottom"/>
          </w:tcPr>
          <w:p>
            <w:pPr>
              <w:spacing w:after="0" w:line="112" w:lineRule="exact"/>
              <w:rPr>
                <w:sz w:val="20"/>
                <w:szCs w:val="20"/>
                <w:color w:val="auto"/>
              </w:rPr>
            </w:pPr>
            <w:r>
              <w:rPr>
                <w:rFonts w:ascii="Arial" w:cs="Arial" w:eastAsia="Arial" w:hAnsi="Arial"/>
                <w:sz w:val="11"/>
                <w:szCs w:val="11"/>
                <w:color w:val="auto"/>
                <w:w w:val="96"/>
              </w:rPr>
              <w:t>Impairment loss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920" w:type="dxa"/>
            <w:vAlign w:val="bottom"/>
          </w:tcPr>
          <w:p>
            <w:pPr>
              <w:ind w:left="180"/>
              <w:spacing w:after="0"/>
              <w:rPr>
                <w:sz w:val="20"/>
                <w:szCs w:val="20"/>
                <w:color w:val="auto"/>
              </w:rPr>
            </w:pPr>
            <w:r>
              <w:rPr>
                <w:rFonts w:ascii="Arial" w:cs="Arial" w:eastAsia="Arial" w:hAnsi="Arial"/>
                <w:sz w:val="11"/>
                <w:szCs w:val="11"/>
                <w:color w:val="auto"/>
              </w:rPr>
              <w:t>vessels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(138,848)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(138,848)</w:t>
            </w:r>
          </w:p>
        </w:tc>
      </w:tr>
      <w:tr>
        <w:trPr>
          <w:trHeight w:val="88"/>
        </w:trPr>
        <w:tc>
          <w:tcPr>
            <w:tcW w:w="9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Profit from</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r>
        <w:trPr>
          <w:trHeight w:val="135"/>
        </w:trPr>
        <w:tc>
          <w:tcPr>
            <w:tcW w:w="92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operations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72,323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103,655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175,978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79,794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137,940</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217,734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37,855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160,505</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198,360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4,366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43,771</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48,137</w:t>
            </w:r>
          </w:p>
        </w:tc>
      </w:tr>
      <w:tr>
        <w:trPr>
          <w:trHeight w:val="115"/>
        </w:trPr>
        <w:tc>
          <w:tcPr>
            <w:tcW w:w="920" w:type="dxa"/>
            <w:vAlign w:val="bottom"/>
          </w:tcPr>
          <w:p>
            <w:pPr>
              <w:spacing w:after="0" w:line="115" w:lineRule="exact"/>
              <w:rPr>
                <w:sz w:val="20"/>
                <w:szCs w:val="20"/>
                <w:color w:val="auto"/>
              </w:rPr>
            </w:pPr>
            <w:r>
              <w:rPr>
                <w:rFonts w:ascii="Arial" w:cs="Arial" w:eastAsia="Arial" w:hAnsi="Arial"/>
                <w:sz w:val="11"/>
                <w:szCs w:val="11"/>
                <w:color w:val="auto"/>
              </w:rPr>
              <w:t>Financial costs</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(32,781)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(30,187)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(62,968)</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(25,877)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(44,916)</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(70,793)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(12,456)</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(60,258)</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(72,714)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(1,730)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(70,268)</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(71,998)</w:t>
            </w:r>
          </w:p>
        </w:tc>
        <w:tc>
          <w:tcPr>
            <w:tcW w:w="100" w:type="dxa"/>
            <w:vAlign w:val="bottom"/>
          </w:tcPr>
          <w:p>
            <w:pPr>
              <w:spacing w:after="0"/>
              <w:rPr>
                <w:sz w:val="10"/>
                <w:szCs w:val="10"/>
                <w:color w:val="auto"/>
              </w:rPr>
            </w:pPr>
          </w:p>
        </w:tc>
      </w:tr>
      <w:tr>
        <w:trPr>
          <w:trHeight w:val="121"/>
        </w:trPr>
        <w:tc>
          <w:tcPr>
            <w:tcW w:w="92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Financial income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179</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214</w:t>
            </w: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972</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1,036</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2,398</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2,448</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1,873</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1,887</w:t>
            </w:r>
          </w:p>
        </w:tc>
      </w:tr>
      <w:tr>
        <w:trPr>
          <w:trHeight w:val="112"/>
        </w:trPr>
        <w:tc>
          <w:tcPr>
            <w:tcW w:w="920" w:type="dxa"/>
            <w:vAlign w:val="bottom"/>
          </w:tcPr>
          <w:p>
            <w:pPr>
              <w:spacing w:after="0" w:line="112" w:lineRule="exact"/>
              <w:rPr>
                <w:sz w:val="20"/>
                <w:szCs w:val="20"/>
                <w:color w:val="auto"/>
              </w:rPr>
            </w:pPr>
            <w:r>
              <w:rPr>
                <w:rFonts w:ascii="Arial" w:cs="Arial" w:eastAsia="Arial" w:hAnsi="Arial"/>
                <w:sz w:val="11"/>
                <w:szCs w:val="11"/>
                <w:color w:val="auto"/>
              </w:rPr>
              <w:t>(Loss)/gain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920" w:type="dxa"/>
            <w:vAlign w:val="bottom"/>
          </w:tcPr>
          <w:p>
            <w:pPr>
              <w:ind w:left="180"/>
              <w:spacing w:after="0"/>
              <w:rPr>
                <w:sz w:val="20"/>
                <w:szCs w:val="20"/>
                <w:color w:val="auto"/>
              </w:rPr>
            </w:pPr>
            <w:r>
              <w:rPr>
                <w:rFonts w:ascii="Arial" w:cs="Arial" w:eastAsia="Arial" w:hAnsi="Arial"/>
                <w:sz w:val="11"/>
                <w:szCs w:val="11"/>
                <w:color w:val="auto"/>
              </w:rPr>
              <w:t>derivatives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1"/>
                <w:szCs w:val="11"/>
                <w:color w:val="auto"/>
              </w:rPr>
              <w:t>(10,460)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3,623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(6,837)</w:t>
            </w:r>
          </w:p>
        </w:tc>
        <w:tc>
          <w:tcPr>
            <w:tcW w:w="8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1"/>
                <w:szCs w:val="11"/>
                <w:color w:val="auto"/>
              </w:rPr>
              <w:t>(48)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auto"/>
              </w:rPr>
              <w:t>(12,795)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(12,795)</w:t>
            </w:r>
          </w:p>
        </w:tc>
      </w:tr>
      <w:tr>
        <w:trPr>
          <w:trHeight w:val="88"/>
        </w:trPr>
        <w:tc>
          <w:tcPr>
            <w:tcW w:w="92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b w:val="1"/>
                <w:bCs w:val="1"/>
                <w:color w:val="auto"/>
              </w:rPr>
              <w:t>Total other</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r>
      <w:tr>
        <w:trPr>
          <w:trHeight w:val="135"/>
        </w:trPr>
        <w:tc>
          <w:tcPr>
            <w:tcW w:w="920" w:type="dxa"/>
            <w:vAlign w:val="bottom"/>
            <w:shd w:val="clear" w:color="auto" w:fill="CCEEFF"/>
          </w:tcPr>
          <w:p>
            <w:pPr>
              <w:ind w:left="180"/>
              <w:spacing w:after="0"/>
              <w:rPr>
                <w:sz w:val="20"/>
                <w:szCs w:val="20"/>
                <w:color w:val="auto"/>
              </w:rPr>
            </w:pPr>
            <w:r>
              <w:rPr>
                <w:rFonts w:ascii="Arial" w:cs="Arial" w:eastAsia="Arial" w:hAnsi="Arial"/>
                <w:sz w:val="11"/>
                <w:szCs w:val="11"/>
                <w:b w:val="1"/>
                <w:bCs w:val="1"/>
                <w:color w:val="auto"/>
              </w:rPr>
              <w:t>expenses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(43,206)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(26,385)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(69,591)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(25,813)</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(43,823)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(69,636)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(12,406)</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(57,908)</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(70,314)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(1,716)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(81,190)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(82,906)</w:t>
            </w:r>
          </w:p>
        </w:tc>
      </w:tr>
      <w:tr>
        <w:trPr>
          <w:trHeight w:val="88"/>
        </w:trPr>
        <w:tc>
          <w:tcPr>
            <w:tcW w:w="920" w:type="dxa"/>
            <w:vAlign w:val="bottom"/>
          </w:tcPr>
          <w:p>
            <w:pPr>
              <w:spacing w:after="0" w:line="88" w:lineRule="exact"/>
              <w:rPr>
                <w:sz w:val="20"/>
                <w:szCs w:val="20"/>
                <w:color w:val="auto"/>
              </w:rPr>
            </w:pPr>
            <w:r>
              <w:rPr>
                <w:rFonts w:ascii="Arial" w:cs="Arial" w:eastAsia="Arial" w:hAnsi="Arial"/>
                <w:sz w:val="10"/>
                <w:szCs w:val="10"/>
                <w:b w:val="1"/>
                <w:bCs w:val="1"/>
                <w:color w:val="auto"/>
              </w:rPr>
              <w:t>Profit/(loss) for</w:t>
            </w:r>
          </w:p>
        </w:tc>
        <w:tc>
          <w:tcPr>
            <w:tcW w:w="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r>
      <w:tr>
        <w:trPr>
          <w:trHeight w:val="135"/>
        </w:trPr>
        <w:tc>
          <w:tcPr>
            <w:tcW w:w="920" w:type="dxa"/>
            <w:vAlign w:val="bottom"/>
          </w:tcPr>
          <w:p>
            <w:pPr>
              <w:ind w:left="180"/>
              <w:spacing w:after="0"/>
              <w:rPr>
                <w:sz w:val="20"/>
                <w:szCs w:val="20"/>
                <w:color w:val="auto"/>
              </w:rPr>
            </w:pPr>
            <w:r>
              <w:rPr>
                <w:rFonts w:ascii="Arial" w:cs="Arial" w:eastAsia="Arial" w:hAnsi="Arial"/>
                <w:sz w:val="11"/>
                <w:szCs w:val="11"/>
                <w:b w:val="1"/>
                <w:bCs w:val="1"/>
                <w:color w:val="auto"/>
              </w:rPr>
              <w:t>the year</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29,117</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77,270</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106,387</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53,981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94,117</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148,098</w:t>
            </w:r>
          </w:p>
        </w:tc>
        <w:tc>
          <w:tcPr>
            <w:tcW w:w="80" w:type="dxa"/>
            <w:vAlign w:val="bottom"/>
          </w:tcPr>
          <w:p>
            <w:pPr>
              <w:spacing w:after="0"/>
              <w:rPr>
                <w:sz w:val="11"/>
                <w:szCs w:val="1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25,449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102,597</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128,046</w:t>
            </w:r>
          </w:p>
        </w:tc>
        <w:tc>
          <w:tcPr>
            <w:tcW w:w="80" w:type="dxa"/>
            <w:vAlign w:val="bottom"/>
          </w:tcPr>
          <w:p>
            <w:pPr>
              <w:spacing w:after="0"/>
              <w:rPr>
                <w:sz w:val="11"/>
                <w:szCs w:val="1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2,650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(37,419)</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(34,769)</w:t>
            </w:r>
          </w:p>
        </w:tc>
      </w:tr>
      <w:tr>
        <w:trPr>
          <w:trHeight w:val="61"/>
        </w:trPr>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720" w:type="dxa"/>
            <w:vAlign w:val="bottom"/>
            <w:tcBorders>
              <w:top w:val="single" w:sz="8" w:color="auto"/>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70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580" w:type="dxa"/>
            <w:vAlign w:val="bottom"/>
            <w:tcBorders>
              <w:top w:val="single" w:sz="8" w:color="auto"/>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740" w:type="dxa"/>
            <w:vAlign w:val="bottom"/>
            <w:tcBorders>
              <w:top w:val="single" w:sz="8" w:color="auto"/>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62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580" w:type="dxa"/>
            <w:vAlign w:val="bottom"/>
            <w:tcBorders>
              <w:top w:val="single" w:sz="8" w:color="auto"/>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76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500" w:type="dxa"/>
            <w:vAlign w:val="bottom"/>
            <w:tcBorders>
              <w:top w:val="single" w:sz="8" w:color="auto"/>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20-F/A and that it has duly caused and authorized the undersigned to sign this Amendment on its behalf.</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ind w:left="564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J. OREKAR</w:t>
      </w:r>
    </w:p>
    <w:p>
      <w:pPr>
        <w:spacing w:after="0" w:line="117" w:lineRule="exact"/>
        <w:rPr>
          <w:sz w:val="20"/>
          <w:szCs w:val="20"/>
          <w:color w:val="auto"/>
        </w:rPr>
      </w:pPr>
    </w:p>
    <w:p>
      <w:pPr>
        <w:ind w:left="6020"/>
        <w:spacing w:after="0"/>
        <w:tabs>
          <w:tab w:leader="none" w:pos="6720" w:val="left"/>
        </w:tabs>
        <w:rPr>
          <w:sz w:val="20"/>
          <w:szCs w:val="20"/>
          <w:color w:val="auto"/>
        </w:rPr>
      </w:pPr>
      <w:r>
        <w:rPr>
          <w:rFonts w:ascii="Arial" w:cs="Arial" w:eastAsia="Arial" w:hAnsi="Arial"/>
          <w:sz w:val="18"/>
          <w:szCs w:val="18"/>
          <w:color w:val="auto"/>
        </w:rPr>
        <w:t>Name:</w:t>
        <w:tab/>
        <w:t>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-130175</wp:posOffset>
            </wp:positionV>
            <wp:extent cx="33089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120"/>
      </w:cols>
      <w:pgMar w:left="32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2020-06-04T15:31:44Z</dcterms:created>
  <dcterms:modified xsi:type="dcterms:W3CDTF">2020-06-04T15:31:44Z</dcterms:modified>
</cp:coreProperties>
</file>