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14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ab/>
        <w:t xml:space="preserve">Form 40-F </w:t>
      </w:r>
      <w:r>
        <w:rPr>
          <w:rFonts w:ascii="Arial" w:cs="Arial" w:eastAsia="Arial" w:hAnsi="Arial"/>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ind w:left="380"/>
        <w:spacing w:after="0"/>
        <w:rPr>
          <w:sz w:val="20"/>
          <w:szCs w:val="20"/>
          <w:color w:val="auto"/>
        </w:rPr>
      </w:pPr>
      <w:r>
        <w:rPr>
          <w:rFonts w:ascii="Times New Roman" w:cs="Times New Roman" w:eastAsia="Times New Roman" w:hAnsi="Times New Roman"/>
          <w:sz w:val="16"/>
          <w:szCs w:val="16"/>
          <w:color w:val="auto"/>
        </w:rPr>
        <w:t>The press release issued by GasLog Partners LP on May 10, 2024 relating to its results for the three-month period ended March 31, 2024 is attached hereto as Exhibit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99.1.</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EXHIBIT LIST</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of GasLog Partners LP dated 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9"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right="80" w:firstLine="37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10, 2024</w:t>
      </w:r>
    </w:p>
    <w:p>
      <w:pPr>
        <w:spacing w:after="0" w:line="24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GASLOG PARTNERS LP</w:t>
      </w:r>
    </w:p>
    <w:p>
      <w:pPr>
        <w:spacing w:after="0" w:line="248" w:lineRule="exact"/>
        <w:rPr>
          <w:sz w:val="20"/>
          <w:szCs w:val="20"/>
          <w:color w:val="auto"/>
        </w:rPr>
      </w:pPr>
    </w:p>
    <w:p>
      <w:pPr>
        <w:ind w:left="6420"/>
        <w:spacing w:after="0"/>
        <w:tabs>
          <w:tab w:leader="none" w:pos="674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3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Paolo Enoizi</w:t>
            </w:r>
          </w:p>
        </w:tc>
        <w:tc>
          <w:tcPr>
            <w:tcW w:w="660" w:type="dxa"/>
            <w:vAlign w:val="bottom"/>
          </w:tcPr>
          <w:p>
            <w:pPr>
              <w:spacing w:after="0"/>
              <w:rPr>
                <w:sz w:val="17"/>
                <w:szCs w:val="17"/>
                <w:color w:val="auto"/>
              </w:rPr>
            </w:pPr>
          </w:p>
        </w:tc>
      </w:tr>
      <w:tr>
        <w:trPr>
          <w:trHeight w:val="210"/>
        </w:trPr>
        <w:tc>
          <w:tcPr>
            <w:tcW w:w="67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c>
          <w:tcPr>
            <w:tcW w:w="660" w:type="dxa"/>
            <w:vAlign w:val="bottom"/>
          </w:tcPr>
          <w:p>
            <w:pPr>
              <w:spacing w:after="0"/>
              <w:rPr>
                <w:sz w:val="18"/>
                <w:szCs w:val="18"/>
                <w:color w:val="auto"/>
              </w:rPr>
            </w:pPr>
          </w:p>
        </w:tc>
      </w:tr>
      <w:tr>
        <w:trPr>
          <w:trHeight w:val="438"/>
        </w:trPr>
        <w:tc>
          <w:tcPr>
            <w:tcW w:w="6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Partners LP Reports Financial Results for the Three-Month Period Ended March 31, 2024</w:t>
      </w:r>
    </w:p>
    <w:p>
      <w:pPr>
        <w:spacing w:after="0" w:line="221"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Majuro, Marshall Islands, May 10, 2024, GasLog Partners LP (“GasLog Partners” or the “Partnership”) (NYSE: GLOP-PA, GLOP-PB, GLOP-PC), </w:t>
      </w:r>
      <w:r>
        <w:rPr>
          <w:rFonts w:ascii="Times New Roman" w:cs="Times New Roman" w:eastAsia="Times New Roman" w:hAnsi="Times New Roman"/>
          <w:sz w:val="16"/>
          <w:szCs w:val="16"/>
          <w:color w:val="auto"/>
        </w:rPr>
        <w:t>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international owner, operator and acquirer of liquefied natural gas (“LNG”) carriers, today reported its financial results for the three-month period ended March 31, 2024.</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GasLog Partners Dividend Declarations</w:t>
      </w:r>
    </w:p>
    <w:p>
      <w:pPr>
        <w:spacing w:after="0" w:line="223" w:lineRule="exact"/>
        <w:rPr>
          <w:sz w:val="20"/>
          <w:szCs w:val="20"/>
          <w:color w:val="auto"/>
        </w:rPr>
      </w:pPr>
    </w:p>
    <w:p>
      <w:pPr>
        <w:ind w:right="140" w:firstLine="405"/>
        <w:spacing w:after="0" w:line="269" w:lineRule="auto"/>
        <w:rPr>
          <w:sz w:val="20"/>
          <w:szCs w:val="20"/>
          <w:color w:val="auto"/>
        </w:rPr>
      </w:pPr>
      <w:r>
        <w:rPr>
          <w:rFonts w:ascii="Times New Roman" w:cs="Times New Roman" w:eastAsia="Times New Roman" w:hAnsi="Times New Roman"/>
          <w:sz w:val="16"/>
          <w:szCs w:val="16"/>
          <w:color w:val="auto"/>
        </w:rPr>
        <w:t>On February 26, 2024, the board of directors of GasLog Partners approved and declared a distribution on the 8.625% Series A Cumulative Redeemable Perpetual Fixed to Floating Rate Preference Units (“Series A Preference Units”) of $0.5390625 per preference unit (based on the fixed rate), a distribution on the 8.200% Series B Cumulative Redeemable Perpetual Fixed to Floating Rate Preference Units (“Series B Preference Units”) of $0.7253680 per preference unit (based on a floating rate equal to the Term Secured Overnight Financing Rate (“SOFR”) for a three month tenor published by the Chicago Mercantile Exchange (“CME”) of 5.37774% plus 0.26161% of Credit Adjustment Spread (“CAS”) and spread of 5.839% per annum) and a distribution on the 8.500% Series C Cumulative Redeemable Perpetual Fixed to Floating Rate Preference Units (“Series C Preference Units”) of $0.53125 per preference unit (based on the fixed rate). The cash distributions were paid on March 15, 2024 to all unitholders of record as of March 8, 2024.</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On March 28, 2024, the board of directors of GasLog Partners approved and declared a quarterly cash distribution of $3.37 per common unit to GasLog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(“GasLog”) that was settled during the quarter ended March 31, 2024.</w:t>
      </w:r>
    </w:p>
    <w:p>
      <w:pPr>
        <w:spacing w:after="0" w:line="213" w:lineRule="exact"/>
        <w:rPr>
          <w:sz w:val="20"/>
          <w:szCs w:val="20"/>
          <w:color w:val="auto"/>
        </w:rPr>
      </w:pPr>
    </w:p>
    <w:p>
      <w:pPr>
        <w:ind w:right="80" w:firstLine="405"/>
        <w:spacing w:after="0" w:line="272" w:lineRule="auto"/>
        <w:rPr>
          <w:sz w:val="20"/>
          <w:szCs w:val="20"/>
          <w:color w:val="auto"/>
        </w:rPr>
      </w:pPr>
      <w:r>
        <w:rPr>
          <w:rFonts w:ascii="Times New Roman" w:cs="Times New Roman" w:eastAsia="Times New Roman" w:hAnsi="Times New Roman"/>
          <w:sz w:val="16"/>
          <w:szCs w:val="16"/>
          <w:color w:val="auto"/>
        </w:rPr>
        <w:t>On May 9, 2024, the board of directors of GasLog Partners approved and declared a distribution on the Series A Preference Units of $0.5390625 per preference unit (based on the fixed rate), a distribution on the Series B Preference Units of $0.7302596 per preference unit (based on a floating rate equal to the three-month Term SOFR as published by the CME of 5.32954% plus 0.26161% of CAS and spread of 5.839% per annum) and a distribution on the Series C Preference Units of $0.6969096 per preference unit (based on a floating rate equal to the three-month Term SOFR as published by the CME of 5.32954% plus 0.26161% of CAS and spread of 5.317% per annum). The cash distributions are payable on June 17, 2024 to all unitholders of record as of June 10,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Quarterly Financial Results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of U.S. dollars</w:t>
            </w:r>
          </w:p>
        </w:tc>
        <w:tc>
          <w:tcPr>
            <w:tcW w:w="38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460" w:type="dxa"/>
            <w:vAlign w:val="bottom"/>
          </w:tcPr>
          <w:p>
            <w:pPr>
              <w:spacing w:after="0"/>
              <w:rPr>
                <w:sz w:val="20"/>
                <w:szCs w:val="20"/>
                <w:color w:val="auto"/>
              </w:rPr>
            </w:pPr>
          </w:p>
        </w:tc>
      </w:tr>
      <w:tr>
        <w:trPr>
          <w:trHeight w:val="212"/>
        </w:trPr>
        <w:tc>
          <w:tcPr>
            <w:tcW w:w="834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02"/>
        </w:trPr>
        <w:tc>
          <w:tcPr>
            <w:tcW w:w="83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tcBorders>
              <w:top w:val="single" w:sz="8" w:color="auto"/>
            </w:tcBorders>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99,069</w:t>
            </w:r>
          </w:p>
        </w:tc>
        <w:tc>
          <w:tcPr>
            <w:tcW w:w="34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w w:val="99"/>
              </w:rPr>
              <w:t>98,094</w:t>
            </w:r>
          </w:p>
        </w:tc>
      </w:tr>
      <w:tr>
        <w:trPr>
          <w:trHeight w:val="210"/>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340" w:type="dxa"/>
            <w:vAlign w:val="bottom"/>
          </w:tcPr>
          <w:p>
            <w:pPr>
              <w:spacing w:after="0"/>
              <w:rPr>
                <w:sz w:val="18"/>
                <w:szCs w:val="18"/>
                <w:color w:val="auto"/>
              </w:rPr>
            </w:pPr>
          </w:p>
        </w:tc>
        <w:tc>
          <w:tcPr>
            <w:tcW w:w="8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49,952</w:t>
            </w:r>
          </w:p>
        </w:tc>
      </w:tr>
    </w:tbl>
    <w:p>
      <w:pPr>
        <w:spacing w:after="0" w:line="194" w:lineRule="exact"/>
        <w:rPr>
          <w:sz w:val="20"/>
          <w:szCs w:val="20"/>
          <w:color w:val="auto"/>
        </w:rPr>
      </w:pPr>
    </w:p>
    <w:p>
      <w:pPr>
        <w:jc w:val="both"/>
        <w:ind w:right="120" w:firstLine="383"/>
        <w:spacing w:after="0" w:line="281" w:lineRule="auto"/>
        <w:rPr>
          <w:sz w:val="20"/>
          <w:szCs w:val="20"/>
          <w:color w:val="auto"/>
        </w:rPr>
      </w:pPr>
      <w:r>
        <w:rPr>
          <w:rFonts w:ascii="Times New Roman" w:cs="Times New Roman" w:eastAsia="Times New Roman" w:hAnsi="Times New Roman"/>
          <w:sz w:val="16"/>
          <w:szCs w:val="16"/>
          <w:color w:val="auto"/>
        </w:rPr>
        <w:t>Revenues were $98.1 million for the quarter ended March 31, 2024 ($99.1 million for the same period in 2023). The decrease of $1.0 million is mainly attributable to the 2023 fixtures, partially offset by the increase in available days resulting mainly from the absence of any off-hire days due to scheduled dry-dockings and repairs of our vessels in the first quarter of 2024 (compared to 44 days in the same period in 2023).</w:t>
      </w:r>
    </w:p>
    <w:p>
      <w:pPr>
        <w:spacing w:after="0" w:line="164" w:lineRule="exact"/>
        <w:rPr>
          <w:sz w:val="20"/>
          <w:szCs w:val="20"/>
          <w:color w:val="auto"/>
        </w:rPr>
      </w:pPr>
    </w:p>
    <w:p>
      <w:pPr>
        <w:ind w:right="340" w:firstLine="383"/>
        <w:spacing w:after="0" w:line="275" w:lineRule="auto"/>
        <w:rPr>
          <w:sz w:val="20"/>
          <w:szCs w:val="20"/>
          <w:color w:val="auto"/>
        </w:rPr>
      </w:pPr>
      <w:r>
        <w:rPr>
          <w:rFonts w:ascii="Times New Roman" w:cs="Times New Roman" w:eastAsia="Times New Roman" w:hAnsi="Times New Roman"/>
          <w:sz w:val="16"/>
          <w:szCs w:val="16"/>
          <w:color w:val="auto"/>
        </w:rPr>
        <w:t>Profit was $50.0 million for the quarter ended March 31, 2024 ($36.4 million for the same period in 2023). The increase in profit of $13.6 million is mainly attributable to a decrease of $14.2 million in net financial costs due to the debt prepayment in November 2023, a decrease of $1.2 million in general and administrative expenses mainly from the absence of transaction costs incurred in the first quarter of 2023 in relation to the evaluation of the GasLog’s offer to acquire the Partnership’s outstanding common units and the $1.0 million loss from disposal of vessel in 2023, partially offset by an increase of $2.5 million in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13"/>
        </w:trPr>
        <w:tc>
          <w:tcPr>
            <w:tcW w:w="8360" w:type="dxa"/>
            <w:vAlign w:val="bottom"/>
            <w:tcBorders>
              <w:top w:val="single" w:sz="8" w:color="E9FFFF"/>
              <w:right w:val="single" w:sz="8" w:color="E5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1,477,458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126,549</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116,029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1,605,995</w:t>
            </w:r>
          </w:p>
        </w:tc>
        <w:tc>
          <w:tcPr>
            <w:tcW w:w="2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1,582,589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24,444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Due from related parties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15,295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5,706</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11,887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tcBorders>
              <w:top w:val="single" w:sz="8" w:color="E5FFFF"/>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60,244</w:t>
            </w: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60,099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1,666,239</w:t>
            </w:r>
          </w:p>
        </w:tc>
        <w:tc>
          <w:tcPr>
            <w:tcW w:w="2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1,642,688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1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unitholders</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1,235,671</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1,221,559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4,676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Preference unitholders</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280,069</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280,543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1,520,416</w:t>
            </w:r>
          </w:p>
        </w:tc>
        <w:tc>
          <w:tcPr>
            <w:tcW w:w="2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1,505,827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9,330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42,188</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28,831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tcBorders>
              <w:top w:val="single" w:sz="8" w:color="E5FFFF"/>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80,349</w:t>
            </w: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78,956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65,077</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tcBorders>
              <w:top w:val="single" w:sz="8" w:color="E5FFFF"/>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65,474</w:t>
            </w: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57,905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1,666,239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1,642,688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83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4"/>
                <w:szCs w:val="24"/>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19"/>
        </w:trPr>
        <w:tc>
          <w:tcPr>
            <w:tcW w:w="8360" w:type="dxa"/>
            <w:vAlign w:val="bottom"/>
          </w:tcPr>
          <w:p>
            <w:pPr>
              <w:spacing w:after="0"/>
              <w:rPr>
                <w:sz w:val="19"/>
                <w:szCs w:val="19"/>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13"/>
        </w:trPr>
        <w:tc>
          <w:tcPr>
            <w:tcW w:w="83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99,069</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98,094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(15,926)</w:t>
            </w:r>
          </w:p>
        </w:tc>
        <w:tc>
          <w:tcPr>
            <w:tcW w:w="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vessel</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51,613</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(17,353)</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Borders>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derivatives</w:t>
            </w: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(15,238)</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right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36,375</w:t>
            </w:r>
          </w:p>
        </w:tc>
        <w:tc>
          <w:tcPr>
            <w:tcW w:w="20" w:type="dxa"/>
            <w:vAlign w:val="bottom"/>
            <w:tcBorders>
              <w:bottom w:val="single" w:sz="8" w:color="auto"/>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49,952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2024-05-10T05:49:29Z</dcterms:created>
  <dcterms:modified xsi:type="dcterms:W3CDTF">2024-05-10T05:49:29Z</dcterms:modified>
</cp:coreProperties>
</file>