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For the month of August 2023</w:t>
            </w:r>
          </w:p>
        </w:tc>
        <w:tc>
          <w:tcPr>
            <w:tcW w:w="1440" w:type="dxa"/>
            <w:vAlign w:val="bottom"/>
          </w:tcPr>
          <w:p>
            <w:pPr>
              <w:spacing w:after="0"/>
              <w:rPr>
                <w:sz w:val="20"/>
                <w:szCs w:val="20"/>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440" w:type="dxa"/>
            <w:vAlign w:val="bottom"/>
          </w:tcPr>
          <w:p>
            <w:pPr>
              <w:spacing w:after="0"/>
              <w:rPr>
                <w:sz w:val="24"/>
                <w:szCs w:val="24"/>
                <w:color w:val="auto"/>
              </w:rPr>
            </w:pPr>
          </w:p>
        </w:tc>
      </w:tr>
      <w:tr>
        <w:trPr>
          <w:trHeight w:val="418"/>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GasLog Partners LP</w:t>
            </w:r>
          </w:p>
        </w:tc>
        <w:tc>
          <w:tcPr>
            <w:tcW w:w="1440" w:type="dxa"/>
            <w:vAlign w:val="bottom"/>
          </w:tcPr>
          <w:p>
            <w:pPr>
              <w:spacing w:after="0"/>
              <w:rPr>
                <w:sz w:val="24"/>
                <w:szCs w:val="24"/>
                <w:color w:val="auto"/>
              </w:rPr>
            </w:pPr>
          </w:p>
        </w:tc>
      </w:tr>
      <w:tr>
        <w:trPr>
          <w:trHeight w:val="230"/>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1"/>
              </w:rPr>
              <w:t>(Translation of registrant’s name into English)</w:t>
            </w:r>
          </w:p>
        </w:tc>
        <w:tc>
          <w:tcPr>
            <w:tcW w:w="1440" w:type="dxa"/>
            <w:vAlign w:val="bottom"/>
          </w:tcPr>
          <w:p>
            <w:pPr>
              <w:spacing w:after="0"/>
              <w:rPr>
                <w:sz w:val="20"/>
                <w:szCs w:val="20"/>
                <w:color w:val="auto"/>
              </w:rPr>
            </w:pPr>
          </w:p>
        </w:tc>
      </w:tr>
      <w:tr>
        <w:trPr>
          <w:trHeight w:val="418"/>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2"/>
              </w:rPr>
              <w:t>c/o GasLog LNG Services Ltd.</w:t>
            </w:r>
          </w:p>
        </w:tc>
        <w:tc>
          <w:tcPr>
            <w:tcW w:w="1440" w:type="dxa"/>
            <w:vAlign w:val="bottom"/>
          </w:tcPr>
          <w:p>
            <w:pPr>
              <w:spacing w:after="0"/>
              <w:rPr>
                <w:sz w:val="24"/>
                <w:szCs w:val="24"/>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4"/>
              </w:rPr>
              <w:t>69 Akti Miaouli, 18537</w:t>
            </w:r>
          </w:p>
        </w:tc>
        <w:tc>
          <w:tcPr>
            <w:tcW w:w="1440" w:type="dxa"/>
            <w:vAlign w:val="bottom"/>
          </w:tcPr>
          <w:p>
            <w:pPr>
              <w:spacing w:after="0"/>
              <w:rPr>
                <w:sz w:val="18"/>
                <w:szCs w:val="18"/>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86"/>
              </w:rPr>
              <w:t>Piraeus, Greece</w:t>
            </w:r>
          </w:p>
        </w:tc>
        <w:tc>
          <w:tcPr>
            <w:tcW w:w="1440" w:type="dxa"/>
            <w:vAlign w:val="bottom"/>
          </w:tcPr>
          <w:p>
            <w:pPr>
              <w:spacing w:after="0"/>
              <w:rPr>
                <w:sz w:val="18"/>
                <w:szCs w:val="18"/>
                <w:color w:val="auto"/>
              </w:rPr>
            </w:pPr>
          </w:p>
        </w:tc>
      </w:tr>
      <w:tr>
        <w:trPr>
          <w:trHeight w:val="230"/>
        </w:trPr>
        <w:tc>
          <w:tcPr>
            <w:tcW w:w="9800" w:type="dxa"/>
            <w:vAlign w:val="bottom"/>
          </w:tcPr>
          <w:p>
            <w:pPr>
              <w:jc w:val="center"/>
              <w:ind w:left="1370"/>
              <w:spacing w:after="0"/>
              <w:rPr>
                <w:sz w:val="20"/>
                <w:szCs w:val="20"/>
                <w:color w:val="auto"/>
              </w:rPr>
            </w:pPr>
            <w:r>
              <w:rPr>
                <w:rFonts w:ascii="Arial" w:cs="Arial" w:eastAsia="Arial" w:hAnsi="Arial"/>
                <w:sz w:val="18"/>
                <w:szCs w:val="18"/>
                <w:color w:val="auto"/>
                <w:w w:val="92"/>
              </w:rPr>
              <w:t>(Address of principal executive office)</w:t>
            </w:r>
          </w:p>
        </w:tc>
        <w:tc>
          <w:tcPr>
            <w:tcW w:w="1440" w:type="dxa"/>
            <w:vAlign w:val="bottom"/>
          </w:tcPr>
          <w:p>
            <w:pPr>
              <w:spacing w:after="0"/>
              <w:rPr>
                <w:sz w:val="20"/>
                <w:szCs w:val="20"/>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40" w:type="dxa"/>
            <w:vAlign w:val="bottom"/>
          </w:tcPr>
          <w:p>
            <w:pPr>
              <w:spacing w:after="0"/>
              <w:rPr>
                <w:sz w:val="24"/>
                <w:szCs w:val="24"/>
                <w:color w:val="auto"/>
              </w:rPr>
            </w:pPr>
          </w:p>
        </w:tc>
      </w:tr>
      <w:tr>
        <w:trPr>
          <w:trHeight w:val="460"/>
        </w:trPr>
        <w:tc>
          <w:tcPr>
            <w:tcW w:w="980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440" w:type="dxa"/>
            <w:vAlign w:val="bottom"/>
          </w:tcPr>
          <w:p>
            <w:pPr>
              <w:spacing w:after="0"/>
              <w:rPr>
                <w:sz w:val="24"/>
                <w:szCs w:val="24"/>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242"/>
        </w:trPr>
        <w:tc>
          <w:tcPr>
            <w:tcW w:w="98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r>
      <w:tr>
        <w:trPr>
          <w:trHeight w:val="20"/>
        </w:trPr>
        <w:tc>
          <w:tcPr>
            <w:tcW w:w="9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85"/>
        </w:trPr>
        <w:tc>
          <w:tcPr>
            <w:tcW w:w="9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1" w:name="page2"/>
    <w:bookmarkEnd w:id="1"/>
    <w:p>
      <w:pPr>
        <w:ind w:right="160" w:firstLine="324"/>
        <w:spacing w:after="0" w:line="263" w:lineRule="auto"/>
        <w:rPr>
          <w:sz w:val="20"/>
          <w:szCs w:val="20"/>
          <w:color w:val="auto"/>
        </w:rPr>
      </w:pPr>
      <w:r>
        <w:rPr>
          <w:rFonts w:ascii="Arial" w:cs="Arial" w:eastAsia="Arial" w:hAnsi="Arial"/>
          <w:sz w:val="18"/>
          <w:szCs w:val="18"/>
          <w:color w:val="auto"/>
        </w:rPr>
        <w:t>The unaudited condensed consolidated statements of financial position, the unaudited condensed consolidated statements of profit or loss and the related selected notes to the unaudited condensed consolidated financial statements for the six months ended June 30, 2023 issued by GasLog Partners LP on August 3, 2023 are attached hereto as Exhibits 99.1, 99.2 and 99.3,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20" w:type="dxa"/>
            <w:vAlign w:val="bottom"/>
            <w:gridSpan w:val="4"/>
          </w:tcPr>
          <w:p>
            <w:pPr>
              <w:ind w:left="4040"/>
              <w:spacing w:after="0"/>
              <w:rPr>
                <w:sz w:val="20"/>
                <w:szCs w:val="20"/>
                <w:color w:val="auto"/>
              </w:rPr>
            </w:pPr>
            <w:r>
              <w:rPr>
                <w:rFonts w:ascii="Arial" w:cs="Arial" w:eastAsia="Arial" w:hAnsi="Arial"/>
                <w:sz w:val="18"/>
                <w:szCs w:val="18"/>
                <w:color w:val="auto"/>
              </w:rPr>
              <w:t>EXHIBIT LIST</w:t>
            </w: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460" w:type="dxa"/>
            <w:vAlign w:val="bottom"/>
            <w:gridSpan w:val="5"/>
          </w:tcPr>
          <w:p>
            <w:pPr>
              <w:ind w:left="240"/>
              <w:spacing w:after="0"/>
              <w:rPr>
                <w:sz w:val="20"/>
                <w:szCs w:val="20"/>
                <w:color w:val="auto"/>
              </w:rPr>
            </w:pPr>
            <w:r>
              <w:rPr>
                <w:rFonts w:ascii="Arial" w:cs="Arial" w:eastAsia="Arial" w:hAnsi="Arial"/>
                <w:sz w:val="18"/>
                <w:szCs w:val="18"/>
                <w:color w:val="auto"/>
              </w:rPr>
              <w:t>Description</w:t>
            </w: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24"/>
                <w:szCs w:val="24"/>
                <w:color w:val="auto"/>
              </w:rPr>
            </w:pPr>
          </w:p>
        </w:tc>
        <w:tc>
          <w:tcPr>
            <w:tcW w:w="10460" w:type="dxa"/>
            <w:vAlign w:val="bottom"/>
            <w:gridSpan w:val="5"/>
          </w:tcPr>
          <w:p>
            <w:pPr>
              <w:ind w:left="240"/>
              <w:spacing w:after="0"/>
              <w:rPr>
                <w:sz w:val="20"/>
                <w:szCs w:val="20"/>
                <w:color w:val="auto"/>
              </w:rPr>
            </w:pPr>
            <w:r>
              <w:rPr>
                <w:rFonts w:ascii="Arial" w:cs="Arial" w:eastAsia="Arial" w:hAnsi="Arial"/>
                <w:sz w:val="18"/>
                <w:szCs w:val="18"/>
                <w:color w:val="0000EE"/>
              </w:rPr>
              <w:t>Unaudited condensed consolidated statements of financial position</w:t>
            </w: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460" w:type="dxa"/>
            <w:vAlign w:val="bottom"/>
          </w:tcPr>
          <w:p>
            <w:pPr>
              <w:spacing w:after="0"/>
              <w:rPr>
                <w:sz w:val="24"/>
                <w:szCs w:val="24"/>
                <w:color w:val="auto"/>
              </w:rPr>
            </w:pPr>
          </w:p>
        </w:tc>
        <w:tc>
          <w:tcPr>
            <w:tcW w:w="10460" w:type="dxa"/>
            <w:vAlign w:val="bottom"/>
            <w:gridSpan w:val="5"/>
          </w:tcPr>
          <w:p>
            <w:pPr>
              <w:ind w:left="240"/>
              <w:spacing w:after="0"/>
              <w:rPr>
                <w:sz w:val="20"/>
                <w:szCs w:val="20"/>
                <w:color w:val="auto"/>
              </w:rPr>
            </w:pPr>
            <w:r>
              <w:rPr>
                <w:rFonts w:ascii="Arial" w:cs="Arial" w:eastAsia="Arial" w:hAnsi="Arial"/>
                <w:sz w:val="18"/>
                <w:szCs w:val="18"/>
                <w:color w:val="0000EE"/>
              </w:rPr>
              <w:t>Unaudited condensed consolidated statements of profit or loss</w:t>
            </w: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p>
        </w:tc>
        <w:tc>
          <w:tcPr>
            <w:tcW w:w="460" w:type="dxa"/>
            <w:vAlign w:val="bottom"/>
          </w:tcPr>
          <w:p>
            <w:pPr>
              <w:spacing w:after="0"/>
              <w:rPr>
                <w:sz w:val="24"/>
                <w:szCs w:val="24"/>
                <w:color w:val="auto"/>
              </w:rPr>
            </w:pPr>
          </w:p>
        </w:tc>
        <w:tc>
          <w:tcPr>
            <w:tcW w:w="10460" w:type="dxa"/>
            <w:vAlign w:val="bottom"/>
            <w:gridSpan w:val="5"/>
          </w:tcPr>
          <w:p>
            <w:pPr>
              <w:ind w:left="240"/>
              <w:spacing w:after="0"/>
              <w:rPr>
                <w:sz w:val="20"/>
                <w:szCs w:val="20"/>
                <w:color w:val="auto"/>
              </w:rPr>
            </w:pPr>
            <w:r>
              <w:rPr>
                <w:rFonts w:ascii="Arial" w:cs="Arial" w:eastAsia="Arial" w:hAnsi="Arial"/>
                <w:sz w:val="18"/>
                <w:szCs w:val="18"/>
                <w:color w:val="0000EE"/>
              </w:rPr>
              <w:t>Selected notes to the unaudited condensed consolidated financial statements</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2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Paolo Enoizi</w:t>
      </w:r>
    </w:p>
    <w:p>
      <w:pPr>
        <w:spacing w:after="0" w:line="23" w:lineRule="exact"/>
        <w:rPr>
          <w:sz w:val="20"/>
          <w:szCs w:val="20"/>
          <w:color w:val="auto"/>
        </w:rPr>
      </w:pPr>
    </w:p>
    <w:p>
      <w:pPr>
        <w:ind w:left="5960"/>
        <w:spacing w:after="0"/>
        <w:tabs>
          <w:tab w:leader="none" w:pos="6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432"/>
        </w:trPr>
        <w:tc>
          <w:tcPr>
            <w:tcW w:w="8320" w:type="dxa"/>
            <w:vAlign w:val="bottom"/>
          </w:tcPr>
          <w:p>
            <w:pPr>
              <w:spacing w:after="0"/>
              <w:rPr>
                <w:sz w:val="20"/>
                <w:szCs w:val="20"/>
                <w:color w:val="auto"/>
              </w:rPr>
            </w:pPr>
            <w:r>
              <w:rPr>
                <w:rFonts w:ascii="Arial" w:cs="Arial" w:eastAsia="Arial" w:hAnsi="Arial"/>
                <w:sz w:val="18"/>
                <w:szCs w:val="18"/>
                <w:b w:val="1"/>
                <w:bCs w:val="1"/>
                <w:color w:val="auto"/>
              </w:rPr>
              <w:t>GasLog Partners LP</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83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As of December 31, 2022 and June 30, 2023</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3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2022</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June 30, 2023</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Derivative financial instruments—non-current portion</w:t>
            </w:r>
          </w:p>
        </w:tc>
        <w:tc>
          <w:tcPr>
            <w:tcW w:w="1460" w:type="dxa"/>
            <w:vAlign w:val="bottom"/>
          </w:tcPr>
          <w:p>
            <w:pPr>
              <w:jc w:val="right"/>
              <w:spacing w:after="0"/>
              <w:rPr>
                <w:sz w:val="20"/>
                <w:szCs w:val="20"/>
                <w:color w:val="auto"/>
              </w:rPr>
            </w:pPr>
            <w:r>
              <w:rPr>
                <w:rFonts w:ascii="Arial" w:cs="Arial" w:eastAsia="Arial" w:hAnsi="Arial"/>
                <w:sz w:val="18"/>
                <w:szCs w:val="18"/>
                <w:color w:val="auto"/>
              </w:rPr>
              <w:t>1,136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Tangible fixed assets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1,677,771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1,500,308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Right-of-use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148,150</w:t>
            </w: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1,772,401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1,650,111</w:t>
            </w:r>
          </w:p>
        </w:tc>
      </w:tr>
      <w:tr>
        <w:trPr>
          <w:trHeight w:val="209"/>
        </w:trPr>
        <w:tc>
          <w:tcPr>
            <w:tcW w:w="8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Current assets</w:t>
            </w: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Inventories</w:t>
            </w:r>
          </w:p>
        </w:tc>
        <w:tc>
          <w:tcPr>
            <w:tcW w:w="1460" w:type="dxa"/>
            <w:vAlign w:val="bottom"/>
          </w:tcPr>
          <w:p>
            <w:pPr>
              <w:jc w:val="right"/>
              <w:spacing w:after="0"/>
              <w:rPr>
                <w:sz w:val="20"/>
                <w:szCs w:val="20"/>
                <w:color w:val="auto"/>
              </w:rPr>
            </w:pPr>
            <w:r>
              <w:rPr>
                <w:rFonts w:ascii="Arial" w:cs="Arial" w:eastAsia="Arial" w:hAnsi="Arial"/>
                <w:sz w:val="18"/>
                <w:szCs w:val="18"/>
                <w:color w:val="auto"/>
              </w:rPr>
              <w:t>2,894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3,107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3,392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3,328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portion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Short-term cash deposits</w:t>
            </w: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21,500</w:t>
            </w:r>
          </w:p>
        </w:tc>
      </w:tr>
      <w:tr>
        <w:trPr>
          <w:trHeight w:val="216"/>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198,122</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285,602</w:t>
            </w:r>
          </w:p>
        </w:tc>
      </w:tr>
      <w:tr>
        <w:trPr>
          <w:trHeight w:val="209"/>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243,033</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337,282</w:t>
            </w:r>
          </w:p>
        </w:tc>
      </w:tr>
      <w:tr>
        <w:trPr>
          <w:trHeight w:val="25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2,015,434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1,987,393</w:t>
            </w:r>
          </w:p>
        </w:tc>
      </w:tr>
      <w:tr>
        <w:trPr>
          <w:trHeight w:val="196"/>
        </w:trPr>
        <w:tc>
          <w:tcPr>
            <w:tcW w:w="83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Partners’ equity and liabilities</w:t>
            </w: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4"/>
              </w:rPr>
              <w:t>Common unitholders (51,687,865 units issued and outstanding as of December 31, 2022 and 51,796,759 units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issued and outstanding as of June 30, 2023)</w:t>
            </w:r>
          </w:p>
        </w:tc>
        <w:tc>
          <w:tcPr>
            <w:tcW w:w="1460" w:type="dxa"/>
            <w:vAlign w:val="bottom"/>
          </w:tcPr>
          <w:p>
            <w:pPr>
              <w:jc w:val="right"/>
              <w:spacing w:after="0"/>
              <w:rPr>
                <w:sz w:val="20"/>
                <w:szCs w:val="20"/>
                <w:color w:val="auto"/>
              </w:rPr>
            </w:pPr>
            <w:r>
              <w:rPr>
                <w:rFonts w:ascii="Arial" w:cs="Arial" w:eastAsia="Arial" w:hAnsi="Arial"/>
                <w:sz w:val="18"/>
                <w:szCs w:val="18"/>
                <w:color w:val="auto"/>
              </w:rPr>
              <w:t>668,953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725,532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(1,080,263 units issued and outstanding as of December 31, 2022 and June 30,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13,789</w:t>
            </w: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1"/>
              </w:rPr>
              <w:t>Preference unitholders (5,084,984 Series A Preference Units, 3,496,382 Series B Preference Units and 3,061,045</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Series C Preference Units issued and outstanding as of December 31, 2022 and June 30, 2023)</w:t>
            </w:r>
          </w:p>
        </w:tc>
        <w:tc>
          <w:tcPr>
            <w:tcW w:w="1460" w:type="dxa"/>
            <w:vAlign w:val="bottom"/>
          </w:tcPr>
          <w:p>
            <w:pPr>
              <w:jc w:val="right"/>
              <w:spacing w:after="0"/>
              <w:rPr>
                <w:sz w:val="20"/>
                <w:szCs w:val="20"/>
                <w:color w:val="auto"/>
              </w:rPr>
            </w:pPr>
            <w:r>
              <w:rPr>
                <w:rFonts w:ascii="Arial" w:cs="Arial" w:eastAsia="Arial" w:hAnsi="Arial"/>
                <w:sz w:val="18"/>
                <w:szCs w:val="18"/>
                <w:color w:val="auto"/>
              </w:rPr>
              <w:t>279,349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280,012</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partners’ equity</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960,910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1,019,333</w:t>
            </w: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460" w:type="dxa"/>
            <w:vAlign w:val="bottom"/>
          </w:tcPr>
          <w:p>
            <w:pPr>
              <w:jc w:val="right"/>
              <w:spacing w:after="0"/>
              <w:rPr>
                <w:sz w:val="20"/>
                <w:szCs w:val="20"/>
                <w:color w:val="auto"/>
              </w:rPr>
            </w:pPr>
            <w:r>
              <w:rPr>
                <w:rFonts w:ascii="Arial" w:cs="Arial" w:eastAsia="Arial" w:hAnsi="Arial"/>
                <w:sz w:val="18"/>
                <w:szCs w:val="18"/>
                <w:color w:val="auto"/>
              </w:rPr>
              <w:t>2,873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59,543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Borrowings—current portion</w:t>
            </w:r>
          </w:p>
        </w:tc>
        <w:tc>
          <w:tcPr>
            <w:tcW w:w="1460" w:type="dxa"/>
            <w:vAlign w:val="bottom"/>
          </w:tcPr>
          <w:p>
            <w:pPr>
              <w:jc w:val="right"/>
              <w:spacing w:after="0"/>
              <w:rPr>
                <w:sz w:val="20"/>
                <w:szCs w:val="20"/>
                <w:color w:val="auto"/>
              </w:rPr>
            </w:pPr>
            <w:r>
              <w:rPr>
                <w:rFonts w:ascii="Arial" w:cs="Arial" w:eastAsia="Arial" w:hAnsi="Arial"/>
                <w:sz w:val="18"/>
                <w:szCs w:val="18"/>
                <w:color w:val="auto"/>
              </w:rPr>
              <w:t>90,358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220,111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liabilities—current portion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28,133</w:t>
            </w: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177,230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317,336</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460" w:type="dxa"/>
            <w:vAlign w:val="bottom"/>
          </w:tcPr>
          <w:p>
            <w:pPr>
              <w:jc w:val="right"/>
              <w:spacing w:after="0"/>
              <w:rPr>
                <w:sz w:val="20"/>
                <w:szCs w:val="20"/>
                <w:color w:val="auto"/>
              </w:rPr>
            </w:pPr>
            <w:r>
              <w:rPr>
                <w:rFonts w:ascii="Arial" w:cs="Arial" w:eastAsia="Arial" w:hAnsi="Arial"/>
                <w:sz w:val="18"/>
                <w:szCs w:val="18"/>
                <w:color w:val="auto"/>
              </w:rPr>
              <w:t>831,588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570,521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liabilities—non-current portion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79,752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570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877,294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650,724</w:t>
            </w: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2,015,434</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1,987,393</w:t>
            </w:r>
          </w:p>
        </w:tc>
      </w:tr>
      <w:tr>
        <w:trPr>
          <w:trHeight w:val="20"/>
        </w:trPr>
        <w:tc>
          <w:tcPr>
            <w:tcW w:w="8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55"/>
        </w:trPr>
        <w:tc>
          <w:tcPr>
            <w:tcW w:w="8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 and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25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For the six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2023</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170,381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(2,172)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(2,642)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(3,633)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(19,047)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(37,621)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(22,224)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(24,815)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(44,211)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(47,527)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Loss on disposal of vessel</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vessel</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9,072</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47,531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47,818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99,144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(18,559)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3,510</w:t>
            </w: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on derivatives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(8,311)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(11,828)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(12,076)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and total comprehensive income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35,742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72,078</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80" w:type="dxa"/>
            <w:vAlign w:val="bottom"/>
            <w:tcBorders>
              <w:bottom w:val="single" w:sz="8" w:color="auto"/>
            </w:tcBorders>
          </w:tcPr>
          <w:p>
            <w:pPr>
              <w:spacing w:after="0"/>
              <w:rPr>
                <w:sz w:val="24"/>
                <w:szCs w:val="24"/>
                <w:color w:val="auto"/>
              </w:rPr>
            </w:pPr>
          </w:p>
        </w:tc>
        <w:tc>
          <w:tcPr>
            <w:tcW w:w="49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notes to the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2022 and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GasLog Partners LP (“GasLog Partners” or the “Partnership”) was formed as a limited partnership under the laws of the Marshall Islands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2014, as a wholly owned subsidiary of GasLog Ltd. (“GasLog”) for the purpose of initially acquiring the interests in three liquefied natural gas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(“LNG”) carriers that were contributed to the Partnership by GasLog in connection with the initial public offering of its common units (the “IPO”).</w:t>
      </w:r>
    </w:p>
    <w:p>
      <w:pPr>
        <w:spacing w:after="0" w:line="2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 As of June 30, 2023, the Partnership wholly owned 11 LNG vessels and operated three LNG vessels leased back under bareboat charters.</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January 24, 2023, the Partnership’s board of directors received an unsolicited non-binding proposal from GasLog to acquire all of the outstanding common units representing limited partner interests of the Partnership not already beneficially owned by GasLog. On April 6, 2023, the Partnership entered into an Agreement and Plan of Merger (the “Merger Agreement”) with GasLog Partners GP LLC, the general partner of the Partnership, GasLog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9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76"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and Exchange Commission, or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“Series A Preference Units”), 8.200% Series B Cumulative Redeemable Perpetual Fixed to Floating Rate Preference Units (the “Series B Preference Units”) and 8.500% Series C Cumulative Redeemable Perpetual Fixed to Floating Rate Preference Units (the “Series C Preference Units”) remain outstanding and continue to trade on the NYSE.</w:t>
      </w:r>
    </w:p>
    <w:p>
      <w:pPr>
        <w:spacing w:after="0" w:line="16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merger consideration was partially financed by the borrowing of a term loan in an aggregate principal amount of $50,000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new subsidiaries of the Partnership were established or acquired in the six months ended June 30,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Tangible Fixed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 in tangible fixed assets (i.e. vessels and their associated depot spares) is reported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 tangible</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Total tangible fixed</w:t>
            </w: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Vessels</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assets</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assets</w:t>
            </w:r>
          </w:p>
        </w:tc>
      </w:tr>
      <w:tr>
        <w:trPr>
          <w:trHeight w:val="190"/>
        </w:trPr>
        <w:tc>
          <w:tcPr>
            <w:tcW w:w="3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4"/>
              </w:rPr>
              <w:t>Cost</w:t>
            </w:r>
          </w:p>
        </w:tc>
        <w:tc>
          <w:tcPr>
            <w:tcW w:w="5940" w:type="dxa"/>
            <w:vAlign w:val="bottom"/>
            <w:tcBorders>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As of January 1, 2023</w:t>
            </w:r>
          </w:p>
        </w:tc>
        <w:tc>
          <w:tcPr>
            <w:tcW w:w="1340" w:type="dxa"/>
            <w:vAlign w:val="bottom"/>
          </w:tcPr>
          <w:p>
            <w:pPr>
              <w:jc w:val="right"/>
              <w:spacing w:after="0"/>
              <w:rPr>
                <w:sz w:val="20"/>
                <w:szCs w:val="20"/>
                <w:color w:val="auto"/>
              </w:rPr>
            </w:pPr>
            <w:r>
              <w:rPr>
                <w:rFonts w:ascii="Arial" w:cs="Arial" w:eastAsia="Arial" w:hAnsi="Arial"/>
                <w:sz w:val="18"/>
                <w:szCs w:val="18"/>
                <w:color w:val="auto"/>
              </w:rPr>
              <w:t>2,358,896</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5,612</w:t>
            </w:r>
          </w:p>
        </w:tc>
        <w:tc>
          <w:tcPr>
            <w:tcW w:w="1700" w:type="dxa"/>
            <w:vAlign w:val="bottom"/>
          </w:tcPr>
          <w:p>
            <w:pPr>
              <w:jc w:val="right"/>
              <w:spacing w:after="0"/>
              <w:rPr>
                <w:sz w:val="20"/>
                <w:szCs w:val="20"/>
                <w:color w:val="auto"/>
              </w:rPr>
            </w:pPr>
            <w:r>
              <w:rPr>
                <w:rFonts w:ascii="Arial" w:cs="Arial" w:eastAsia="Arial" w:hAnsi="Arial"/>
                <w:sz w:val="18"/>
                <w:szCs w:val="18"/>
                <w:color w:val="auto"/>
              </w:rPr>
              <w:t>2,364,508</w:t>
            </w: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Additions/(write-offs),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Disposal</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(203,884)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(203,884)</w:t>
            </w: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Write-off of fully amortized drydocking component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(3,577)</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(3,577)</w:t>
            </w:r>
          </w:p>
        </w:tc>
      </w:tr>
      <w:tr>
        <w:trPr>
          <w:trHeight w:val="209"/>
        </w:trPr>
        <w:tc>
          <w:tcPr>
            <w:tcW w:w="630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As of June 30, 2023</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2,153,184</w:t>
            </w: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6,753</w:t>
            </w: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2,159,937</w:t>
            </w:r>
          </w:p>
        </w:tc>
        <w:tc>
          <w:tcPr>
            <w:tcW w:w="100" w:type="dxa"/>
            <w:vAlign w:val="bottom"/>
            <w:tcBorders>
              <w:top w:val="single" w:sz="8" w:color="CCEEFF"/>
            </w:tcBorders>
          </w:tcPr>
          <w:p>
            <w:pPr>
              <w:spacing w:after="0"/>
              <w:rPr>
                <w:sz w:val="18"/>
                <w:szCs w:val="18"/>
                <w:color w:val="auto"/>
              </w:rPr>
            </w:pPr>
          </w:p>
        </w:tc>
      </w:tr>
      <w:tr>
        <w:trPr>
          <w:trHeight w:val="209"/>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Accumulated depreciation and impairment loss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686,737</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686,737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340" w:type="dxa"/>
            <w:vAlign w:val="bottom"/>
          </w:tcPr>
          <w:p>
            <w:pPr>
              <w:jc w:val="right"/>
              <w:spacing w:after="0"/>
              <w:rPr>
                <w:sz w:val="20"/>
                <w:szCs w:val="20"/>
                <w:color w:val="auto"/>
              </w:rPr>
            </w:pPr>
            <w:r>
              <w:rPr>
                <w:rFonts w:ascii="Arial" w:cs="Arial" w:eastAsia="Arial" w:hAnsi="Arial"/>
                <w:sz w:val="18"/>
                <w:szCs w:val="18"/>
                <w:color w:val="auto"/>
              </w:rPr>
              <w:t>30,011</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30,011</w:t>
            </w: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(53,542)</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(53,542)</w:t>
            </w: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Write-off of fully amortized drydocking component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(3,577)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(3,577)</w:t>
            </w:r>
          </w:p>
        </w:tc>
      </w:tr>
      <w:tr>
        <w:trPr>
          <w:trHeight w:val="210"/>
        </w:trPr>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659,629</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659,629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1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Net book value</w:t>
            </w:r>
          </w:p>
        </w:tc>
        <w:tc>
          <w:tcPr>
            <w:tcW w:w="5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1,672,159</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5,612</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1,677,771</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 of June 30,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1,493,555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6,753</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1,500,308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vessels have been pledged as collateral under the terms of the Partnership’s credit facilities.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On March 30, 2023, GAS-five Ltd. completed the sale and lease-back of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with a wholly owned subsidiary of China Development Bank Leasing Co., Ltd. (“CDBL”). All criteria outlined by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were deemed to have been met and as a result, the carrying amount of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($150,342) was remeasured at the lower between carrying amount and fair value less costs to sell, resulting in the recognition of an impairment loss of $142 in the six months ended June 30, 2023. Upon completion of the transaction, a loss on disposal of $1,033 was also recognized in profit or loss.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June 30, 2023, the Partnership concluded that there were no events or circumstances triggering the existence of potential impairment or reversal of impairment for any of its vessels.</w:t>
      </w:r>
    </w:p>
    <w:p>
      <w:pPr>
        <w:sectPr>
          <w:pgSz w:w="11900" w:h="16838" w:orient="portrait"/>
          <w:cols w:equalWidth="0" w:num="1">
            <w:col w:w="11240"/>
          </w:cols>
          <w:pgMar w:left="320" w:top="904" w:right="3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right-of-use assets are reported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2940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Additions,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As of June 30, 2023</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lease liabilities is as follows:</w:t>
      </w:r>
    </w:p>
    <w:p>
      <w:pPr>
        <w:spacing w:after="0" w:line="200" w:lineRule="exact"/>
        <w:rPr>
          <w:sz w:val="20"/>
          <w:szCs w:val="20"/>
          <w:color w:val="auto"/>
        </w:rPr>
      </w:pPr>
    </w:p>
    <w:p>
      <w:pPr>
        <w:spacing w:after="0" w:line="25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Additions,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Interest expense on leases (Note 13)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Payments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-130810</wp:posOffset>
            </wp:positionV>
            <wp:extent cx="534924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Lease liabilities—current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Lease liabilities—non-current portion</w:t>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Vessels’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Vessels</w:t>
            </w:r>
          </w:p>
        </w:tc>
        <w:tc>
          <w:tcPr>
            <w:tcW w:w="160" w:type="dxa"/>
            <w:vAlign w:val="bottom"/>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Equipment</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195"/>
        </w:trPr>
        <w:tc>
          <w:tcPr>
            <w:tcW w:w="11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93,158</w:t>
            </w:r>
          </w:p>
        </w:tc>
        <w:tc>
          <w:tcPr>
            <w:tcW w:w="16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167</w:t>
            </w:r>
          </w:p>
        </w:tc>
        <w:tc>
          <w:tcPr>
            <w:tcW w:w="180" w:type="dxa"/>
            <w:vAlign w:val="bottom"/>
          </w:tcPr>
          <w:p>
            <w:pPr>
              <w:spacing w:after="0"/>
              <w:rPr>
                <w:sz w:val="16"/>
                <w:szCs w:val="16"/>
                <w:color w:val="auto"/>
              </w:rPr>
            </w:pPr>
          </w:p>
        </w:tc>
        <w:tc>
          <w:tcPr>
            <w:tcW w:w="10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93,325</w:t>
            </w:r>
          </w:p>
        </w:tc>
      </w:tr>
      <w:tr>
        <w:trPr>
          <w:trHeight w:val="230"/>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72,226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72,341</w:t>
            </w:r>
          </w:p>
        </w:tc>
      </w:tr>
      <w:tr>
        <w:trPr>
          <w:trHeight w:val="230"/>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(17,390)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(17,516)</w:t>
            </w:r>
          </w:p>
        </w:tc>
      </w:tr>
      <w:tr>
        <w:trPr>
          <w:trHeight w:val="223"/>
        </w:trPr>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147,994</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148,150</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40"/>
        <w:spacing w:after="0"/>
        <w:rPr>
          <w:sz w:val="20"/>
          <w:szCs w:val="20"/>
          <w:color w:val="auto"/>
        </w:rPr>
      </w:pPr>
      <w:r>
        <w:rPr>
          <w:rFonts w:ascii="Arial" w:cs="Arial" w:eastAsia="Arial" w:hAnsi="Arial"/>
          <w:sz w:val="17"/>
          <w:szCs w:val="17"/>
          <w:b w:val="1"/>
          <w:bCs w:val="1"/>
          <w:u w:val="single" w:color="auto"/>
          <w:color w:val="auto"/>
        </w:rPr>
        <w:t>Lease Liabilities</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62,569</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54,652</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1,394</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(10,730)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20320</wp:posOffset>
            </wp:positionV>
            <wp:extent cx="8572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107,885</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28,133</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79,752</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107,885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14605</wp:posOffset>
            </wp:positionV>
            <wp:extent cx="857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31750</wp:posOffset>
            </wp:positionV>
            <wp:extent cx="857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580" w:space="540"/>
            <w:col w:w="5120"/>
          </w:cols>
          <w:pgMar w:left="320" w:top="904" w:right="339" w:bottom="1440" w:gutter="0" w:footer="0" w:header="0"/>
          <w:type w:val="continuous"/>
        </w:sectPr>
      </w:pPr>
    </w:p>
    <w:p>
      <w:pPr>
        <w:spacing w:after="0" w:line="4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On March 30, 2023, GasLog Partners completed the sale and lease-back of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with a wholly-owned subsidiary of CDBL. The vessel was sold to CDBL for $140,000 and leased back under a bareboat charter for a period of five years with no repurchase option or obligation. This sale and lease-back met the definition of a lease under IFRS 16 </w:t>
      </w:r>
      <w:r>
        <w:rPr>
          <w:rFonts w:ascii="Arial" w:cs="Arial" w:eastAsia="Arial" w:hAnsi="Arial"/>
          <w:sz w:val="18"/>
          <w:szCs w:val="18"/>
          <w:i w:val="1"/>
          <w:iCs w:val="1"/>
          <w:color w:val="auto"/>
        </w:rPr>
        <w:t>Leases</w:t>
      </w:r>
      <w:r>
        <w:rPr>
          <w:rFonts w:ascii="Arial" w:cs="Arial" w:eastAsia="Arial" w:hAnsi="Arial"/>
          <w:sz w:val="18"/>
          <w:szCs w:val="18"/>
          <w:color w:val="auto"/>
        </w:rPr>
        <w:t>, resulting in the recognition of a right-of-use asset of $67,779 and a corresponding lease liability of $55,800.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4. Borrowings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20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2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223,177</w:t>
            </w: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(3,606)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(3,066)</w:t>
            </w:r>
          </w:p>
        </w:tc>
      </w:tr>
      <w:tr>
        <w:trPr>
          <w:trHeight w:val="210"/>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Borrowings – current portion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90,358</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837,186</w:t>
            </w:r>
          </w:p>
        </w:tc>
        <w:tc>
          <w:tcPr>
            <w:tcW w:w="1360" w:type="dxa"/>
            <w:vAlign w:val="bottom"/>
          </w:tcPr>
          <w:p>
            <w:pPr>
              <w:jc w:val="right"/>
              <w:spacing w:after="0"/>
              <w:rPr>
                <w:sz w:val="20"/>
                <w:szCs w:val="20"/>
                <w:color w:val="auto"/>
              </w:rPr>
            </w:pPr>
            <w:r>
              <w:rPr>
                <w:rFonts w:ascii="Arial" w:cs="Arial" w:eastAsia="Arial" w:hAnsi="Arial"/>
                <w:sz w:val="18"/>
                <w:szCs w:val="18"/>
                <w:color w:val="auto"/>
              </w:rPr>
              <w:t>574,756</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(5,598)</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(4,235)</w:t>
            </w:r>
          </w:p>
        </w:tc>
      </w:tr>
      <w:tr>
        <w:trPr>
          <w:trHeight w:val="210"/>
        </w:trPr>
        <w:tc>
          <w:tcPr>
            <w:tcW w:w="8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Borrowings – non-current portion</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831,588</w:t>
            </w: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570,521</w:t>
            </w:r>
          </w:p>
        </w:tc>
        <w:tc>
          <w:tcPr>
            <w:tcW w:w="100" w:type="dxa"/>
            <w:vAlign w:val="bottom"/>
            <w:tcBorders>
              <w:top w:val="single" w:sz="8" w:color="CCEEFF"/>
            </w:tcBorders>
          </w:tcPr>
          <w:p>
            <w:pPr>
              <w:spacing w:after="0"/>
              <w:rPr>
                <w:sz w:val="18"/>
                <w:szCs w:val="18"/>
                <w:color w:val="auto"/>
              </w:rPr>
            </w:pPr>
          </w:p>
        </w:tc>
      </w:tr>
      <w:tr>
        <w:trPr>
          <w:trHeight w:val="249"/>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921,946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790,632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main terms of the credit facilities, including financial covenants, have been disclosed in the annual consolidated financial statements for the year ended December 31, 2022. Refer to Note 7 “Borrowings”.</w:t>
      </w:r>
    </w:p>
    <w:p>
      <w:pPr>
        <w:spacing w:after="0" w:line="1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March 30, 2023, the outstanding indebtedness of GAS-five Ltd. under the credit facility with Credit Suisse AG, Nordea Bank Abp, filial i Norge, Iyo Bank Ltd., Singapore Branch and Development Bank of Japan, Inc. in the amount of $87,780 was prepaid pursuant to the sale and lease-back agreement entered into with a wholly-owned subsidiary of CDBL. The relevant advance of the loan agreement was cancelled and the respective unamortized loan fees of $229 written-off to the consolidated statement of profit or loss. As of June 30, 2023, the amount outstanding under the credit facility of $152,461, maturing in February 2024, was classified under current liabilities.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six months ended June 30, 2023, the Partnership repaid $45,437 in accordance with the repayment terms under its 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Partners was in compliance with its financial covenants as of June 30,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Subsequent Events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July 3, 2023, GasLog Partners issued 415,000 common units in connection with GasLog’s election to convert its Class B-4 units issued upon the elimination of GasLog’s incentive distribution rights in June 2019.</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further described in Note 1, on July 7, 2023, the Partnership’s common unitholders voted to approve the previously announced merger, with GasLog acquiring all of the outstanding common units of the Partnership not already beneficially owned by GasLog. The payment date for the 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w:t>
      </w:r>
    </w:p>
    <w:p>
      <w:pPr>
        <w:spacing w:after="0" w:line="19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On July 17, 2023, Curtis V. Anastasio, Roland Fisher and Kristin H. Holth stepped down from the board of directors (the “Board”) of the Partnership, effective immediately. On July 19, 2023, the Partnership appointed James Berner as a director of the Partnership and a member of the audit committee of the Board. Following these changes, the Board currently consists of three directors.</w:t>
      </w:r>
    </w:p>
    <w:p>
      <w:pPr>
        <w:spacing w:after="0" w:line="18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July 21, 2023, the Board subsequently approved an amendment to the Partnership’s Seventh Amended and Restated Agreement of Limited Partnership that makes certain changes relating to the composition of the Board and other changes to reflect the ownership of all outstanding common units of the Partnership by GasLog, following the consummation of the previously announced merger involving GasLog and the Partnership on July 13, 2023.</w:t>
      </w:r>
    </w:p>
    <w:p>
      <w:pPr>
        <w:spacing w:after="0" w:line="14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On July 21, 2023, the Board also approved the termination of the Omnibus Agreement with GasLog, its general partner and certain other subsidiaries. The omnibus agreement governed among other things (i) when and the extent to which the Partnership and GasLog might compete against each other,</w:t>
      </w:r>
    </w:p>
    <w:p>
      <w:pPr>
        <w:ind w:right="80" w:firstLine="8"/>
        <w:spacing w:after="0" w:line="255"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and the value at which the Partnership might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9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August 2, 2023, the board of directors of GasLog Partners approved and declared a distribution on the Series A Preference Units of $0.5390625 per preference unit, a distribution on the Series B Preference Units of $0.7249747 per preference unit and a distribution on the Series C Preference Units of $0.53125 per preference unit. The cash distributions are payable on September 15, 2023 to all unitholders of record as of September 8, 2023.</w:t>
      </w:r>
    </w:p>
    <w:p>
      <w:pPr>
        <w:spacing w:after="0" w:line="14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June 30, 2023, Intercontinental Exchange (“ICE”) Benchmark Administration, the administrator of the London Interbank Offered Rate (“LIBOR”), ceased to publish the overnight and one, three, six and twelve month USD LIBOR settings on a representative basis. Effective September 15, 2023, in accordance with the terms of the Series B Preference Units, the three month LIBOR currently utilized as the base rate for the calculation of the floating rate distributions payable with respect to the Series B Preference Units will be replaced by the Term Secured Overnight Financing Rate ("SOFR") for a three month tenor published by the Chicago Mercantile Exchange (“CME”) plus a credit spread adjustment of 0.26161% (“Credit Adjusted Term SOFR”). Credit Adjusted Term SOFR will be used as the base rate for the first time with respect to the distributions payable for the distribution period beginning September 15, 2023 and ending December 15, 2023 and will be calculated every three months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2023-08-03T05:49:17Z</dcterms:created>
  <dcterms:modified xsi:type="dcterms:W3CDTF">2023-08-03T05:49:17Z</dcterms:modified>
</cp:coreProperties>
</file>