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July 2023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16" w:lineRule="exact"/>
        <w:rPr>
          <w:sz w:val="24"/>
          <w:szCs w:val="24"/>
          <w:color w:val="auto"/>
        </w:rPr>
      </w:pPr>
    </w:p>
    <w:p>
      <w:pPr>
        <w:ind w:left="4480"/>
        <w:spacing w:after="0"/>
        <w:rPr>
          <w:sz w:val="20"/>
          <w:szCs w:val="20"/>
          <w:color w:val="auto"/>
        </w:rPr>
      </w:pPr>
      <w:r>
        <w:rPr>
          <w:rFonts w:ascii="Arial" w:cs="Arial" w:eastAsia="Arial" w:hAnsi="Arial"/>
          <w:sz w:val="25"/>
          <w:szCs w:val="25"/>
          <w:b w:val="1"/>
          <w:bCs w:val="1"/>
          <w:color w:val="auto"/>
        </w:rPr>
        <w:t>GasLog Partners LP</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þ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829310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1" w:name="page2"/>
    <w:bookmarkEnd w:id="1"/>
    <w:p>
      <w:pPr>
        <w:jc w:val="both"/>
        <w:ind w:right="20"/>
        <w:spacing w:after="0" w:line="277" w:lineRule="auto"/>
        <w:rPr>
          <w:sz w:val="20"/>
          <w:szCs w:val="20"/>
          <w:color w:val="auto"/>
        </w:rPr>
      </w:pPr>
      <w:r>
        <w:rPr>
          <w:rFonts w:ascii="Arial" w:cs="Arial" w:eastAsia="Arial" w:hAnsi="Arial"/>
          <w:sz w:val="18"/>
          <w:szCs w:val="18"/>
          <w:color w:val="auto"/>
        </w:rPr>
        <w:t>The press release issued by GasLog Partners LP. on July 10, 2023 announcing the availability of 2022 Sustainability Report is attached hereto as Exhibit 99.1.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 333-249399), filed with the Securities and Exchange Commission (the “SEC”) on October 9, 2020,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u w:val="single" w:color="auto"/>
          <w:color w:val="0000EE"/>
        </w:rPr>
        <w:t>Press Release dated July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10, 2023</w:t>
      </w:r>
    </w:p>
    <w:p>
      <w:pPr>
        <w:spacing w:after="0" w:line="225" w:lineRule="exact"/>
        <w:rPr>
          <w:sz w:val="20"/>
          <w:szCs w:val="20"/>
          <w:color w:val="auto"/>
        </w:rPr>
      </w:pPr>
    </w:p>
    <w:p>
      <w:pPr>
        <w:jc w:val="center"/>
        <w:ind w:left="194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p>
      <w:pPr>
        <w:ind w:left="58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Paolo Enoizi</w:t>
      </w:r>
    </w:p>
    <w:p>
      <w:pPr>
        <w:spacing w:after="0" w:line="9" w:lineRule="exact"/>
        <w:rPr>
          <w:sz w:val="20"/>
          <w:szCs w:val="20"/>
          <w:color w:val="auto"/>
        </w:rPr>
      </w:pPr>
    </w:p>
    <w:p>
      <w:pPr>
        <w:ind w:left="618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 Announces Availability of 2022 Sustainability Report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Majuro, Marshall Islands, July 10, 2023 (GLOBE NEWSWIRE) — GasLog Partners LP (“GasLog Partners” or the “Partnership”) (NYSE: GLOP) today announced the availability of the Partnership’s 2022 Sustainability Report. The Sustainability Report, which can be accessed on the Partnership’s website, has been compiled in general compliance with the Sustainability Accounting Standards Board (“SASB”) Marine Transportation standard. In the Report, GasLog Partners summarizes progress delivered around the focus areas of decarbonization, safety and wellbeing, and diversity, equity and inclusion, among other areas.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 2022 Sustainability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www.gaslogmlp.com/investors/sustainability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Robert Brinberg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Rose &amp;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+1 212-517-0810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gaslog@roseandco.com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GasLog Partners is an owner, operator and acquirer of LNG carriers. The Partnership’s fleet consists of eleven wholly-owned LNG carriers as well as three vessels on bareboat charters, with an average carrying capacity of approximately 159,000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Visit GasLog Partners’ website at </w:t>
      </w:r>
      <w:r>
        <w:rPr>
          <w:rFonts w:ascii="Arial" w:cs="Arial" w:eastAsia="Arial" w:hAnsi="Arial"/>
          <w:sz w:val="16"/>
          <w:szCs w:val="16"/>
          <w:u w:val="single" w:color="auto"/>
          <w:color w:val="auto"/>
        </w:rPr>
        <w:t>http://www.gaslogmlp.com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2023-07-10T06:16:04Z</dcterms:created>
  <dcterms:modified xsi:type="dcterms:W3CDTF">2023-07-10T06:16:04Z</dcterms:modified>
</cp:coreProperties>
</file>