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24"/>
          <w:szCs w:val="24"/>
          <w:b w:val="1"/>
          <w:bCs w:val="1"/>
          <w:color w:val="auto"/>
        </w:rPr>
        <w:t>UNITED STATES</w:t>
      </w:r>
    </w:p>
    <w:p>
      <w:pPr>
        <w:spacing w:after="0" w:line="41" w:lineRule="exact"/>
        <w:rPr>
          <w:sz w:val="24"/>
          <w:szCs w:val="24"/>
          <w:color w:val="auto"/>
        </w:rPr>
      </w:pPr>
    </w:p>
    <w:p>
      <w:pPr>
        <w:jc w:val="center"/>
        <w:ind w:right="-1220"/>
        <w:spacing w:after="0"/>
        <w:rPr>
          <w:sz w:val="20"/>
          <w:szCs w:val="20"/>
          <w:color w:val="auto"/>
        </w:rPr>
      </w:pPr>
      <w:r>
        <w:rPr>
          <w:rFonts w:ascii="Arial" w:cs="Arial" w:eastAsia="Arial" w:hAnsi="Arial"/>
          <w:sz w:val="25"/>
          <w:szCs w:val="25"/>
          <w:b w:val="1"/>
          <w:bCs w:val="1"/>
          <w:color w:val="auto"/>
        </w:rPr>
        <w:t>SECURITIES AND EXCHANGE COMMISSION</w:t>
      </w:r>
    </w:p>
    <w:p>
      <w:pPr>
        <w:spacing w:after="0" w:line="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REPORT OF FOREIGN PRIVATE ISSUER PURSUANT TO RULE 13a-16 OR</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15d-16 UNDER THE SECURITIES 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June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001-36433</w:t>
      </w:r>
    </w:p>
    <w:p>
      <w:pPr>
        <w:spacing w:after="0" w:line="221"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GasLog Partners LP</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p>
      <w:pPr>
        <w:spacing w:after="0" w:line="25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__________</w:t>
      </w:r>
    </w:p>
    <w:p>
      <w:pPr>
        <w:spacing w:after="0" w:line="2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233045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435" w:right="1440" w:bottom="1440" w:gutter="0" w:footer="0" w:header="0"/>
        </w:sectPr>
      </w:pPr>
    </w:p>
    <w:bookmarkStart w:id="1" w:name="page2"/>
    <w:bookmarkEnd w:id="1"/>
    <w:p>
      <w:pPr>
        <w:jc w:val="both"/>
        <w:ind w:right="20"/>
        <w:spacing w:after="0" w:line="277" w:lineRule="auto"/>
        <w:rPr>
          <w:sz w:val="20"/>
          <w:szCs w:val="20"/>
          <w:color w:val="auto"/>
        </w:rPr>
      </w:pPr>
      <w:r>
        <w:rPr>
          <w:rFonts w:ascii="Arial" w:cs="Arial" w:eastAsia="Arial" w:hAnsi="Arial"/>
          <w:sz w:val="18"/>
          <w:szCs w:val="18"/>
          <w:color w:val="auto"/>
        </w:rPr>
        <w:t>The press release issued by GasLog Partners LP on June 14, 2019 announcing that GasLog Partners LP has entered into a new multi-year charter with Gunvor is attached hereto as Exhibit 99.1.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INCORPORATION BY REFERENCE</w:t>
      </w:r>
    </w:p>
    <w:p>
      <w:pPr>
        <w:spacing w:after="0" w:line="230" w:lineRule="exact"/>
        <w:rPr>
          <w:sz w:val="20"/>
          <w:szCs w:val="20"/>
          <w:color w:val="auto"/>
        </w:rPr>
      </w:pPr>
    </w:p>
    <w:p>
      <w:pPr>
        <w:jc w:val="both"/>
        <w:ind w:firstLine="376"/>
        <w:spacing w:after="0" w:line="257" w:lineRule="auto"/>
        <w:rPr>
          <w:sz w:val="20"/>
          <w:szCs w:val="20"/>
          <w:color w:val="auto"/>
        </w:rPr>
      </w:pPr>
      <w:r>
        <w:rPr>
          <w:rFonts w:ascii="Arial" w:cs="Arial" w:eastAsia="Arial" w:hAnsi="Arial"/>
          <w:sz w:val="18"/>
          <w:szCs w:val="18"/>
          <w:color w:val="auto"/>
        </w:rPr>
        <w:t>Exhibit 99.1 to this Report on Form 6-K shall be incorporated by reference into our registration statement on Form F-3 (File No. 333-204616), filed with the Securities and Exchange Commission (the “SEC”) on June 1, 2015, the Form F-3 (File No. 333-220736), filed with the SEC on September 29, 2017 and the registration statement on Form S-8 (File No. 333-203139), filed with the SEC on March 31, 2015,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EXHIBIT LIST</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Exhibit</w:t>
      </w:r>
      <w:r>
        <w:rPr>
          <w:sz w:val="20"/>
          <w:szCs w:val="20"/>
          <w:color w:val="auto"/>
        </w:rPr>
        <w:tab/>
      </w:r>
      <w:r>
        <w:rPr>
          <w:rFonts w:ascii="Arial" w:cs="Arial" w:eastAsia="Arial" w:hAnsi="Arial"/>
          <w:sz w:val="18"/>
          <w:szCs w:val="18"/>
          <w:color w:val="auto"/>
        </w:rPr>
        <w:t>Description</w:t>
      </w:r>
    </w:p>
    <w:p>
      <w:pPr>
        <w:spacing w:after="0" w:line="225" w:lineRule="exact"/>
        <w:rPr>
          <w:sz w:val="20"/>
          <w:szCs w:val="20"/>
          <w:color w:val="auto"/>
        </w:rPr>
      </w:pPr>
    </w:p>
    <w:p>
      <w:pPr>
        <w:spacing w:after="0"/>
        <w:tabs>
          <w:tab w:leader="none" w:pos="122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June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0" w:lineRule="exact"/>
        <w:rPr>
          <w:sz w:val="20"/>
          <w:szCs w:val="20"/>
          <w:color w:val="auto"/>
        </w:rPr>
      </w:pPr>
    </w:p>
    <w:p>
      <w:pPr>
        <w:ind w:right="680" w:firstLine="49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color w:val="auto"/>
        </w:rPr>
        <w:t>Date: June 14, 2019</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GASLOG PARTNERS LP,</w:t>
      </w:r>
    </w:p>
    <w:p>
      <w:pPr>
        <w:spacing w:after="0" w:line="2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Andrew Orekar</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120" w:type="dxa"/>
            <w:vAlign w:val="bottom"/>
          </w:tcPr>
          <w:p>
            <w:pPr>
              <w:spacing w:after="0"/>
              <w:rPr>
                <w:sz w:val="18"/>
                <w:szCs w:val="18"/>
                <w:color w:val="auto"/>
              </w:rPr>
            </w:pPr>
          </w:p>
        </w:tc>
        <w:tc>
          <w:tcPr>
            <w:tcW w:w="5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ind w:left="100"/>
              <w:spacing w:after="0"/>
              <w:rPr>
                <w:sz w:val="20"/>
                <w:szCs w:val="20"/>
                <w:color w:val="auto"/>
              </w:rPr>
            </w:pPr>
            <w:r>
              <w:rPr>
                <w:rFonts w:ascii="Arial" w:cs="Arial" w:eastAsia="Arial" w:hAnsi="Arial"/>
                <w:sz w:val="18"/>
                <w:szCs w:val="18"/>
                <w:color w:val="auto"/>
              </w:rPr>
              <w:t>Andrew Orekar</w:t>
            </w:r>
          </w:p>
        </w:tc>
        <w:tc>
          <w:tcPr>
            <w:tcW w:w="40" w:type="dxa"/>
            <w:vAlign w:val="bottom"/>
          </w:tcPr>
          <w:p>
            <w:pPr>
              <w:spacing w:after="0"/>
              <w:rPr>
                <w:sz w:val="18"/>
                <w:szCs w:val="18"/>
                <w:color w:val="auto"/>
              </w:rPr>
            </w:pPr>
          </w:p>
        </w:tc>
      </w:tr>
      <w:tr>
        <w:trPr>
          <w:trHeight w:val="230"/>
        </w:trPr>
        <w:tc>
          <w:tcPr>
            <w:tcW w:w="6120" w:type="dxa"/>
            <w:vAlign w:val="bottom"/>
          </w:tcPr>
          <w:p>
            <w:pPr>
              <w:spacing w:after="0"/>
              <w:rPr>
                <w:sz w:val="20"/>
                <w:szCs w:val="20"/>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ind w:left="10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348"/>
        </w:trPr>
        <w:tc>
          <w:tcPr>
            <w:tcW w:w="612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GasLog Partners LP Announces New Multi-Year Charter Agreement with Gunvor</w:t>
      </w:r>
    </w:p>
    <w:p>
      <w:pPr>
        <w:spacing w:after="0" w:line="200" w:lineRule="exact"/>
        <w:rPr>
          <w:sz w:val="20"/>
          <w:szCs w:val="20"/>
          <w:color w:val="auto"/>
        </w:rPr>
      </w:pPr>
    </w:p>
    <w:p>
      <w:pPr>
        <w:spacing w:after="0" w:line="246" w:lineRule="exact"/>
        <w:rPr>
          <w:sz w:val="20"/>
          <w:szCs w:val="20"/>
          <w:color w:val="auto"/>
        </w:rPr>
      </w:pPr>
    </w:p>
    <w:p>
      <w:pPr>
        <w:jc w:val="both"/>
        <w:ind w:right="300"/>
        <w:spacing w:after="0" w:line="314" w:lineRule="auto"/>
        <w:rPr>
          <w:sz w:val="20"/>
          <w:szCs w:val="20"/>
          <w:color w:val="auto"/>
        </w:rPr>
      </w:pPr>
      <w:r>
        <w:rPr>
          <w:rFonts w:ascii="Arial" w:cs="Arial" w:eastAsia="Arial" w:hAnsi="Arial"/>
          <w:sz w:val="16"/>
          <w:szCs w:val="16"/>
          <w:b w:val="1"/>
          <w:bCs w:val="1"/>
          <w:color w:val="auto"/>
        </w:rPr>
        <w:t xml:space="preserve">Monaco, June 14, 2019 </w:t>
      </w:r>
      <w:r>
        <w:rPr>
          <w:rFonts w:ascii="Arial" w:cs="Arial" w:eastAsia="Arial" w:hAnsi="Arial"/>
          <w:sz w:val="16"/>
          <w:szCs w:val="16"/>
          <w:color w:val="auto"/>
        </w:rPr>
        <w:t>- GasLog Partners LP (“GasLog Partners” or the “Partnership”) (NYSE: GLOP) announced today that one of its subsidiaries has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entered into a three-and-a-half-year charter for the </w:t>
      </w:r>
      <w:r>
        <w:rPr>
          <w:rFonts w:ascii="Arial" w:cs="Arial" w:eastAsia="Arial" w:hAnsi="Arial"/>
          <w:sz w:val="16"/>
          <w:szCs w:val="16"/>
          <w:i w:val="1"/>
          <w:iCs w:val="1"/>
          <w:color w:val="auto"/>
        </w:rPr>
        <w:t>GasLog Shanghai</w:t>
      </w:r>
      <w:r>
        <w:rPr>
          <w:rFonts w:ascii="Arial" w:cs="Arial" w:eastAsia="Arial" w:hAnsi="Arial"/>
          <w:sz w:val="16"/>
          <w:szCs w:val="16"/>
          <w:color w:val="auto"/>
        </w:rPr>
        <w:t xml:space="preserve"> with Clearlake Shipping Pte Ltd, a subsidiary of Gunvor Group Ltd (“Gunvor”). The charter, expected to commence in June 2019, will have a variable rate of hire across the charter period based upon an agreed range.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w:t>
      </w:r>
      <w:r>
        <w:rPr>
          <w:rFonts w:ascii="Arial" w:cs="Arial" w:eastAsia="Arial" w:hAnsi="Arial"/>
          <w:sz w:val="18"/>
          <w:szCs w:val="18"/>
          <w:i w:val="1"/>
          <w:iCs w:val="1"/>
          <w:color w:val="auto"/>
        </w:rPr>
        <w:t>GasLog Shanghai</w:t>
      </w:r>
      <w:r>
        <w:rPr>
          <w:rFonts w:ascii="Arial" w:cs="Arial" w:eastAsia="Arial" w:hAnsi="Arial"/>
          <w:sz w:val="18"/>
          <w:szCs w:val="18"/>
          <w:color w:val="auto"/>
        </w:rPr>
        <w:t xml:space="preserve"> is a 155,000 cbm TFDE LNG carrier built in 2013 which is currently operating in the LNG carrier spot market.</w:t>
      </w:r>
    </w:p>
    <w:p>
      <w:pPr>
        <w:spacing w:after="0" w:line="252" w:lineRule="exact"/>
        <w:rPr>
          <w:sz w:val="20"/>
          <w:szCs w:val="20"/>
          <w:color w:val="auto"/>
        </w:rPr>
      </w:pPr>
    </w:p>
    <w:p>
      <w:pPr>
        <w:jc w:val="both"/>
        <w:ind w:right="520"/>
        <w:spacing w:after="0" w:line="312" w:lineRule="auto"/>
        <w:rPr>
          <w:sz w:val="20"/>
          <w:szCs w:val="20"/>
          <w:color w:val="auto"/>
        </w:rPr>
      </w:pPr>
      <w:r>
        <w:rPr>
          <w:rFonts w:ascii="Arial" w:cs="Arial" w:eastAsia="Arial" w:hAnsi="Arial"/>
          <w:sz w:val="16"/>
          <w:szCs w:val="16"/>
          <w:color w:val="auto"/>
        </w:rPr>
        <w:t xml:space="preserve">Andrew Orekar, Chief Executive Officer of GasLog Partners, stated, “I am very pleased to announce this three-and-a-half-year charter agreement with Gunvor, a new and high-quality counterparty for GasLog Partners. The charter delivers on our commitment to secure term employment for the </w:t>
      </w:r>
      <w:r>
        <w:rPr>
          <w:rFonts w:ascii="Arial" w:cs="Arial" w:eastAsia="Arial" w:hAnsi="Arial"/>
          <w:sz w:val="16"/>
          <w:szCs w:val="16"/>
          <w:i w:val="1"/>
          <w:iCs w:val="1"/>
          <w:color w:val="auto"/>
        </w:rPr>
        <w:t>GasLog</w:t>
      </w:r>
      <w:r>
        <w:rPr>
          <w:rFonts w:ascii="Arial" w:cs="Arial" w:eastAsia="Arial" w:hAnsi="Arial"/>
          <w:sz w:val="16"/>
          <w:szCs w:val="16"/>
          <w:color w:val="auto"/>
        </w:rPr>
        <w:t xml:space="preserve"> </w:t>
      </w:r>
      <w:r>
        <w:rPr>
          <w:rFonts w:ascii="Arial" w:cs="Arial" w:eastAsia="Arial" w:hAnsi="Arial"/>
          <w:sz w:val="16"/>
          <w:szCs w:val="16"/>
          <w:i w:val="1"/>
          <w:iCs w:val="1"/>
          <w:color w:val="auto"/>
        </w:rPr>
        <w:t>Shanghai</w:t>
      </w:r>
      <w:r>
        <w:rPr>
          <w:rFonts w:ascii="Arial" w:cs="Arial" w:eastAsia="Arial" w:hAnsi="Arial"/>
          <w:sz w:val="16"/>
          <w:szCs w:val="16"/>
          <w:color w:val="auto"/>
        </w:rPr>
        <w:t>, strengthens the cash flow visibility of the Partnership and supports our year-on-year distribution growth guidance of 2% to 4% in 2019.”</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+1 212-223-0643</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ir@gaslogmlp.com</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Partners</w:t>
      </w:r>
    </w:p>
    <w:p>
      <w:pPr>
        <w:spacing w:after="0" w:line="229" w:lineRule="exact"/>
        <w:rPr>
          <w:sz w:val="20"/>
          <w:szCs w:val="20"/>
          <w:color w:val="auto"/>
        </w:rPr>
      </w:pPr>
    </w:p>
    <w:p>
      <w:pPr>
        <w:jc w:val="both"/>
        <w:ind w:right="40"/>
        <w:spacing w:after="0" w:line="312" w:lineRule="auto"/>
        <w:rPr>
          <w:sz w:val="20"/>
          <w:szCs w:val="20"/>
          <w:color w:val="auto"/>
        </w:rPr>
      </w:pPr>
      <w:r>
        <w:rPr>
          <w:rFonts w:ascii="Arial" w:cs="Arial" w:eastAsia="Arial" w:hAnsi="Arial"/>
          <w:sz w:val="16"/>
          <w:szCs w:val="16"/>
          <w:color w:val="auto"/>
        </w:rPr>
        <w:t xml:space="preserve">GasLog Partners is a growth-oriented master limited partnership focused on owning, operating and acquiring LNG carriers under multi-year charters. GasLog Partners’ fleet consists of 15 LNG carriers with an average carrying capacity of approximately 158,000 cbm. GasLog Partners’ principal executive offices are located at Gildo Pastor Center, 7 Rue du Gabian, MC 98000, Monaco. Visit GasLog Partners’ website at </w:t>
      </w:r>
      <w:r>
        <w:rPr>
          <w:rFonts w:ascii="Arial" w:cs="Arial" w:eastAsia="Arial" w:hAnsi="Arial"/>
          <w:sz w:val="16"/>
          <w:szCs w:val="16"/>
          <w:u w:val="single" w:color="auto"/>
          <w:color w:val="0000FF"/>
        </w:rPr>
        <w:t>http://www.gaslogmlp.com</w:t>
      </w:r>
      <w:r>
        <w:rPr>
          <w:rFonts w:ascii="Arial" w:cs="Arial" w:eastAsia="Arial" w:hAnsi="Arial"/>
          <w:sz w:val="16"/>
          <w:szCs w:val="16"/>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Gunvor Group</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Gunvor Group is one of the world’s largest independent commodities trading houses by turnover, creating logistics solutions that safely and efficiently move physical energy from where it is sourced and stored to where it is demanded most. With strategic investments in industrial infrastructure—refineries, pipelines, storage, terminals, mining and upstream—Gunvor further generates sustainable value across the global supply chain for its customers. More information can be found at www.GunvorGroup.com or @Gunvor.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194310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2019-12-01T16:44:15Z</dcterms:created>
  <dcterms:modified xsi:type="dcterms:W3CDTF">2019-12-01T16:44:15Z</dcterms:modified>
</cp:coreProperties>
</file>