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12987d1_6k.htm"/>
      <w:bookmarkStart w:id="1" w:name="kstm2512987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April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001-36433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GasLog Partners 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GasLog LNG Services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Akti Miaouli, 18537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Piraeus, Greece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issued by GasLog Partners LP on April 24, 2025 relating to its results for the three-month period ended March 31, 2025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LIST</w:t>
      </w:r>
    </w:p>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650"/>
        <w:gridCol w:w="60"/>
        <w:gridCol w:w="4685"/>
      </w:tblGrid>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w:t>
            </w:r>
          </w:p>
        </w:tc>
        <w:tc>
          <w:tcPr>
            <w:tcW w:w="6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r>
        <w:trPr/>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tm2512987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pPr>
            <w:hyperlink w:anchor="tm2512987d1_ex99-1.htm">
              <w:r>
                <w:rPr>
                  <w:rStyle w:val="InternetLink"/>
                  <w:rFonts w:ascii="Times New Roman;Times;Serif" w:hAnsi="Times New Roman;Times;Serif"/>
                  <w:sz w:val="20"/>
                </w:rPr>
                <w:t>Press Release of GasLog Partners LP dated April 24, 2025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490" w:type="dxa"/>
        <w:jc w:val="left"/>
        <w:tblInd w:w="0" w:type="dxa"/>
        <w:tblLayout w:type="fixed"/>
        <w:tblCellMar>
          <w:top w:w="0" w:type="dxa"/>
          <w:left w:w="0" w:type="dxa"/>
          <w:bottom w:w="0" w:type="dxa"/>
          <w:right w:w="0" w:type="dxa"/>
        </w:tblCellMar>
      </w:tblPr>
      <w:tblGrid>
        <w:gridCol w:w="1700"/>
        <w:gridCol w:w="60"/>
        <w:gridCol w:w="230"/>
        <w:gridCol w:w="545"/>
        <w:gridCol w:w="1955"/>
      </w:tblGrid>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April 24, 2025</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2790"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GASLOG PARTNERS LP</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Paolo Enoizi</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Paolo Enoizi</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512987d1_ex99-1.htm"/>
      <w:bookmarkStart w:id="3" w:name="kstm2512987d1_ex99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GasLog Partners LP Reports Financial Results for the Three-Month Period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Majuro, Marshall Islands, April 24, 2025, GasLog Partners LP (“GasLog Partners” or the “Partnership”) (NYSE: GLOP-PA, GLOP-PB, GLOP-PC), </w:t>
      </w:r>
      <w:r>
        <w:rPr>
          <w:rFonts w:ascii="Times New Roman;Times;Serif" w:hAnsi="Times New Roman;Times;Serif"/>
          <w:b w:val="false"/>
          <w:i w:val="false"/>
          <w:caps w:val="false"/>
          <w:smallCaps w:val="false"/>
          <w:sz w:val="20"/>
        </w:rPr>
        <w:t>an international owner, operator and acquirer of liquefied natural gas (“LNG”) carriers, today reported its financial results for the three-month period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GasLog Partners Dividend Declarations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2025, the board of directors of GasLog Partners approved and declared: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pPr>
            <w:r>
              <w:rPr/>
              <w:t>a distribution on the 8.625% Series A Cumulative Redeemable Perpetual Fixed to Floating Rate Preference Units (“Series A Preference Units”) of $0.5390625 per preference unit (based on the fixed rate),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pPr>
            <w:r>
              <w:rPr/>
              <w:t>a distribution on the 8.200% Series B Cumulative Redeemable Perpetual Fixed to Floating Rate Preference Units (“Series B Preference Units”) of $0.6530831 per preference unit (based on a floating rate equal to the Term Secured Overnight Financing Rate (“SOFR”) for a three-month tenor published by the Chicago Mercantile Exchange (“CME”) of 4.34872% plus 0.26161% of Credit Adjustment Spread (“CAS”) and spread of 5.839% per annum)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pPr>
            <w:r>
              <w:rPr/>
              <w:t>a distribution on the 8.500% Series C Cumulative Redeemable Perpetual Fixed to Floating Rate Preference Units (“Series C Preference Units”) of $0.6204581 per preference unit (based on a floating rate equal to the three-month Term SOFR as published by the CME of 4.34872% plus 0.26161% of CAS and spread of 5.317% per annum).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distributions were paid on March 17, 2025 to all unitholders of record as of March 10,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12, 2025, the board of directors of GasLog Partners approved and declared a quarterly cash distribution of $2.18 per common unit to GasLog Ltd. (“GasLog”) that was settled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Quarterly Financial Results</w:t>
      </w:r>
    </w:p>
    <w:p>
      <w:pPr>
        <w:pStyle w:val="TextBody"/>
        <w:bidi w:val="0"/>
        <w:spacing w:before="0" w:after="0"/>
        <w:ind w:left="0" w:right="0" w:hanging="0"/>
        <w:jc w:val="left"/>
        <w:rPr>
          <w:caps w:val="false"/>
          <w:smallCaps w:val="false"/>
        </w:rPr>
      </w:pPr>
      <w:r>
        <w:rPr>
          <w:caps w:val="false"/>
          <w:smallCaps w:val="false"/>
        </w:rPr>
        <w:t> </w:t>
      </w:r>
    </w:p>
    <w:tbl>
      <w:tblPr>
        <w:tblW w:w="6101" w:type="dxa"/>
        <w:jc w:val="left"/>
        <w:tblInd w:w="0" w:type="dxa"/>
        <w:tblLayout w:type="fixed"/>
        <w:tblCellMar>
          <w:top w:w="0" w:type="dxa"/>
          <w:left w:w="0" w:type="dxa"/>
          <w:bottom w:w="0" w:type="dxa"/>
          <w:right w:w="0" w:type="dxa"/>
        </w:tblCellMar>
      </w:tblPr>
      <w:tblGrid>
        <w:gridCol w:w="3080"/>
        <w:gridCol w:w="60"/>
        <w:gridCol w:w="236"/>
        <w:gridCol w:w="1118"/>
        <w:gridCol w:w="89"/>
        <w:gridCol w:w="89"/>
        <w:gridCol w:w="236"/>
        <w:gridCol w:w="1118"/>
        <w:gridCol w:w="75"/>
      </w:tblGrid>
      <w:tr>
        <w:trPr/>
        <w:tc>
          <w:tcPr>
            <w:tcW w:w="308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Amounts in thousands of U.S. dollars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86"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2024</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75" w:type="dxa"/>
            <w:tcBorders/>
            <w:vAlign w:val="center"/>
          </w:tcPr>
          <w:p>
            <w:pPr>
              <w:pStyle w:val="TableContents"/>
              <w:bidi w:val="0"/>
              <w:spacing w:before="0" w:after="283"/>
              <w:ind w:left="0" w:right="0" w:hanging="176"/>
              <w:jc w:val="left"/>
              <w:rPr>
                <w:caps w:val="false"/>
                <w:smallCaps w:val="false"/>
              </w:rPr>
            </w:pPr>
            <w:r>
              <w:rPr>
                <w:caps w:val="false"/>
                <w:smallCaps w:val="false"/>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98,094</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80,272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49,952</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25,789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were $80.3 million for the quarter ended March 31, 2025 ($98.1 million for the same period in 2024). The decrease of $17.8 million is mainly attributable to the 2024 and 2025 fixtures at lower rates due to the weak market and the 123 idle days in the quarter ended March 31, 2025 (nil idle days for the quarter ended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Profit was $25.8 million for the quarter ended March 31, 2025 ($50.0 million for the same period in 2024). The decrease in profit of $24.2 million is mainly attributable to a) a decrease of $17.8 million in revenues, as discussed above, b) an increase of $3.2 million in voyage expenses and commissions mainly attributable to an increase in bunkers consumption due to the decreased utilization of our spot fleet and c) an increase of $2.7 million in depreciation, mainly attributable to the increase in depreciation of the right-of-use assets as a result of the </w:t>
      </w:r>
      <w:r>
        <w:rPr>
          <w:rFonts w:ascii="Times New Roman;Times;Serif" w:hAnsi="Times New Roman;Times;Serif"/>
          <w:b w:val="false"/>
          <w:i/>
          <w:caps w:val="false"/>
          <w:smallCaps w:val="false"/>
          <w:sz w:val="20"/>
        </w:rPr>
        <w:t>GasLog Santiago</w:t>
      </w:r>
      <w:r>
        <w:rPr>
          <w:rFonts w:ascii="Times New Roman;Times;Serif" w:hAnsi="Times New Roman;Times;Serif"/>
          <w:b w:val="false"/>
          <w:i w:val="false"/>
          <w:caps w:val="false"/>
          <w:smallCaps w:val="false"/>
          <w:sz w:val="20"/>
        </w:rPr>
        <w:t xml:space="preserve"> sale and leaseback completed on August 27,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financial position</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expressed in thousands of U.S. Dollars)</w:t>
      </w:r>
    </w:p>
    <w:p>
      <w:pPr>
        <w:pStyle w:val="TextBody"/>
        <w:bidi w:val="0"/>
        <w:spacing w:before="0" w:after="0"/>
        <w:ind w:left="0" w:right="0" w:hanging="0"/>
        <w:jc w:val="left"/>
        <w:rPr>
          <w:caps w:val="false"/>
          <w:smallCaps w:val="false"/>
        </w:rPr>
      </w:pPr>
      <w:r>
        <w:rPr>
          <w:caps w:val="false"/>
          <w:smallCaps w:val="false"/>
        </w:rPr>
        <w:t> </w:t>
      </w:r>
    </w:p>
    <w:tbl>
      <w:tblPr>
        <w:tblW w:w="6613" w:type="dxa"/>
        <w:jc w:val="left"/>
        <w:tblInd w:w="0" w:type="dxa"/>
        <w:tblLayout w:type="fixed"/>
        <w:tblCellMar>
          <w:top w:w="0" w:type="dxa"/>
          <w:left w:w="0" w:type="dxa"/>
          <w:bottom w:w="0" w:type="dxa"/>
          <w:right w:w="0" w:type="dxa"/>
        </w:tblCellMar>
      </w:tblPr>
      <w:tblGrid>
        <w:gridCol w:w="3365"/>
        <w:gridCol w:w="60"/>
        <w:gridCol w:w="107"/>
        <w:gridCol w:w="1532"/>
        <w:gridCol w:w="60"/>
        <w:gridCol w:w="60"/>
        <w:gridCol w:w="89"/>
        <w:gridCol w:w="1265"/>
        <w:gridCol w:w="75"/>
      </w:tblGrid>
      <w:tr>
        <w:trPr/>
        <w:tc>
          <w:tcPr>
            <w:tcW w:w="33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75" w:type="dxa"/>
            <w:tcBorders/>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7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5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7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Tangible fixed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1,276,472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1,265,916</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115,124</w:t>
            </w:r>
          </w:p>
        </w:tc>
        <w:tc>
          <w:tcPr>
            <w:tcW w:w="75"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1,407,844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1,382,473</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7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8,828</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9,828</w:t>
            </w:r>
          </w:p>
        </w:tc>
        <w:tc>
          <w:tcPr>
            <w:tcW w:w="75"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from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5,279</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3,370</w:t>
            </w:r>
          </w:p>
        </w:tc>
        <w:tc>
          <w:tcPr>
            <w:tcW w:w="75"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7,227</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38,273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34,532</w:t>
            </w:r>
          </w:p>
        </w:tc>
        <w:tc>
          <w:tcPr>
            <w:tcW w:w="75"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1,446,117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1,417,005</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 equity and liabilities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 equity</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5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7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unitholders and general partner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1,016,574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998,103</w:t>
            </w:r>
          </w:p>
        </w:tc>
        <w:tc>
          <w:tcPr>
            <w:tcW w:w="75"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Preference unitholders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280,129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280,107</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partners’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1,296,703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1,278,210</w:t>
            </w:r>
          </w:p>
        </w:tc>
        <w:tc>
          <w:tcPr>
            <w:tcW w:w="75"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5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7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5,450</w:t>
            </w:r>
          </w:p>
        </w:tc>
        <w:tc>
          <w:tcPr>
            <w:tcW w:w="75"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 and accruals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36,597</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41,510</w:t>
            </w:r>
          </w:p>
        </w:tc>
        <w:tc>
          <w:tcPr>
            <w:tcW w:w="75"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84,258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83,557</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7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liabilities—non-current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54,957</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75"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65,156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55,238</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partners’ equity and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1,446,117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1,417,005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profit or loss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expressed in thousands of U.S. Dollars)</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0" w:type="dxa"/>
          <w:right w:w="0" w:type="dxa"/>
        </w:tblCellMar>
      </w:tblPr>
      <w:tblGrid>
        <w:gridCol w:w="3005"/>
        <w:gridCol w:w="60"/>
        <w:gridCol w:w="114"/>
        <w:gridCol w:w="1240"/>
        <w:gridCol w:w="118"/>
        <w:gridCol w:w="89"/>
        <w:gridCol w:w="114"/>
        <w:gridCol w:w="1240"/>
        <w:gridCol w:w="95"/>
      </w:tblGrid>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1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2024</w:t>
            </w:r>
          </w:p>
        </w:tc>
        <w:tc>
          <w:tcPr>
            <w:tcW w:w="118" w:type="dxa"/>
            <w:tcBorders/>
            <w:vAlign w:val="center"/>
          </w:tcPr>
          <w:p>
            <w:pPr>
              <w:pStyle w:val="TableContents"/>
              <w:bidi w:val="0"/>
              <w:spacing w:before="0" w:after="283"/>
              <w:jc w:val="left"/>
              <w:rPr>
                <w:caps w:val="false"/>
                <w:smallCaps w:val="false"/>
              </w:rPr>
            </w:pPr>
            <w:r>
              <w:rPr>
                <w:caps w:val="false"/>
                <w:smallCaps w:val="false"/>
              </w:rPr>
              <w:t> </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95" w:type="dxa"/>
            <w:tcBorders/>
            <w:vAlign w:val="center"/>
          </w:tcPr>
          <w:p>
            <w:pPr>
              <w:pStyle w:val="TableContents"/>
              <w:bidi w:val="0"/>
              <w:spacing w:before="0" w:after="283"/>
              <w:ind w:left="0" w:right="0" w:hanging="176"/>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98,094</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80,272</w:t>
            </w:r>
          </w:p>
        </w:tc>
        <w:tc>
          <w:tcPr>
            <w:tcW w:w="95" w:type="dxa"/>
            <w:tcBorders/>
            <w:shd w:fill="CCEEFF" w:val="clear"/>
            <w:vAlign w:val="center"/>
          </w:tcPr>
          <w:p>
            <w:pPr>
              <w:pStyle w:val="TableContents"/>
              <w:bidi w:val="0"/>
              <w:spacing w:before="0" w:after="283"/>
              <w:ind w:left="0" w:right="0" w:hanging="176"/>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Voyage expenses and commissions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(1,857</w:t>
            </w:r>
          </w:p>
        </w:tc>
        <w:tc>
          <w:tcPr>
            <w:tcW w:w="1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(5,146</w:t>
            </w:r>
          </w:p>
        </w:tc>
        <w:tc>
          <w:tcPr>
            <w:tcW w:w="95" w:type="dxa"/>
            <w:tcBorders/>
            <w:shd w:fill="FFFFFF" w:val="clear"/>
            <w:vAlign w:val="center"/>
          </w:tcPr>
          <w:p>
            <w:pPr>
              <w:pStyle w:val="TableContents"/>
              <w:bidi w:val="0"/>
              <w:spacing w:before="0" w:after="283"/>
              <w:ind w:left="0" w:right="0"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Vessel operating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(15,788</w:t>
            </w:r>
          </w:p>
        </w:tc>
        <w:tc>
          <w:tcPr>
            <w:tcW w:w="1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(16,180</w:t>
            </w:r>
          </w:p>
        </w:tc>
        <w:tc>
          <w:tcPr>
            <w:tcW w:w="95" w:type="dxa"/>
            <w:tcBorders/>
            <w:shd w:fill="CCEEFF" w:val="clear"/>
            <w:vAlign w:val="center"/>
          </w:tcPr>
          <w:p>
            <w:pPr>
              <w:pStyle w:val="TableContents"/>
              <w:bidi w:val="0"/>
              <w:spacing w:before="0" w:after="283"/>
              <w:ind w:left="0" w:right="0"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(25,170</w:t>
            </w:r>
          </w:p>
        </w:tc>
        <w:tc>
          <w:tcPr>
            <w:tcW w:w="1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(27,920</w:t>
            </w:r>
          </w:p>
        </w:tc>
        <w:tc>
          <w:tcPr>
            <w:tcW w:w="95" w:type="dxa"/>
            <w:tcBorders/>
            <w:shd w:fill="FFFFFF" w:val="clear"/>
            <w:vAlign w:val="center"/>
          </w:tcPr>
          <w:p>
            <w:pPr>
              <w:pStyle w:val="TableContents"/>
              <w:bidi w:val="0"/>
              <w:spacing w:before="0" w:after="283"/>
              <w:ind w:left="0" w:right="0"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(4,390</w:t>
            </w:r>
          </w:p>
        </w:tc>
        <w:tc>
          <w:tcPr>
            <w:tcW w:w="1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(3,801</w:t>
            </w:r>
          </w:p>
        </w:tc>
        <w:tc>
          <w:tcPr>
            <w:tcW w:w="95" w:type="dxa"/>
            <w:tcBorders/>
            <w:shd w:fill="CCEEFF" w:val="clear"/>
            <w:vAlign w:val="center"/>
          </w:tcPr>
          <w:p>
            <w:pPr>
              <w:pStyle w:val="TableContents"/>
              <w:bidi w:val="0"/>
              <w:spacing w:before="0" w:after="283"/>
              <w:ind w:left="0" w:right="0"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50,889</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27,225</w:t>
            </w:r>
          </w:p>
        </w:tc>
        <w:tc>
          <w:tcPr>
            <w:tcW w:w="95" w:type="dxa"/>
            <w:tcBorders/>
            <w:shd w:fill="FFFFFF" w:val="clear"/>
            <w:vAlign w:val="center"/>
          </w:tcPr>
          <w:p>
            <w:pPr>
              <w:pStyle w:val="TableContents"/>
              <w:bidi w:val="0"/>
              <w:spacing w:before="0" w:after="283"/>
              <w:ind w:left="0" w:right="0" w:hanging="176"/>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1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(1,453</w:t>
            </w:r>
          </w:p>
        </w:tc>
        <w:tc>
          <w:tcPr>
            <w:tcW w:w="95" w:type="dxa"/>
            <w:tcBorders/>
            <w:shd w:fill="CCEEFF" w:val="clear"/>
            <w:vAlign w:val="center"/>
          </w:tcPr>
          <w:p>
            <w:pPr>
              <w:pStyle w:val="TableContents"/>
              <w:bidi w:val="0"/>
              <w:spacing w:before="0" w:after="283"/>
              <w:ind w:left="0" w:right="0"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5" w:type="dxa"/>
            <w:tcBorders/>
            <w:shd w:fill="FFFFFF" w:val="clear"/>
            <w:vAlign w:val="center"/>
          </w:tcPr>
          <w:p>
            <w:pPr>
              <w:pStyle w:val="TableContents"/>
              <w:bidi w:val="0"/>
              <w:spacing w:before="0" w:after="283"/>
              <w:ind w:left="0" w:right="0" w:hanging="176"/>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expenses,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(937</w:t>
            </w:r>
          </w:p>
        </w:tc>
        <w:tc>
          <w:tcPr>
            <w:tcW w:w="11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(1,436</w:t>
            </w:r>
          </w:p>
        </w:tc>
        <w:tc>
          <w:tcPr>
            <w:tcW w:w="95" w:type="dxa"/>
            <w:tcBorders/>
            <w:shd w:fill="CCEEFF" w:val="clear"/>
            <w:vAlign w:val="center"/>
          </w:tcPr>
          <w:p>
            <w:pPr>
              <w:pStyle w:val="TableContents"/>
              <w:bidi w:val="0"/>
              <w:spacing w:before="0" w:after="283"/>
              <w:ind w:left="0" w:right="0" w:hanging="1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49,952</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25,789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904</Words>
  <Characters>4956</Characters>
  <CharactersWithSpaces>6017</CharactersWithSpaces>
  <Paragraphs>527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