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192d1_6k.htm"/>
      <w:bookmarkStart w:id="1" w:name="kstm2621192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July 24, 2026 relating to its results for the three-month period ended June 30, 2026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50"/>
        <w:gridCol w:w="60"/>
        <w:gridCol w:w="4610"/>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tm262119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hyperlink w:anchor="tm2621192d1_ex99-1.htm">
              <w:r>
                <w:rPr>
                  <w:rStyle w:val="InternetLink"/>
                  <w:rFonts w:ascii="Times New Roman;Times;Serif" w:hAnsi="Times New Roman;Times;Serif"/>
                  <w:sz w:val="20"/>
                </w:rPr>
                <w:t>Press Release of GasLog Partners LP dated July 24,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625"/>
        <w:gridCol w:w="230"/>
        <w:gridCol w:w="545"/>
        <w:gridCol w:w="195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24, 2026</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7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GASLOG PARTNERS LP</w:t>
            </w:r>
          </w:p>
        </w:tc>
      </w:tr>
      <w:tr>
        <w:trPr/>
        <w:tc>
          <w:tcPr>
            <w:tcW w:w="16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Paolo Enoizi</w:t>
            </w:r>
          </w:p>
        </w:tc>
      </w:tr>
      <w:tr>
        <w:trPr/>
        <w:tc>
          <w:tcPr>
            <w:tcW w:w="16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Enoizi</w:t>
            </w:r>
          </w:p>
        </w:tc>
      </w:tr>
      <w:tr>
        <w:trPr/>
        <w:tc>
          <w:tcPr>
            <w:tcW w:w="16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1192d1_ex99-1.htm"/>
      <w:bookmarkStart w:id="3" w:name="kstm2621192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 Reports Financial Results for the Three-Month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Majuro, Marshall Islands, July 24, 2026, GasLog Partners LP (“GasLog Partners” or the “Partnership”) (NYSE: GLOP-PA, GLOP-PB, GLOP-PC), </w:t>
      </w:r>
      <w:r>
        <w:rPr>
          <w:rFonts w:ascii="Times New Roman;Times;Serif" w:hAnsi="Times New Roman;Times;Serif"/>
          <w:b w:val="false"/>
          <w:i w:val="false"/>
          <w:caps w:val="false"/>
          <w:smallCaps w:val="false"/>
          <w:sz w:val="20"/>
        </w:rPr>
        <w:t>an international owner and operator of liquefied natural gas (“LNG”) carriers, today reported its financial results for the three-month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 of Vessel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GasLog Partners entered into an agreement to sell, subject to customary and other closing conditions, the </w:t>
      </w:r>
      <w:r>
        <w:rPr>
          <w:rFonts w:ascii="Times New Roman;Times;Serif" w:hAnsi="Times New Roman;Times;Serif"/>
          <w:b w:val="false"/>
          <w:i/>
          <w:caps w:val="false"/>
          <w:smallCaps w:val="false"/>
          <w:sz w:val="20"/>
        </w:rPr>
        <w:t>Methane Rita Andrea</w:t>
      </w:r>
      <w:r>
        <w:rPr>
          <w:rFonts w:ascii="Times New Roman;Times;Serif" w:hAnsi="Times New Roman;Times;Serif"/>
          <w:b w:val="false"/>
          <w:i w:val="false"/>
          <w:caps w:val="false"/>
          <w:smallCaps w:val="false"/>
          <w:sz w:val="20"/>
        </w:rPr>
        <w:t>, a 145,000 cubic meter steam turbine propulsion (“Steam”) LNG carrier built in 2006, to an unrelated third party for a net sale price of approximately $34.1 million, resulting in the recognition of an impairment loss of $8.2 million in 2026, of which $0.5 million was recorded in the three months ended June 30, 2026. The net proceeds of the sale were returned to GasLog Ltd. (“GasLog”) as return of capital contributions. The sale was completed on 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GasLog Partners Dividend Declarations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the board of directors of GasLog Partners approved and declared a quarterly cash distribution of $1.18 per common unit to GasLog that was settled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the board of directors of GasLog Partners approved and declared: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8.625% Series A Cumulative Redeemable Perpetual Fixed to Floating Rate Preference Units (“Series A Preference Units”) of $0.5390625 per preference unit (based on the fixed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8.200% Series B Cumulative Redeemable Perpetual Fixed to Floating Rate Preference Units (“Series B Preference Units”) of $0.6242622 per preference unit (based on a floating rate equal to the Term Secured Overnight Financing Rate (“SOFR”) for a three-month tenor published by the Chicago Mercantile Exchange (“CME”) of 3.67045% plus 0.26161% of Credit Adjustment Spread (“CAS”) and spread of 5.839% per annum)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8.500% Series C Cumulative Redeemable Perpetual Fixed to Floating Rate Preference Units (“Series C Preference Units”) of $0.5909122 per preference unit (based on a floating rate equal to the three-month Term SOFR as published by the CME of 3.67045% plus 0.26161% of CAS and spread of 5.317% per annum).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distributions are payable on September 15, 2026 to all unitholders of record as of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Financial Results</w:t>
      </w:r>
    </w:p>
    <w:p>
      <w:pPr>
        <w:pStyle w:val="TextBody"/>
        <w:bidi w:val="0"/>
        <w:spacing w:before="0" w:after="0"/>
        <w:ind w:left="0" w:right="0" w:hanging="0"/>
        <w:jc w:val="left"/>
        <w:rPr>
          <w:caps w:val="false"/>
          <w:smallCaps w:val="false"/>
        </w:rPr>
      </w:pPr>
      <w:r>
        <w:rPr>
          <w:caps w:val="false"/>
          <w:smallCaps w:val="false"/>
        </w:rPr>
        <w:t> </w:t>
      </w:r>
    </w:p>
    <w:tbl>
      <w:tblPr>
        <w:tblW w:w="5791" w:type="dxa"/>
        <w:jc w:val="left"/>
        <w:tblInd w:w="0" w:type="dxa"/>
        <w:tblLayout w:type="fixed"/>
        <w:tblCellMar>
          <w:top w:w="0" w:type="dxa"/>
          <w:left w:w="0" w:type="dxa"/>
          <w:bottom w:w="0" w:type="dxa"/>
          <w:right w:w="0" w:type="dxa"/>
        </w:tblCellMar>
      </w:tblPr>
      <w:tblGrid>
        <w:gridCol w:w="3080"/>
        <w:gridCol w:w="60"/>
        <w:gridCol w:w="191"/>
        <w:gridCol w:w="998"/>
        <w:gridCol w:w="113"/>
        <w:gridCol w:w="85"/>
        <w:gridCol w:w="207"/>
        <w:gridCol w:w="982"/>
        <w:gridCol w:w="75"/>
      </w:tblGrid>
      <w:tr>
        <w:trPr/>
        <w:tc>
          <w:tcPr>
            <w:tcW w:w="308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in thousands of U.S.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70,236</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(17,861</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$89.5 million for the quarter ended June 30, 2026 ($70.2 million for the same period in 2025). The increase of $19.3 million is mainly attributable to higher average charter rates during the three months ended June 30, 2026, partially offset by a decrease mainly attributable to the Steam vessels that have exited our fleet in the third and fourth quarter of 2025 as well as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was $44.4 million for the quarter ended June 30, 2026 (loss of $17.9 million for the same period in 2025). The increase in profit of $62.3 million is mainly attributable to a) a decrease of $34.1 million non-cash impairment loss ($34.6 million non-cash impairment loss was recognized in the quarter ended June 30, 2025, of which $29.1 million resulted from the agreement to sell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and $5.5 million related to the non-cash impairment loss of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xml:space="preserve">, as compared to $0.5 million additional non-cash impairment loss recognized in the quarter ended June 30, 2026 related to the sale of the </w:t>
      </w:r>
      <w:r>
        <w:rPr>
          <w:rFonts w:ascii="Times New Roman;Times;Serif" w:hAnsi="Times New Roman;Times;Serif"/>
          <w:b w:val="false"/>
          <w:i/>
          <w:caps w:val="false"/>
          <w:smallCaps w:val="false"/>
          <w:sz w:val="20"/>
        </w:rPr>
        <w:t>Methane Rita Andrea</w:t>
      </w:r>
      <w:r>
        <w:rPr>
          <w:rFonts w:ascii="Times New Roman;Times;Serif" w:hAnsi="Times New Roman;Times;Serif"/>
          <w:b w:val="false"/>
          <w:i w:val="false"/>
          <w:caps w:val="false"/>
          <w:smallCaps w:val="false"/>
          <w:sz w:val="20"/>
        </w:rPr>
        <w:t>, discussed above), b) an increase of $19.3 million in revenues, as discussed above, and c) a decrease of $9.1 million in depreciation as a result of the decrease in the average number of vessels in our fleet and the impairment charges recognized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448" w:type="dxa"/>
        <w:jc w:val="left"/>
        <w:tblInd w:w="0" w:type="dxa"/>
        <w:tblLayout w:type="fixed"/>
        <w:tblCellMar>
          <w:top w:w="0" w:type="dxa"/>
          <w:left w:w="0" w:type="dxa"/>
          <w:bottom w:w="0" w:type="dxa"/>
          <w:right w:w="0" w:type="dxa"/>
        </w:tblCellMar>
      </w:tblPr>
      <w:tblGrid>
        <w:gridCol w:w="3365"/>
        <w:gridCol w:w="60"/>
        <w:gridCol w:w="107"/>
        <w:gridCol w:w="1532"/>
        <w:gridCol w:w="60"/>
        <w:gridCol w:w="60"/>
        <w:gridCol w:w="78"/>
        <w:gridCol w:w="1111"/>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1,059,183</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37,918</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1,172,611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1,097,852</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37,807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7,302</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4,915</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55,156</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1,153,008</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 and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and general partner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814,972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784,027</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279,801</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1,063,828</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7,712</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36,585</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32,868</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77,165</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11,851</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12,015</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1,153,008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8442" w:type="dxa"/>
        <w:jc w:val="left"/>
        <w:tblInd w:w="0" w:type="dxa"/>
        <w:tblLayout w:type="fixed"/>
        <w:tblCellMar>
          <w:top w:w="0" w:type="dxa"/>
          <w:left w:w="0" w:type="dxa"/>
          <w:bottom w:w="0" w:type="dxa"/>
          <w:right w:w="0" w:type="dxa"/>
        </w:tblCellMar>
      </w:tblPr>
      <w:tblGrid>
        <w:gridCol w:w="3005"/>
        <w:gridCol w:w="60"/>
        <w:gridCol w:w="100"/>
        <w:gridCol w:w="1089"/>
        <w:gridCol w:w="118"/>
        <w:gridCol w:w="89"/>
        <w:gridCol w:w="100"/>
        <w:gridCol w:w="1089"/>
        <w:gridCol w:w="80"/>
        <w:gridCol w:w="60"/>
        <w:gridCol w:w="94"/>
        <w:gridCol w:w="1095"/>
        <w:gridCol w:w="102"/>
        <w:gridCol w:w="77"/>
        <w:gridCol w:w="94"/>
        <w:gridCol w:w="1095"/>
        <w:gridCol w:w="9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70,236</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150,508</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158,108</w:t>
            </w:r>
          </w:p>
        </w:tc>
        <w:tc>
          <w:tcPr>
            <w:tcW w:w="95" w:type="dxa"/>
            <w:tcBorders/>
            <w:shd w:fill="CCEE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(5,105</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(10,251</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(8,658</w:t>
            </w:r>
          </w:p>
        </w:tc>
        <w:tc>
          <w:tcPr>
            <w:tcW w:w="95"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(15,694</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(30,380</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(28,322</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(56,242</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(39,007</w:t>
            </w:r>
          </w:p>
        </w:tc>
        <w:tc>
          <w:tcPr>
            <w:tcW w:w="95"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(3,079</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(6,771</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vessel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(34,612</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(34,612</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(8,205</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(Loss)/profit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(16,576</w:t>
            </w:r>
          </w:p>
        </w:tc>
        <w:tc>
          <w:tcPr>
            <w:tcW w:w="1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10,649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64,985</w:t>
            </w:r>
          </w:p>
        </w:tc>
        <w:tc>
          <w:tcPr>
            <w:tcW w:w="95"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w:t>
            </w:r>
          </w:p>
        </w:tc>
        <w:tc>
          <w:tcPr>
            <w:tcW w:w="1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(2,721</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(1,571</w:t>
            </w:r>
          </w:p>
        </w:tc>
        <w:tc>
          <w:tcPr>
            <w:tcW w:w="95" w:type="dxa"/>
            <w:tcBorders/>
            <w:shd w:fill="CCEEFF" w:val="clear"/>
            <w:vAlign w:val="center"/>
          </w:tcPr>
          <w:p>
            <w:pPr>
              <w:pStyle w:val="TableContents"/>
              <w:bidi w:val="0"/>
              <w:spacing w:before="0" w:after="283"/>
              <w:ind w:left="0" w:right="0" w:hanging="1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(17,861</w:t>
            </w:r>
          </w:p>
        </w:tc>
        <w:tc>
          <w:tcPr>
            <w:tcW w:w="1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7,928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1133</Words>
  <Characters>6034</Characters>
  <CharactersWithSpaces>7340</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