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January 2023</w:t>
            </w:r>
          </w:p>
        </w:tc>
        <w:tc>
          <w:tcPr>
            <w:tcW w:w="1700" w:type="dxa"/>
            <w:vAlign w:val="bottom"/>
          </w:tcPr>
          <w:p>
            <w:pPr>
              <w:spacing w:after="0"/>
              <w:rPr>
                <w:sz w:val="20"/>
                <w:szCs w:val="20"/>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1700" w:type="dxa"/>
            <w:vAlign w:val="bottom"/>
          </w:tcPr>
          <w:p>
            <w:pPr>
              <w:spacing w:after="0"/>
              <w:rPr>
                <w:sz w:val="24"/>
                <w:szCs w:val="24"/>
                <w:color w:val="auto"/>
              </w:rPr>
            </w:pPr>
          </w:p>
        </w:tc>
      </w:tr>
      <w:tr>
        <w:trPr>
          <w:trHeight w:val="414"/>
        </w:trPr>
        <w:tc>
          <w:tcPr>
            <w:tcW w:w="9540" w:type="dxa"/>
            <w:vAlign w:val="bottom"/>
          </w:tcPr>
          <w:p>
            <w:pPr>
              <w:jc w:val="center"/>
              <w:ind w:left="1616"/>
              <w:spacing w:after="0"/>
              <w:rPr>
                <w:sz w:val="20"/>
                <w:szCs w:val="20"/>
                <w:color w:val="auto"/>
              </w:rPr>
            </w:pPr>
            <w:r>
              <w:rPr>
                <w:rFonts w:ascii="Times New Roman" w:cs="Times New Roman" w:eastAsia="Times New Roman" w:hAnsi="Times New Roman"/>
                <w:sz w:val="18"/>
                <w:szCs w:val="18"/>
                <w:b w:val="1"/>
                <w:bCs w:val="1"/>
                <w:color w:val="auto"/>
              </w:rPr>
              <w:t>GasLog Partners LP</w:t>
            </w:r>
          </w:p>
        </w:tc>
        <w:tc>
          <w:tcPr>
            <w:tcW w:w="1700" w:type="dxa"/>
            <w:vAlign w:val="bottom"/>
          </w:tcPr>
          <w:p>
            <w:pPr>
              <w:spacing w:after="0"/>
              <w:rPr>
                <w:sz w:val="24"/>
                <w:szCs w:val="24"/>
                <w:color w:val="auto"/>
              </w:rPr>
            </w:pPr>
          </w:p>
        </w:tc>
      </w:tr>
      <w:tr>
        <w:trPr>
          <w:trHeight w:val="234"/>
        </w:trPr>
        <w:tc>
          <w:tcPr>
            <w:tcW w:w="9540" w:type="dxa"/>
            <w:vAlign w:val="bottom"/>
          </w:tcPr>
          <w:p>
            <w:pPr>
              <w:jc w:val="center"/>
              <w:ind w:left="1616"/>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700" w:type="dxa"/>
            <w:vAlign w:val="bottom"/>
          </w:tcPr>
          <w:p>
            <w:pPr>
              <w:spacing w:after="0"/>
              <w:rPr>
                <w:sz w:val="20"/>
                <w:szCs w:val="20"/>
                <w:color w:val="auto"/>
              </w:rPr>
            </w:pPr>
          </w:p>
        </w:tc>
      </w:tr>
      <w:tr>
        <w:trPr>
          <w:trHeight w:val="414"/>
        </w:trPr>
        <w:tc>
          <w:tcPr>
            <w:tcW w:w="9540" w:type="dxa"/>
            <w:vAlign w:val="bottom"/>
          </w:tcPr>
          <w:p>
            <w:pPr>
              <w:jc w:val="center"/>
              <w:ind w:left="1616"/>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700" w:type="dxa"/>
            <w:vAlign w:val="bottom"/>
          </w:tcPr>
          <w:p>
            <w:pPr>
              <w:spacing w:after="0"/>
              <w:rPr>
                <w:sz w:val="24"/>
                <w:szCs w:val="24"/>
                <w:color w:val="auto"/>
              </w:rPr>
            </w:pPr>
          </w:p>
        </w:tc>
      </w:tr>
      <w:tr>
        <w:trPr>
          <w:trHeight w:val="216"/>
        </w:trPr>
        <w:tc>
          <w:tcPr>
            <w:tcW w:w="9540" w:type="dxa"/>
            <w:vAlign w:val="bottom"/>
          </w:tcPr>
          <w:p>
            <w:pPr>
              <w:jc w:val="center"/>
              <w:ind w:left="1636"/>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1700" w:type="dxa"/>
            <w:vAlign w:val="bottom"/>
          </w:tcPr>
          <w:p>
            <w:pPr>
              <w:spacing w:after="0"/>
              <w:rPr>
                <w:sz w:val="18"/>
                <w:szCs w:val="18"/>
                <w:color w:val="auto"/>
              </w:rPr>
            </w:pPr>
          </w:p>
        </w:tc>
      </w:tr>
      <w:tr>
        <w:trPr>
          <w:trHeight w:val="216"/>
        </w:trPr>
        <w:tc>
          <w:tcPr>
            <w:tcW w:w="9540" w:type="dxa"/>
            <w:vAlign w:val="bottom"/>
          </w:tcPr>
          <w:p>
            <w:pPr>
              <w:jc w:val="center"/>
              <w:ind w:left="1616"/>
              <w:spacing w:after="0"/>
              <w:rPr>
                <w:sz w:val="20"/>
                <w:szCs w:val="20"/>
                <w:color w:val="auto"/>
              </w:rPr>
            </w:pPr>
            <w:r>
              <w:rPr>
                <w:rFonts w:ascii="Times New Roman" w:cs="Times New Roman" w:eastAsia="Times New Roman" w:hAnsi="Times New Roman"/>
                <w:sz w:val="18"/>
                <w:szCs w:val="18"/>
                <w:color w:val="auto"/>
                <w:w w:val="99"/>
              </w:rPr>
              <w:t>Piraeus, Greece</w:t>
            </w:r>
          </w:p>
        </w:tc>
        <w:tc>
          <w:tcPr>
            <w:tcW w:w="1700" w:type="dxa"/>
            <w:vAlign w:val="bottom"/>
          </w:tcPr>
          <w:p>
            <w:pPr>
              <w:spacing w:after="0"/>
              <w:rPr>
                <w:sz w:val="18"/>
                <w:szCs w:val="18"/>
                <w:color w:val="auto"/>
              </w:rPr>
            </w:pPr>
          </w:p>
        </w:tc>
      </w:tr>
      <w:tr>
        <w:trPr>
          <w:trHeight w:val="234"/>
        </w:trPr>
        <w:tc>
          <w:tcPr>
            <w:tcW w:w="9540" w:type="dxa"/>
            <w:vAlign w:val="bottom"/>
          </w:tcPr>
          <w:p>
            <w:pPr>
              <w:jc w:val="center"/>
              <w:ind w:left="1636"/>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700" w:type="dxa"/>
            <w:vAlign w:val="bottom"/>
          </w:tcPr>
          <w:p>
            <w:pPr>
              <w:spacing w:after="0"/>
              <w:rPr>
                <w:sz w:val="20"/>
                <w:szCs w:val="20"/>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700" w:type="dxa"/>
            <w:vAlign w:val="bottom"/>
          </w:tcPr>
          <w:p>
            <w:pPr>
              <w:spacing w:after="0"/>
              <w:rPr>
                <w:sz w:val="24"/>
                <w:szCs w:val="24"/>
                <w:color w:val="auto"/>
              </w:rPr>
            </w:pPr>
          </w:p>
        </w:tc>
      </w:tr>
      <w:tr>
        <w:trPr>
          <w:trHeight w:val="517"/>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20-FForm 40-F </w:t>
            </w:r>
            <w:r>
              <w:rPr>
                <w:rFonts w:ascii="Wingdings" w:cs="Wingdings" w:eastAsia="Wingdings" w:hAnsi="Wingdings"/>
                <w:sz w:val="18"/>
                <w:szCs w:val="18"/>
                <w:b w:val="1"/>
                <w:bCs w:val="1"/>
                <w:color w:val="auto"/>
              </w:rPr>
              <w:t>o</w:t>
            </w:r>
          </w:p>
        </w:tc>
        <w:tc>
          <w:tcPr>
            <w:tcW w:w="1700" w:type="dxa"/>
            <w:vAlign w:val="bottom"/>
          </w:tcPr>
          <w:p>
            <w:pPr>
              <w:spacing w:after="0"/>
              <w:rPr>
                <w:sz w:val="24"/>
                <w:szCs w:val="24"/>
                <w:color w:val="auto"/>
              </w:rPr>
            </w:pPr>
          </w:p>
        </w:tc>
      </w:tr>
      <w:tr>
        <w:trPr>
          <w:trHeight w:val="448"/>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7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7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ind w:firstLine="324"/>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Partners LP on January 26, 2023 relating to its results for the three-month period and the year ended December 31, 2022 is attached hereto as Exhibit 99.1.</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EXHIBIT LIST</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January 26, 2023</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color w:val="auto"/>
        </w:rPr>
        <w:t>SIGNATURES</w:t>
      </w:r>
    </w:p>
    <w:p>
      <w:pPr>
        <w:spacing w:after="0" w:line="235"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26, 2023</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26" w:lineRule="exact"/>
        <w:rPr>
          <w:sz w:val="20"/>
          <w:szCs w:val="20"/>
          <w:color w:val="auto"/>
        </w:rPr>
      </w:pPr>
    </w:p>
    <w:tbl>
      <w:tblPr>
        <w:tblLayout w:type="fixed"/>
        <w:tblInd w:w="6320" w:type="dxa"/>
        <w:tblCellMar>
          <w:top w:w="0" w:type="dxa"/>
          <w:left w:w="0" w:type="dxa"/>
          <w:bottom w:w="0" w:type="dxa"/>
          <w:right w:w="0" w:type="dxa"/>
        </w:tblCellMar>
      </w:tblPr>
      <w:tr>
        <w:trPr>
          <w:trHeight w:val="202"/>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37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Paolo Enoizi</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9"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Partners LP Reports Financial Results for the Three-Month Period and the Year Ended December 31, 2022 and Declares Cash Distribution</w:t>
      </w:r>
    </w:p>
    <w:p>
      <w:pPr>
        <w:spacing w:after="0" w:line="23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Majuro, Marshall Islands, January 26, 2023, GasLog Partners LP (“GasLog Partners” or the “Partnership”) (NYSE: GLOP), </w:t>
      </w:r>
      <w:r>
        <w:rPr>
          <w:rFonts w:ascii="Times New Roman" w:cs="Times New Roman" w:eastAsia="Times New Roman" w:hAnsi="Times New Roman"/>
          <w:sz w:val="16"/>
          <w:szCs w:val="16"/>
          <w:color w:val="auto"/>
        </w:rPr>
        <w:t>an international owner and operator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liquefied natural gas (“LNG”) carriers, today reported its financial results for the three-month period and the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Highlights</w:t>
      </w:r>
    </w:p>
    <w:p>
      <w:pPr>
        <w:spacing w:after="0" w:line="28" w:lineRule="exact"/>
        <w:rPr>
          <w:sz w:val="20"/>
          <w:szCs w:val="20"/>
          <w:color w:val="auto"/>
        </w:rPr>
      </w:pPr>
    </w:p>
    <w:p>
      <w:pPr>
        <w:ind w:left="340" w:right="60" w:hanging="332"/>
        <w:spacing w:after="0" w:line="25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Extended the time charter agreement of the </w:t>
      </w:r>
      <w:r>
        <w:rPr>
          <w:rFonts w:ascii="Times New Roman" w:cs="Times New Roman" w:eastAsia="Times New Roman" w:hAnsi="Times New Roman"/>
          <w:sz w:val="16"/>
          <w:szCs w:val="16"/>
          <w:i w:val="1"/>
          <w:iCs w:val="1"/>
          <w:color w:val="auto"/>
        </w:rPr>
        <w:t>Methane Becki Anne</w:t>
      </w:r>
      <w:r>
        <w:rPr>
          <w:rFonts w:ascii="Times New Roman" w:cs="Times New Roman" w:eastAsia="Times New Roman" w:hAnsi="Times New Roman"/>
          <w:sz w:val="16"/>
          <w:szCs w:val="16"/>
          <w:color w:val="auto"/>
        </w:rPr>
        <w:t xml:space="preserve">, a tri-fuel diesel electric (“TFDE”) LNG carrier, with a wholly owned subsidiary of Shell plc (“Shell”) exercising their five-year option to extend, with the contract now due to expire in 2029. Also, extended the time charter agreement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with a subsidiary of Cheniere Energy Inc. (“Cheniere”) exercising their option to extend for another year and entered into a one-year time charter agreement for the TFDE LNG carrier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with a Swiss-headquartered energy trading company</w:t>
      </w:r>
    </w:p>
    <w:p>
      <w:pPr>
        <w:ind w:left="340" w:right="280" w:hanging="332"/>
        <w:spacing w:after="0" w:line="24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Completed the sale and lease-back of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 steam turbine propulsion (“Steam”) LNG carrier for $50.0 million, with no repurchase option or obligation</w:t>
      </w:r>
    </w:p>
    <w:p>
      <w:pPr>
        <w:ind w:left="340" w:hanging="332"/>
        <w:spacing w:after="0" w:line="23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Repurchased $10.5 million of preference units in the open market in the fourth quarter of 2022 and a total of $49.2 million of repurchased preference units during 2022</w:t>
      </w:r>
    </w:p>
    <w:p>
      <w:pPr>
        <w:spacing w:after="0" w:line="20" w:lineRule="exact"/>
        <w:rPr>
          <w:rFonts w:ascii="Times New Roman" w:cs="Times New Roman" w:eastAsia="Times New Roman" w:hAnsi="Times New Roman"/>
          <w:sz w:val="18"/>
          <w:szCs w:val="18"/>
          <w:color w:val="auto"/>
        </w:rPr>
      </w:pPr>
    </w:p>
    <w:p>
      <w:pPr>
        <w:ind w:left="340" w:right="460" w:hanging="332"/>
        <w:spacing w:after="0" w:line="24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Repaid $21.7 million of debt and lease liabilities during the fourth quarter of 2022, bringing total debt repayment to $115.7 million during 2022 (excluding $65.1 million of total prepayments with respect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sale and lease-back of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8"/>
          <w:szCs w:val="18"/>
          <w:color w:val="auto"/>
        </w:rPr>
      </w:pPr>
    </w:p>
    <w:p>
      <w:pPr>
        <w:ind w:left="340" w:hanging="332"/>
        <w:spacing w:after="0" w:line="23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Recognized a non-cash impairment loss of $4.4 million in the fourth quarter of 2022 on the book values of two Steam vessels of the Partnership, built in 2006 and 2007</w:t>
      </w:r>
    </w:p>
    <w:p>
      <w:pPr>
        <w:spacing w:after="0" w:line="20"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Quarterly Revenues, Profit, 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$105.0 million, $40.6 million, $44.8 million and $81.1 million, respectively</w:t>
      </w:r>
    </w:p>
    <w:p>
      <w:pPr>
        <w:spacing w:after="0" w:line="1" w:lineRule="exact"/>
        <w:rPr>
          <w:rFonts w:ascii="Times New Roman" w:cs="Times New Roman" w:eastAsia="Times New Roman" w:hAnsi="Times New Roman"/>
          <w:sz w:val="18"/>
          <w:szCs w:val="18"/>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Annual Revenues, Profit, 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$371.0 million, $119.0 million, $139.3 million and $274.6 million, respectively</w:t>
      </w:r>
    </w:p>
    <w:p>
      <w:pPr>
        <w:ind w:left="340" w:hanging="332"/>
        <w:spacing w:after="0" w:line="181"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Quarterly Earnings/(loss) per unit (“EPU”) of $0.66 and Adjusted EPU</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of $0.74</w:t>
      </w:r>
    </w:p>
    <w:p>
      <w:pPr>
        <w:ind w:left="340" w:hanging="332"/>
        <w:spacing w:after="0" w:line="19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Annual EPU of $1.77 and Adjusted EPU</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$2.15</w:t>
      </w:r>
    </w:p>
    <w:p>
      <w:pPr>
        <w:ind w:left="340" w:hanging="332"/>
        <w:spacing w:after="0" w:line="223"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Declared cash distribution of $0.01 per common unit for the fourth quarter of 2022</w:t>
      </w:r>
    </w:p>
    <w:p>
      <w:pPr>
        <w:spacing w:after="0" w:line="19" w:lineRule="exact"/>
        <w:rPr>
          <w:rFonts w:ascii="Times New Roman" w:cs="Times New Roman" w:eastAsia="Times New Roman" w:hAnsi="Times New Roman"/>
          <w:sz w:val="18"/>
          <w:szCs w:val="18"/>
          <w:color w:val="auto"/>
        </w:rPr>
      </w:pPr>
    </w:p>
    <w:p>
      <w:pPr>
        <w:ind w:left="340" w:right="280" w:hanging="332"/>
        <w:spacing w:after="0" w:line="280"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24, 2023, the Partnership received an unsolicited non-binding proposal from GasLog Ltd. (“GasLog”) to acquire all of the outstanding common units representing limited partner interests of the Partnership not already beneficially owned by GasLog, at an aggregate purchase price of $7.70 per common unit in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CEO Statement</w:t>
      </w:r>
    </w:p>
    <w:p>
      <w:pPr>
        <w:spacing w:after="0" w:line="23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Paolo Enoizi, Chief Executive Officer, commented: “The Partnership delivered strong financial results in the fourth quarter of 2022, taking advantage of market conditions to secure a series of term charters at attractive rates during the course of the year. The Partnership enters 2023 with a charter backlog of approximately $729.0 million of contracted time charter revenues and fixed charter coverage of about 87.0% of its total days in 2023, with the majority of our open days in the seasonally stronger fourth quarter, further enhancing our cash flow visibility in 2023.</w:t>
      </w:r>
    </w:p>
    <w:p>
      <w:pPr>
        <w:spacing w:after="0" w:line="18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Overall, the term fixtures in 2022 supported the disciplined execution of our capital allocation strategy, helping us make meaningful progress towards our leverage targets and strengthening our balance sheet with the repurchase of $49.2 million in preference units in the year, or approximately $68.0 million since inception of the repurchase plan in August 2021, which is also improving the Partnership’s all-in break-even levels in our fleet. Our ability to capture the market and our continued focus on our capital allocation strategy keep delivering shareholder value, helping us make progress towards our long-term goals, and will position us to take advantage of accretive growth opportunities.</w:t>
      </w:r>
    </w:p>
    <w:p>
      <w:pPr>
        <w:spacing w:after="0" w:line="18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Lastly, on January 24, 2023, the Partnership received an unsolicited non-binding proposal from GasLog to acquire all of the outstanding common units not already owned by GasLog for an aggregate purchase price of $7.70 per common unit in cash, which our board of directors and conflicts committee are in the process of reviewing.”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All amounts expressed in</w:t>
            </w:r>
          </w:p>
        </w:tc>
        <w:tc>
          <w:tcPr>
            <w:tcW w:w="3160" w:type="dxa"/>
            <w:vAlign w:val="bottom"/>
            <w:tcBorders>
              <w:bottom w:val="single" w:sz="8" w:color="auto"/>
            </w:tcBorders>
            <w:gridSpan w:val="4"/>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Borders>
              <w:bottom w:val="single" w:sz="8" w:color="auto"/>
            </w:tcBorders>
            <w:gridSpan w:val="4"/>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0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 unit amounts</w:t>
            </w:r>
            <w:r>
              <w:rPr>
                <w:rFonts w:ascii="Times New Roman" w:cs="Times New Roman" w:eastAsia="Times New Roman" w:hAnsi="Times New Roman"/>
                <w:sz w:val="16"/>
                <w:szCs w:val="16"/>
                <w:color w:val="auto"/>
              </w:rPr>
              <w:t>)</w:t>
            </w: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2"/>
        </w:trPr>
        <w:tc>
          <w:tcPr>
            <w:tcW w:w="2500" w:type="dxa"/>
            <w:vAlign w:val="bottom"/>
            <w:tcBorders>
              <w:top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88,167</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104,974</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326,142</w:t>
            </w:r>
          </w:p>
        </w:tc>
        <w:tc>
          <w:tcPr>
            <w:tcW w:w="1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371,034</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(Loss)/profit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(70,784)</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40,593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118,986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EPU, common (basic)</w:t>
            </w:r>
          </w:p>
        </w:tc>
        <w:tc>
          <w:tcPr>
            <w:tcW w:w="158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15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c>
          <w:tcPr>
            <w:tcW w:w="12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15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(0.47)</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E5FFFF"/>
          </w:tcPr>
          <w:p>
            <w:pPr>
              <w:spacing w:after="0"/>
              <w:rPr>
                <w:sz w:val="19"/>
                <w:szCs w:val="19"/>
                <w:color w:val="auto"/>
              </w:rPr>
            </w:pP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 xml:space="preserve">Adjusted Profit </w:t>
            </w:r>
            <w:r>
              <w:rPr>
                <w:rFonts w:ascii="Times New Roman" w:cs="Times New Roman" w:eastAsia="Times New Roman" w:hAnsi="Times New Roman"/>
                <w:sz w:val="26"/>
                <w:szCs w:val="26"/>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30,691</w:t>
            </w:r>
          </w:p>
        </w:tc>
        <w:tc>
          <w:tcPr>
            <w:tcW w:w="1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44,818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99,845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139,287</w:t>
            </w:r>
          </w:p>
        </w:tc>
        <w:tc>
          <w:tcPr>
            <w:tcW w:w="1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6"/>
                <w:szCs w:val="26"/>
                <w:color w:val="auto"/>
                <w:vertAlign w:val="superscript"/>
              </w:rPr>
              <w:t>(1)</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64,171</w:t>
            </w:r>
          </w:p>
        </w:tc>
        <w:tc>
          <w:tcPr>
            <w:tcW w:w="12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81,061</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230,584</w:t>
            </w:r>
          </w:p>
        </w:tc>
        <w:tc>
          <w:tcPr>
            <w:tcW w:w="100" w:type="dxa"/>
            <w:vAlign w:val="bottom"/>
            <w:shd w:val="clear" w:color="auto" w:fill="E5FFFF"/>
          </w:tcPr>
          <w:p>
            <w:pPr>
              <w:spacing w:after="0"/>
              <w:rPr>
                <w:sz w:val="21"/>
                <w:szCs w:val="21"/>
                <w:color w:val="auto"/>
              </w:rPr>
            </w:pP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274,574</w:t>
            </w:r>
          </w:p>
        </w:tc>
        <w:tc>
          <w:tcPr>
            <w:tcW w:w="12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Adjusted EPU, common (basic) </w:t>
            </w:r>
            <w:r>
              <w:rPr>
                <w:rFonts w:ascii="Times New Roman" w:cs="Times New Roman" w:eastAsia="Times New Roman" w:hAnsi="Times New Roman"/>
                <w:sz w:val="26"/>
                <w:szCs w:val="26"/>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 xml:space="preserve">There were 1,288 available days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for the quarter ended December 31, 2022, as compared to 1,380 available days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for the quarter ended December 31, 2021. The quarter-over-quarter decrease is attributable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the third quarter of 2022.</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line="275" w:lineRule="auto"/>
        <w:rPr>
          <w:sz w:val="20"/>
          <w:szCs w:val="20"/>
          <w:color w:val="auto"/>
        </w:rPr>
      </w:pPr>
      <w:r>
        <w:rPr>
          <w:rFonts w:ascii="Times New Roman" w:cs="Times New Roman" w:eastAsia="Times New Roman" w:hAnsi="Times New Roman"/>
          <w:sz w:val="16"/>
          <w:szCs w:val="16"/>
          <w:color w:val="auto"/>
        </w:rPr>
        <w:t xml:space="preserve">Revenues were $105.0 million for the quarter ended December 31, 2022, compared to $88.2 million for the same period in 2021. The increase of $16.8 million is mainly attributable to a net increase in revenues from our vessels operating in the spot and short-term markets in the fourth quarter of 2022, in line with the continued strength of the LNG shipping spot and short-term markets. This increase was partially offset by a decrease in revenues due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the third quarter of 2022.</w:t>
      </w:r>
    </w:p>
    <w:p>
      <w:pPr>
        <w:spacing w:after="0" w:line="18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 xml:space="preserve">Vessel operating costs were $18.0 million for the quarter ended December 31, 2022, compared to $18.9 million for the same period in 2021. The decrease of $0.9 million in vessel operating costs is mainly attributable to a more favorable EUR/USD exchange rate in the fourth quarter of 2022 compared to the same period in 2021, and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the third quarter of 2022, partially offset by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her redelivery into our managed fleet on April 6, 2022). As a result, daily operating costs per vessel decreased to $13,974 per day for the quarter ended December 31, 2022 from $14,695 per day for the quarter ended December 31, 2021.</w:t>
      </w:r>
    </w:p>
    <w:p>
      <w:pPr>
        <w:spacing w:after="0" w:line="1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General and administrative expenses were $4.2 million for the quarter ended December 31, 2022, compared to $3.5 million for the same period in 2021. The increase of $0.7 million is mainly attributable to the increase in administrative services fees for our fleet, effective January 1, 2022, in connection with the increase in the annual fee per vessel payable to GasLog compared to prior year (approximately $0.3 million per vessel per year), which was partially offset by a decrease in administrative fees due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the third quarter of 2022. Daily general and administrative expenses increased to $3,240 per vessel ownership day for the quarter ended December 31, 2022, from $2,543 per vessel ownership day for the quarter ended December 31, 2021.</w:t>
      </w:r>
    </w:p>
    <w:p>
      <w:pPr>
        <w:spacing w:after="0" w:line="187"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$81.1 million for the quarter ended December 31, 2022, compared to $64.2 million for the same period in 2021. The increase of $16.9 million is mainly attributable to the increase in revenues of $16.8 million described above.</w:t>
      </w:r>
    </w:p>
    <w:p>
      <w:pPr>
        <w:spacing w:after="0" w:line="210"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 xml:space="preserve">The Partnership recognized an aggregate non-cash impairment loss of $4.4 million with respect to two of its Steam vessels for the quarter ended December 31, 2022, in accordance with International Financial Reporting Standards (“IFRS”), as compared to an aggregate impairment loss of $104.0 million for the same period in 2021. The principal factors </w:t>
      </w:r>
      <w:r>
        <w:rPr>
          <w:rFonts w:ascii="Times New Roman" w:cs="Times New Roman" w:eastAsia="Times New Roman" w:hAnsi="Times New Roman"/>
          <w:sz w:val="17"/>
          <w:szCs w:val="17"/>
          <w:color w:val="auto"/>
        </w:rPr>
        <w:t>t</w:t>
      </w:r>
      <w:r>
        <w:rPr>
          <w:rFonts w:ascii="Times New Roman" w:cs="Times New Roman" w:eastAsia="Times New Roman" w:hAnsi="Times New Roman"/>
          <w:sz w:val="16"/>
          <w:szCs w:val="16"/>
          <w:color w:val="auto"/>
        </w:rPr>
        <w:t>hat led to the recognition of a non-cash impairment loss in the fourth quarter of 2022 included the continuous decline in the fair values of Steam vessels, driven by reduced market expectations of the long-term rates for these older technology vessels, combined with potential costs of compliance with environmental regulations applicable from 2023 onwards.</w:t>
      </w:r>
    </w:p>
    <w:p>
      <w:pPr>
        <w:spacing w:after="0" w:line="18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Financial costs were $15.7 million for the quarter ended December 31, 2022, compared to $9.4 million for the same period in 2021. The increase of $6.3 million in financial costs is mainly attributable to the increase in interest expense on loans, mainly due to an increase in base interest rates (London Interbank Offered Rate, “LIBOR”, and Secured Overnight Financing Rate, “SOFR”) in the fourth quarter of 2022 as compared to the same period in 2021. During the quarter ended December 31, 2022, we had an average of $952.7 million of outstanding indebtedness with a weighted average interest rate of 5.9%, compared to an average of $1,137.7 million of outstanding indebtedness with a weighted average interest rate of 2.4% during the quarter ended December 31, 2021.</w:t>
      </w:r>
    </w:p>
    <w:p>
      <w:pPr>
        <w:spacing w:after="0" w:line="18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Gain on derivatives was $0.4 million for the quarter ended December 31, 2022, compared to $1.8 million for the same period in 2021. The decrease of $1.4 million is attributable to a decrease in unrealized gain from the mark-to-market valuation of interest rate swaps, which were carried at fair value through profit or loss, mainly due to changes in the forward LIBOR curve, partially offset by a decrease in realized loss on interest rate swaps.</w:t>
      </w:r>
    </w:p>
    <w:p>
      <w:pPr>
        <w:spacing w:after="0" w:line="17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Profit was $40.6 million for the quarter ended December 31, 2022, compared to a loss of $70.8 million for the same period in 2021. The increase in profit of $111.4 million is mainly attributable to a decrease in the non-cash impairment loss of $99.6 million and an increase in revenues of $16.8 million, partially offset by an increase in financial costs of $6.3 million, as described above.</w:t>
      </w:r>
    </w:p>
    <w:p>
      <w:pPr>
        <w:spacing w:after="0" w:line="178"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6"/>
          <w:szCs w:val="16"/>
          <w:color w:val="auto"/>
        </w:rPr>
        <w:t xml:space="preserve">Adjusted Profit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$44.8 million for the quarter ended December 31, 2022, compared to $30.7 million for the same period in 2021. The increase in Adjusted Profit of $14.1 million is mainly attributable to the increase in revenues discussed above.</w:t>
      </w:r>
    </w:p>
    <w:p>
      <w:pPr>
        <w:spacing w:after="0" w:line="21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As of December 31, 2022, we had $198.1 million of cash and cash equivalents, of which $57.2 million was held in current accounts and $140.9 million was held in time deposits with an original duration of up to three months. An additional amount of $25.0 million of time deposits with an original duration of greater than three months was classified under short-term cash deposits.</w:t>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 xml:space="preserve">As of December 31, 2022, we had an aggregate of $921.9 million of bank borrowings outstanding under our credit facilities, of which $90.4 million was repayable within one year, and an aggregate of $62.6 million of lease liabilities mainly related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of which $17.4 million was payable within one year.</w:t>
      </w:r>
    </w:p>
    <w:p>
      <w:pPr>
        <w:spacing w:after="0" w:line="177"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As of December 31, 2022, our current assets totaled $243.0 million and current liabilities totaled $177.2 million, resulting in a positive working capital position of $65.8 million.</w:t>
      </w:r>
    </w:p>
    <w:p>
      <w:pPr>
        <w:spacing w:after="0" w:line="155" w:lineRule="exact"/>
        <w:rPr>
          <w:sz w:val="20"/>
          <w:szCs w:val="20"/>
          <w:color w:val="auto"/>
        </w:rPr>
      </w:pPr>
    </w:p>
    <w:p>
      <w:pPr>
        <w:ind w:left="340" w:right="40" w:hanging="332"/>
        <w:spacing w:after="0" w:line="229"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Adjusted Profit, Adjusted EBITDA and Adjusted EPU are non-GAAP financial measures and should not be used in isolation or as substitutes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ind w:left="340" w:right="20" w:hanging="332"/>
        <w:spacing w:after="0" w:line="239"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in the period after deducting off-hire days where vessels are undergoing dry-dockings and unavailable days (for example, days before and after a dry-docking where the vessel has limited practical ability for chartering opportunities).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 xml:space="preserve">Sale and Leaseback of the </w:t>
      </w:r>
      <w:r>
        <w:rPr>
          <w:rFonts w:ascii="Times New Roman" w:cs="Times New Roman" w:eastAsia="Times New Roman" w:hAnsi="Times New Roman"/>
          <w:sz w:val="16"/>
          <w:szCs w:val="16"/>
          <w:b w:val="1"/>
          <w:bCs w:val="1"/>
          <w:i w:val="1"/>
          <w:iCs w:val="1"/>
          <w:u w:val="single" w:color="auto"/>
          <w:color w:val="auto"/>
        </w:rPr>
        <w:t>Methane Heather Sally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 w:name="page6"/>
    <w:bookmarkEnd w:id="5"/>
    <w:p>
      <w:pPr>
        <w:jc w:val="both"/>
        <w:ind w:right="180"/>
        <w:spacing w:after="0" w:line="282" w:lineRule="auto"/>
        <w:rPr>
          <w:sz w:val="20"/>
          <w:szCs w:val="20"/>
          <w:color w:val="auto"/>
        </w:rPr>
      </w:pPr>
      <w:r>
        <w:rPr>
          <w:rFonts w:ascii="Times New Roman" w:cs="Times New Roman" w:eastAsia="Times New Roman" w:hAnsi="Times New Roman"/>
          <w:sz w:val="16"/>
          <w:szCs w:val="16"/>
          <w:color w:val="auto"/>
        </w:rPr>
        <w:t xml:space="preserve">On October 31, 2022, GasLog Partners completed the sale and leaseback of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 145,000 cubic meter (“cbm”) Steam LNG carrier, built in 2007, with an unrelated third party, for $50.0 million, resulting in the recognition of a gain on disposal of $0.3 million in the three months ended December 31, 2022. The vessel was sold and leased back under a bareboat charter until mid-2025 with no repurchase option or obligation and remains on its charter with a Southeast Asian charterer.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Repurchase Programme</w:t>
      </w:r>
    </w:p>
    <w:p>
      <w:pPr>
        <w:spacing w:after="0" w:line="23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 the three months ended December 31, 2022, under the Partnership’s preference unit repurchase programme (the “Repurchase Programme”) established in March 2021, GasLog Partners repurchased and cancelled 351,237 8.625% Series A Cumulative Redeemable Perpetual Fixed to Floating Rate Preference Units (the “Series A Preference Units”), 127,652 8.200% Series B Cumulative Redeemable Perpetual Fixed to Floating Rate Preference Units (the “Series B Preference Units”) and 144,812 8.500% Series C Cumulative Redeemable Perpetual Fixed to Floating Rate Preference Units (the “Series C Preference Units”). The aggregate amount paid under the Repurchase Programme in the three months ended December 31, 2022 was $10.5 million, including commissions.</w:t>
      </w:r>
    </w:p>
    <w:p>
      <w:pPr>
        <w:spacing w:after="0" w:line="186"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In the year ended December 31, 2022, GasLog Partners has repurchased and cancelled 665,016 Series A Preference Units, 639,189 Series B Preference Units and 669,406 Series C Preference Units at a weighted average price of $24.64, $25.11 and $24.96 per preference unit for Series A, Series B and Series C, respectively, for an aggregate amount of $49.2 million, including commissions.</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Since inception of the Repurchase Programme in March 2021 and up to January 26, 2023, GasLog Partners has repurchased and cancelled 665,016 Series A Preference Units, 1,103,618 Series B Preference Units and 938,955 Series C Preference Units at a weighted average price of $24.64, $25.01 and $25.03 per preference unit for Series A, Series B and Series C, respectively, for an aggregate amount of $67.6 million, including commissions.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LNG Market Update and Outlook</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Global LNG demand was estimated to be 99.1 million tonnes (“mt”) in the fourth quarter of 2022, according to Wood Mackenzie, Energy Research and Consultancy (“WoodMac”), compared to 95.1 mt in the fourth quarter of 2021, an increase of approximately 4.2%, primarily led by continued strong demand from Europe in response to continued disruption of gas pipeline imports from Russia. Due to increased LNG flows and a very mild fourth quarter, European inventories finished the year at higher-than-average levels (83.4% compared to a 70% five-year average).</w:t>
      </w:r>
    </w:p>
    <w:p>
      <w:pPr>
        <w:spacing w:after="0" w:line="183"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6"/>
          <w:szCs w:val="16"/>
          <w:color w:val="auto"/>
        </w:rPr>
        <w:t>Global LNG supply was approximately 104.1 mt in the fourth quarter of 2022, growing by 2.5 mt, or 2.4%, compared to the fourth quarter of 2021, according to WoodMac. During 2022, LNG supply has increased by 17.5 mt with United States (“U.S.”) exports accounting for 6.5 mt despite the continuing outage at Freeport LNG, now targeting a restart in February or early March 2023. 69% of U.S. exports were directed to Europe in 2022, compared to about 34% in 2021, according to Kpler Analytics.</w:t>
      </w:r>
    </w:p>
    <w:p>
      <w:pPr>
        <w:spacing w:after="0" w:line="17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Headline spot rates in the fourth quarter of 2022 rose to new records, $447,500 per day at their peak in November for TFDE vessels, due to a combination of factors. Firstly, a large number of vessels were classified as floating storage due to congestion and speculative floating storage plays targeting the contango in Europe. Secondly, disponent owners were reticent to sublet vessels, further reducing the number of vessels available in the spot market. However, continuing warm weather, high levels of inventories and significant reduction of floating storage in December led to rates subsequently falling to $163,000 per day as of December 30, 2022, as per weekly assessment by Clarksons Research Services Limited (“Clarksons”). Rates continue to drop to around $67,500 per day as of January 20, 2023. This extreme volatility continues to demonstrate the significant impact of weather and seasonality on the LNG freight market.</w:t>
      </w:r>
    </w:p>
    <w:p>
      <w:pPr>
        <w:spacing w:after="0" w:line="184"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6"/>
          <w:szCs w:val="16"/>
          <w:color w:val="auto"/>
        </w:rPr>
        <w:t>One-year time charter rates for TFDE LNG carriers averaged $189,231 per day in the fourth quarter of 2022, an 81% increase over the $104,643 per day average in the fourth quarter of 2021. One-year time charter rates for Steam LNG carriers averaged $82,308 per day in the fourth quarter of 2022, 20% higher than the $68,250 daily average in the fourth quarter of 2021.</w:t>
      </w:r>
    </w:p>
    <w:p>
      <w:pPr>
        <w:spacing w:after="0" w:line="17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As of December 31, 2022, Poten &amp; Partners Group Inc. estimated that the orderbook totaled 290 dedicated LNG carriers (&gt;100,000 cbm) with deliveries between 2023 and 2028, representing 48.5% of the on-the-water fleet. Of these, 265 vessels (or 91.3%) have multi-year charters already contracted, leaving 25 vessels uncommitted with deliveries clustered between 2023-2026. There were 172 orders for newbuild LNG carriers in 2022 compared with 75 orders for all of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Distribution</w:t>
      </w:r>
    </w:p>
    <w:p>
      <w:pPr>
        <w:spacing w:after="0" w:line="22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On January 25, 2023,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March 15, 2023 to all unitholders of record as of March 8,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Unit Distribution</w:t>
      </w:r>
    </w:p>
    <w:p>
      <w:pPr>
        <w:spacing w:after="0" w:line="237"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On January 25, 2023, the board of directors of GasLog Partners approved and declared a quarterly cash distribution of $0.01 per common unit for the quarter ended December 31, 2022. The cash distribution is payable on February 9, 2023 to all unitholders of record as of February 6,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ATM Common Equity Offering Programme (“ATM Programme”)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Partnership did not issue any common units under the ATM Programme during the fourth quarter of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Recent Developments</w:t>
      </w:r>
    </w:p>
    <w:p>
      <w:pPr>
        <w:spacing w:after="0" w:line="22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On January 24, 2023, our board of directors received an unsolicited non-binding proposal from GasLog to acquire all of the outstanding common units representing limited partner interests of the Partnership not already beneficially owned by GasLog, at an aggregate purchase price of $7.70 per common unit in cash, consisting in part of a special distribution by the Partnership of $2.33 per common unit in cash to be distributed to the Partnership’s unitholders immediately prior to the closing of the proposed transaction and the remainder to be paid by GasLog as merger consideration at the closing of the proposed transaction. Our board of directors has authorized its conflicts committee, consisting only of non-GasLog affiliated directors, to review, evaluate, negotiate and accept or reject the proposed transaction. GasLog’s proposal is non-binding and is subject to the negotiation and execution of mutually acceptable definitive documentation. There can be no assurance that any definitive documentation will be executed or that any transaction will materialize.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Our Fleet</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owned and bareboat fleet currently consists of the following vessels:</w:t>
      </w:r>
    </w:p>
    <w:p>
      <w:pPr>
        <w:sectPr>
          <w:pgSz w:w="11900" w:h="16838" w:orient="portrait"/>
          <w:cols w:equalWidth="0" w:num="1">
            <w:col w:w="11220"/>
          </w:cols>
          <w:pgMar w:left="320" w:top="907" w:right="359" w:bottom="15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4"/>
        </w:trPr>
        <w:tc>
          <w:tcPr>
            <w:tcW w:w="2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1"/>
        </w:trPr>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20" w:type="dxa"/>
            <w:vAlign w:val="bottom"/>
            <w:vMerge w:val="restart"/>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contracts of more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E5FF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2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(cbm)</w:t>
            </w:r>
          </w:p>
        </w:tc>
        <w:tc>
          <w:tcPr>
            <w:tcW w:w="100" w:type="dxa"/>
            <w:vAlign w:val="bottom"/>
            <w:tcBorders>
              <w:bottom w:val="single" w:sz="8" w:color="E5FF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2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(Firm Period)</w:t>
            </w:r>
          </w:p>
        </w:tc>
        <w:tc>
          <w:tcPr>
            <w:tcW w:w="10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Optional Period</w:t>
            </w:r>
          </w:p>
        </w:tc>
        <w:tc>
          <w:tcPr>
            <w:tcW w:w="0" w:type="dxa"/>
            <w:vAlign w:val="bottom"/>
          </w:tcPr>
          <w:p>
            <w:pPr>
              <w:spacing w:after="0"/>
              <w:rPr>
                <w:sz w:val="1"/>
                <w:szCs w:val="1"/>
                <w:color w:val="auto"/>
              </w:rPr>
            </w:pPr>
          </w:p>
        </w:tc>
      </w:tr>
      <w:tr>
        <w:trPr>
          <w:trHeight w:val="240"/>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4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120" w:type="dxa"/>
            <w:vAlign w:val="bottom"/>
            <w:shd w:val="clear" w:color="auto" w:fill="E5FFFF"/>
          </w:tcPr>
          <w:p>
            <w:pPr>
              <w:spacing w:after="0"/>
              <w:rPr>
                <w:sz w:val="20"/>
                <w:szCs w:val="20"/>
                <w:color w:val="auto"/>
              </w:rPr>
            </w:pP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shd w:val="clear" w:color="auto" w:fill="E5FFFF"/>
          </w:tcPr>
          <w:p>
            <w:pPr>
              <w:spacing w:after="0"/>
              <w:rPr>
                <w:sz w:val="20"/>
                <w:szCs w:val="20"/>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E5FFFF"/>
          </w:tcPr>
          <w:p>
            <w:pPr>
              <w:spacing w:after="0"/>
              <w:rPr>
                <w:sz w:val="20"/>
                <w:szCs w:val="20"/>
                <w:color w:val="auto"/>
              </w:rPr>
            </w:pPr>
          </w:p>
        </w:tc>
        <w:tc>
          <w:tcPr>
            <w:tcW w:w="1560" w:type="dxa"/>
            <w:vAlign w:val="bottom"/>
            <w:shd w:val="clear" w:color="auto" w:fill="E5FF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3"/>
              </w:rPr>
              <w:t xml:space="preserve">Naturgy </w:t>
            </w:r>
            <w:r>
              <w:rPr>
                <w:rFonts w:ascii="Times New Roman" w:cs="Times New Roman" w:eastAsia="Times New Roman" w:hAnsi="Times New Roman"/>
                <w:sz w:val="26"/>
                <w:szCs w:val="26"/>
                <w:color w:val="auto"/>
                <w:w w:val="93"/>
                <w:vertAlign w:val="superscript"/>
              </w:rPr>
              <w:t>(1)</w:t>
            </w:r>
          </w:p>
        </w:tc>
        <w:tc>
          <w:tcPr>
            <w:tcW w:w="120" w:type="dxa"/>
            <w:vAlign w:val="bottom"/>
            <w:shd w:val="clear" w:color="auto" w:fill="E5FFFF"/>
          </w:tcPr>
          <w:p>
            <w:pPr>
              <w:spacing w:after="0"/>
              <w:rPr>
                <w:sz w:val="20"/>
                <w:szCs w:val="20"/>
                <w:color w:val="auto"/>
              </w:rPr>
            </w:pPr>
          </w:p>
        </w:tc>
        <w:tc>
          <w:tcPr>
            <w:tcW w:w="8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20" w:type="dxa"/>
            <w:vAlign w:val="bottom"/>
            <w:shd w:val="clear" w:color="auto" w:fill="E5FFFF"/>
          </w:tcPr>
          <w:p>
            <w:pPr>
              <w:spacing w:after="0"/>
              <w:rPr>
                <w:sz w:val="20"/>
                <w:szCs w:val="20"/>
                <w:color w:val="auto"/>
              </w:rPr>
            </w:pPr>
          </w:p>
        </w:tc>
        <w:tc>
          <w:tcPr>
            <w:tcW w:w="15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April 2023</w:t>
            </w:r>
          </w:p>
        </w:tc>
        <w:tc>
          <w:tcPr>
            <w:tcW w:w="14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Geneva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September 2023</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7"/>
              </w:rPr>
              <w:t xml:space="preserve">2028–2031 </w:t>
            </w:r>
            <w:r>
              <w:rPr>
                <w:rFonts w:ascii="Times New Roman" w:cs="Times New Roman" w:eastAsia="Times New Roman" w:hAnsi="Times New Roman"/>
                <w:sz w:val="26"/>
                <w:szCs w:val="26"/>
                <w:color w:val="auto"/>
                <w:w w:val="97"/>
                <w:vertAlign w:val="superscript"/>
              </w:rPr>
              <w:t>(2)</w:t>
            </w:r>
          </w:p>
        </w:tc>
        <w:tc>
          <w:tcPr>
            <w:tcW w:w="0" w:type="dxa"/>
            <w:vAlign w:val="bottom"/>
          </w:tcPr>
          <w:p>
            <w:pPr>
              <w:spacing w:after="0"/>
              <w:rPr>
                <w:sz w:val="1"/>
                <w:szCs w:val="1"/>
                <w:color w:val="auto"/>
              </w:rPr>
            </w:pPr>
          </w:p>
        </w:tc>
      </w:tr>
      <w:tr>
        <w:trPr>
          <w:trHeight w:val="216"/>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Energy Major</w:t>
            </w:r>
          </w:p>
        </w:tc>
        <w:tc>
          <w:tcPr>
            <w:tcW w:w="10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56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Methane Alison Victoria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7"/>
              </w:rPr>
              <w:t xml:space="preserve">CNTIC VPower </w:t>
            </w:r>
            <w:r>
              <w:rPr>
                <w:rFonts w:ascii="Times New Roman" w:cs="Times New Roman" w:eastAsia="Times New Roman" w:hAnsi="Times New Roman"/>
                <w:sz w:val="26"/>
                <w:szCs w:val="26"/>
                <w:color w:val="auto"/>
                <w:w w:val="97"/>
                <w:vertAlign w:val="superscript"/>
              </w:rPr>
              <w:t>(3)</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7"/>
              </w:rPr>
              <w:t xml:space="preserve">2024–2025 </w:t>
            </w:r>
            <w:r>
              <w:rPr>
                <w:rFonts w:ascii="Times New Roman" w:cs="Times New Roman" w:eastAsia="Times New Roman" w:hAnsi="Times New Roman"/>
                <w:sz w:val="26"/>
                <w:szCs w:val="26"/>
                <w:color w:val="auto"/>
                <w:w w:val="97"/>
                <w:vertAlign w:val="superscript"/>
              </w:rPr>
              <w:t>(3)</w:t>
            </w:r>
          </w:p>
        </w:tc>
        <w:tc>
          <w:tcPr>
            <w:tcW w:w="0" w:type="dxa"/>
            <w:vAlign w:val="bottom"/>
          </w:tcPr>
          <w:p>
            <w:pPr>
              <w:spacing w:after="0"/>
              <w:rPr>
                <w:sz w:val="1"/>
                <w:szCs w:val="1"/>
                <w:color w:val="auto"/>
              </w:rPr>
            </w:pPr>
          </w:p>
        </w:tc>
      </w:tr>
      <w:tr>
        <w:trPr>
          <w:trHeight w:val="243"/>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0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7"/>
              </w:rPr>
              <w:t xml:space="preserve">2028–2031 </w:t>
            </w:r>
            <w:r>
              <w:rPr>
                <w:rFonts w:ascii="Times New Roman" w:cs="Times New Roman" w:eastAsia="Times New Roman" w:hAnsi="Times New Roman"/>
                <w:sz w:val="26"/>
                <w:szCs w:val="26"/>
                <w:color w:val="auto"/>
                <w:w w:val="97"/>
                <w:vertAlign w:val="superscript"/>
              </w:rPr>
              <w:t>(2)</w:t>
            </w:r>
          </w:p>
        </w:tc>
        <w:tc>
          <w:tcPr>
            <w:tcW w:w="0" w:type="dxa"/>
            <w:vAlign w:val="bottom"/>
          </w:tcPr>
          <w:p>
            <w:pPr>
              <w:spacing w:after="0"/>
              <w:rPr>
                <w:sz w:val="1"/>
                <w:szCs w:val="1"/>
                <w:color w:val="auto"/>
              </w:rPr>
            </w:pPr>
          </w:p>
        </w:tc>
      </w:tr>
      <w:tr>
        <w:trPr>
          <w:trHeight w:val="214"/>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Energy Major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5"/>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5" w:lineRule="exact"/>
              <w:rPr>
                <w:sz w:val="20"/>
                <w:szCs w:val="20"/>
                <w:color w:val="auto"/>
              </w:rPr>
            </w:pPr>
            <w:r>
              <w:rPr>
                <w:rFonts w:ascii="Times New Roman" w:cs="Times New Roman" w:eastAsia="Times New Roman" w:hAnsi="Times New Roman"/>
                <w:sz w:val="16"/>
                <w:szCs w:val="16"/>
                <w:color w:val="auto"/>
                <w:w w:val="94"/>
              </w:rPr>
              <w:t xml:space="preserve">Trafigura </w:t>
            </w:r>
            <w:r>
              <w:rPr>
                <w:rFonts w:ascii="Times New Roman" w:cs="Times New Roman" w:eastAsia="Times New Roman" w:hAnsi="Times New Roman"/>
                <w:sz w:val="26"/>
                <w:szCs w:val="26"/>
                <w:color w:val="auto"/>
                <w:w w:val="94"/>
                <w:vertAlign w:val="superscript"/>
              </w:rPr>
              <w:t>(4)</w:t>
            </w:r>
          </w:p>
        </w:tc>
        <w:tc>
          <w:tcPr>
            <w:tcW w:w="10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December 2023</w:t>
            </w:r>
          </w:p>
        </w:tc>
        <w:tc>
          <w:tcPr>
            <w:tcW w:w="1460" w:type="dxa"/>
            <w:vAlign w:val="bottom"/>
            <w:shd w:val="clear" w:color="auto" w:fill="E5FFFF"/>
          </w:tcPr>
          <w:p>
            <w:pPr>
              <w:jc w:val="center"/>
              <w:spacing w:after="0" w:line="245"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(4)</w:t>
            </w:r>
          </w:p>
        </w:tc>
        <w:tc>
          <w:tcPr>
            <w:tcW w:w="0" w:type="dxa"/>
            <w:vAlign w:val="bottom"/>
          </w:tcPr>
          <w:p>
            <w:pPr>
              <w:spacing w:after="0"/>
              <w:rPr>
                <w:sz w:val="1"/>
                <w:szCs w:val="1"/>
                <w:color w:val="auto"/>
              </w:rPr>
            </w:pPr>
          </w:p>
        </w:tc>
      </w:tr>
      <w:tr>
        <w:trPr>
          <w:trHeight w:val="202"/>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Major Trading House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Energy Trading</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6"/>
                <w:szCs w:val="16"/>
                <w:color w:val="auto"/>
                <w:w w:val="94"/>
              </w:rPr>
              <w:t xml:space="preserve">Company </w:t>
            </w:r>
            <w:r>
              <w:rPr>
                <w:rFonts w:ascii="Times New Roman" w:cs="Times New Roman" w:eastAsia="Times New Roman" w:hAnsi="Times New Roman"/>
                <w:sz w:val="26"/>
                <w:szCs w:val="26"/>
                <w:color w:val="auto"/>
                <w:w w:val="94"/>
                <w:vertAlign w:val="superscript"/>
              </w:rPr>
              <w:t>(5)</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5"/>
              </w:rPr>
              <w:t xml:space="preserve">Cheniere </w:t>
            </w:r>
            <w:r>
              <w:rPr>
                <w:rFonts w:ascii="Times New Roman" w:cs="Times New Roman" w:eastAsia="Times New Roman" w:hAnsi="Times New Roman"/>
                <w:sz w:val="26"/>
                <w:szCs w:val="26"/>
                <w:color w:val="auto"/>
                <w:w w:val="95"/>
                <w:vertAlign w:val="superscript"/>
              </w:rPr>
              <w:t>(6)</w:t>
            </w:r>
          </w:p>
        </w:tc>
        <w:tc>
          <w:tcPr>
            <w:tcW w:w="10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5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2025 </w:t>
            </w:r>
            <w:r>
              <w:rPr>
                <w:rFonts w:ascii="Times New Roman" w:cs="Times New Roman" w:eastAsia="Times New Roman" w:hAnsi="Times New Roman"/>
                <w:sz w:val="26"/>
                <w:szCs w:val="26"/>
                <w:color w:val="auto"/>
                <w:w w:val="92"/>
                <w:vertAlign w:val="superscript"/>
              </w:rPr>
              <w:t>(6)</w:t>
            </w:r>
          </w:p>
        </w:tc>
        <w:tc>
          <w:tcPr>
            <w:tcW w:w="0" w:type="dxa"/>
            <w:vAlign w:val="bottom"/>
          </w:tcPr>
          <w:p>
            <w:pPr>
              <w:spacing w:after="0"/>
              <w:rPr>
                <w:sz w:val="1"/>
                <w:szCs w:val="1"/>
                <w:color w:val="auto"/>
              </w:rPr>
            </w:pPr>
          </w:p>
        </w:tc>
      </w:tr>
      <w:tr>
        <w:trPr>
          <w:trHeight w:val="243"/>
        </w:trPr>
        <w:tc>
          <w:tcPr>
            <w:tcW w:w="28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10 </w:t>
            </w:r>
            <w:r>
              <w:rPr>
                <w:rFonts w:ascii="Times New Roman" w:cs="Times New Roman" w:eastAsia="Times New Roman" w:hAnsi="Times New Roman"/>
                <w:sz w:val="16"/>
                <w:szCs w:val="16"/>
                <w:i w:val="1"/>
                <w:iCs w:val="1"/>
                <w:color w:val="auto"/>
              </w:rPr>
              <w:t>GasLog Greece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43"/>
        </w:trPr>
        <w:tc>
          <w:tcPr>
            <w:tcW w:w="2840" w:type="dxa"/>
            <w:vAlign w:val="bottom"/>
            <w:gridSpan w:val="3"/>
            <w:shd w:val="clear" w:color="auto" w:fill="E5FF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i w:val="1"/>
                <w:iCs w:val="1"/>
                <w:color w:val="auto"/>
              </w:rPr>
              <w:t>GasLog Glasgow</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0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June 2026</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12"/>
        </w:trPr>
        <w:tc>
          <w:tcPr>
            <w:tcW w:w="28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i w:val="1"/>
                <w:iCs w:val="1"/>
                <w:color w:val="auto"/>
              </w:rPr>
              <w:t>Methane Becki Anne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170,000</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Naturgy Aprovisionamentos S.A. (“Naturgy”).</w:t>
      </w:r>
    </w:p>
    <w:p>
      <w:pPr>
        <w:spacing w:after="0" w:line="17" w:lineRule="exact"/>
        <w:rPr>
          <w:rFonts w:ascii="Times New Roman" w:cs="Times New Roman" w:eastAsia="Times New Roman" w:hAnsi="Times New Roman"/>
          <w:sz w:val="12"/>
          <w:szCs w:val="12"/>
          <w:color w:val="auto"/>
        </w:rPr>
      </w:pPr>
    </w:p>
    <w:p>
      <w:pPr>
        <w:ind w:left="340" w:right="300" w:hanging="332"/>
        <w:spacing w:after="0" w:line="221" w:lineRule="auto"/>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100" w:hanging="332"/>
        <w:spacing w:after="0" w:line="221" w:lineRule="auto"/>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60" w:hanging="332"/>
        <w:spacing w:after="0" w:line="221" w:lineRule="auto"/>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Trafigura Maritime Logistics PTE Ltd. (“Trafigura”). Charterer may extend the term of this time charter for a five-year period, provided that the charterer gives us advance notice of declaration. The period shown reflects the expiration of the minimum optional period and the maximum optional period.</w:t>
      </w:r>
    </w:p>
    <w:p>
      <w:pPr>
        <w:ind w:left="340" w:hanging="332"/>
        <w:spacing w:after="0"/>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expected to commence its time charter with a Swiss-headquartered energy trading company following expiration of its current charter with a major trading house.</w:t>
      </w:r>
    </w:p>
    <w:p>
      <w:pPr>
        <w:spacing w:after="0" w:line="1" w:lineRule="exact"/>
        <w:rPr>
          <w:rFonts w:ascii="Times New Roman" w:cs="Times New Roman" w:eastAsia="Times New Roman" w:hAnsi="Times New Roman"/>
          <w:sz w:val="12"/>
          <w:szCs w:val="12"/>
          <w:color w:val="auto"/>
        </w:rPr>
      </w:pPr>
    </w:p>
    <w:p>
      <w:pPr>
        <w:ind w:left="340" w:right="180" w:hanging="332"/>
        <w:spacing w:after="0" w:line="221" w:lineRule="auto"/>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Cheniere Marketing International LLP, a subsidiary of Cheniere. Charterer may extend the term of the time charter by an additional period of one year, provided that the charterer gives us advance notice of declaration.</w:t>
      </w:r>
    </w:p>
    <w:p>
      <w:pPr>
        <w:ind w:left="340" w:hanging="332"/>
        <w:spacing w:after="0"/>
        <w:tabs>
          <w:tab w:leader="none" w:pos="3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these time charters for a period of five years, provided that the charterer gives us advance notice of declaration.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contracts of more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gridSpan w:val="3"/>
            <w:vMerge w:val="continue"/>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(Firm Period)</w:t>
            </w:r>
          </w:p>
        </w:tc>
        <w:tc>
          <w:tcPr>
            <w:tcW w:w="14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Optional Period</w:t>
            </w:r>
          </w:p>
        </w:tc>
        <w:tc>
          <w:tcPr>
            <w:tcW w:w="0" w:type="dxa"/>
            <w:vAlign w:val="bottom"/>
          </w:tcPr>
          <w:p>
            <w:pPr>
              <w:spacing w:after="0"/>
              <w:rPr>
                <w:sz w:val="1"/>
                <w:szCs w:val="1"/>
                <w:color w:val="auto"/>
              </w:rPr>
            </w:pPr>
          </w:p>
        </w:tc>
      </w:tr>
      <w:tr>
        <w:trPr>
          <w:trHeight w:val="240"/>
        </w:trPr>
        <w:tc>
          <w:tcPr>
            <w:tcW w:w="2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520" w:type="dxa"/>
            <w:vAlign w:val="bottom"/>
            <w:tcBorders>
              <w:top w:val="single" w:sz="8" w:color="auto"/>
            </w:tcBorders>
            <w:shd w:val="clear" w:color="auto" w:fill="E5FFFF"/>
          </w:tcPr>
          <w:p>
            <w:pPr>
              <w:ind w:left="40"/>
              <w:spacing w:after="0" w:line="240" w:lineRule="exact"/>
              <w:rPr>
                <w:sz w:val="20"/>
                <w:szCs w:val="20"/>
                <w:color w:val="auto"/>
              </w:rPr>
            </w:pPr>
            <w:r>
              <w:rPr>
                <w:rFonts w:ascii="Times New Roman" w:cs="Times New Roman" w:eastAsia="Times New Roman" w:hAnsi="Times New Roman"/>
                <w:sz w:val="16"/>
                <w:szCs w:val="16"/>
                <w:i w:val="1"/>
                <w:iCs w:val="1"/>
                <w:color w:val="auto"/>
              </w:rPr>
              <w:t xml:space="preserve">GasLog Shanghai </w:t>
            </w:r>
            <w:r>
              <w:rPr>
                <w:rFonts w:ascii="Times New Roman" w:cs="Times New Roman" w:eastAsia="Times New Roman" w:hAnsi="Times New Roman"/>
                <w:sz w:val="26"/>
                <w:szCs w:val="26"/>
                <w:color w:val="auto"/>
                <w:vertAlign w:val="superscript"/>
              </w:rPr>
              <w:t>(1)</w:t>
            </w:r>
          </w:p>
        </w:tc>
        <w:tc>
          <w:tcPr>
            <w:tcW w:w="120" w:type="dxa"/>
            <w:vAlign w:val="bottom"/>
            <w:tcBorders>
              <w:top w:val="single" w:sz="8" w:color="E5FFFF"/>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Borders>
              <w:top w:val="single" w:sz="8" w:color="E5FFFF"/>
            </w:tcBorders>
            <w:shd w:val="clear" w:color="auto" w:fill="E5FFFF"/>
          </w:tcPr>
          <w:p>
            <w:pPr>
              <w:spacing w:after="0"/>
              <w:rPr>
                <w:sz w:val="20"/>
                <w:szCs w:val="20"/>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Borders>
              <w:top w:val="single" w:sz="8" w:color="E5FFFF"/>
            </w:tcBorders>
            <w:shd w:val="clear" w:color="auto" w:fill="E5FFFF"/>
          </w:tcPr>
          <w:p>
            <w:pPr>
              <w:spacing w:after="0"/>
              <w:rPr>
                <w:sz w:val="20"/>
                <w:szCs w:val="20"/>
                <w:color w:val="auto"/>
              </w:rPr>
            </w:pPr>
          </w:p>
        </w:tc>
        <w:tc>
          <w:tcPr>
            <w:tcW w:w="1560" w:type="dxa"/>
            <w:vAlign w:val="bottom"/>
            <w:tcBorders>
              <w:top w:val="single" w:sz="8" w:color="auto"/>
            </w:tcBorders>
            <w:shd w:val="clear" w:color="auto" w:fill="E5FF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4"/>
              </w:rPr>
              <w:t xml:space="preserve">Woodside </w:t>
            </w:r>
            <w:r>
              <w:rPr>
                <w:rFonts w:ascii="Times New Roman" w:cs="Times New Roman" w:eastAsia="Times New Roman" w:hAnsi="Times New Roman"/>
                <w:sz w:val="26"/>
                <w:szCs w:val="26"/>
                <w:color w:val="auto"/>
                <w:w w:val="94"/>
                <w:vertAlign w:val="superscript"/>
              </w:rPr>
              <w:t>(2)</w:t>
            </w:r>
          </w:p>
        </w:tc>
        <w:tc>
          <w:tcPr>
            <w:tcW w:w="120" w:type="dxa"/>
            <w:vAlign w:val="bottom"/>
            <w:tcBorders>
              <w:top w:val="single" w:sz="8" w:color="E5FFFF"/>
            </w:tcBorders>
            <w:shd w:val="clear" w:color="auto" w:fill="E5FFFF"/>
          </w:tcPr>
          <w:p>
            <w:pPr>
              <w:spacing w:after="0"/>
              <w:rPr>
                <w:sz w:val="20"/>
                <w:szCs w:val="20"/>
                <w:color w:val="auto"/>
              </w:rPr>
            </w:pPr>
          </w:p>
        </w:tc>
        <w:tc>
          <w:tcPr>
            <w:tcW w:w="8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00" w:type="dxa"/>
            <w:vAlign w:val="bottom"/>
            <w:tcBorders>
              <w:top w:val="single" w:sz="8" w:color="E5FFFF"/>
            </w:tcBorders>
            <w:shd w:val="clear" w:color="auto" w:fill="E5FFFF"/>
          </w:tcPr>
          <w:p>
            <w:pPr>
              <w:spacing w:after="0"/>
              <w:rPr>
                <w:sz w:val="20"/>
                <w:szCs w:val="20"/>
                <w:color w:val="auto"/>
              </w:rPr>
            </w:pPr>
          </w:p>
        </w:tc>
        <w:tc>
          <w:tcPr>
            <w:tcW w:w="1140" w:type="dxa"/>
            <w:vAlign w:val="bottom"/>
            <w:tcBorders>
              <w:top w:val="single" w:sz="8" w:color="auto"/>
            </w:tcBorders>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February 2025</w:t>
            </w:r>
          </w:p>
        </w:tc>
        <w:tc>
          <w:tcPr>
            <w:tcW w:w="320" w:type="dxa"/>
            <w:vAlign w:val="bottom"/>
            <w:tcBorders>
              <w:top w:val="single" w:sz="8" w:color="auto"/>
            </w:tcBorders>
            <w:shd w:val="clear" w:color="auto" w:fill="E5FFFF"/>
          </w:tcPr>
          <w:p>
            <w:pPr>
              <w:jc w:val="right"/>
              <w:ind w:right="73"/>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E5FFFF"/>
            </w:tcBorders>
            <w:shd w:val="clear" w:color="auto" w:fill="E5FFFF"/>
          </w:tcPr>
          <w:p>
            <w:pPr>
              <w:spacing w:after="0"/>
              <w:rPr>
                <w:sz w:val="20"/>
                <w:szCs w:val="20"/>
                <w:color w:val="auto"/>
              </w:rPr>
            </w:pPr>
          </w:p>
        </w:tc>
        <w:tc>
          <w:tcPr>
            <w:tcW w:w="1440" w:type="dxa"/>
            <w:vAlign w:val="bottom"/>
            <w:tcBorders>
              <w:top w:val="single" w:sz="8" w:color="auto"/>
            </w:tcBorders>
            <w:shd w:val="clear" w:color="auto" w:fill="E5FFFF"/>
          </w:tcPr>
          <w:p>
            <w:pPr>
              <w:jc w:val="center"/>
              <w:ind w:right="359"/>
              <w:spacing w:after="0" w:line="240" w:lineRule="exact"/>
              <w:rPr>
                <w:sz w:val="20"/>
                <w:szCs w:val="20"/>
                <w:color w:val="auto"/>
              </w:rPr>
            </w:pPr>
            <w:r>
              <w:rPr>
                <w:rFonts w:ascii="Times New Roman" w:cs="Times New Roman" w:eastAsia="Times New Roman" w:hAnsi="Times New Roman"/>
                <w:sz w:val="16"/>
                <w:szCs w:val="16"/>
                <w:color w:val="auto"/>
              </w:rPr>
              <w:t xml:space="preserve">2026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355"/>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 xml:space="preserve">Methane Heather Sally </w:t>
            </w:r>
            <w:r>
              <w:rPr>
                <w:rFonts w:ascii="Times New Roman" w:cs="Times New Roman" w:eastAsia="Times New Roman" w:hAnsi="Times New Roman"/>
                <w:sz w:val="26"/>
                <w:szCs w:val="26"/>
                <w:color w:val="auto"/>
                <w:vertAlign w:val="superscript"/>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 xml:space="preserve">SEA Charterer </w:t>
            </w:r>
            <w:r>
              <w:rPr>
                <w:rFonts w:ascii="Times New Roman" w:cs="Times New Roman" w:eastAsia="Times New Roman" w:hAnsi="Times New Roman"/>
                <w:sz w:val="26"/>
                <w:szCs w:val="26"/>
                <w:color w:val="auto"/>
                <w:w w:val="97"/>
                <w:vertAlign w:val="superscript"/>
              </w:rPr>
              <w:t>(3)</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14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July 2025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66040</wp:posOffset>
            </wp:positionV>
            <wp:extent cx="165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91" w:lineRule="exact"/>
        <w:rPr>
          <w:sz w:val="20"/>
          <w:szCs w:val="20"/>
          <w:color w:val="auto"/>
        </w:rPr>
      </w:pPr>
    </w:p>
    <w:p>
      <w:pPr>
        <w:ind w:left="340" w:right="560" w:hanging="332"/>
        <w:spacing w:after="0" w:line="233"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 October 2021, the vessel was sold and leased back from China Development Bank Financial Leasing Co., Ltd. (“CDBL”) for a period of five years, with no repurchase option or obligation.</w:t>
      </w:r>
    </w:p>
    <w:p>
      <w:pPr>
        <w:ind w:left="340" w:right="280" w:hanging="332"/>
        <w:spacing w:after="0" w:line="221"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expected to commence its charter with Woodside Energy Shipping Singapore Pte. Ltd. (“Woodside”) after completing its scheduled dry-docking. Charterer may extend the term of this time charter for a period of one year, provided that the charterer gives us advance notice of declaration.</w:t>
      </w:r>
    </w:p>
    <w:p>
      <w:pPr>
        <w:ind w:left="340" w:right="340" w:hanging="332"/>
        <w:spacing w:after="0" w:line="239"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 October 2022, the vessel was sold and leased back from an unrelated third party until mid-2025 with no repurchase option or obligation. The vessel is chartered to a Southeast Asian charterer (“SEA Charterer”).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Contracted Charter Revenues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GasLog Partners’ contracted charter revenues and vessel utilization for the years ending December 31, 2023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r>
      <w:tr>
        <w:trPr>
          <w:trHeight w:val="202"/>
        </w:trPr>
        <w:tc>
          <w:tcPr>
            <w:tcW w:w="860" w:type="dxa"/>
            <w:vAlign w:val="bottom"/>
          </w:tcPr>
          <w:p>
            <w:pPr>
              <w:spacing w:after="0"/>
              <w:rPr>
                <w:sz w:val="17"/>
                <w:szCs w:val="17"/>
                <w:color w:val="auto"/>
              </w:rPr>
            </w:pPr>
          </w:p>
        </w:tc>
        <w:tc>
          <w:tcPr>
            <w:tcW w:w="6880" w:type="dxa"/>
            <w:vAlign w:val="bottom"/>
            <w:tcBorders>
              <w:bottom w:val="single" w:sz="8" w:color="E5FFFF"/>
            </w:tcBorders>
            <w:gridSpan w:val="2"/>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(in millions of U.S. dollars, except days and percentages)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3"/>
        </w:trPr>
        <w:tc>
          <w:tcPr>
            <w:tcW w:w="860" w:type="dxa"/>
            <w:vAlign w:val="bottom"/>
          </w:tcPr>
          <w:p>
            <w:pPr>
              <w:spacing w:after="0"/>
              <w:rPr>
                <w:sz w:val="19"/>
                <w:szCs w:val="19"/>
                <w:color w:val="auto"/>
              </w:rPr>
            </w:pPr>
          </w:p>
        </w:tc>
        <w:tc>
          <w:tcPr>
            <w:tcW w:w="6880" w:type="dxa"/>
            <w:vAlign w:val="bottom"/>
            <w:gridSpan w:val="2"/>
            <w:shd w:val="clear" w:color="auto" w:fill="E5FFFF"/>
          </w:tcPr>
          <w:p>
            <w:pPr>
              <w:ind w:left="80"/>
              <w:spacing w:after="0" w:line="223" w:lineRule="exact"/>
              <w:rPr>
                <w:sz w:val="20"/>
                <w:szCs w:val="20"/>
                <w:color w:val="auto"/>
              </w:rPr>
            </w:pPr>
            <w:r>
              <w:rPr>
                <w:rFonts w:ascii="Times New Roman" w:cs="Times New Roman" w:eastAsia="Times New Roman" w:hAnsi="Times New Roman"/>
                <w:sz w:val="16"/>
                <w:szCs w:val="16"/>
                <w:color w:val="auto"/>
              </w:rPr>
              <w:t>Contracted time charter revenues</w:t>
            </w:r>
            <w:r>
              <w:rPr>
                <w:rFonts w:ascii="Times New Roman" w:cs="Times New Roman" w:eastAsia="Times New Roman" w:hAnsi="Times New Roman"/>
                <w:sz w:val="25"/>
                <w:szCs w:val="25"/>
                <w:color w:val="auto"/>
                <w:vertAlign w:val="superscript"/>
              </w:rPr>
              <w:t>(1)(2)(3)(4)</w:t>
            </w:r>
          </w:p>
        </w:tc>
        <w:tc>
          <w:tcPr>
            <w:tcW w:w="13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$339.9</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$157.3</w:t>
            </w:r>
          </w:p>
        </w:tc>
      </w:tr>
      <w:tr>
        <w:trPr>
          <w:trHeight w:val="243"/>
        </w:trPr>
        <w:tc>
          <w:tcPr>
            <w:tcW w:w="860" w:type="dxa"/>
            <w:vAlign w:val="bottom"/>
          </w:tcPr>
          <w:p>
            <w:pPr>
              <w:spacing w:after="0"/>
              <w:rPr>
                <w:sz w:val="21"/>
                <w:szCs w:val="21"/>
                <w:color w:val="auto"/>
              </w:rPr>
            </w:pPr>
          </w:p>
        </w:tc>
        <w:tc>
          <w:tcPr>
            <w:tcW w:w="688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Total contracted days</w:t>
            </w:r>
            <w:r>
              <w:rPr>
                <w:rFonts w:ascii="Times New Roman" w:cs="Times New Roman" w:eastAsia="Times New Roman" w:hAnsi="Times New Roman"/>
                <w:sz w:val="26"/>
                <w:szCs w:val="26"/>
                <w:color w:val="auto"/>
                <w:vertAlign w:val="superscript"/>
              </w:rPr>
              <w:t>(1)(2)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4,319</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1,984</w:t>
            </w:r>
          </w:p>
        </w:tc>
      </w:tr>
      <w:tr>
        <w:trPr>
          <w:trHeight w:val="243"/>
        </w:trPr>
        <w:tc>
          <w:tcPr>
            <w:tcW w:w="860" w:type="dxa"/>
            <w:vAlign w:val="bottom"/>
          </w:tcPr>
          <w:p>
            <w:pPr>
              <w:spacing w:after="0"/>
              <w:rPr>
                <w:sz w:val="21"/>
                <w:szCs w:val="21"/>
                <w:color w:val="auto"/>
              </w:rPr>
            </w:pPr>
          </w:p>
        </w:tc>
        <w:tc>
          <w:tcPr>
            <w:tcW w:w="6880" w:type="dxa"/>
            <w:vAlign w:val="bottom"/>
            <w:gridSpan w:val="2"/>
            <w:shd w:val="clear" w:color="auto" w:fill="E5FFFF"/>
          </w:tcPr>
          <w:p>
            <w:pPr>
              <w:ind w:left="80"/>
              <w:spacing w:after="0" w:line="243" w:lineRule="exact"/>
              <w:rPr>
                <w:sz w:val="20"/>
                <w:szCs w:val="20"/>
                <w:color w:val="auto"/>
              </w:rPr>
            </w:pPr>
            <w:r>
              <w:rPr>
                <w:rFonts w:ascii="Times New Roman" w:cs="Times New Roman" w:eastAsia="Times New Roman" w:hAnsi="Times New Roman"/>
                <w:sz w:val="16"/>
                <w:szCs w:val="16"/>
                <w:color w:val="auto"/>
              </w:rPr>
              <w:t>Total available days</w:t>
            </w:r>
            <w:r>
              <w:rPr>
                <w:rFonts w:ascii="Times New Roman" w:cs="Times New Roman" w:eastAsia="Times New Roman" w:hAnsi="Times New Roman"/>
                <w:sz w:val="26"/>
                <w:szCs w:val="26"/>
                <w:color w:val="auto"/>
                <w:vertAlign w:val="superscript"/>
              </w:rPr>
              <w:t>(5)</w:t>
            </w:r>
          </w:p>
        </w:tc>
        <w:tc>
          <w:tcPr>
            <w:tcW w:w="13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4,990</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5,094</w:t>
            </w:r>
          </w:p>
        </w:tc>
      </w:tr>
      <w:tr>
        <w:trPr>
          <w:trHeight w:val="243"/>
        </w:trPr>
        <w:tc>
          <w:tcPr>
            <w:tcW w:w="860" w:type="dxa"/>
            <w:vAlign w:val="bottom"/>
          </w:tcPr>
          <w:p>
            <w:pPr>
              <w:spacing w:after="0"/>
              <w:rPr>
                <w:sz w:val="21"/>
                <w:szCs w:val="21"/>
                <w:color w:val="auto"/>
              </w:rPr>
            </w:pPr>
          </w:p>
        </w:tc>
        <w:tc>
          <w:tcPr>
            <w:tcW w:w="688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Total unfixed days</w:t>
            </w:r>
            <w:r>
              <w:rPr>
                <w:rFonts w:ascii="Times New Roman" w:cs="Times New Roman" w:eastAsia="Times New Roman" w:hAnsi="Times New Roman"/>
                <w:sz w:val="26"/>
                <w:szCs w:val="26"/>
                <w:color w:val="auto"/>
                <w:vertAlign w:val="superscript"/>
              </w:rPr>
              <w:t>(6)</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671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3,110</w:t>
            </w:r>
          </w:p>
        </w:tc>
      </w:tr>
      <w:tr>
        <w:trPr>
          <w:trHeight w:val="203"/>
        </w:trPr>
        <w:tc>
          <w:tcPr>
            <w:tcW w:w="860" w:type="dxa"/>
            <w:vAlign w:val="bottom"/>
          </w:tcPr>
          <w:p>
            <w:pPr>
              <w:spacing w:after="0"/>
              <w:rPr>
                <w:sz w:val="17"/>
                <w:szCs w:val="17"/>
                <w:color w:val="auto"/>
              </w:rPr>
            </w:pPr>
          </w:p>
        </w:tc>
        <w:tc>
          <w:tcPr>
            <w:tcW w:w="6880" w:type="dxa"/>
            <w:vAlign w:val="bottom"/>
            <w:gridSpan w:val="2"/>
            <w:shd w:val="clear" w:color="auto" w:fill="E5FFFF"/>
          </w:tcPr>
          <w:p>
            <w:pPr>
              <w:ind w:left="80"/>
              <w:spacing w:after="0"/>
              <w:rPr>
                <w:sz w:val="20"/>
                <w:szCs w:val="20"/>
                <w:color w:val="auto"/>
              </w:rPr>
            </w:pPr>
            <w:r>
              <w:rPr>
                <w:rFonts w:ascii="Times New Roman" w:cs="Times New Roman" w:eastAsia="Times New Roman" w:hAnsi="Times New Roman"/>
                <w:sz w:val="16"/>
                <w:szCs w:val="16"/>
                <w:color w:val="auto"/>
              </w:rPr>
              <w:t>Percentage of total contracted days/ total available days</w:t>
            </w:r>
          </w:p>
        </w:tc>
        <w:tc>
          <w:tcPr>
            <w:tcW w:w="13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86.6%</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38.9%</w:t>
            </w:r>
          </w:p>
        </w:tc>
      </w:tr>
      <w:tr>
        <w:trPr>
          <w:trHeight w:val="432"/>
        </w:trPr>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 w:name="page9"/>
    <w:bookmarkEnd w:id="8"/>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Contracted days are calculated taking into account the firm period charter expiration and expected market conditions as of December 31, 2022.</w:t>
      </w:r>
    </w:p>
    <w:p>
      <w:pPr>
        <w:spacing w:after="0" w:line="17" w:lineRule="exact"/>
        <w:rPr>
          <w:rFonts w:ascii="Times New Roman" w:cs="Times New Roman" w:eastAsia="Times New Roman" w:hAnsi="Times New Roman"/>
          <w:sz w:val="12"/>
          <w:szCs w:val="12"/>
          <w:color w:val="auto"/>
        </w:rPr>
      </w:pPr>
    </w:p>
    <w:p>
      <w:pPr>
        <w:ind w:left="340" w:right="80" w:hanging="332"/>
        <w:spacing w:after="0" w:line="221"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180" w:hanging="332"/>
        <w:spacing w:after="0" w:line="221"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time charters that include a variable rate of hire within an agreed range during the charter period, revenue calculations are based on the agreed minimum rate of hire for the respective period.</w:t>
      </w: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Revenue calculations assume no exercise of any option to extend the terms of the charters.</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after deducting 30 off-hire days when the ship undergoes scheduled dry-docking.</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available days for the ships after the expiration of the existing charters (assuming charterers do not exercise any option to extend the terms of the charters).</w:t>
      </w:r>
    </w:p>
    <w:p>
      <w:pPr>
        <w:spacing w:after="0" w:line="200" w:lineRule="exact"/>
        <w:rPr>
          <w:sz w:val="20"/>
          <w:szCs w:val="20"/>
          <w:color w:val="auto"/>
        </w:rPr>
      </w:pPr>
    </w:p>
    <w:p>
      <w:pPr>
        <w:spacing w:after="0" w:line="2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6"/>
          <w:szCs w:val="16"/>
          <w:color w:val="auto"/>
        </w:rPr>
        <w:t>The table above provides information about our contracted charter revenues and ship utilization based on contracts in effect for the 14 LNG carriers in our fleet as of December 31, 2022 and through December 31, 2024 (including two vessels sold and leased back under bareboat charters in October 2021 and 2022). The table reflects only our contracted charter revenues for the ships in our owned and bareboat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 2022.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237"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GasLog Partners will host a conference call to discuss its results for the fourth quarter of 2022 at 8.00 a.m. EST (3.00 p.m. EET) on Thursday, January 26, 2023. The Partnership’s senior management will review the operational and financial performance for the period. Management’s presentation will be followed by a Q&amp;A session.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live webcast of the conference call will also be available on the Investor Relations page of the GasLog Partners website (</w:t>
      </w:r>
      <w:r>
        <w:rPr>
          <w:rFonts w:ascii="Times New Roman" w:cs="Times New Roman" w:eastAsia="Times New Roman" w:hAnsi="Times New Roman"/>
          <w:sz w:val="16"/>
          <w:szCs w:val="16"/>
          <w:u w:val="single" w:color="auto"/>
          <w:color w:val="0000FF"/>
        </w:rPr>
        <w:t>http://www.gaslogmlp.com/investors</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 xml:space="preserve">The conference call will be accessible domestically or internationally, by pre-registering using the link provided at </w:t>
      </w:r>
      <w:r>
        <w:rPr>
          <w:rFonts w:ascii="Times New Roman" w:cs="Times New Roman" w:eastAsia="Times New Roman" w:hAnsi="Times New Roman"/>
          <w:sz w:val="16"/>
          <w:szCs w:val="16"/>
          <w:u w:val="single" w:color="auto"/>
          <w:color w:val="0000FF"/>
        </w:rPr>
        <w:t>http://www.gaslogmlp.com/investors</w:t>
      </w:r>
      <w:r>
        <w:rPr>
          <w:rFonts w:ascii="Times New Roman" w:cs="Times New Roman" w:eastAsia="Times New Roman" w:hAnsi="Times New Roman"/>
          <w:sz w:val="16"/>
          <w:szCs w:val="16"/>
          <w:color w:val="auto"/>
        </w:rPr>
        <w:t>. Upon registering, each participant will be provided with a Participant Dial-in Number, and a unique Personal PIN.</w:t>
      </w:r>
    </w:p>
    <w:p>
      <w:pPr>
        <w:spacing w:after="0" w:line="164" w:lineRule="exact"/>
        <w:rPr>
          <w:sz w:val="20"/>
          <w:szCs w:val="20"/>
          <w:color w:val="auto"/>
        </w:rPr>
      </w:pPr>
    </w:p>
    <w:p>
      <w:pPr>
        <w:ind w:right="1040"/>
        <w:spacing w:after="0" w:line="298" w:lineRule="auto"/>
        <w:rPr>
          <w:sz w:val="20"/>
          <w:szCs w:val="20"/>
          <w:color w:val="auto"/>
        </w:rPr>
      </w:pPr>
      <w:r>
        <w:rPr>
          <w:rFonts w:ascii="Times New Roman" w:cs="Times New Roman" w:eastAsia="Times New Roman" w:hAnsi="Times New Roman"/>
          <w:sz w:val="16"/>
          <w:szCs w:val="16"/>
          <w:color w:val="auto"/>
        </w:rPr>
        <w:t>For those unable to participate in the conference call, a replay of the webcast will be available on the Investor Relations page of the GasLog Partners website (</w:t>
      </w:r>
      <w:r>
        <w:rPr>
          <w:rFonts w:ascii="Times New Roman" w:cs="Times New Roman" w:eastAsia="Times New Roman" w:hAnsi="Times New Roman"/>
          <w:sz w:val="16"/>
          <w:szCs w:val="16"/>
          <w:u w:val="single" w:color="auto"/>
          <w:color w:val="0000FF"/>
        </w:rPr>
        <w:t>http://www.gaslogmlp.com/investors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Partners</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 xml:space="preserve">GasLog Partners is an owner and operator and acquirer of LNG carriers. The Partnership’s fleet consists of 12 wholly-owned LNG carriers as well as two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Times New Roman" w:cs="Times New Roman" w:eastAsia="Times New Roman" w:hAnsi="Times New Roman"/>
          <w:sz w:val="16"/>
          <w:szCs w:val="16"/>
          <w:u w:val="single" w:color="auto"/>
          <w:color w:val="0000FF"/>
        </w:rPr>
        <w:t>http://www.gaslogmlp.com</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00" w:hanging="328"/>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6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expenses, including crew costs, maintenance, dry-docking and insurance costs and bunker prices;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right="2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Euro;</w:t>
      </w:r>
    </w:p>
    <w:p>
      <w:pPr>
        <w:spacing w:after="0" w:line="18" w:lineRule="exact"/>
        <w:rPr>
          <w:rFonts w:ascii="Times New Roman" w:cs="Times New Roman" w:eastAsia="Times New Roman" w:hAnsi="Times New Roman"/>
          <w:sz w:val="16"/>
          <w:szCs w:val="16"/>
          <w:color w:val="auto"/>
        </w:rPr>
      </w:pPr>
    </w:p>
    <w:p>
      <w:pPr>
        <w:ind w:left="660" w:right="4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response to GasLog’s non-binding proposal to acquire all of the outstanding common units representing limited partner interests of the Partnership not already beneficially owned by GasLog, and any potential resulting transaction;</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or by acquiring other assets from third parties;</w:t>
      </w:r>
    </w:p>
    <w:p>
      <w:pPr>
        <w:spacing w:after="0" w:line="18" w:lineRule="exact"/>
        <w:rPr>
          <w:rFonts w:ascii="Times New Roman" w:cs="Times New Roman" w:eastAsia="Times New Roman" w:hAnsi="Times New Roman"/>
          <w:sz w:val="16"/>
          <w:szCs w:val="16"/>
          <w:color w:val="auto"/>
        </w:rPr>
      </w:pPr>
    </w:p>
    <w:p>
      <w:pPr>
        <w:ind w:left="660" w:right="30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14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changes to cash distributions on our financial position;</w:t>
      </w:r>
    </w:p>
    <w:p>
      <w:pPr>
        <w:spacing w:after="0" w:line="18" w:lineRule="exact"/>
        <w:rPr>
          <w:rFonts w:ascii="Times New Roman" w:cs="Times New Roman" w:eastAsia="Times New Roman" w:hAnsi="Times New Roman"/>
          <w:sz w:val="16"/>
          <w:szCs w:val="16"/>
          <w:color w:val="auto"/>
        </w:rPr>
      </w:pPr>
    </w:p>
    <w:p>
      <w:pPr>
        <w:ind w:left="660" w:right="26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8" w:lineRule="exact"/>
        <w:rPr>
          <w:rFonts w:ascii="Times New Roman" w:cs="Times New Roman" w:eastAsia="Times New Roman" w:hAnsi="Times New Roman"/>
          <w:sz w:val="16"/>
          <w:szCs w:val="16"/>
          <w:color w:val="auto"/>
        </w:rPr>
      </w:pPr>
    </w:p>
    <w:p>
      <w:pPr>
        <w:ind w:left="66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related to climate change,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1, 2022, available at </w:t>
      </w:r>
      <w:r>
        <w:rPr>
          <w:rFonts w:ascii="Times New Roman" w:cs="Times New Roman" w:eastAsia="Times New Roman" w:hAnsi="Times New Roman"/>
          <w:sz w:val="16"/>
          <w:szCs w:val="16"/>
          <w:u w:val="single" w:color="auto"/>
          <w:color w:val="0000FF"/>
        </w:rPr>
        <w:t>http://www.sec.gov</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Brinberg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Rose &amp;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+1 212-517-0810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0000FF"/>
        </w:rPr>
        <w:t>gaslog@roseandco.com</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9"/>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 and 2022</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6"/>
        </w:trPr>
        <w:tc>
          <w:tcPr>
            <w:tcW w:w="7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80" w:type="dxa"/>
            <w:vAlign w:val="bottom"/>
          </w:tcPr>
          <w:p>
            <w:pPr>
              <w:spacing w:after="0"/>
              <w:rPr>
                <w:sz w:val="20"/>
                <w:szCs w:val="20"/>
                <w:color w:val="auto"/>
              </w:rPr>
            </w:pPr>
          </w:p>
        </w:tc>
        <w:tc>
          <w:tcPr>
            <w:tcW w:w="190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340" w:type="dxa"/>
            <w:vAlign w:val="bottom"/>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7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8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instruments—non-current portion</w:t>
            </w:r>
          </w:p>
        </w:tc>
        <w:tc>
          <w:tcPr>
            <w:tcW w:w="5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1,888,583</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1,677,771</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81,996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93,325</w:t>
            </w: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1,970,623</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1,772,401</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202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11,156</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11,185</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3,392</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instruments—current portion</w:t>
            </w:r>
          </w:p>
        </w:tc>
        <w:tc>
          <w:tcPr>
            <w:tcW w:w="5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58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198,122</w:t>
            </w: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161,110</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243,033</w:t>
            </w:r>
          </w:p>
        </w:tc>
      </w:tr>
      <w:tr>
        <w:trPr>
          <w:trHeight w:val="260"/>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2,015,434</w:t>
            </w:r>
          </w:p>
        </w:tc>
      </w:tr>
      <w:tr>
        <w:trPr>
          <w:trHeight w:val="200"/>
        </w:trPr>
        <w:tc>
          <w:tcPr>
            <w:tcW w:w="77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spacing w:after="0"/>
              <w:rPr>
                <w:sz w:val="17"/>
                <w:szCs w:val="17"/>
                <w:color w:val="auto"/>
              </w:rPr>
            </w:pPr>
          </w:p>
        </w:tc>
      </w:tr>
      <w:tr>
        <w:trPr>
          <w:trHeight w:val="214"/>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unitholders (51,137,201 units issued and outstanding as of December 31, 2021 and 51,687,865 units issued</w:t>
            </w:r>
          </w:p>
        </w:tc>
        <w:tc>
          <w:tcPr>
            <w:tcW w:w="58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r>
      <w:tr>
        <w:trPr>
          <w:trHeight w:val="216"/>
        </w:trPr>
        <w:tc>
          <w:tcPr>
            <w:tcW w:w="77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and outstanding as of December 31, 2022)</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579,447</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668,953</w:t>
            </w: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(1,077,494 units issued and outstanding as of December 31, 2021 and 1,080,263 units issued and</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r>
      <w:tr>
        <w:trPr>
          <w:trHeight w:val="19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Preference unitholders (5,750,000 Series A Preference Units, 4,135,571 Series B Preference Units and 3,730,451</w:t>
            </w:r>
          </w:p>
        </w:tc>
        <w:tc>
          <w:tcPr>
            <w:tcW w:w="58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r>
      <w:tr>
        <w:trPr>
          <w:trHeight w:val="203"/>
        </w:trPr>
        <w:tc>
          <w:tcPr>
            <w:tcW w:w="77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Series C Preference Units issued and outstanding as of December 31, 2021 and 5,084,984 Series A Preference Units,</w:t>
            </w:r>
          </w:p>
        </w:tc>
        <w:tc>
          <w:tcPr>
            <w:tcW w:w="5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r>
      <w:tr>
        <w:trPr>
          <w:trHeight w:val="203"/>
        </w:trPr>
        <w:tc>
          <w:tcPr>
            <w:tcW w:w="77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3,496,382 Series B Preference Units and 3,061,045 Series C Preference Units issued and outstanding as of</w:t>
            </w:r>
          </w:p>
        </w:tc>
        <w:tc>
          <w:tcPr>
            <w:tcW w:w="5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r>
      <w:tr>
        <w:trPr>
          <w:trHeight w:val="216"/>
        </w:trPr>
        <w:tc>
          <w:tcPr>
            <w:tcW w:w="77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December 31, 2022)</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329,334</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279,349</w:t>
            </w:r>
          </w:p>
        </w:tc>
      </w:tr>
      <w:tr>
        <w:trPr>
          <w:trHeight w:val="196"/>
        </w:trPr>
        <w:tc>
          <w:tcPr>
            <w:tcW w:w="77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919,498</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960,910</w:t>
            </w:r>
          </w:p>
        </w:tc>
      </w:tr>
      <w:tr>
        <w:trPr>
          <w:trHeight w:val="21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2,873</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50,171</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57,266</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99,307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90,358</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17,433</w:t>
            </w:r>
          </w:p>
        </w:tc>
      </w:tr>
      <w:tr>
        <w:trPr>
          <w:trHeight w:val="196"/>
        </w:trPr>
        <w:tc>
          <w:tcPr>
            <w:tcW w:w="77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175,503</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177,230</w:t>
            </w:r>
          </w:p>
        </w:tc>
      </w:tr>
      <w:tr>
        <w:trPr>
          <w:trHeight w:val="209"/>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5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instruments—non-current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986,451</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831,588</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45,136</w:t>
            </w: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196"/>
        </w:trPr>
        <w:tc>
          <w:tcPr>
            <w:tcW w:w="77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1,036,732</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877,294</w:t>
            </w:r>
          </w:p>
        </w:tc>
      </w:tr>
      <w:tr>
        <w:trPr>
          <w:trHeight w:val="22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2,015,434</w:t>
            </w:r>
          </w:p>
        </w:tc>
      </w:tr>
      <w:tr>
        <w:trPr>
          <w:trHeight w:val="20"/>
        </w:trPr>
        <w:tc>
          <w:tcPr>
            <w:tcW w:w="778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three-month periods and the years ended December 31,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92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14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3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88,167</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104,974</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326,142</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371,034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(6,863)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(17,998)</w:t>
            </w: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(75,333)</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(72,363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(22,728)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(85,493)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(4,175)</w:t>
            </w: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(13,362)</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(17,509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(Loss)/gain on disposal of vessels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(103,977)</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(4,444)</w:t>
            </w: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(103,977)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(Loss)/profit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(63,164</w:t>
            </w:r>
          </w:p>
        </w:tc>
        <w:tc>
          <w:tcPr>
            <w:tcW w:w="120" w:type="dxa"/>
            <w:vAlign w:val="bottom"/>
            <w:tcBorders>
              <w:bottom w:val="single" w:sz="8" w:color="E5FF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54,371</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40,484</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154,616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(9,393</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(15,699)</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(37,297</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(47,639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48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1,762</w:t>
            </w: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430</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9,646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(7,620</w:t>
            </w:r>
          </w:p>
        </w:tc>
        <w:tc>
          <w:tcPr>
            <w:tcW w:w="120" w:type="dxa"/>
            <w:vAlign w:val="bottom"/>
            <w:tcBorders>
              <w:bottom w:val="single" w:sz="8" w:color="E5FF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(13,778)</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(34,758</w:t>
            </w:r>
          </w:p>
        </w:tc>
        <w:tc>
          <w:tcPr>
            <w:tcW w:w="100" w:type="dxa"/>
            <w:vAlign w:val="bottom"/>
            <w:tcBorders>
              <w:bottom w:val="single" w:sz="8" w:color="E5FF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(35,630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E5FF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(Loss)/profit and total comprehensive (loss)/income for the</w:t>
            </w:r>
          </w:p>
        </w:tc>
        <w:tc>
          <w:tcPr>
            <w:tcW w:w="13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32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(70,784)</w:t>
            </w: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40,593</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5,726</w:t>
            </w:r>
          </w:p>
        </w:tc>
        <w:tc>
          <w:tcPr>
            <w:tcW w:w="100" w:type="dxa"/>
            <w:vAlign w:val="bottom"/>
            <w:shd w:val="clear" w:color="auto" w:fill="E5FFFF"/>
          </w:tcPr>
          <w:p>
            <w:pPr>
              <w:spacing w:after="0"/>
              <w:rPr>
                <w:sz w:val="21"/>
                <w:szCs w:val="21"/>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118,986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(Loss)/earnings per unit, basic and diluted:</w:t>
            </w:r>
          </w:p>
        </w:tc>
        <w:tc>
          <w:tcPr>
            <w:tcW w:w="1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Common unit, basic</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 diluted</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0.64</w:t>
            </w: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7"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38"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2960" w:type="dxa"/>
            <w:vAlign w:val="bottom"/>
            <w:gridSpan w:val="4"/>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E5FFFF"/>
            </w:tcBorders>
          </w:tcPr>
          <w:p>
            <w:pPr>
              <w:spacing w:after="0"/>
              <w:rPr>
                <w:sz w:val="20"/>
                <w:szCs w:val="20"/>
                <w:color w:val="auto"/>
              </w:rPr>
            </w:pPr>
          </w:p>
        </w:tc>
        <w:tc>
          <w:tcPr>
            <w:tcW w:w="13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E5FFFF"/>
            </w:tcBorders>
          </w:tcPr>
          <w:p>
            <w:pPr>
              <w:spacing w:after="0"/>
              <w:rPr>
                <w:sz w:val="20"/>
                <w:szCs w:val="20"/>
                <w:color w:val="auto"/>
              </w:rPr>
            </w:pPr>
          </w:p>
        </w:tc>
        <w:tc>
          <w:tcPr>
            <w:tcW w:w="13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year</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5,726</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85,493</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87,490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103,977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Loss/(gain) on disposal of vessels</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630</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37,297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6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(43)</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(2,496)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378</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230,962</w:t>
            </w:r>
          </w:p>
        </w:tc>
        <w:tc>
          <w:tcPr>
            <w:tcW w:w="3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275,166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2,424</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233,386</w:t>
            </w:r>
          </w:p>
        </w:tc>
        <w:tc>
          <w:tcPr>
            <w:tcW w:w="32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277,744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and sale and leaseback, net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117,569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tangible fixed assets additions</w:t>
            </w:r>
          </w:p>
        </w:tc>
        <w:tc>
          <w:tcPr>
            <w:tcW w:w="16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(19,443)</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right-of-use assets</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43</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2,500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16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(2,500)</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98,169</w:t>
            </w:r>
          </w:p>
        </w:tc>
        <w:tc>
          <w:tcPr>
            <w:tcW w:w="32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76,410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(205,179)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6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(2,217)</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(42,239)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Release of cash collateral for interest rate swaps</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280</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Repurchases of preference units</w:t>
            </w:r>
          </w:p>
        </w:tc>
        <w:tc>
          <w:tcPr>
            <w:tcW w:w="16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(18,388)</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(346)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public offerings of common units and issuances of general partner units (net of</w:t>
            </w:r>
          </w:p>
        </w:tc>
        <w:tc>
          <w:tcPr>
            <w:tcW w:w="130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underwriting discounts and commissions)</w:t>
            </w:r>
          </w:p>
        </w:tc>
        <w:tc>
          <w:tcPr>
            <w:tcW w:w="16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10,205</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 (including common and preference)</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(31,877)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(29,101)</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9"/>
        </w:trPr>
        <w:tc>
          <w:tcPr>
            <w:tcW w:w="78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(289,761)</w:t>
            </w:r>
          </w:p>
        </w:tc>
        <w:tc>
          <w:tcPr>
            <w:tcW w:w="3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(302,251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41,794</w:t>
            </w:r>
          </w:p>
        </w:tc>
        <w:tc>
          <w:tcPr>
            <w:tcW w:w="320" w:type="dxa"/>
            <w:vAlign w:val="bottom"/>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52,592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103,736</w:t>
            </w:r>
          </w:p>
        </w:tc>
        <w:tc>
          <w:tcPr>
            <w:tcW w:w="32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year</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145,530</w:t>
            </w:r>
          </w:p>
        </w:tc>
        <w:tc>
          <w:tcPr>
            <w:tcW w:w="320" w:type="dxa"/>
            <w:vAlign w:val="bottom"/>
            <w:tcBorders>
              <w:bottom w:val="single" w:sz="8" w:color="E5FFFF"/>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198,122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7"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7"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6"/>
          <w:szCs w:val="16"/>
          <w:color w:val="auto"/>
        </w:rPr>
        <w:t>EBITDA is defined as earnings before financial income and costs, gain/loss on derivatives, taxes, depreciation and amortization. Adjusted EBITDA is defined as EBITDA before impairment loss on vessels, gain/loss on disposal of vessels and restructuring costs. Adjusted Profit represents earnings before (a) non-cash gain/loss on derivatives that includes unrealized gain/loss on derivatives held for trading, (b) write-off and accelerated amortization of unamortized loan fees, (c) impairment loss on vessels,</w:t>
      </w:r>
    </w:p>
    <w:p>
      <w:pPr>
        <w:spacing w:after="0" w:line="1" w:lineRule="exact"/>
        <w:rPr>
          <w:sz w:val="20"/>
          <w:szCs w:val="20"/>
          <w:color w:val="auto"/>
        </w:rPr>
      </w:pPr>
    </w:p>
    <w:p>
      <w:pPr>
        <w:ind w:firstLine="8"/>
        <w:spacing w:after="0" w:line="265"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gain/loss on disposal of vessels and (e) restructuring costs. Adjusted EPU, represents Adjusted Profit (as defined above), after deducting preference unit distributions and adding/deducting any difference between the carrying amount of preference units and the fair value of the consideration paid to settle them,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gain/loss on disposal of vessels and restructuring costs and, in the case of Adjusted Profit and Adjusted EPU, non-cash gain/loss on derivatives, write-off and accelerated amortization of unamortized loan fees, impairment loss on vessels, gain/loss on disposal of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 Gain/loss on disposal of vessels is excluded from Adjusted EBITDA, Adjusted Profit and Adjusted EPU because gain/loss on disposal of vessels represents the difference between the carrying amount and the amount that was recovered through sale and therefore is not considered representative of the underlying operations of the Partnership.</w:t>
      </w:r>
    </w:p>
    <w:p>
      <w:pPr>
        <w:spacing w:after="0" w:line="19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ectPr>
          <w:pgSz w:w="11900" w:h="16838" w:orient="portrait"/>
          <w:cols w:equalWidth="0" w:num="1">
            <w:col w:w="11220"/>
          </w:cols>
          <w:pgMar w:left="320" w:top="907" w:right="35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(Loss)/profit to EBITDA and Adjusted EBITDA: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(Loss)/profit for the period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 on derivatives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96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2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186"/>
        </w:trPr>
        <w:tc>
          <w:tcPr>
            <w:tcW w:w="14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r>
      <w:tr>
        <w:trPr>
          <w:trHeight w:val="212"/>
        </w:trPr>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r>
      <w:tr>
        <w:trPr>
          <w:trHeight w:val="202"/>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(70,784)</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40,593</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118,986</w:t>
            </w:r>
          </w:p>
        </w:tc>
        <w:tc>
          <w:tcPr>
            <w:tcW w:w="40" w:type="dxa"/>
            <w:vAlign w:val="bottom"/>
          </w:tcPr>
          <w:p>
            <w:pPr>
              <w:spacing w:after="0"/>
              <w:rPr>
                <w:sz w:val="17"/>
                <w:szCs w:val="17"/>
                <w:color w:val="auto"/>
              </w:rPr>
            </w:pPr>
          </w:p>
        </w:tc>
      </w:tr>
      <w:tr>
        <w:trPr>
          <w:trHeight w:val="210"/>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22,728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22,583</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85,493</w:t>
            </w: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87,490</w:t>
            </w:r>
          </w:p>
        </w:tc>
      </w:tr>
      <w:tr>
        <w:trPr>
          <w:trHeight w:val="208"/>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9,393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37,297</w:t>
            </w: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47,639</w:t>
            </w:r>
          </w:p>
        </w:tc>
      </w:tr>
      <w:tr>
        <w:trPr>
          <w:trHeight w:val="203"/>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10"/>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(1,762)</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-664210</wp:posOffset>
            </wp:positionV>
            <wp:extent cx="70637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-389890</wp:posOffset>
            </wp:positionV>
            <wp:extent cx="70637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-123825</wp:posOffset>
            </wp:positionV>
            <wp:extent cx="706374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80" w:space="720"/>
            <w:col w:w="5820"/>
          </w:cols>
          <w:pgMar w:left="320" w:top="907"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4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(40,436)</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76,954</w:t>
            </w:r>
          </w:p>
        </w:tc>
        <w:tc>
          <w:tcPr>
            <w:tcW w:w="14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125,977</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242,106</w:t>
            </w:r>
          </w:p>
        </w:tc>
        <w:tc>
          <w:tcPr>
            <w:tcW w:w="40" w:type="dxa"/>
            <w:vAlign w:val="bottom"/>
          </w:tcPr>
          <w:p>
            <w:pPr>
              <w:spacing w:after="0"/>
              <w:rPr>
                <w:sz w:val="17"/>
                <w:szCs w:val="17"/>
                <w:color w:val="auto"/>
              </w:rPr>
            </w:pPr>
          </w:p>
        </w:tc>
      </w:tr>
      <w:tr>
        <w:trPr>
          <w:trHeight w:val="196"/>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103,977</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103,977</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40" w:type="dxa"/>
            <w:vAlign w:val="bottom"/>
          </w:tcPr>
          <w:p>
            <w:pPr>
              <w:spacing w:after="0"/>
              <w:rPr>
                <w:sz w:val="17"/>
                <w:szCs w:val="17"/>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Loss/(gain) on disposal of vessels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630</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40" w:type="dxa"/>
            <w:vAlign w:val="bottom"/>
          </w:tcPr>
          <w:p>
            <w:pPr>
              <w:spacing w:after="0"/>
              <w:rPr>
                <w:sz w:val="18"/>
                <w:szCs w:val="18"/>
                <w:color w:val="auto"/>
              </w:rPr>
            </w:pPr>
          </w:p>
        </w:tc>
      </w:tr>
      <w:tr>
        <w:trPr>
          <w:trHeight w:val="219"/>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4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64,171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81,061</w:t>
            </w:r>
          </w:p>
        </w:tc>
        <w:tc>
          <w:tcPr>
            <w:tcW w:w="14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230,584</w:t>
            </w:r>
          </w:p>
        </w:tc>
        <w:tc>
          <w:tcPr>
            <w:tcW w:w="12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274,574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(Loss)/profit to Adjusted Profit: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136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right w:val="single" w:sz="8" w:color="E5FFFF"/>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(70,784)</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40,593</w:t>
            </w:r>
          </w:p>
        </w:tc>
        <w:tc>
          <w:tcPr>
            <w:tcW w:w="1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118,986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Non-cash gain on derivatives</w:t>
            </w: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(3,736)</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(242)</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(11,092)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480" w:type="dxa"/>
            <w:vAlign w:val="bottom"/>
            <w:tcBorders>
              <w:right w:val="single" w:sz="8" w:color="E5FFFF"/>
            </w:tcBorders>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103,977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103,977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Loss/(gain) on disposal of vessels</w:t>
            </w:r>
          </w:p>
        </w:tc>
        <w:tc>
          <w:tcPr>
            <w:tcW w:w="1480" w:type="dxa"/>
            <w:vAlign w:val="bottom"/>
            <w:tcBorders>
              <w:right w:val="single" w:sz="8" w:color="E5FFFF"/>
            </w:tcBorders>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E5FFFF"/>
          </w:tcPr>
          <w:p>
            <w:pPr>
              <w:spacing w:after="0"/>
              <w:rPr>
                <w:sz w:val="19"/>
                <w:szCs w:val="19"/>
                <w:color w:val="auto"/>
              </w:rPr>
            </w:pPr>
          </w:p>
        </w:tc>
        <w:tc>
          <w:tcPr>
            <w:tcW w:w="13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20" w:type="dxa"/>
            <w:vAlign w:val="bottom"/>
            <w:shd w:val="clear" w:color="auto" w:fill="E5FFFF"/>
          </w:tcPr>
          <w:p>
            <w:pPr>
              <w:spacing w:after="0" w:line="20" w:lineRule="exact"/>
              <w:rPr>
                <w:sz w:val="1"/>
                <w:szCs w:val="1"/>
                <w:color w:val="auto"/>
              </w:rPr>
            </w:pPr>
          </w:p>
        </w:tc>
        <w:tc>
          <w:tcPr>
            <w:tcW w:w="1360" w:type="dxa"/>
            <w:vAlign w:val="bottom"/>
            <w:tcBorders>
              <w:right w:val="single" w:sz="8" w:color="E5FFFF"/>
            </w:tcBorders>
            <w:gridSpan w:val="2"/>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60" w:type="dxa"/>
            <w:vAlign w:val="bottom"/>
            <w:tcBorders>
              <w:right w:val="single" w:sz="8" w:color="E5FFFF"/>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30,691</w:t>
            </w:r>
          </w:p>
        </w:tc>
        <w:tc>
          <w:tcPr>
            <w:tcW w:w="10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44,818</w:t>
            </w:r>
          </w:p>
        </w:tc>
        <w:tc>
          <w:tcPr>
            <w:tcW w:w="140" w:type="dxa"/>
            <w:vAlign w:val="bottom"/>
            <w:shd w:val="clear" w:color="auto" w:fill="E5FFFF"/>
          </w:tcPr>
          <w:p>
            <w:pPr>
              <w:spacing w:after="0"/>
              <w:rPr>
                <w:sz w:val="19"/>
                <w:szCs w:val="19"/>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99,845</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139,287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(Loss)/profit to EPU and Adjusted EPU: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 except unit and per unit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296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2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(70,784)</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40,593</w:t>
            </w: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118,986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Accrued preference unit distributions</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14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(6,159)</w:t>
            </w: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(loss)/profit attributable to:</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(78,122</w:t>
            </w:r>
          </w:p>
        </w:tc>
        <w:tc>
          <w:tcPr>
            <w:tcW w:w="12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34,849</w:t>
            </w: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(23,970</w:t>
            </w:r>
          </w:p>
        </w:tc>
        <w:tc>
          <w:tcPr>
            <w:tcW w:w="12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92,723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(76,510)</w:t>
            </w:r>
          </w:p>
        </w:tc>
        <w:tc>
          <w:tcPr>
            <w:tcW w:w="12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34,136</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(23,488)</w:t>
            </w:r>
          </w:p>
        </w:tc>
        <w:tc>
          <w:tcPr>
            <w:tcW w:w="12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90,821</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4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48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51,137,201</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51,687,865</w:t>
            </w:r>
          </w:p>
        </w:tc>
        <w:tc>
          <w:tcPr>
            <w:tcW w:w="140" w:type="dxa"/>
            <w:vAlign w:val="bottom"/>
            <w:shd w:val="clear" w:color="auto" w:fill="E5FFFF"/>
          </w:tcPr>
          <w:p>
            <w:pPr>
              <w:spacing w:after="0"/>
              <w:rPr>
                <w:sz w:val="19"/>
                <w:szCs w:val="19"/>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49,501,674</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51,422,248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1,077,494</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1,080,263</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1,049,800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EPU (basic)</w:t>
            </w:r>
          </w:p>
        </w:tc>
        <w:tc>
          <w:tcPr>
            <w:tcW w:w="1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5400" w:type="dxa"/>
            <w:vAlign w:val="bottom"/>
          </w:tcPr>
          <w:p>
            <w:pPr>
              <w:spacing w:after="0"/>
              <w:rPr>
                <w:sz w:val="24"/>
                <w:szCs w:val="24"/>
                <w:color w:val="auto"/>
              </w:rPr>
            </w:pPr>
          </w:p>
        </w:tc>
        <w:tc>
          <w:tcPr>
            <w:tcW w:w="296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2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(70,784)</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40,593</w:t>
            </w: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118,986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Accrued preference unit distributions</w:t>
            </w:r>
          </w:p>
        </w:tc>
        <w:tc>
          <w:tcPr>
            <w:tcW w:w="1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14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(6,159)</w:t>
            </w:r>
          </w:p>
        </w:tc>
        <w:tc>
          <w:tcPr>
            <w:tcW w:w="14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(loss)/profit used in EPU calculation</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(78,122)</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34,849</w:t>
            </w:r>
          </w:p>
        </w:tc>
        <w:tc>
          <w:tcPr>
            <w:tcW w:w="1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(23,970)</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92,723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Non-cash gain on derivatives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(11,092)</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48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604</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103,977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103,977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Loss/(gain) on disposal of vessels</w:t>
            </w:r>
          </w:p>
        </w:tc>
        <w:tc>
          <w:tcPr>
            <w:tcW w:w="148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630</w:t>
            </w:r>
          </w:p>
        </w:tc>
        <w:tc>
          <w:tcPr>
            <w:tcW w:w="14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Partnership’s profit used in EPU calculation attributable to:</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23,353</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39,074</w:t>
            </w: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70,149</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113,024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22,871</w:t>
            </w:r>
          </w:p>
        </w:tc>
        <w:tc>
          <w:tcPr>
            <w:tcW w:w="12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38,275</w:t>
            </w:r>
          </w:p>
        </w:tc>
        <w:tc>
          <w:tcPr>
            <w:tcW w:w="140" w:type="dxa"/>
            <w:vAlign w:val="bottom"/>
            <w:vMerge w:val="continue"/>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68,691</w:t>
            </w:r>
          </w:p>
        </w:tc>
        <w:tc>
          <w:tcPr>
            <w:tcW w:w="12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48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482</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4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3" w:right="3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3360" w:type="dxa"/>
            <w:vAlign w:val="bottom"/>
            <w:shd w:val="clear" w:color="auto" w:fill="E5FFFF"/>
          </w:tcPr>
          <w:p>
            <w:pPr>
              <w:jc w:val="right"/>
              <w:ind w:right="279"/>
              <w:spacing w:after="0"/>
              <w:rPr>
                <w:sz w:val="20"/>
                <w:szCs w:val="20"/>
                <w:color w:val="auto"/>
              </w:rPr>
            </w:pPr>
            <w:r>
              <w:rPr>
                <w:rFonts w:ascii="Times New Roman" w:cs="Times New Roman" w:eastAsia="Times New Roman" w:hAnsi="Times New Roman"/>
                <w:sz w:val="16"/>
                <w:szCs w:val="16"/>
                <w:color w:val="auto"/>
              </w:rPr>
              <w:t>51,137,201</w:t>
            </w:r>
          </w:p>
        </w:tc>
        <w:tc>
          <w:tcPr>
            <w:tcW w:w="1480" w:type="dxa"/>
            <w:vAlign w:val="bottom"/>
            <w:shd w:val="clear" w:color="auto" w:fill="E5FFFF"/>
          </w:tcPr>
          <w:p>
            <w:pPr>
              <w:jc w:val="right"/>
              <w:ind w:right="299"/>
              <w:spacing w:after="0"/>
              <w:rPr>
                <w:sz w:val="20"/>
                <w:szCs w:val="20"/>
                <w:color w:val="auto"/>
              </w:rPr>
            </w:pPr>
            <w:r>
              <w:rPr>
                <w:rFonts w:ascii="Times New Roman" w:cs="Times New Roman" w:eastAsia="Times New Roman" w:hAnsi="Times New Roman"/>
                <w:sz w:val="16"/>
                <w:szCs w:val="16"/>
                <w:color w:val="auto"/>
              </w:rPr>
              <w:t>51,687,865</w:t>
            </w:r>
          </w:p>
        </w:tc>
        <w:tc>
          <w:tcPr>
            <w:tcW w:w="1440" w:type="dxa"/>
            <w:vAlign w:val="bottom"/>
            <w:shd w:val="clear" w:color="auto" w:fill="E5FFFF"/>
          </w:tcPr>
          <w:p>
            <w:pPr>
              <w:jc w:val="right"/>
              <w:ind w:right="279"/>
              <w:spacing w:after="0"/>
              <w:rPr>
                <w:sz w:val="20"/>
                <w:szCs w:val="20"/>
                <w:color w:val="auto"/>
              </w:rPr>
            </w:pPr>
            <w:r>
              <w:rPr>
                <w:rFonts w:ascii="Times New Roman" w:cs="Times New Roman" w:eastAsia="Times New Roman" w:hAnsi="Times New Roman"/>
                <w:sz w:val="16"/>
                <w:szCs w:val="16"/>
                <w:color w:val="auto"/>
              </w:rPr>
              <w:t>49,501,674</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51,422,248</w:t>
            </w: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33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1,077,494</w:t>
            </w: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1,080,263</w:t>
            </w: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1,049,800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1,078,897</w:t>
            </w:r>
          </w:p>
        </w:tc>
      </w:tr>
      <w:tr>
        <w:trPr>
          <w:trHeight w:val="219"/>
        </w:trPr>
        <w:tc>
          <w:tcPr>
            <w:tcW w:w="3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EPU (basic)</w:t>
            </w:r>
          </w:p>
        </w:tc>
        <w:tc>
          <w:tcPr>
            <w:tcW w:w="3360" w:type="dxa"/>
            <w:vAlign w:val="bottom"/>
            <w:shd w:val="clear" w:color="auto" w:fill="E5FFFF"/>
          </w:tcPr>
          <w:p>
            <w:pPr>
              <w:spacing w:after="0"/>
              <w:rPr>
                <w:sz w:val="19"/>
                <w:szCs w:val="19"/>
                <w:color w:val="auto"/>
              </w:rPr>
            </w:pPr>
          </w:p>
        </w:tc>
        <w:tc>
          <w:tcPr>
            <w:tcW w:w="1480" w:type="dxa"/>
            <w:vAlign w:val="bottom"/>
            <w:shd w:val="clear" w:color="auto" w:fill="E5FFFF"/>
          </w:tcPr>
          <w:p>
            <w:pPr>
              <w:spacing w:after="0"/>
              <w:rPr>
                <w:sz w:val="19"/>
                <w:szCs w:val="19"/>
                <w:color w:val="auto"/>
              </w:rPr>
            </w:pPr>
          </w:p>
        </w:tc>
        <w:tc>
          <w:tcPr>
            <w:tcW w:w="144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33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0.45</w:t>
            </w: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0.74</w:t>
            </w: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22"/>
        </w:trPr>
        <w:tc>
          <w:tcPr>
            <w:tcW w:w="3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3360" w:type="dxa"/>
            <w:vAlign w:val="bottom"/>
            <w:shd w:val="clear" w:color="auto" w:fill="E5FFFF"/>
          </w:tcPr>
          <w:p>
            <w:pPr>
              <w:jc w:val="right"/>
              <w:ind w:right="279"/>
              <w:spacing w:after="0"/>
              <w:rPr>
                <w:sz w:val="20"/>
                <w:szCs w:val="20"/>
                <w:color w:val="auto"/>
              </w:rPr>
            </w:pPr>
            <w:r>
              <w:rPr>
                <w:rFonts w:ascii="Times New Roman" w:cs="Times New Roman" w:eastAsia="Times New Roman" w:hAnsi="Times New Roman"/>
                <w:sz w:val="16"/>
                <w:szCs w:val="16"/>
                <w:color w:val="auto"/>
              </w:rPr>
              <w:t>0.45</w:t>
            </w:r>
          </w:p>
        </w:tc>
        <w:tc>
          <w:tcPr>
            <w:tcW w:w="1480" w:type="dxa"/>
            <w:vAlign w:val="bottom"/>
            <w:shd w:val="clear" w:color="auto" w:fill="E5FFFF"/>
          </w:tcPr>
          <w:p>
            <w:pPr>
              <w:jc w:val="right"/>
              <w:ind w:right="299"/>
              <w:spacing w:after="0"/>
              <w:rPr>
                <w:sz w:val="20"/>
                <w:szCs w:val="20"/>
                <w:color w:val="auto"/>
              </w:rPr>
            </w:pPr>
            <w:r>
              <w:rPr>
                <w:rFonts w:ascii="Times New Roman" w:cs="Times New Roman" w:eastAsia="Times New Roman" w:hAnsi="Times New Roman"/>
                <w:sz w:val="16"/>
                <w:szCs w:val="16"/>
                <w:color w:val="auto"/>
              </w:rPr>
              <w:t>0.74</w:t>
            </w:r>
          </w:p>
        </w:tc>
        <w:tc>
          <w:tcPr>
            <w:tcW w:w="1440" w:type="dxa"/>
            <w:vAlign w:val="bottom"/>
            <w:shd w:val="clear" w:color="auto" w:fill="E5FFFF"/>
          </w:tcPr>
          <w:p>
            <w:pPr>
              <w:jc w:val="right"/>
              <w:ind w:right="279"/>
              <w:spacing w:after="0"/>
              <w:rPr>
                <w:sz w:val="20"/>
                <w:szCs w:val="20"/>
                <w:color w:val="auto"/>
              </w:rPr>
            </w:pPr>
            <w:r>
              <w:rPr>
                <w:rFonts w:ascii="Times New Roman" w:cs="Times New Roman" w:eastAsia="Times New Roman" w:hAnsi="Times New Roman"/>
                <w:sz w:val="16"/>
                <w:szCs w:val="16"/>
                <w:color w:val="auto"/>
              </w:rPr>
              <w:t>1.39</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2.15</w:t>
            </w: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2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2023-01-26T05:47:56Z</dcterms:created>
  <dcterms:modified xsi:type="dcterms:W3CDTF">2023-01-26T05:47:56Z</dcterms:modified>
</cp:coreProperties>
</file>