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For the month of April 2018</w:t>
            </w:r>
          </w:p>
        </w:tc>
        <w:tc>
          <w:tcPr>
            <w:tcW w:w="2280" w:type="dxa"/>
            <w:vAlign w:val="bottom"/>
          </w:tcPr>
          <w:p>
            <w:pPr>
              <w:spacing w:after="0"/>
              <w:rPr>
                <w:sz w:val="20"/>
                <w:szCs w:val="20"/>
                <w:color w:val="auto"/>
              </w:rPr>
            </w:pPr>
          </w:p>
        </w:tc>
      </w:tr>
      <w:tr>
        <w:trPr>
          <w:trHeight w:val="432"/>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 001-36433</w:t>
            </w:r>
          </w:p>
        </w:tc>
        <w:tc>
          <w:tcPr>
            <w:tcW w:w="2280" w:type="dxa"/>
            <w:vAlign w:val="bottom"/>
          </w:tcPr>
          <w:p>
            <w:pPr>
              <w:spacing w:after="0"/>
              <w:rPr>
                <w:sz w:val="24"/>
                <w:szCs w:val="24"/>
                <w:color w:val="auto"/>
              </w:rPr>
            </w:pPr>
          </w:p>
        </w:tc>
      </w:tr>
      <w:tr>
        <w:trPr>
          <w:trHeight w:val="414"/>
        </w:trPr>
        <w:tc>
          <w:tcPr>
            <w:tcW w:w="918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GasLog Partners LP</w:t>
            </w:r>
          </w:p>
        </w:tc>
        <w:tc>
          <w:tcPr>
            <w:tcW w:w="2280" w:type="dxa"/>
            <w:vAlign w:val="bottom"/>
          </w:tcPr>
          <w:p>
            <w:pPr>
              <w:spacing w:after="0"/>
              <w:rPr>
                <w:sz w:val="24"/>
                <w:szCs w:val="24"/>
                <w:color w:val="auto"/>
              </w:rPr>
            </w:pPr>
          </w:p>
        </w:tc>
      </w:tr>
      <w:tr>
        <w:trPr>
          <w:trHeight w:val="234"/>
        </w:trPr>
        <w:tc>
          <w:tcPr>
            <w:tcW w:w="918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w w:val="99"/>
              </w:rPr>
              <w:t>(Translation of registrant’s name into English)</w:t>
            </w:r>
          </w:p>
        </w:tc>
        <w:tc>
          <w:tcPr>
            <w:tcW w:w="2280" w:type="dxa"/>
            <w:vAlign w:val="bottom"/>
          </w:tcPr>
          <w:p>
            <w:pPr>
              <w:spacing w:after="0"/>
              <w:rPr>
                <w:sz w:val="20"/>
                <w:szCs w:val="20"/>
                <w:color w:val="auto"/>
              </w:rPr>
            </w:pPr>
          </w:p>
        </w:tc>
      </w:tr>
      <w:tr>
        <w:trPr>
          <w:trHeight w:val="414"/>
        </w:trPr>
        <w:tc>
          <w:tcPr>
            <w:tcW w:w="918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w w:val="99"/>
              </w:rPr>
              <w:t>Gildo Pastor Center</w:t>
            </w:r>
          </w:p>
        </w:tc>
        <w:tc>
          <w:tcPr>
            <w:tcW w:w="2280" w:type="dxa"/>
            <w:vAlign w:val="bottom"/>
          </w:tcPr>
          <w:p>
            <w:pPr>
              <w:spacing w:after="0"/>
              <w:rPr>
                <w:sz w:val="24"/>
                <w:szCs w:val="24"/>
                <w:color w:val="auto"/>
              </w:rPr>
            </w:pPr>
          </w:p>
        </w:tc>
      </w:tr>
      <w:tr>
        <w:trPr>
          <w:trHeight w:val="216"/>
        </w:trPr>
        <w:tc>
          <w:tcPr>
            <w:tcW w:w="918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7 Rue du Gabian</w:t>
            </w:r>
          </w:p>
        </w:tc>
        <w:tc>
          <w:tcPr>
            <w:tcW w:w="2280" w:type="dxa"/>
            <w:vAlign w:val="bottom"/>
          </w:tcPr>
          <w:p>
            <w:pPr>
              <w:spacing w:after="0"/>
              <w:rPr>
                <w:sz w:val="18"/>
                <w:szCs w:val="18"/>
                <w:color w:val="auto"/>
              </w:rPr>
            </w:pPr>
          </w:p>
        </w:tc>
      </w:tr>
      <w:tr>
        <w:trPr>
          <w:trHeight w:val="216"/>
        </w:trPr>
        <w:tc>
          <w:tcPr>
            <w:tcW w:w="918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MC 98000, Monaco</w:t>
            </w:r>
          </w:p>
        </w:tc>
        <w:tc>
          <w:tcPr>
            <w:tcW w:w="2280" w:type="dxa"/>
            <w:vAlign w:val="bottom"/>
          </w:tcPr>
          <w:p>
            <w:pPr>
              <w:spacing w:after="0"/>
              <w:rPr>
                <w:sz w:val="18"/>
                <w:szCs w:val="18"/>
                <w:color w:val="auto"/>
              </w:rPr>
            </w:pPr>
          </w:p>
        </w:tc>
      </w:tr>
      <w:tr>
        <w:trPr>
          <w:trHeight w:val="234"/>
        </w:trPr>
        <w:tc>
          <w:tcPr>
            <w:tcW w:w="918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2280" w:type="dxa"/>
            <w:vAlign w:val="bottom"/>
          </w:tcPr>
          <w:p>
            <w:pPr>
              <w:spacing w:after="0"/>
              <w:rPr>
                <w:sz w:val="20"/>
                <w:szCs w:val="20"/>
                <w:color w:val="auto"/>
              </w:rPr>
            </w:pPr>
          </w:p>
        </w:tc>
      </w:tr>
      <w:tr>
        <w:trPr>
          <w:trHeight w:val="432"/>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tc>
        <w:tc>
          <w:tcPr>
            <w:tcW w:w="2280" w:type="dxa"/>
            <w:vAlign w:val="bottom"/>
          </w:tcPr>
          <w:p>
            <w:pPr>
              <w:spacing w:after="0"/>
              <w:rPr>
                <w:sz w:val="24"/>
                <w:szCs w:val="24"/>
                <w:color w:val="auto"/>
              </w:rPr>
            </w:pPr>
          </w:p>
        </w:tc>
      </w:tr>
      <w:tr>
        <w:trPr>
          <w:trHeight w:val="452"/>
        </w:trPr>
        <w:tc>
          <w:tcPr>
            <w:tcW w:w="91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o</w:t>
            </w:r>
          </w:p>
        </w:tc>
        <w:tc>
          <w:tcPr>
            <w:tcW w:w="2280" w:type="dxa"/>
            <w:vAlign w:val="bottom"/>
          </w:tcPr>
          <w:p>
            <w:pPr>
              <w:spacing w:after="0"/>
              <w:rPr>
                <w:sz w:val="24"/>
                <w:szCs w:val="24"/>
                <w:color w:val="auto"/>
              </w:rPr>
            </w:pPr>
          </w:p>
        </w:tc>
      </w:tr>
      <w:tr>
        <w:trPr>
          <w:trHeight w:val="412"/>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tc>
        <w:tc>
          <w:tcPr>
            <w:tcW w:w="2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t>
            </w:r>
          </w:p>
        </w:tc>
      </w:tr>
      <w:tr>
        <w:trPr>
          <w:trHeight w:val="432"/>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tc>
        <w:tc>
          <w:tcPr>
            <w:tcW w:w="2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t>
            </w:r>
          </w:p>
        </w:tc>
      </w:tr>
      <w:tr>
        <w:trPr>
          <w:trHeight w:val="348"/>
        </w:trPr>
        <w:tc>
          <w:tcPr>
            <w:tcW w:w="91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both"/>
        <w:ind w:right="40" w:firstLine="383"/>
        <w:spacing w:after="0" w:line="282" w:lineRule="auto"/>
        <w:rPr>
          <w:sz w:val="20"/>
          <w:szCs w:val="20"/>
          <w:color w:val="auto"/>
        </w:rPr>
      </w:pPr>
      <w:r>
        <w:rPr>
          <w:rFonts w:ascii="Times New Roman" w:cs="Times New Roman" w:eastAsia="Times New Roman" w:hAnsi="Times New Roman"/>
          <w:sz w:val="18"/>
          <w:szCs w:val="18"/>
          <w:color w:val="auto"/>
        </w:rPr>
        <w:t>The press release issued by GasLog Partners LP and GasLog Ltd. on April 10, 2018 announcing the highlights of the GasLog Ltd. and GasLog Partners LP 2018 Investor Presentation is attached hereto as Exhibit 99.1.</w:t>
      </w:r>
    </w:p>
    <w:p>
      <w:pPr>
        <w:spacing w:after="0" w:line="16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INCORPORATION BY REFERENCE</w:t>
      </w:r>
    </w:p>
    <w:p>
      <w:pPr>
        <w:spacing w:after="0" w:line="230" w:lineRule="exact"/>
        <w:rPr>
          <w:sz w:val="24"/>
          <w:szCs w:val="24"/>
          <w:color w:val="auto"/>
        </w:rPr>
      </w:pPr>
    </w:p>
    <w:p>
      <w:pPr>
        <w:jc w:val="both"/>
        <w:ind w:right="40" w:firstLine="376"/>
        <w:spacing w:after="0" w:line="258" w:lineRule="auto"/>
        <w:rPr>
          <w:sz w:val="20"/>
          <w:szCs w:val="20"/>
          <w:color w:val="auto"/>
        </w:rPr>
      </w:pPr>
      <w:r>
        <w:rPr>
          <w:rFonts w:ascii="Times New Roman" w:cs="Times New Roman" w:eastAsia="Times New Roman" w:hAnsi="Times New Roman"/>
          <w:sz w:val="18"/>
          <w:szCs w:val="18"/>
          <w:color w:val="auto"/>
        </w:rPr>
        <w:t>Exhibit 99.1 to this Report on Form 6-K shall be incorporated by reference into our registration statement on Form F-3 (File No. 333-204616), filed with the Securities and Exchange Commission (the “SEC”) on June 1, 2015,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200" w:lineRule="exact"/>
        <w:rPr>
          <w:sz w:val="24"/>
          <w:szCs w:val="24"/>
          <w:color w:val="auto"/>
        </w:rPr>
      </w:pPr>
    </w:p>
    <w:p>
      <w:pPr>
        <w:spacing w:after="0" w:line="20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EXHIBIT LIST</w:t>
      </w:r>
    </w:p>
    <w:p>
      <w:pPr>
        <w:spacing w:after="0" w:line="230" w:lineRule="exact"/>
        <w:rPr>
          <w:sz w:val="24"/>
          <w:szCs w:val="24"/>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Description</w:t>
      </w:r>
    </w:p>
    <w:p>
      <w:pPr>
        <w:spacing w:after="0" w:line="225" w:lineRule="exact"/>
        <w:rPr>
          <w:sz w:val="24"/>
          <w:szCs w:val="24"/>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April 10,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4"/>
          <w:szCs w:val="24"/>
          <w:color w:val="auto"/>
        </w:rPr>
      </w:pPr>
    </w:p>
    <w:p>
      <w:pPr>
        <w:ind w:right="800" w:firstLine="3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April 10, 2018</w:t>
      </w:r>
    </w:p>
    <w:p>
      <w:pPr>
        <w:spacing w:after="0" w:line="225" w:lineRule="exact"/>
        <w:rPr>
          <w:sz w:val="24"/>
          <w:szCs w:val="24"/>
          <w:color w:val="auto"/>
        </w:rPr>
      </w:pPr>
    </w:p>
    <w:p>
      <w:pPr>
        <w:ind w:left="5900"/>
        <w:spacing w:after="0"/>
        <w:rPr>
          <w:sz w:val="20"/>
          <w:szCs w:val="20"/>
          <w:color w:val="auto"/>
        </w:rPr>
      </w:pPr>
      <w:r>
        <w:rPr>
          <w:rFonts w:ascii="Times New Roman" w:cs="Times New Roman" w:eastAsia="Times New Roman" w:hAnsi="Times New Roman"/>
          <w:sz w:val="18"/>
          <w:szCs w:val="18"/>
          <w:color w:val="auto"/>
        </w:rPr>
        <w:t>GASLOG PARTNERS LP</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ind w:left="6400"/>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Andrew Orekar</w:t>
            </w:r>
          </w:p>
        </w:tc>
        <w:tc>
          <w:tcPr>
            <w:tcW w:w="40" w:type="dxa"/>
            <w:vAlign w:val="bottom"/>
          </w:tcPr>
          <w:p>
            <w:pPr>
              <w:spacing w:after="0"/>
              <w:rPr>
                <w:sz w:val="20"/>
                <w:szCs w:val="20"/>
                <w:color w:val="auto"/>
              </w:rPr>
            </w:pPr>
          </w:p>
        </w:tc>
      </w:tr>
      <w:tr>
        <w:trPr>
          <w:trHeight w:val="191"/>
        </w:trPr>
        <w:tc>
          <w:tcPr>
            <w:tcW w:w="686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Andrew Orekar</w:t>
            </w:r>
          </w:p>
        </w:tc>
        <w:tc>
          <w:tcPr>
            <w:tcW w:w="40" w:type="dxa"/>
            <w:vAlign w:val="bottom"/>
          </w:tcPr>
          <w:p>
            <w:pPr>
              <w:spacing w:after="0"/>
              <w:rPr>
                <w:sz w:val="16"/>
                <w:szCs w:val="16"/>
                <w:color w:val="auto"/>
              </w:rPr>
            </w:pPr>
          </w:p>
        </w:tc>
      </w:tr>
      <w:tr>
        <w:trPr>
          <w:trHeight w:val="234"/>
        </w:trPr>
        <w:tc>
          <w:tcPr>
            <w:tcW w:w="68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8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1" w:right="199" w:bottom="1440" w:gutter="0" w:footer="0" w:header="0"/>
        </w:sectPr>
      </w:pPr>
    </w:p>
    <w:bookmarkStart w:id="1" w:name="page2"/>
    <w:bookmarkEnd w:id="1"/>
    <w:p>
      <w:pPr>
        <w:spacing w:after="0" w:line="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GasLog Ltd. and GasLog Partners LP 2018 Investor Day Presentation</w:t>
      </w:r>
    </w:p>
    <w:p>
      <w:pPr>
        <w:spacing w:after="0" w:line="200" w:lineRule="exact"/>
        <w:rPr>
          <w:sz w:val="20"/>
          <w:szCs w:val="20"/>
          <w:color w:val="auto"/>
        </w:rPr>
      </w:pPr>
    </w:p>
    <w:p>
      <w:pPr>
        <w:spacing w:after="0" w:line="248"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MONACO — April 10, 2018 — </w:t>
      </w:r>
      <w:r>
        <w:rPr>
          <w:rFonts w:ascii="Times New Roman" w:cs="Times New Roman" w:eastAsia="Times New Roman" w:hAnsi="Times New Roman"/>
          <w:sz w:val="18"/>
          <w:szCs w:val="18"/>
          <w:color w:val="auto"/>
        </w:rPr>
        <w:t>GasLog Ltd. (“GasLog” or the “Company”) (NYSE:GLOG) and GasLog Partners LP (“GasLog Partners”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“Partnership”) (NYSE:GLOP) will host an Investor Day presentation today in New York.</w:t>
      </w:r>
    </w:p>
    <w:p>
      <w:pPr>
        <w:spacing w:after="0" w:line="15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Senior management from GasLog and GasLog Partners will present an update on the outlook for the LNG commodity and LNG shipping markets, and will discuss the long-term strategy of the Company and the Partnership. The presentation will be followed by a question and answer session.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messages of the presentation are:</w:t>
      </w:r>
    </w:p>
    <w:p>
      <w:pPr>
        <w:spacing w:after="0" w:line="221" w:lineRule="exact"/>
        <w:rPr>
          <w:sz w:val="20"/>
          <w:szCs w:val="20"/>
          <w:color w:val="auto"/>
        </w:rPr>
      </w:pPr>
    </w:p>
    <w:p>
      <w:pPr>
        <w:ind w:left="620" w:hanging="288"/>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Strong LNG Fundamentals: </w:t>
      </w:r>
      <w:r>
        <w:rPr>
          <w:rFonts w:ascii="Times New Roman" w:cs="Times New Roman" w:eastAsia="Times New Roman" w:hAnsi="Times New Roman"/>
          <w:sz w:val="18"/>
          <w:szCs w:val="18"/>
          <w:color w:val="auto"/>
        </w:rPr>
        <w:t>Forecast LNG demand growth will drive supply expansion post 2020</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Evolving LNG Shipping Market: </w:t>
      </w:r>
      <w:r>
        <w:rPr>
          <w:rFonts w:ascii="Times New Roman" w:cs="Times New Roman" w:eastAsia="Times New Roman" w:hAnsi="Times New Roman"/>
          <w:sz w:val="18"/>
          <w:szCs w:val="18"/>
          <w:color w:val="auto"/>
        </w:rPr>
        <w:t>Market fragmentation, inter-basin trading and focus on cargo value maximisation all increase shipping intensity</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LNG Shipping Market Tightening: </w:t>
      </w:r>
      <w:r>
        <w:rPr>
          <w:rFonts w:ascii="Times New Roman" w:cs="Times New Roman" w:eastAsia="Times New Roman" w:hAnsi="Times New Roman"/>
          <w:sz w:val="18"/>
          <w:szCs w:val="18"/>
          <w:color w:val="auto"/>
        </w:rPr>
        <w:t>Additional volumes, travelling greater distances, drive strong recovery in shipping rates</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6" w:lineRule="auto"/>
        <w:tabs>
          <w:tab w:leader="none" w:pos="6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GasLog Has A Market Leading Platform: </w:t>
      </w:r>
      <w:r>
        <w:rPr>
          <w:rFonts w:ascii="Times New Roman" w:cs="Times New Roman" w:eastAsia="Times New Roman" w:hAnsi="Times New Roman"/>
          <w:sz w:val="18"/>
          <w:szCs w:val="18"/>
          <w:color w:val="auto"/>
        </w:rPr>
        <w:t>Differentiation from fleet scale and efficiency, safety track record, operational excellence,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relationships, technical innovation and access to capital, including through GasLog Partners</w:t>
      </w:r>
    </w:p>
    <w:p>
      <w:pPr>
        <w:spacing w:after="0" w:line="154"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GasLog Is Positioned To Grow Strongly: </w:t>
      </w:r>
      <w:r>
        <w:rPr>
          <w:rFonts w:ascii="Times New Roman" w:cs="Times New Roman" w:eastAsia="Times New Roman" w:hAnsi="Times New Roman"/>
          <w:sz w:val="18"/>
          <w:szCs w:val="18"/>
          <w:color w:val="auto"/>
        </w:rPr>
        <w:t>Visible path to more than double consolidated EBITDA over the next 5 years</w:t>
      </w:r>
    </w:p>
    <w:p>
      <w:pPr>
        <w:spacing w:after="0" w:line="225" w:lineRule="exact"/>
        <w:rPr>
          <w:rFonts w:ascii="Times New Roman" w:cs="Times New Roman" w:eastAsia="Times New Roman" w:hAnsi="Times New Roman"/>
          <w:sz w:val="18"/>
          <w:szCs w:val="18"/>
          <w:color w:val="auto"/>
        </w:rPr>
      </w:pPr>
    </w:p>
    <w:p>
      <w:pPr>
        <w:ind w:left="660" w:right="60" w:hanging="328"/>
        <w:spacing w:after="0" w:line="286" w:lineRule="auto"/>
        <w:tabs>
          <w:tab w:leader="none" w:pos="6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Enhancement Of Shareholder Returns: </w:t>
      </w:r>
      <w:r>
        <w:rPr>
          <w:rFonts w:ascii="Times New Roman" w:cs="Times New Roman" w:eastAsia="Times New Roman" w:hAnsi="Times New Roman"/>
          <w:sz w:val="18"/>
          <w:szCs w:val="18"/>
          <w:color w:val="auto"/>
        </w:rPr>
        <w:t>Significant upside potential from increasing asset values, earnings, cash flows from operations and GasLog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 and shareholder remuneration</w:t>
      </w:r>
    </w:p>
    <w:p>
      <w:pPr>
        <w:spacing w:after="0" w:line="15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Paul Wogan, Chief Executive Officer of GasLog, stated, “Since the beginning of 2016, GasLog has expanded and upgraded its fleet of LNG carriers while delivering outstanding operational and safety performance. This growth has been underpinned by our strong commercial relationships and a significantly strengthened balance sheet as a result of the success of GasLog Partners as a funding vehicle for the group. We are pleased this delivery has been recognized through a leading total shareholder return relative to our peers over the period.</w:t>
      </w:r>
    </w:p>
    <w:p>
      <w:pPr>
        <w:spacing w:after="0" w:line="180"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8"/>
          <w:szCs w:val="18"/>
          <w:color w:val="auto"/>
        </w:rPr>
        <w:t>The outlook for the LNG shipping remains positive, driven by growing demand for LNG and an increase in shipping intensity as the market evolves. Our scale and operational and commercial capabilities position us well to benefit from an expanding and tightening market. We are excited by the opportunity to more than double our consolidated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over the next five years, and to unlock significant value upside from an increase in asset values, cash flows, earnings and shareholder returns.”</w:t>
      </w:r>
    </w:p>
    <w:p>
      <w:pPr>
        <w:spacing w:after="0" w:line="19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Andy Orekar, Chief Executive Officer of GasLog Partners, stated, “Our growth strategy has delivered strong financial and total return performance since our IPO in 2014. With clear alignment of interests between GasLog and GasLog Partners, a visible, multi-year pipeline of growth opportunities and continued access to capital, we believe GasLog Partners represents a differentiated and compelling MLP investment opportunity. Our recently announced acquisition of </w:t>
      </w:r>
      <w:r>
        <w:rPr>
          <w:rFonts w:ascii="Times New Roman" w:cs="Times New Roman" w:eastAsia="Times New Roman" w:hAnsi="Times New Roman"/>
          <w:sz w:val="18"/>
          <w:szCs w:val="18"/>
          <w:i w:val="1"/>
          <w:iCs w:val="1"/>
          <w:color w:val="auto"/>
        </w:rPr>
        <w:t xml:space="preserve">GasLog Gibraltar </w:t>
      </w:r>
      <w:r>
        <w:rPr>
          <w:rFonts w:ascii="Times New Roman" w:cs="Times New Roman" w:eastAsia="Times New Roman" w:hAnsi="Times New Roman"/>
          <w:sz w:val="18"/>
          <w:szCs w:val="18"/>
          <w:color w:val="auto"/>
        </w:rPr>
        <w:t>and intercompany loan repayment are each expected to be accretive to distributable cash flow per unit, supporting the Partnership’s year-on-year distribution growth guidance of 5% to 7% in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Event details:</w:t>
            </w:r>
          </w:p>
        </w:tc>
        <w:tc>
          <w:tcPr>
            <w:tcW w:w="10200" w:type="dxa"/>
            <w:vAlign w:val="bottom"/>
          </w:tcPr>
          <w:p>
            <w:pPr>
              <w:spacing w:after="0"/>
              <w:rPr>
                <w:sz w:val="20"/>
                <w:szCs w:val="20"/>
                <w:color w:val="auto"/>
              </w:rPr>
            </w:pP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April 10, 2018</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Venue:</w:t>
            </w:r>
          </w:p>
        </w:tc>
        <w:tc>
          <w:tcPr>
            <w:tcW w:w="10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Pierre Hotel</w:t>
            </w:r>
          </w:p>
        </w:tc>
      </w:tr>
      <w:tr>
        <w:trPr>
          <w:trHeight w:val="348"/>
        </w:trPr>
        <w:tc>
          <w:tcPr>
            <w:tcW w:w="1260" w:type="dxa"/>
            <w:vAlign w:val="bottom"/>
            <w:tcBorders>
              <w:bottom w:val="single" w:sz="8" w:color="808080"/>
            </w:tcBorders>
          </w:tcPr>
          <w:p>
            <w:pPr>
              <w:spacing w:after="0"/>
              <w:rPr>
                <w:sz w:val="24"/>
                <w:szCs w:val="24"/>
                <w:color w:val="auto"/>
              </w:rPr>
            </w:pPr>
          </w:p>
        </w:tc>
        <w:tc>
          <w:tcPr>
            <w:tcW w:w="10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42" w:orient="portrait"/>
          <w:cols w:equalWidth="0" w:num="1">
            <w:col w:w="11460"/>
          </w:cols>
          <w:pgMar w:left="240" w:top="124" w:right="199" w:bottom="0" w:gutter="0" w:footer="0" w:header="0"/>
        </w:sect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East 61st Street, New York, NY 10065</w:t>
      </w:r>
    </w:p>
    <w:p>
      <w:pPr>
        <w:spacing w:after="0" w:line="211" w:lineRule="exact"/>
        <w:rPr>
          <w:sz w:val="20"/>
          <w:szCs w:val="20"/>
          <w:color w:val="auto"/>
        </w:rPr>
      </w:pPr>
    </w:p>
    <w:p>
      <w:pPr>
        <w:sectPr>
          <w:pgSz w:w="11900" w:h="16842" w:orient="portrait"/>
          <w:cols w:equalWidth="0" w:num="2">
            <w:col w:w="780" w:space="720"/>
            <w:col w:w="9960"/>
          </w:cols>
          <w:pgMar w:left="240" w:top="124" w:right="19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12:00 ET</w:t>
      </w:r>
    </w:p>
    <w:p>
      <w:pPr>
        <w:spacing w:after="0" w:line="200" w:lineRule="exact"/>
        <w:rPr>
          <w:sz w:val="20"/>
          <w:szCs w:val="20"/>
          <w:color w:val="auto"/>
        </w:rPr>
      </w:pPr>
    </w:p>
    <w:p>
      <w:pPr>
        <w:sectPr>
          <w:pgSz w:w="11900" w:h="16842" w:orient="portrait"/>
          <w:cols w:equalWidth="0" w:num="2">
            <w:col w:w="940" w:space="560"/>
            <w:col w:w="9960"/>
          </w:cols>
          <w:pgMar w:left="240" w:top="124" w:right="19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Start time: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13:00 ET</w:t>
      </w:r>
    </w:p>
    <w:p>
      <w:pPr>
        <w:spacing w:after="0" w:line="200" w:lineRule="exact"/>
        <w:rPr>
          <w:sz w:val="20"/>
          <w:szCs w:val="20"/>
          <w:color w:val="auto"/>
        </w:rPr>
      </w:pPr>
    </w:p>
    <w:p>
      <w:pPr>
        <w:sectPr>
          <w:pgSz w:w="11900" w:h="16842" w:orient="portrait"/>
          <w:cols w:equalWidth="0" w:num="2">
            <w:col w:w="780" w:space="720"/>
            <w:col w:w="9960"/>
          </w:cols>
          <w:pgMar w:left="240" w:top="124" w:right="199" w:bottom="0" w:gutter="0" w:footer="0" w:header="0"/>
          <w:type w:val="continuous"/>
        </w:sectPr>
      </w:pPr>
    </w:p>
    <w:p>
      <w:pPr>
        <w:spacing w:after="0" w:line="24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presentation will be webcast live on the websites of GasLog (</w:t>
      </w:r>
      <w:r>
        <w:rPr>
          <w:rFonts w:ascii="Times New Roman" w:cs="Times New Roman" w:eastAsia="Times New Roman" w:hAnsi="Times New Roman"/>
          <w:sz w:val="18"/>
          <w:szCs w:val="18"/>
          <w:u w:val="single" w:color="auto"/>
          <w:color w:val="0000FF"/>
        </w:rPr>
        <w:t>www.gaslogltd.com</w:t>
      </w:r>
      <w:r>
        <w:rPr>
          <w:rFonts w:ascii="Times New Roman" w:cs="Times New Roman" w:eastAsia="Times New Roman" w:hAnsi="Times New Roman"/>
          <w:sz w:val="18"/>
          <w:szCs w:val="18"/>
          <w:color w:val="auto"/>
        </w:rPr>
        <w:t>) and GasLog Partners (</w:t>
      </w:r>
      <w:r>
        <w:rPr>
          <w:rFonts w:ascii="Times New Roman" w:cs="Times New Roman" w:eastAsia="Times New Roman" w:hAnsi="Times New Roman"/>
          <w:sz w:val="18"/>
          <w:szCs w:val="18"/>
          <w:u w:val="single" w:color="auto"/>
          <w:color w:val="0000FF"/>
        </w:rPr>
        <w:t>www.gaslogmlp.com</w:t>
      </w:r>
      <w:r>
        <w:rPr>
          <w:rFonts w:ascii="Times New Roman" w:cs="Times New Roman" w:eastAsia="Times New Roman" w:hAnsi="Times New Roman"/>
          <w:sz w:val="18"/>
          <w:szCs w:val="18"/>
          <w:color w:val="auto"/>
        </w:rPr>
        <w:t>). A replay will be available on both websites following the presentation.</w:t>
      </w:r>
    </w:p>
    <w:p>
      <w:pPr>
        <w:spacing w:after="0" w:line="157" w:lineRule="exact"/>
        <w:rPr>
          <w:sz w:val="20"/>
          <w:szCs w:val="20"/>
          <w:color w:val="auto"/>
        </w:rPr>
      </w:pPr>
    </w:p>
    <w:p>
      <w:pPr>
        <w:ind w:left="140" w:hanging="132"/>
        <w:spacing w:after="0"/>
        <w:tabs>
          <w:tab w:leader="none" w:pos="140" w:val="left"/>
        </w:tabs>
        <w:numPr>
          <w:ilvl w:val="0"/>
          <w:numId w:val="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EBITDA is a non-GAAP financial measure. Please refer to Exhibit I for guidance on the underlying assumptions used to derive EBITDA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GasLog</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 xml:space="preserve">GasLog is an international owner, operator and manager of LNG carriers providing support to international energy companies as part of their LNG logistics chain. GasLog’s consolidated owned fleet consists of 29 LNG carriers (25 ships on the water and 4 on order). GasLog also has an additional LNG carrier which was sold to a subsidiary of Mitsui Co. Ltd. and leased back under a long-term bareboat charter. Upon closing of the </w:t>
      </w: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18"/>
          <w:szCs w:val="18"/>
          <w:color w:val="auto"/>
        </w:rPr>
        <w:t xml:space="preserve"> acquisition, GasLog’s consolidated fleet will include 13 LNG carriers in operation owned by GasLog’s subsidiary, GasLog Partners. GasLog’s principal executive offices are at Gildo Pastor Center, 7 Rue du Gabian, MC 98000, Monaco. Visit GasLog’s website at </w:t>
      </w:r>
      <w:r>
        <w:rPr>
          <w:rFonts w:ascii="Times New Roman" w:cs="Times New Roman" w:eastAsia="Times New Roman" w:hAnsi="Times New Roman"/>
          <w:sz w:val="18"/>
          <w:szCs w:val="18"/>
          <w:u w:val="single" w:color="auto"/>
          <w:color w:val="0000FF"/>
        </w:rPr>
        <w:t>http://www.gaslogltd.com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GasLog Partners</w:t>
      </w:r>
    </w:p>
    <w:p>
      <w:pPr>
        <w:spacing w:after="0" w:line="3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 xml:space="preserve">GasLog Partners is a growth-oriented master limited partnership focused on owning, operating and acquiring LNG carriers under multi-year charters. Upon closing of the </w:t>
      </w: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18"/>
          <w:szCs w:val="18"/>
          <w:color w:val="auto"/>
        </w:rPr>
        <w:t xml:space="preserve"> acquisition, GasLog Partners’ fleet will consist of 13 LNG carriers with an average carrying capacity of approximately 156,000 cbm. GasLog Partners’ principal executive offices are located at Gildo Pastor Center, 7 Rue du Gabian, MC 98000, Monaco. Visit GasLog Partners’ website at </w:t>
      </w:r>
      <w:r>
        <w:rPr>
          <w:rFonts w:ascii="Times New Roman" w:cs="Times New Roman" w:eastAsia="Times New Roman" w:hAnsi="Times New Roman"/>
          <w:sz w:val="18"/>
          <w:szCs w:val="18"/>
          <w:u w:val="single" w:color="auto"/>
          <w:color w:val="0000FF"/>
        </w:rPr>
        <w:t>http://www.gaslogmlp.com</w:t>
      </w:r>
      <w:r>
        <w:rPr>
          <w:rFonts w:ascii="Times New Roman" w:cs="Times New Roman" w:eastAsia="Times New Roman" w:hAnsi="Times New Roman"/>
          <w:sz w:val="18"/>
          <w:szCs w:val="18"/>
          <w:color w:val="auto"/>
        </w:rPr>
        <w:t>.</w:t>
      </w:r>
    </w:p>
    <w:p>
      <w:pPr>
        <w:sectPr>
          <w:pgSz w:w="11900" w:h="16842" w:orient="portrait"/>
          <w:cols w:equalWidth="0" w:num="1">
            <w:col w:w="11460"/>
          </w:cols>
          <w:pgMar w:left="240" w:top="124" w:right="199" w:bottom="0" w:gutter="0" w:footer="0" w:header="0"/>
          <w:type w:val="continuous"/>
        </w:sectPr>
      </w:pPr>
    </w:p>
    <w:bookmarkStart w:id="2" w:name="page3"/>
    <w:bookmarkEnd w:id="2"/>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+44 203-388-3105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 Corbett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+44 203-388-3116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Nelson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+1 212-223-0643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ir@gaslogltd.com</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press release summarizes the key highlights of the GasLog and GasLog Partners 2018 Investor Day being held on April 10, 2018 and should not be read without reference to the complete Investor Day presentation, which provides further detail on the assumptions supporting these highlights. The presentation will be webcast live on the websites of GasLog (</w:t>
      </w:r>
      <w:r>
        <w:rPr>
          <w:rFonts w:ascii="Times New Roman" w:cs="Times New Roman" w:eastAsia="Times New Roman" w:hAnsi="Times New Roman"/>
          <w:sz w:val="18"/>
          <w:szCs w:val="18"/>
          <w:u w:val="single" w:color="auto"/>
          <w:color w:val="0000FF"/>
        </w:rPr>
        <w:t>www.gaslogltd.com</w:t>
      </w:r>
      <w:r>
        <w:rPr>
          <w:rFonts w:ascii="Times New Roman" w:cs="Times New Roman" w:eastAsia="Times New Roman" w:hAnsi="Times New Roman"/>
          <w:sz w:val="18"/>
          <w:szCs w:val="18"/>
          <w:color w:val="auto"/>
        </w:rPr>
        <w:t>) and GasLog Partners (</w:t>
      </w:r>
      <w:r>
        <w:rPr>
          <w:rFonts w:ascii="Times New Roman" w:cs="Times New Roman" w:eastAsia="Times New Roman" w:hAnsi="Times New Roman"/>
          <w:sz w:val="18"/>
          <w:szCs w:val="18"/>
          <w:u w:val="single" w:color="auto"/>
          <w:color w:val="0000FF"/>
        </w:rPr>
        <w:t>www.gaslogmlp.com</w:t>
      </w:r>
      <w:r>
        <w:rPr>
          <w:rFonts w:ascii="Times New Roman" w:cs="Times New Roman" w:eastAsia="Times New Roman" w:hAnsi="Times New Roman"/>
          <w:sz w:val="18"/>
          <w:szCs w:val="18"/>
          <w:color w:val="auto"/>
        </w:rPr>
        <w:t>). A replay will be available on both websites following the presentation.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GasLog and GasLog Partners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Accordingly, you should not unduly rely on any forward-looking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980" w:hanging="324"/>
        <w:spacing w:after="0" w:line="282" w:lineRule="auto"/>
        <w:tabs>
          <w:tab w:leader="none" w:pos="94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161" w:lineRule="exact"/>
        <w:rPr>
          <w:rFonts w:ascii="Times New Roman" w:cs="Times New Roman" w:eastAsia="Times New Roman" w:hAnsi="Times New Roman"/>
          <w:sz w:val="14"/>
          <w:szCs w:val="14"/>
          <w:color w:val="auto"/>
        </w:rPr>
      </w:pPr>
    </w:p>
    <w:p>
      <w:pPr>
        <w:ind w:left="940" w:hanging="284"/>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fluctuations in spot and long-term charter hire rates and vessel values;</w:t>
      </w:r>
    </w:p>
    <w:p>
      <w:pPr>
        <w:spacing w:after="0" w:line="225" w:lineRule="exact"/>
        <w:rPr>
          <w:rFonts w:ascii="Times New Roman" w:cs="Times New Roman" w:eastAsia="Times New Roman" w:hAnsi="Times New Roman"/>
          <w:sz w:val="14"/>
          <w:szCs w:val="14"/>
          <w:color w:val="auto"/>
        </w:rPr>
      </w:pPr>
    </w:p>
    <w:p>
      <w:pPr>
        <w:ind w:left="940" w:hanging="284"/>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changes in our operating expenses, including crew wages, maintenance, dry-docking and insurance costs and bunker prices;</w:t>
      </w:r>
    </w:p>
    <w:p>
      <w:pPr>
        <w:spacing w:after="0" w:line="225" w:lineRule="exact"/>
        <w:rPr>
          <w:rFonts w:ascii="Times New Roman" w:cs="Times New Roman" w:eastAsia="Times New Roman" w:hAnsi="Times New Roman"/>
          <w:sz w:val="14"/>
          <w:szCs w:val="14"/>
          <w:color w:val="auto"/>
        </w:rPr>
      </w:pPr>
    </w:p>
    <w:p>
      <w:pPr>
        <w:ind w:left="940" w:hanging="284"/>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number of off-hire days and dry-docking requirements including our ability to complete scheduled dry-dockings on time and within budget;</w:t>
      </w:r>
    </w:p>
    <w:p>
      <w:pPr>
        <w:spacing w:after="0" w:line="225" w:lineRule="exact"/>
        <w:rPr>
          <w:rFonts w:ascii="Times New Roman" w:cs="Times New Roman" w:eastAsia="Times New Roman" w:hAnsi="Times New Roman"/>
          <w:sz w:val="14"/>
          <w:szCs w:val="14"/>
          <w:color w:val="auto"/>
        </w:rPr>
      </w:pPr>
    </w:p>
    <w:p>
      <w:pPr>
        <w:ind w:left="940" w:hanging="284"/>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planned capital expenditures and availability of capital resources to fund capital expenditures;</w:t>
      </w:r>
    </w:p>
    <w:p>
      <w:pPr>
        <w:spacing w:after="0" w:line="225" w:lineRule="exact"/>
        <w:rPr>
          <w:rFonts w:ascii="Times New Roman" w:cs="Times New Roman" w:eastAsia="Times New Roman" w:hAnsi="Times New Roman"/>
          <w:sz w:val="14"/>
          <w:szCs w:val="14"/>
          <w:color w:val="auto"/>
        </w:rPr>
      </w:pPr>
    </w:p>
    <w:p>
      <w:pPr>
        <w:ind w:left="980" w:right="160" w:hanging="324"/>
        <w:spacing w:after="0" w:line="266" w:lineRule="auto"/>
        <w:tabs>
          <w:tab w:leader="none" w:pos="94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ability to maximize the use of our vessels, including the re-deployment or disposition of vessels no longer under long-term time charter commitments, including the risk that certain of our vessels may no longer have the latest technology at such time which may impact the rate at which we can charter such vessels;</w:t>
      </w:r>
    </w:p>
    <w:p>
      <w:pPr>
        <w:spacing w:after="0" w:line="176" w:lineRule="exact"/>
        <w:rPr>
          <w:rFonts w:ascii="Times New Roman" w:cs="Times New Roman" w:eastAsia="Times New Roman" w:hAnsi="Times New Roman"/>
          <w:sz w:val="14"/>
          <w:szCs w:val="14"/>
          <w:color w:val="auto"/>
        </w:rPr>
      </w:pPr>
    </w:p>
    <w:p>
      <w:pPr>
        <w:ind w:left="940" w:hanging="284"/>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ability to maintain long term relationships and enter into time charters with new and existing customers;</w:t>
      </w:r>
    </w:p>
    <w:p>
      <w:pPr>
        <w:spacing w:after="0" w:line="225" w:lineRule="exact"/>
        <w:rPr>
          <w:rFonts w:ascii="Times New Roman" w:cs="Times New Roman" w:eastAsia="Times New Roman" w:hAnsi="Times New Roman"/>
          <w:sz w:val="14"/>
          <w:szCs w:val="14"/>
          <w:color w:val="auto"/>
        </w:rPr>
      </w:pPr>
    </w:p>
    <w:p>
      <w:pPr>
        <w:ind w:left="940" w:hanging="284"/>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increased exposure to the spot market and fluctuations in spot charter rates;</w:t>
      </w:r>
    </w:p>
    <w:p>
      <w:pPr>
        <w:spacing w:after="0" w:line="225" w:lineRule="exact"/>
        <w:rPr>
          <w:rFonts w:ascii="Times New Roman" w:cs="Times New Roman" w:eastAsia="Times New Roman" w:hAnsi="Times New Roman"/>
          <w:sz w:val="14"/>
          <w:szCs w:val="14"/>
          <w:color w:val="auto"/>
        </w:rPr>
      </w:pPr>
    </w:p>
    <w:p>
      <w:pPr>
        <w:ind w:left="940" w:hanging="284"/>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fluctuations in prices for crude oil, petroleum products and natural gas, including LNG;</w:t>
      </w:r>
    </w:p>
    <w:p>
      <w:pPr>
        <w:spacing w:after="0" w:line="225" w:lineRule="exact"/>
        <w:rPr>
          <w:rFonts w:ascii="Times New Roman" w:cs="Times New Roman" w:eastAsia="Times New Roman" w:hAnsi="Times New Roman"/>
          <w:sz w:val="14"/>
          <w:szCs w:val="14"/>
          <w:color w:val="auto"/>
        </w:rPr>
      </w:pPr>
    </w:p>
    <w:p>
      <w:pPr>
        <w:ind w:left="940" w:hanging="284"/>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changes in the ownership of our charterers;</w:t>
      </w:r>
    </w:p>
    <w:p>
      <w:pPr>
        <w:spacing w:after="0" w:line="225" w:lineRule="exact"/>
        <w:rPr>
          <w:rFonts w:ascii="Times New Roman" w:cs="Times New Roman" w:eastAsia="Times New Roman" w:hAnsi="Times New Roman"/>
          <w:sz w:val="14"/>
          <w:szCs w:val="14"/>
          <w:color w:val="auto"/>
        </w:rPr>
      </w:pPr>
    </w:p>
    <w:p>
      <w:pPr>
        <w:ind w:left="940" w:hanging="284"/>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customers’ performance of their obligations under our time charters and other contracts;</w:t>
      </w:r>
    </w:p>
    <w:p>
      <w:pPr>
        <w:spacing w:after="0" w:line="225" w:lineRule="exact"/>
        <w:rPr>
          <w:rFonts w:ascii="Times New Roman" w:cs="Times New Roman" w:eastAsia="Times New Roman" w:hAnsi="Times New Roman"/>
          <w:sz w:val="14"/>
          <w:szCs w:val="14"/>
          <w:color w:val="auto"/>
        </w:rPr>
      </w:pPr>
    </w:p>
    <w:p>
      <w:pPr>
        <w:ind w:left="940" w:hanging="284"/>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future operating performance, financial condition, liquidity and cash available for dividends and distributions;</w:t>
      </w:r>
    </w:p>
    <w:p>
      <w:pPr>
        <w:spacing w:after="0" w:line="225" w:lineRule="exact"/>
        <w:rPr>
          <w:rFonts w:ascii="Times New Roman" w:cs="Times New Roman" w:eastAsia="Times New Roman" w:hAnsi="Times New Roman"/>
          <w:sz w:val="14"/>
          <w:szCs w:val="14"/>
          <w:color w:val="auto"/>
        </w:rPr>
      </w:pPr>
    </w:p>
    <w:p>
      <w:pPr>
        <w:ind w:left="980" w:right="580" w:hanging="324"/>
        <w:spacing w:after="0" w:line="282" w:lineRule="auto"/>
        <w:tabs>
          <w:tab w:leader="none" w:pos="94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161" w:lineRule="exact"/>
        <w:rPr>
          <w:rFonts w:ascii="Times New Roman" w:cs="Times New Roman" w:eastAsia="Times New Roman" w:hAnsi="Times New Roman"/>
          <w:sz w:val="14"/>
          <w:szCs w:val="14"/>
          <w:color w:val="auto"/>
        </w:rPr>
      </w:pPr>
    </w:p>
    <w:p>
      <w:pPr>
        <w:ind w:left="940" w:hanging="284"/>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future, pending or recent acquisitions of ships or other assets, business strategy, areas of possible expansion and expected capital spending;</w:t>
      </w:r>
    </w:p>
    <w:p>
      <w:pPr>
        <w:spacing w:after="0" w:line="225" w:lineRule="exact"/>
        <w:rPr>
          <w:rFonts w:ascii="Times New Roman" w:cs="Times New Roman" w:eastAsia="Times New Roman" w:hAnsi="Times New Roman"/>
          <w:sz w:val="14"/>
          <w:szCs w:val="14"/>
          <w:color w:val="auto"/>
        </w:rPr>
      </w:pPr>
    </w:p>
    <w:p>
      <w:pPr>
        <w:ind w:left="940" w:hanging="284"/>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time it may take to construct and deliver newbuildings and the useful lives of our ships;</w:t>
      </w:r>
    </w:p>
    <w:p>
      <w:pPr>
        <w:spacing w:after="0" w:line="225" w:lineRule="exact"/>
        <w:rPr>
          <w:rFonts w:ascii="Times New Roman" w:cs="Times New Roman" w:eastAsia="Times New Roman" w:hAnsi="Times New Roman"/>
          <w:sz w:val="14"/>
          <w:szCs w:val="14"/>
          <w:color w:val="auto"/>
        </w:rPr>
      </w:pPr>
    </w:p>
    <w:p>
      <w:pPr>
        <w:ind w:left="940" w:hanging="284"/>
        <w:spacing w:after="0"/>
        <w:tabs>
          <w:tab w:leader="none" w:pos="9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fluctuations in currencies and interest rates;</w:t>
      </w:r>
    </w:p>
    <w:p>
      <w:pPr>
        <w:spacing w:after="0" w:line="225" w:lineRule="exact"/>
        <w:rPr>
          <w:rFonts w:ascii="Times New Roman" w:cs="Times New Roman" w:eastAsia="Times New Roman" w:hAnsi="Times New Roman"/>
          <w:sz w:val="14"/>
          <w:szCs w:val="14"/>
          <w:color w:val="auto"/>
        </w:rPr>
      </w:pPr>
    </w:p>
    <w:p>
      <w:pPr>
        <w:ind w:left="980" w:right="140" w:hanging="324"/>
        <w:spacing w:after="0" w:line="313" w:lineRule="auto"/>
        <w:tabs>
          <w:tab w:leader="none" w:pos="94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w:t>
      </w:r>
    </w:p>
    <w:p>
      <w:pPr>
        <w:sectPr>
          <w:pgSz w:w="11900" w:h="16889" w:orient="portrait"/>
          <w:cols w:equalWidth="0" w:num="1">
            <w:col w:w="11400"/>
          </w:cols>
          <w:pgMar w:left="240" w:top="549" w:right="259" w:bottom="0" w:gutter="0" w:footer="0" w:header="0"/>
        </w:sectPr>
      </w:pPr>
    </w:p>
    <w:bookmarkStart w:id="3" w:name="page4"/>
    <w:bookmarkEnd w:id="3"/>
    <w:p>
      <w:pPr>
        <w:ind w:left="980"/>
        <w:spacing w:after="0"/>
        <w:rPr>
          <w:sz w:val="20"/>
          <w:szCs w:val="20"/>
          <w:color w:val="auto"/>
        </w:rPr>
      </w:pPr>
      <w:r>
        <w:rPr>
          <w:rFonts w:ascii="Times New Roman" w:cs="Times New Roman" w:eastAsia="Times New Roman" w:hAnsi="Times New Roman"/>
          <w:sz w:val="18"/>
          <w:szCs w:val="18"/>
          <w:color w:val="auto"/>
        </w:rPr>
        <w:t>to our business;</w:t>
      </w:r>
    </w:p>
    <w:p>
      <w:pPr>
        <w:spacing w:after="0" w:line="225" w:lineRule="exact"/>
        <w:rPr>
          <w:sz w:val="20"/>
          <w:szCs w:val="20"/>
          <w:color w:val="auto"/>
        </w:rPr>
      </w:pPr>
    </w:p>
    <w:p>
      <w:pPr>
        <w:ind w:left="940" w:hanging="284"/>
        <w:spacing w:after="0"/>
        <w:tabs>
          <w:tab w:leader="none" w:pos="9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risks inherent in ship operation, including the discharge of pollutants;</w:t>
      </w:r>
    </w:p>
    <w:p>
      <w:pPr>
        <w:spacing w:after="0" w:line="225" w:lineRule="exact"/>
        <w:rPr>
          <w:rFonts w:ascii="Times New Roman" w:cs="Times New Roman" w:eastAsia="Times New Roman" w:hAnsi="Times New Roman"/>
          <w:sz w:val="14"/>
          <w:szCs w:val="14"/>
          <w:color w:val="auto"/>
        </w:rPr>
      </w:pPr>
    </w:p>
    <w:p>
      <w:pPr>
        <w:ind w:left="940" w:hanging="284"/>
        <w:spacing w:after="0"/>
        <w:tabs>
          <w:tab w:leader="none" w:pos="9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ability to retain key employees and the availability of skilled labour, ship crews and management;</w:t>
      </w:r>
    </w:p>
    <w:p>
      <w:pPr>
        <w:spacing w:after="0" w:line="225" w:lineRule="exact"/>
        <w:rPr>
          <w:rFonts w:ascii="Times New Roman" w:cs="Times New Roman" w:eastAsia="Times New Roman" w:hAnsi="Times New Roman"/>
          <w:sz w:val="14"/>
          <w:szCs w:val="14"/>
          <w:color w:val="auto"/>
        </w:rPr>
      </w:pPr>
    </w:p>
    <w:p>
      <w:pPr>
        <w:ind w:left="940" w:hanging="284"/>
        <w:spacing w:after="0"/>
        <w:tabs>
          <w:tab w:leader="none" w:pos="9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potential disruption of shipping routes due to accidents, political events, piracy or acts by terrorists;</w:t>
      </w:r>
    </w:p>
    <w:p>
      <w:pPr>
        <w:spacing w:after="0" w:line="225" w:lineRule="exact"/>
        <w:rPr>
          <w:rFonts w:ascii="Times New Roman" w:cs="Times New Roman" w:eastAsia="Times New Roman" w:hAnsi="Times New Roman"/>
          <w:sz w:val="14"/>
          <w:szCs w:val="14"/>
          <w:color w:val="auto"/>
        </w:rPr>
      </w:pPr>
    </w:p>
    <w:p>
      <w:pPr>
        <w:ind w:left="940" w:hanging="284"/>
        <w:spacing w:after="0"/>
        <w:tabs>
          <w:tab w:leader="none" w:pos="9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potential liability from future litigation;</w:t>
      </w:r>
    </w:p>
    <w:p>
      <w:pPr>
        <w:spacing w:after="0" w:line="225" w:lineRule="exact"/>
        <w:rPr>
          <w:rFonts w:ascii="Times New Roman" w:cs="Times New Roman" w:eastAsia="Times New Roman" w:hAnsi="Times New Roman"/>
          <w:sz w:val="14"/>
          <w:szCs w:val="14"/>
          <w:color w:val="auto"/>
        </w:rPr>
      </w:pPr>
    </w:p>
    <w:p>
      <w:pPr>
        <w:ind w:left="980" w:right="840" w:hanging="324"/>
        <w:spacing w:after="0" w:line="282" w:lineRule="auto"/>
        <w:tabs>
          <w:tab w:leader="none" w:pos="948"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any malfunction or disruption of information technology systems and networks that our operations rely on or any impact of a possible cybersecurity breach; and</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77" w:lineRule="exact"/>
        <w:rPr>
          <w:rFonts w:ascii="Times New Roman" w:cs="Times New Roman" w:eastAsia="Times New Roman" w:hAnsi="Times New Roman"/>
          <w:sz w:val="14"/>
          <w:szCs w:val="14"/>
          <w:color w:val="auto"/>
        </w:rPr>
      </w:pPr>
    </w:p>
    <w:p>
      <w:pPr>
        <w:ind w:left="980" w:right="40" w:hanging="324"/>
        <w:spacing w:after="0" w:line="282" w:lineRule="auto"/>
        <w:tabs>
          <w:tab w:leader="none" w:pos="948"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 xml:space="preserve">other risks and uncertainties described in GasLog’s Annual Report on Form 20-F filed with the SEC on February 28, 2018 and GasLog Partners’ Annual Report on Form 20-F filed with the SEC on February 12, 2018, available at </w:t>
      </w:r>
      <w:r>
        <w:rPr>
          <w:rFonts w:ascii="Times New Roman" w:cs="Times New Roman" w:eastAsia="Times New Roman" w:hAnsi="Times New Roman"/>
          <w:sz w:val="18"/>
          <w:szCs w:val="18"/>
          <w:u w:val="single" w:color="auto"/>
          <w:color w:val="0000FF"/>
        </w:rPr>
        <w:t>http://www.sec.gov</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-684530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4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GasLog and GasLog Partners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EBITDA is defined as earnings before interest income and expense, gain/loss on interest rate swaps, taxes, depreciation and amortization. EBITDA, which is a non-GAAP financial measure, is used as a supplemental financial measure by management and external users of financial statements, such as investors, to assess our financial and operating performance. The Partnership believes that this non-GAAP financial measure assists our management and investors by increasing the comparability of our performance from period to period. The Partnership believes that including EBITDA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units. This increased comparability is achieved by excluding the potentially disparate effects between periods of interest, gain/loss on interest rate swaps, taxes, depreciation and amortization, which items are affected by various and possibly changing financing methods, financial market conditions, capital structure and historical cost basis and which items may significantly affect results of operations between periods.</w:t>
      </w:r>
    </w:p>
    <w:p>
      <w:pPr>
        <w:spacing w:after="0" w:line="200" w:lineRule="exact"/>
        <w:rPr>
          <w:sz w:val="20"/>
          <w:szCs w:val="20"/>
          <w:color w:val="auto"/>
        </w:rPr>
      </w:pP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EBITDA has limitations as an analytical tool and should not be considered as an alternative to, or as a substitute for, or superior to profit, profit from operations, earnings per unit or any other measure of financial performance presented in accordance with IFRS. Some of these limitations include the fact that it does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 It is not adjusted for all non-cash income or expense items that are reflected in our statement of cash flows and other companies in our industry may calculate this measure differently to how we do, limiting its usefulness as a comparative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2019-12-08T09:22:45Z</dcterms:created>
  <dcterms:modified xsi:type="dcterms:W3CDTF">2019-12-08T09:22:45Z</dcterms:modified>
</cp:coreProperties>
</file>