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For the month of May 2018</w:t>
            </w:r>
          </w:p>
        </w:tc>
        <w:tc>
          <w:tcPr>
            <w:tcW w:w="2280" w:type="dxa"/>
            <w:vAlign w:val="bottom"/>
          </w:tcPr>
          <w:p>
            <w:pPr>
              <w:spacing w:after="0"/>
              <w:rPr>
                <w:sz w:val="20"/>
                <w:szCs w:val="20"/>
                <w:color w:val="auto"/>
              </w:rPr>
            </w:pP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2280" w:type="dxa"/>
            <w:vAlign w:val="bottom"/>
          </w:tcPr>
          <w:p>
            <w:pPr>
              <w:spacing w:after="0"/>
              <w:rPr>
                <w:sz w:val="24"/>
                <w:szCs w:val="24"/>
                <w:color w:val="auto"/>
              </w:rPr>
            </w:pPr>
          </w:p>
        </w:tc>
      </w:tr>
      <w:tr>
        <w:trPr>
          <w:trHeight w:val="418"/>
        </w:trPr>
        <w:tc>
          <w:tcPr>
            <w:tcW w:w="9180" w:type="dxa"/>
            <w:vAlign w:val="bottom"/>
          </w:tcPr>
          <w:p>
            <w:pPr>
              <w:jc w:val="center"/>
              <w:ind w:left="2150"/>
              <w:spacing w:after="0"/>
              <w:rPr>
                <w:sz w:val="20"/>
                <w:szCs w:val="20"/>
                <w:color w:val="auto"/>
              </w:rPr>
            </w:pPr>
            <w:r>
              <w:rPr>
                <w:rFonts w:ascii="Arial" w:cs="Arial" w:eastAsia="Arial" w:hAnsi="Arial"/>
                <w:sz w:val="18"/>
                <w:szCs w:val="18"/>
                <w:b w:val="1"/>
                <w:bCs w:val="1"/>
                <w:color w:val="auto"/>
                <w:w w:val="91"/>
              </w:rPr>
              <w:t>GasLog Partners LP</w:t>
            </w:r>
          </w:p>
        </w:tc>
        <w:tc>
          <w:tcPr>
            <w:tcW w:w="2280" w:type="dxa"/>
            <w:vAlign w:val="bottom"/>
          </w:tcPr>
          <w:p>
            <w:pPr>
              <w:spacing w:after="0"/>
              <w:rPr>
                <w:sz w:val="24"/>
                <w:szCs w:val="24"/>
                <w:color w:val="auto"/>
              </w:rPr>
            </w:pPr>
          </w:p>
        </w:tc>
      </w:tr>
      <w:tr>
        <w:trPr>
          <w:trHeight w:val="230"/>
        </w:trPr>
        <w:tc>
          <w:tcPr>
            <w:tcW w:w="9180" w:type="dxa"/>
            <w:vAlign w:val="bottom"/>
          </w:tcPr>
          <w:p>
            <w:pPr>
              <w:jc w:val="center"/>
              <w:ind w:left="2170"/>
              <w:spacing w:after="0"/>
              <w:rPr>
                <w:sz w:val="20"/>
                <w:szCs w:val="20"/>
                <w:color w:val="auto"/>
              </w:rPr>
            </w:pPr>
            <w:r>
              <w:rPr>
                <w:rFonts w:ascii="Arial" w:cs="Arial" w:eastAsia="Arial" w:hAnsi="Arial"/>
                <w:sz w:val="18"/>
                <w:szCs w:val="18"/>
                <w:color w:val="auto"/>
                <w:w w:val="91"/>
              </w:rPr>
              <w:t>(Translation of registrant’s name into English)</w:t>
            </w:r>
          </w:p>
        </w:tc>
        <w:tc>
          <w:tcPr>
            <w:tcW w:w="2280" w:type="dxa"/>
            <w:vAlign w:val="bottom"/>
          </w:tcPr>
          <w:p>
            <w:pPr>
              <w:spacing w:after="0"/>
              <w:rPr>
                <w:sz w:val="20"/>
                <w:szCs w:val="20"/>
                <w:color w:val="auto"/>
              </w:rPr>
            </w:pPr>
          </w:p>
        </w:tc>
      </w:tr>
      <w:tr>
        <w:trPr>
          <w:trHeight w:val="418"/>
        </w:trPr>
        <w:tc>
          <w:tcPr>
            <w:tcW w:w="9180" w:type="dxa"/>
            <w:vAlign w:val="bottom"/>
          </w:tcPr>
          <w:p>
            <w:pPr>
              <w:jc w:val="center"/>
              <w:ind w:left="2170"/>
              <w:spacing w:after="0"/>
              <w:rPr>
                <w:sz w:val="20"/>
                <w:szCs w:val="20"/>
                <w:color w:val="auto"/>
              </w:rPr>
            </w:pPr>
            <w:r>
              <w:rPr>
                <w:rFonts w:ascii="Arial" w:cs="Arial" w:eastAsia="Arial" w:hAnsi="Arial"/>
                <w:sz w:val="18"/>
                <w:szCs w:val="18"/>
                <w:color w:val="auto"/>
                <w:w w:val="92"/>
              </w:rPr>
              <w:t>c/o GasLog Monaco S.A.M.</w:t>
            </w:r>
          </w:p>
        </w:tc>
        <w:tc>
          <w:tcPr>
            <w:tcW w:w="2280" w:type="dxa"/>
            <w:vAlign w:val="bottom"/>
          </w:tcPr>
          <w:p>
            <w:pPr>
              <w:spacing w:after="0"/>
              <w:rPr>
                <w:sz w:val="24"/>
                <w:szCs w:val="24"/>
                <w:color w:val="auto"/>
              </w:rPr>
            </w:pPr>
          </w:p>
        </w:tc>
      </w:tr>
      <w:tr>
        <w:trPr>
          <w:trHeight w:val="216"/>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89"/>
              </w:rPr>
              <w:t>Gildo Pastor Center</w:t>
            </w:r>
          </w:p>
        </w:tc>
        <w:tc>
          <w:tcPr>
            <w:tcW w:w="2280" w:type="dxa"/>
            <w:vAlign w:val="bottom"/>
          </w:tcPr>
          <w:p>
            <w:pPr>
              <w:spacing w:after="0"/>
              <w:rPr>
                <w:sz w:val="18"/>
                <w:szCs w:val="18"/>
                <w:color w:val="auto"/>
              </w:rPr>
            </w:pPr>
          </w:p>
        </w:tc>
      </w:tr>
      <w:tr>
        <w:trPr>
          <w:trHeight w:val="216"/>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89"/>
              </w:rPr>
              <w:t>7 Rue du Gabian</w:t>
            </w:r>
          </w:p>
        </w:tc>
        <w:tc>
          <w:tcPr>
            <w:tcW w:w="2280" w:type="dxa"/>
            <w:vAlign w:val="bottom"/>
          </w:tcPr>
          <w:p>
            <w:pPr>
              <w:spacing w:after="0"/>
              <w:rPr>
                <w:sz w:val="18"/>
                <w:szCs w:val="18"/>
                <w:color w:val="auto"/>
              </w:rPr>
            </w:pPr>
          </w:p>
        </w:tc>
      </w:tr>
      <w:tr>
        <w:trPr>
          <w:trHeight w:val="216"/>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92"/>
              </w:rPr>
              <w:t>MC 98000, Monaco</w:t>
            </w:r>
          </w:p>
        </w:tc>
        <w:tc>
          <w:tcPr>
            <w:tcW w:w="2280" w:type="dxa"/>
            <w:vAlign w:val="bottom"/>
          </w:tcPr>
          <w:p>
            <w:pPr>
              <w:spacing w:after="0"/>
              <w:rPr>
                <w:sz w:val="18"/>
                <w:szCs w:val="18"/>
                <w:color w:val="auto"/>
              </w:rPr>
            </w:pPr>
          </w:p>
        </w:tc>
      </w:tr>
      <w:tr>
        <w:trPr>
          <w:trHeight w:val="230"/>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92"/>
              </w:rPr>
              <w:t>(Address of principal executive office)</w:t>
            </w:r>
          </w:p>
        </w:tc>
        <w:tc>
          <w:tcPr>
            <w:tcW w:w="2280" w:type="dxa"/>
            <w:vAlign w:val="bottom"/>
          </w:tcPr>
          <w:p>
            <w:pPr>
              <w:spacing w:after="0"/>
              <w:rPr>
                <w:sz w:val="20"/>
                <w:szCs w:val="20"/>
                <w:color w:val="auto"/>
              </w:rPr>
            </w:pP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w w:val="99"/>
              </w:rPr>
              <w:t>Indicate by check mark whether the registrant files or will file annual reports under cover of Form 20-F or Form 40-F.</w:t>
            </w:r>
          </w:p>
        </w:tc>
        <w:tc>
          <w:tcPr>
            <w:tcW w:w="2280" w:type="dxa"/>
            <w:vAlign w:val="bottom"/>
          </w:tcPr>
          <w:p>
            <w:pPr>
              <w:spacing w:after="0"/>
              <w:rPr>
                <w:sz w:val="24"/>
                <w:szCs w:val="24"/>
                <w:color w:val="auto"/>
              </w:rPr>
            </w:pPr>
          </w:p>
        </w:tc>
      </w:tr>
      <w:tr>
        <w:trPr>
          <w:trHeight w:val="452"/>
        </w:trPr>
        <w:tc>
          <w:tcPr>
            <w:tcW w:w="918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2280" w:type="dxa"/>
            <w:vAlign w:val="bottom"/>
          </w:tcPr>
          <w:p>
            <w:pPr>
              <w:spacing w:after="0"/>
              <w:rPr>
                <w:sz w:val="24"/>
                <w:szCs w:val="24"/>
                <w:color w:val="auto"/>
              </w:rPr>
            </w:pPr>
          </w:p>
        </w:tc>
      </w:tr>
      <w:tr>
        <w:trPr>
          <w:trHeight w:val="412"/>
        </w:trPr>
        <w:tc>
          <w:tcPr>
            <w:tcW w:w="918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101(b)(1):</w:t>
            </w:r>
          </w:p>
        </w:tc>
        <w:tc>
          <w:tcPr>
            <w:tcW w:w="2280" w:type="dxa"/>
            <w:vAlign w:val="bottom"/>
          </w:tcPr>
          <w:p>
            <w:pPr>
              <w:ind w:left="220"/>
              <w:spacing w:after="0"/>
              <w:rPr>
                <w:sz w:val="20"/>
                <w:szCs w:val="20"/>
                <w:color w:val="auto"/>
              </w:rPr>
            </w:pPr>
            <w:r>
              <w:rPr>
                <w:rFonts w:ascii="Arial" w:cs="Arial" w:eastAsia="Arial" w:hAnsi="Arial"/>
                <w:sz w:val="18"/>
                <w:szCs w:val="18"/>
                <w:color w:val="auto"/>
              </w:rPr>
              <w:t>o</w:t>
            </w: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101(b)(7):</w:t>
            </w:r>
          </w:p>
        </w:tc>
        <w:tc>
          <w:tcPr>
            <w:tcW w:w="2280" w:type="dxa"/>
            <w:vAlign w:val="bottom"/>
          </w:tcPr>
          <w:p>
            <w:pPr>
              <w:ind w:left="220"/>
              <w:spacing w:after="0"/>
              <w:rPr>
                <w:sz w:val="20"/>
                <w:szCs w:val="20"/>
                <w:color w:val="auto"/>
              </w:rPr>
            </w:pPr>
            <w:r>
              <w:rPr>
                <w:rFonts w:ascii="Arial" w:cs="Arial" w:eastAsia="Arial" w:hAnsi="Arial"/>
                <w:sz w:val="18"/>
                <w:szCs w:val="18"/>
                <w:color w:val="auto"/>
              </w:rPr>
              <w:t>o</w:t>
            </w:r>
          </w:p>
        </w:tc>
      </w:tr>
      <w:tr>
        <w:trPr>
          <w:trHeight w:val="348"/>
        </w:trPr>
        <w:tc>
          <w:tcPr>
            <w:tcW w:w="91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229" w:lineRule="exact"/>
        <w:rPr>
          <w:sz w:val="24"/>
          <w:szCs w:val="24"/>
          <w:color w:val="auto"/>
        </w:rPr>
      </w:pPr>
    </w:p>
    <w:p>
      <w:pPr>
        <w:ind w:right="60" w:firstLine="495"/>
        <w:spacing w:after="0" w:line="277" w:lineRule="auto"/>
        <w:rPr>
          <w:sz w:val="20"/>
          <w:szCs w:val="20"/>
          <w:color w:val="auto"/>
        </w:rPr>
      </w:pPr>
      <w:r>
        <w:rPr>
          <w:rFonts w:ascii="Arial" w:cs="Arial" w:eastAsia="Arial" w:hAnsi="Arial"/>
          <w:sz w:val="18"/>
          <w:szCs w:val="18"/>
          <w:color w:val="auto"/>
        </w:rPr>
        <w:t>The press release issued by GasLog Partners LP on May 11, 2018 relating to the results of its 2018 Annual Meeting of Limited Partners is attached hereto as Exhibit 99.1 and is incorporated herein by reference.</w:t>
      </w:r>
    </w:p>
    <w:p>
      <w:pPr>
        <w:spacing w:after="0" w:line="387" w:lineRule="exact"/>
        <w:rPr>
          <w:sz w:val="24"/>
          <w:szCs w:val="24"/>
          <w:color w:val="auto"/>
        </w:rPr>
      </w:pPr>
    </w:p>
    <w:p>
      <w:pPr>
        <w:spacing w:after="0"/>
        <w:tabs>
          <w:tab w:leader="none" w:pos="12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May 11, 2018</w:t>
      </w:r>
    </w:p>
    <w:p>
      <w:pPr>
        <w:spacing w:after="0" w:line="225"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GASLOG PARTNERS LP,</w:t>
      </w:r>
    </w:p>
    <w:p>
      <w:pPr>
        <w:spacing w:after="0" w:line="225" w:lineRule="exact"/>
        <w:rPr>
          <w:sz w:val="24"/>
          <w:szCs w:val="24"/>
          <w:color w:val="auto"/>
        </w:rPr>
      </w:pPr>
    </w:p>
    <w:p>
      <w:pPr>
        <w:ind w:left="6360"/>
        <w:spacing w:after="0"/>
        <w:tabs>
          <w:tab w:leader="none" w:pos="6760" w:val="left"/>
        </w:tabs>
        <w:rPr>
          <w:sz w:val="20"/>
          <w:szCs w:val="20"/>
          <w:color w:val="auto"/>
        </w:rPr>
      </w:pPr>
      <w:r>
        <w:rPr>
          <w:rFonts w:ascii="Arial" w:cs="Arial" w:eastAsia="Arial" w:hAnsi="Arial"/>
          <w:sz w:val="18"/>
          <w:szCs w:val="18"/>
          <w:color w:val="auto"/>
        </w:rPr>
        <w:t>by</w:t>
        <w:tab/>
        <w:t>/s/ Andrew Orekar</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0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Andrew Orekar</w:t>
            </w:r>
          </w:p>
        </w:tc>
        <w:tc>
          <w:tcPr>
            <w:tcW w:w="40" w:type="dxa"/>
            <w:vAlign w:val="bottom"/>
          </w:tcPr>
          <w:p>
            <w:pPr>
              <w:spacing w:after="0"/>
              <w:rPr>
                <w:sz w:val="16"/>
                <w:szCs w:val="16"/>
                <w:color w:val="auto"/>
              </w:rPr>
            </w:pPr>
          </w:p>
        </w:tc>
      </w:tr>
      <w:tr>
        <w:trPr>
          <w:trHeight w:val="230"/>
        </w:trPr>
        <w:tc>
          <w:tcPr>
            <w:tcW w:w="67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7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jc w:val="right"/>
        <w:spacing w:after="0"/>
        <w:rPr>
          <w:sz w:val="20"/>
          <w:szCs w:val="20"/>
          <w:color w:val="auto"/>
        </w:rPr>
      </w:pPr>
      <w:r>
        <w:rPr>
          <w:rFonts w:ascii="Arial" w:cs="Arial" w:eastAsia="Arial" w:hAnsi="Arial"/>
          <w:sz w:val="16"/>
          <w:szCs w:val="16"/>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Announces Election of Director at 2018 Annual Meeting of Limited Partners</w:t>
      </w:r>
    </w:p>
    <w:p>
      <w:pPr>
        <w:spacing w:after="0" w:line="200" w:lineRule="exact"/>
        <w:rPr>
          <w:sz w:val="20"/>
          <w:szCs w:val="20"/>
          <w:color w:val="auto"/>
        </w:rPr>
      </w:pPr>
    </w:p>
    <w:p>
      <w:pPr>
        <w:spacing w:after="0" w:line="268" w:lineRule="exact"/>
        <w:rPr>
          <w:sz w:val="20"/>
          <w:szCs w:val="20"/>
          <w:color w:val="auto"/>
        </w:rPr>
      </w:pPr>
    </w:p>
    <w:p>
      <w:pPr>
        <w:jc w:val="both"/>
        <w:spacing w:after="0" w:line="329" w:lineRule="auto"/>
        <w:rPr>
          <w:sz w:val="20"/>
          <w:szCs w:val="20"/>
          <w:color w:val="auto"/>
        </w:rPr>
      </w:pPr>
      <w:r>
        <w:rPr>
          <w:rFonts w:ascii="Arial" w:cs="Arial" w:eastAsia="Arial" w:hAnsi="Arial"/>
          <w:sz w:val="18"/>
          <w:szCs w:val="18"/>
          <w:b w:val="1"/>
          <w:bCs w:val="1"/>
          <w:color w:val="auto"/>
        </w:rPr>
        <w:t xml:space="preserve">Monaco – May 11, 2018 </w:t>
      </w:r>
      <w:r>
        <w:rPr>
          <w:rFonts w:ascii="Arial" w:cs="Arial" w:eastAsia="Arial" w:hAnsi="Arial"/>
          <w:sz w:val="18"/>
          <w:szCs w:val="18"/>
          <w:color w:val="auto"/>
        </w:rPr>
        <w:t>– GasLog Partners LP (the “Partnership” (NYSE: GLOP), a master limited partnership focused on owning, operating and acquiring</w:t>
      </w:r>
      <w:r>
        <w:rPr>
          <w:rFonts w:ascii="Arial" w:cs="Arial" w:eastAsia="Arial" w:hAnsi="Arial"/>
          <w:sz w:val="18"/>
          <w:szCs w:val="18"/>
          <w:b w:val="1"/>
          <w:bCs w:val="1"/>
          <w:color w:val="auto"/>
        </w:rPr>
        <w:t xml:space="preserve"> </w:t>
      </w:r>
      <w:r>
        <w:rPr>
          <w:rFonts w:ascii="Arial" w:cs="Arial" w:eastAsia="Arial" w:hAnsi="Arial"/>
          <w:sz w:val="18"/>
          <w:szCs w:val="18"/>
          <w:color w:val="auto"/>
        </w:rPr>
        <w:t>liquefied natural gas (“LNG”) carriers, announced the election of Daniel R. Bradshaw, as a Class III Director, at the Partnership’s annual meeting of limited partners held in Lausanne today. Mr. Bradshaw is to hold office until the 2021 annual meeting.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Limited partners also ratified the appointment of Deloitte LLP as the Partnership’s independent auditors for the fiscal year ending December 31, 2018.</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 LP</w:t>
      </w:r>
    </w:p>
    <w:p>
      <w:pPr>
        <w:spacing w:after="0" w:line="351" w:lineRule="exact"/>
        <w:rPr>
          <w:sz w:val="20"/>
          <w:szCs w:val="20"/>
          <w:color w:val="auto"/>
        </w:rPr>
      </w:pPr>
    </w:p>
    <w:p>
      <w:pPr>
        <w:jc w:val="both"/>
        <w:spacing w:after="0" w:line="382" w:lineRule="auto"/>
        <w:rPr>
          <w:sz w:val="20"/>
          <w:szCs w:val="20"/>
          <w:color w:val="auto"/>
        </w:rPr>
      </w:pPr>
      <w:r>
        <w:rPr>
          <w:rFonts w:ascii="Arial" w:cs="Arial" w:eastAsia="Arial" w:hAnsi="Arial"/>
          <w:sz w:val="16"/>
          <w:szCs w:val="16"/>
          <w:color w:val="auto"/>
        </w:rPr>
        <w:t>GasLog Partners is a growth-oriented master limited partnership focused on owning, operating and acquiring LNG carriers under multi-year charters. GasLog Partners’ fleet consists of 13 LNG carriers with an average carrying capacity of approximately 156,000 cbm. GasLog Partners’ principal executive offices are located at Gildo Pastor Center, 7 Rue du Gabian, MC 98000, Monaco. Visit GasLog Partners’ website at http://www.gaslogmlp.com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2019-12-08T09:58:34Z</dcterms:created>
  <dcterms:modified xsi:type="dcterms:W3CDTF">2019-12-08T09:58:34Z</dcterms:modified>
</cp:coreProperties>
</file>