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GASLOG PARTNERS LP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#Y2687W108</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#Y2687W108</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8,418</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3,792,294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3,792,294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8.840%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#Y2687W108</w:t>
            </w:r>
          </w:p>
        </w:tc>
        <w:tc>
          <w:tcPr>
            <w:tcW w:w="110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3,792,294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3,792,294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8.840%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22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3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GASLOG PARTNERS LP</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3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Address of Issuer's Principal Executive Offices:</w:t>
            </w:r>
          </w:p>
        </w:tc>
      </w:tr>
    </w:tbl>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 KINGS ROAD</w:t>
      </w:r>
    </w:p>
    <w:p>
      <w:pPr>
        <w:spacing w:after="0" w:line="238" w:lineRule="auto"/>
        <w:rPr>
          <w:sz w:val="20"/>
          <w:szCs w:val="20"/>
          <w:color w:val="auto"/>
        </w:rPr>
      </w:pPr>
      <w:r>
        <w:rPr>
          <w:rFonts w:ascii="Courier New" w:cs="Courier New" w:eastAsia="Courier New" w:hAnsi="Courier New"/>
          <w:sz w:val="18"/>
          <w:szCs w:val="18"/>
          <w:color w:val="auto"/>
        </w:rPr>
        <w:t>C/O GASLOG SERVICES UK LTD</w:t>
      </w:r>
    </w:p>
    <w:p>
      <w:pPr>
        <w:ind w:left="3380"/>
        <w:spacing w:after="0"/>
        <w:rPr>
          <w:sz w:val="20"/>
          <w:szCs w:val="20"/>
          <w:color w:val="auto"/>
        </w:rPr>
      </w:pPr>
      <w:r>
        <w:rPr>
          <w:rFonts w:ascii="Courier New" w:cs="Courier New" w:eastAsia="Courier New" w:hAnsi="Courier New"/>
          <w:sz w:val="18"/>
          <w:szCs w:val="18"/>
          <w:color w:val="auto"/>
        </w:rPr>
        <w:t>LONDON, X0 SW3 4NX</w:t>
      </w:r>
    </w:p>
    <w:p>
      <w:pPr>
        <w:ind w:left="3380"/>
        <w:spacing w:after="0" w:line="237" w:lineRule="auto"/>
        <w:rPr>
          <w:sz w:val="20"/>
          <w:szCs w:val="20"/>
          <w:color w:val="auto"/>
        </w:rPr>
      </w:pPr>
      <w:r>
        <w:rPr>
          <w:rFonts w:ascii="Courier New" w:cs="Courier New" w:eastAsia="Courier New" w:hAnsi="Courier New"/>
          <w:sz w:val="18"/>
          <w:szCs w:val="18"/>
          <w:color w:val="auto"/>
        </w:rPr>
        <w:t>GB</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2419"/>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245 Summer Street, Boston, Massachusetts 02210</w:t>
      </w:r>
    </w:p>
    <w:p>
      <w:pPr>
        <w:sectPr>
          <w:pgSz w:w="11900" w:h="16838" w:orient="portrait"/>
          <w:cols w:equalWidth="0" w:num="1">
            <w:col w:w="10219"/>
          </w:cols>
          <w:pgMar w:left="240" w:top="244" w:right="1440" w:bottom="0" w:gutter="0" w:footer="0" w:header="0"/>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Y2687W108</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Rule 13d-1(b) or 13d-2(b)</w:t>
      </w:r>
    </w:p>
    <w:p>
      <w:pPr>
        <w:spacing w:after="0" w:line="238" w:lineRule="auto"/>
        <w:rPr>
          <w:sz w:val="20"/>
          <w:szCs w:val="20"/>
          <w:color w:val="auto"/>
        </w:rPr>
      </w:pPr>
      <w:r>
        <w:rPr>
          <w:rFonts w:ascii="Courier New" w:cs="Courier New" w:eastAsia="Courier New" w:hAnsi="Courier New"/>
          <w:sz w:val="18"/>
          <w:szCs w:val="18"/>
          <w:color w:val="auto"/>
        </w:rPr>
        <w:t>or (c) and the</w:t>
      </w:r>
    </w:p>
    <w:p>
      <w:pPr>
        <w:spacing w:after="0"/>
        <w:rPr>
          <w:sz w:val="20"/>
          <w:szCs w:val="20"/>
          <w:color w:val="auto"/>
        </w:rPr>
      </w:pPr>
      <w:r>
        <w:rPr>
          <w:rFonts w:ascii="Courier New" w:cs="Courier New" w:eastAsia="Courier New" w:hAnsi="Courier New"/>
          <w:sz w:val="18"/>
          <w:szCs w:val="18"/>
          <w:color w:val="auto"/>
        </w:rPr>
        <w:t>person filing, FMR LLC, is a parent holding company in accordance with</w:t>
      </w:r>
    </w:p>
    <w:p>
      <w:pPr>
        <w:spacing w:after="0"/>
        <w:tabs>
          <w:tab w:leader="none" w:pos="3560" w:val="left"/>
          <w:tab w:leader="none" w:pos="4420" w:val="left"/>
        </w:tabs>
        <w:rPr>
          <w:sz w:val="20"/>
          <w:szCs w:val="20"/>
          <w:color w:val="auto"/>
        </w:rPr>
      </w:pPr>
      <w:r>
        <w:rPr>
          <w:rFonts w:ascii="Courier New" w:cs="Courier New" w:eastAsia="Courier New" w:hAnsi="Courier New"/>
          <w:sz w:val="18"/>
          <w:szCs w:val="18"/>
          <w:color w:val="auto"/>
        </w:rPr>
        <w:t>Section 240.13d-1(b)(1)(ii)(G).</w:t>
        <w:tab/>
        <w:t>(Note:</w:t>
      </w:r>
      <w:r>
        <w:rPr>
          <w:sz w:val="20"/>
          <w:szCs w:val="20"/>
          <w:color w:val="auto"/>
        </w:rPr>
        <w:tab/>
      </w:r>
      <w:r>
        <w:rPr>
          <w:rFonts w:ascii="Courier New" w:cs="Courier New" w:eastAsia="Courier New" w:hAnsi="Courier New"/>
          <w:sz w:val="16"/>
          <w:szCs w:val="16"/>
          <w:color w:val="auto"/>
        </w:rPr>
        <w:t>See Exhibit A).</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4" w:lineRule="exact"/>
        <w:rPr>
          <w:sz w:val="24"/>
          <w:szCs w:val="24"/>
          <w:color w:val="auto"/>
        </w:rPr>
      </w:pPr>
    </w:p>
    <w:p>
      <w:pPr>
        <w:ind w:left="2540"/>
        <w:spacing w:after="0"/>
        <w:tabs>
          <w:tab w:leader="none" w:pos="32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3,792,294</w:t>
      </w:r>
    </w:p>
    <w:p>
      <w:pPr>
        <w:spacing w:after="0" w:line="200" w:lineRule="exact"/>
        <w:rPr>
          <w:sz w:val="24"/>
          <w:szCs w:val="24"/>
          <w:color w:val="auto"/>
        </w:rPr>
      </w:pPr>
    </w:p>
    <w:p>
      <w:pPr>
        <w:sectPr>
          <w:pgSz w:w="11900" w:h="16838" w:orient="portrait"/>
          <w:cols w:equalWidth="0" w:num="2">
            <w:col w:w="6040" w:space="720"/>
            <w:col w:w="3459"/>
          </w:cols>
          <w:pgMar w:left="240" w:top="244" w:right="1440" w:bottom="0" w:gutter="0" w:footer="0" w:header="0"/>
          <w:type w:val="continuous"/>
        </w:sectPr>
      </w:pPr>
    </w:p>
    <w:p>
      <w:pPr>
        <w:spacing w:after="0" w:line="24" w:lineRule="exact"/>
        <w:rPr>
          <w:sz w:val="24"/>
          <w:szCs w:val="24"/>
          <w:color w:val="auto"/>
        </w:rPr>
      </w:pPr>
    </w:p>
    <w:p>
      <w:pPr>
        <w:ind w:left="2540"/>
        <w:spacing w:after="0"/>
        <w:tabs>
          <w:tab w:leader="none" w:pos="326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8.840%</w:t>
      </w:r>
    </w:p>
    <w:p>
      <w:pPr>
        <w:spacing w:after="0" w:line="200"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line="24" w:lineRule="exact"/>
        <w:rPr>
          <w:sz w:val="24"/>
          <w:szCs w:val="24"/>
          <w:color w:val="auto"/>
        </w:rPr>
      </w:pPr>
    </w:p>
    <w:p>
      <w:pPr>
        <w:ind w:left="2540"/>
        <w:spacing w:after="0"/>
        <w:tabs>
          <w:tab w:leader="none" w:pos="326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w w:val="92"/>
              </w:rPr>
              <w:t>8,418</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8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3,792,294</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8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84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8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sale of, the COMMON STOCK of GASLOG PARTNERS LP. No one other person's interest in the COMMON STOCK of GASLOG PARTNERS LP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August 9,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August 9, 2018, agree and consent to the joint filing on their behalf of this Schedule 13G in connection with their beneficial ownership of the COMMON STOCK of GASLOG PARTNERS LP at July 31, 2018.</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2019-12-08T10:31:00Z</dcterms:created>
  <dcterms:modified xsi:type="dcterms:W3CDTF">2019-12-08T10:31:00Z</dcterms:modified>
</cp:coreProperties>
</file>