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246380</wp:posOffset>
            </wp:positionV>
            <wp:extent cx="1428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8-A</w:t>
      </w: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FOR REGISTRATION OF CERTAIN CLASSES OF SECURITIES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PURSUANT TO SECTION 12(b) OR 12(g) OF THE SECURITIES</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8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Partners LP</w:t>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425" w:right="1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Republic of the Marshall Islands</w:t>
      </w:r>
    </w:p>
    <w:p>
      <w:pPr>
        <w:spacing w:after="0" w:line="20"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(State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20" w:space="720"/>
            <w:col w:w="4220"/>
          </w:cols>
          <w:pgMar w:left="240" w:top="425" w:right="199" w:bottom="1440" w:gutter="0" w:footer="0" w:header="0"/>
          <w:type w:val="continuous"/>
        </w:sectPr>
      </w:pP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Gildo Pastor Center</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7 Rue du Gabian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MC 98000, Monaco</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jc w:val="center"/>
              <w:ind w:right="10"/>
              <w:spacing w:after="0"/>
              <w:rPr>
                <w:sz w:val="20"/>
                <w:szCs w:val="20"/>
                <w:color w:val="auto"/>
              </w:rPr>
            </w:pPr>
            <w:r>
              <w:rPr>
                <w:rFonts w:ascii="Arial" w:cs="Arial" w:eastAsia="Arial" w:hAnsi="Arial"/>
                <w:sz w:val="18"/>
                <w:szCs w:val="18"/>
                <w:color w:val="auto"/>
                <w:w w:val="98"/>
              </w:rPr>
              <w:t>Title of each class</w:t>
            </w:r>
          </w:p>
        </w:tc>
        <w:tc>
          <w:tcPr>
            <w:tcW w:w="5740" w:type="dxa"/>
            <w:vAlign w:val="bottom"/>
          </w:tcPr>
          <w:p>
            <w:pPr>
              <w:jc w:val="center"/>
              <w:spacing w:after="0"/>
              <w:rPr>
                <w:sz w:val="20"/>
                <w:szCs w:val="20"/>
                <w:color w:val="auto"/>
              </w:rPr>
            </w:pPr>
            <w:r>
              <w:rPr>
                <w:rFonts w:ascii="Arial" w:cs="Arial" w:eastAsia="Arial" w:hAnsi="Arial"/>
                <w:sz w:val="18"/>
                <w:szCs w:val="18"/>
                <w:color w:val="auto"/>
              </w:rPr>
              <w:t>Name of each exchange on which</w:t>
            </w:r>
          </w:p>
        </w:tc>
      </w:tr>
      <w:tr>
        <w:trPr>
          <w:trHeight w:val="201"/>
        </w:trPr>
        <w:tc>
          <w:tcPr>
            <w:tcW w:w="5720" w:type="dxa"/>
            <w:vAlign w:val="bottom"/>
          </w:tcPr>
          <w:p>
            <w:pPr>
              <w:jc w:val="center"/>
              <w:ind w:right="10"/>
              <w:spacing w:after="0" w:line="201" w:lineRule="exact"/>
              <w:rPr>
                <w:sz w:val="20"/>
                <w:szCs w:val="20"/>
                <w:color w:val="auto"/>
              </w:rPr>
            </w:pPr>
            <w:r>
              <w:rPr>
                <w:rFonts w:ascii="Arial" w:cs="Arial" w:eastAsia="Arial" w:hAnsi="Arial"/>
                <w:sz w:val="18"/>
                <w:szCs w:val="18"/>
                <w:color w:val="auto"/>
              </w:rPr>
              <w:t>to be so registered</w:t>
            </w:r>
          </w:p>
        </w:tc>
        <w:tc>
          <w:tcPr>
            <w:tcW w:w="5740" w:type="dxa"/>
            <w:vAlign w:val="bottom"/>
          </w:tcPr>
          <w:p>
            <w:pPr>
              <w:jc w:val="center"/>
              <w:spacing w:after="0" w:line="201" w:lineRule="exact"/>
              <w:rPr>
                <w:sz w:val="20"/>
                <w:szCs w:val="20"/>
                <w:color w:val="auto"/>
              </w:rPr>
            </w:pPr>
            <w:r>
              <w:rPr>
                <w:rFonts w:ascii="Arial" w:cs="Arial" w:eastAsia="Arial" w:hAnsi="Arial"/>
                <w:sz w:val="18"/>
                <w:szCs w:val="18"/>
                <w:color w:val="auto"/>
                <w:w w:val="99"/>
              </w:rPr>
              <w:t>each class is to be registered</w:t>
            </w:r>
          </w:p>
        </w:tc>
      </w:tr>
      <w:tr>
        <w:trPr>
          <w:trHeight w:val="203"/>
        </w:trPr>
        <w:tc>
          <w:tcPr>
            <w:tcW w:w="572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8.500% Series C Cumulative Redeemable Perpetual</w:t>
            </w:r>
          </w:p>
        </w:tc>
        <w:tc>
          <w:tcPr>
            <w:tcW w:w="5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New York Stock Exchange</w:t>
            </w:r>
          </w:p>
        </w:tc>
      </w:tr>
      <w:tr>
        <w:trPr>
          <w:trHeight w:val="253"/>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9"/>
              </w:rPr>
              <w:t>Fixed to Floating Rate Preference Units</w:t>
            </w:r>
          </w:p>
        </w:tc>
        <w:tc>
          <w:tcPr>
            <w:tcW w:w="5740" w:type="dxa"/>
            <w:vAlign w:val="bottom"/>
          </w:tcPr>
          <w:p>
            <w:pPr>
              <w:spacing w:after="0"/>
              <w:rPr>
                <w:sz w:val="21"/>
                <w:szCs w:val="21"/>
                <w:color w:val="auto"/>
              </w:rPr>
            </w:pPr>
          </w:p>
        </w:tc>
      </w:tr>
      <w:tr>
        <w:trPr>
          <w:trHeight w:val="465"/>
        </w:trPr>
        <w:tc>
          <w:tcPr>
            <w:tcW w:w="5720" w:type="dxa"/>
            <w:vAlign w:val="bottom"/>
          </w:tcPr>
          <w:p>
            <w:pPr>
              <w:jc w:val="center"/>
              <w:spacing w:after="0"/>
              <w:rPr>
                <w:sz w:val="20"/>
                <w:szCs w:val="20"/>
                <w:color w:val="auto"/>
              </w:rPr>
            </w:pPr>
            <w:r>
              <w:rPr>
                <w:rFonts w:ascii="Arial" w:cs="Arial" w:eastAsia="Arial" w:hAnsi="Arial"/>
                <w:sz w:val="18"/>
                <w:szCs w:val="18"/>
                <w:color w:val="auto"/>
                <w:w w:val="99"/>
              </w:rPr>
              <w:t>If this form relates to the registration of a class of securities pursuant to</w:t>
            </w:r>
          </w:p>
        </w:tc>
        <w:tc>
          <w:tcPr>
            <w:tcW w:w="5740" w:type="dxa"/>
            <w:vAlign w:val="bottom"/>
          </w:tcPr>
          <w:p>
            <w:pPr>
              <w:jc w:val="center"/>
              <w:spacing w:after="0"/>
              <w:rPr>
                <w:sz w:val="20"/>
                <w:szCs w:val="20"/>
                <w:color w:val="auto"/>
              </w:rPr>
            </w:pPr>
            <w:r>
              <w:rPr>
                <w:rFonts w:ascii="Arial" w:cs="Arial" w:eastAsia="Arial" w:hAnsi="Arial"/>
                <w:sz w:val="18"/>
                <w:szCs w:val="18"/>
                <w:color w:val="auto"/>
              </w:rPr>
              <w:t>If this form relates to the registration of a class of securities pursuant to</w:t>
            </w:r>
          </w:p>
        </w:tc>
      </w:tr>
      <w:tr>
        <w:trPr>
          <w:trHeight w:val="203"/>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99"/>
              </w:rPr>
              <w:t>Section 12(b) of the Securities Exchange Act of 1934, as amended,</w:t>
            </w:r>
          </w:p>
        </w:tc>
        <w:tc>
          <w:tcPr>
            <w:tcW w:w="5740" w:type="dxa"/>
            <w:vAlign w:val="bottom"/>
          </w:tcPr>
          <w:p>
            <w:pPr>
              <w:jc w:val="center"/>
              <w:spacing w:after="0" w:line="202" w:lineRule="exact"/>
              <w:rPr>
                <w:sz w:val="20"/>
                <w:szCs w:val="20"/>
                <w:color w:val="auto"/>
              </w:rPr>
            </w:pPr>
            <w:r>
              <w:rPr>
                <w:rFonts w:ascii="Arial" w:cs="Arial" w:eastAsia="Arial" w:hAnsi="Arial"/>
                <w:sz w:val="18"/>
                <w:szCs w:val="18"/>
                <w:color w:val="auto"/>
              </w:rPr>
              <w:t>Section 12(g) of the Securities Exchange Act of 1934, as amended,</w:t>
            </w:r>
          </w:p>
        </w:tc>
      </w:tr>
      <w:tr>
        <w:trPr>
          <w:trHeight w:val="203"/>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99"/>
              </w:rPr>
              <w:t>and is effective pursuant to General Instruction A.(c), please check the</w:t>
            </w:r>
          </w:p>
        </w:tc>
        <w:tc>
          <w:tcPr>
            <w:tcW w:w="5740" w:type="dxa"/>
            <w:vAlign w:val="bottom"/>
          </w:tcPr>
          <w:p>
            <w:pPr>
              <w:jc w:val="center"/>
              <w:spacing w:after="0" w:line="202" w:lineRule="exact"/>
              <w:rPr>
                <w:sz w:val="20"/>
                <w:szCs w:val="20"/>
                <w:color w:val="auto"/>
              </w:rPr>
            </w:pPr>
            <w:r>
              <w:rPr>
                <w:rFonts w:ascii="Arial" w:cs="Arial" w:eastAsia="Arial" w:hAnsi="Arial"/>
                <w:sz w:val="18"/>
                <w:szCs w:val="18"/>
                <w:color w:val="auto"/>
              </w:rPr>
              <w:t>and is effective pursuant to General Instruction A.(d), please check the</w:t>
            </w:r>
          </w:p>
        </w:tc>
      </w:tr>
      <w:tr>
        <w:trPr>
          <w:trHeight w:val="243"/>
        </w:trPr>
        <w:tc>
          <w:tcPr>
            <w:tcW w:w="5720" w:type="dxa"/>
            <w:vAlign w:val="bottom"/>
          </w:tcPr>
          <w:p>
            <w:pPr>
              <w:jc w:val="center"/>
              <w:spacing w:after="0"/>
              <w:rPr>
                <w:sz w:val="20"/>
                <w:szCs w:val="20"/>
                <w:color w:val="auto"/>
              </w:rPr>
            </w:pPr>
            <w:r>
              <w:rPr>
                <w:rFonts w:ascii="Arial" w:cs="Arial" w:eastAsia="Arial" w:hAnsi="Arial"/>
                <w:sz w:val="18"/>
                <w:szCs w:val="18"/>
                <w:color w:val="auto"/>
              </w:rPr>
              <w:t xml:space="preserve">following box. </w:t>
            </w:r>
            <w:r>
              <w:rPr>
                <w:rFonts w:ascii="Times New Roman" w:cs="Times New Roman" w:eastAsia="Times New Roman" w:hAnsi="Times New Roman"/>
                <w:sz w:val="18"/>
                <w:szCs w:val="18"/>
                <w:color w:val="auto"/>
              </w:rPr>
              <w:t>x</w:t>
            </w:r>
          </w:p>
        </w:tc>
        <w:tc>
          <w:tcPr>
            <w:tcW w:w="5740" w:type="dxa"/>
            <w:vAlign w:val="bottom"/>
          </w:tcPr>
          <w:p>
            <w:pPr>
              <w:jc w:val="center"/>
              <w:spacing w:after="0"/>
              <w:rPr>
                <w:sz w:val="20"/>
                <w:szCs w:val="20"/>
                <w:color w:val="auto"/>
              </w:rPr>
            </w:pPr>
            <w:r>
              <w:rPr>
                <w:rFonts w:ascii="Arial" w:cs="Arial" w:eastAsia="Arial" w:hAnsi="Arial"/>
                <w:sz w:val="18"/>
                <w:szCs w:val="18"/>
                <w:color w:val="auto"/>
                <w:w w:val="99"/>
              </w:rPr>
              <w:t xml:space="preserve">following box. </w:t>
            </w:r>
            <w:r>
              <w:rPr>
                <w:rFonts w:ascii="Times New Roman" w:cs="Times New Roman" w:eastAsia="Times New Roman" w:hAnsi="Times New Roman"/>
                <w:sz w:val="18"/>
                <w:szCs w:val="18"/>
                <w:color w:val="auto"/>
                <w:w w:val="99"/>
              </w:rPr>
              <w:t>o</w:t>
            </w:r>
          </w:p>
        </w:tc>
      </w:tr>
      <w:tr>
        <w:trPr>
          <w:trHeight w:val="486"/>
        </w:trPr>
        <w:tc>
          <w:tcPr>
            <w:tcW w:w="5720" w:type="dxa"/>
            <w:vAlign w:val="bottom"/>
          </w:tcPr>
          <w:p>
            <w:pPr>
              <w:jc w:val="center"/>
              <w:ind w:right="10"/>
              <w:spacing w:after="0"/>
              <w:rPr>
                <w:sz w:val="20"/>
                <w:szCs w:val="20"/>
                <w:color w:val="auto"/>
              </w:rPr>
            </w:pPr>
            <w:r>
              <w:rPr>
                <w:rFonts w:ascii="Arial" w:cs="Arial" w:eastAsia="Arial" w:hAnsi="Arial"/>
                <w:sz w:val="18"/>
                <w:szCs w:val="18"/>
                <w:color w:val="auto"/>
              </w:rPr>
              <w:t>Securities Act registration statement file</w:t>
            </w:r>
          </w:p>
        </w:tc>
        <w:tc>
          <w:tcPr>
            <w:tcW w:w="5740" w:type="dxa"/>
            <w:vAlign w:val="bottom"/>
          </w:tcPr>
          <w:p>
            <w:pPr>
              <w:jc w:val="center"/>
              <w:spacing w:after="0"/>
              <w:rPr>
                <w:sz w:val="20"/>
                <w:szCs w:val="20"/>
                <w:color w:val="auto"/>
              </w:rPr>
            </w:pPr>
            <w:r>
              <w:rPr>
                <w:rFonts w:ascii="Arial" w:cs="Arial" w:eastAsia="Arial" w:hAnsi="Arial"/>
                <w:sz w:val="18"/>
                <w:szCs w:val="18"/>
                <w:color w:val="auto"/>
                <w:w w:val="99"/>
              </w:rPr>
              <w:t>333-220736</w:t>
            </w:r>
          </w:p>
        </w:tc>
      </w:tr>
      <w:tr>
        <w:trPr>
          <w:trHeight w:val="243"/>
        </w:trPr>
        <w:tc>
          <w:tcPr>
            <w:tcW w:w="5720" w:type="dxa"/>
            <w:vAlign w:val="bottom"/>
          </w:tcPr>
          <w:p>
            <w:pPr>
              <w:jc w:val="center"/>
              <w:ind w:right="10"/>
              <w:spacing w:after="0"/>
              <w:rPr>
                <w:sz w:val="20"/>
                <w:szCs w:val="20"/>
                <w:color w:val="auto"/>
              </w:rPr>
            </w:pPr>
            <w:r>
              <w:rPr>
                <w:rFonts w:ascii="Arial" w:cs="Arial" w:eastAsia="Arial" w:hAnsi="Arial"/>
                <w:sz w:val="18"/>
                <w:szCs w:val="18"/>
                <w:color w:val="auto"/>
                <w:w w:val="99"/>
              </w:rPr>
              <w:t>number to which this form relates:</w:t>
            </w:r>
          </w:p>
        </w:tc>
        <w:tc>
          <w:tcPr>
            <w:tcW w:w="5740" w:type="dxa"/>
            <w:vAlign w:val="bottom"/>
          </w:tcPr>
          <w:p>
            <w:pPr>
              <w:jc w:val="center"/>
              <w:spacing w:after="0"/>
              <w:rPr>
                <w:sz w:val="20"/>
                <w:szCs w:val="20"/>
                <w:color w:val="auto"/>
              </w:rPr>
            </w:pPr>
            <w:r>
              <w:rPr>
                <w:rFonts w:ascii="Arial" w:cs="Arial" w:eastAsia="Arial" w:hAnsi="Arial"/>
                <w:sz w:val="18"/>
                <w:szCs w:val="18"/>
                <w:color w:val="auto"/>
                <w:w w:val="99"/>
              </w:rPr>
              <w:t>(If applicable)</w:t>
            </w:r>
          </w:p>
        </w:tc>
      </w:tr>
      <w:tr>
        <w:trPr>
          <w:trHeight w:val="521"/>
        </w:trPr>
        <w:tc>
          <w:tcPr>
            <w:tcW w:w="5720" w:type="dxa"/>
            <w:vAlign w:val="bottom"/>
          </w:tcPr>
          <w:p>
            <w:pPr>
              <w:jc w:val="center"/>
              <w:ind w:right="50"/>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tc>
        <w:tc>
          <w:tcPr>
            <w:tcW w:w="5740" w:type="dxa"/>
            <w:vAlign w:val="bottom"/>
          </w:tcPr>
          <w:p>
            <w:pPr>
              <w:spacing w:after="0"/>
              <w:rPr>
                <w:sz w:val="24"/>
                <w:szCs w:val="24"/>
                <w:color w:val="auto"/>
              </w:rPr>
            </w:pPr>
          </w:p>
        </w:tc>
      </w:tr>
      <w:tr>
        <w:trPr>
          <w:trHeight w:val="322"/>
        </w:trPr>
        <w:tc>
          <w:tcPr>
            <w:tcW w:w="57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25"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14"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The class of securities to be registered hereunder is 8.500% Series C Cumulative Redeemable Perpetual Fixed to Floating Preference Units, liquidation preference $25.00 per unit (the “</w:t>
      </w:r>
      <w:r>
        <w:rPr>
          <w:rFonts w:ascii="Arial" w:cs="Arial" w:eastAsia="Arial" w:hAnsi="Arial"/>
          <w:sz w:val="18"/>
          <w:szCs w:val="18"/>
          <w:u w:val="single" w:color="auto"/>
          <w:color w:val="auto"/>
        </w:rPr>
        <w:t>Series C Preference Units</w:t>
      </w:r>
      <w:r>
        <w:rPr>
          <w:rFonts w:ascii="Arial" w:cs="Arial" w:eastAsia="Arial" w:hAnsi="Arial"/>
          <w:sz w:val="18"/>
          <w:szCs w:val="18"/>
          <w:color w:val="auto"/>
        </w:rPr>
        <w:t>”), of GasLog Partners LP (the “</w:t>
      </w:r>
      <w:r>
        <w:rPr>
          <w:rFonts w:ascii="Arial" w:cs="Arial" w:eastAsia="Arial" w:hAnsi="Arial"/>
          <w:sz w:val="18"/>
          <w:szCs w:val="18"/>
          <w:u w:val="single" w:color="auto"/>
          <w:color w:val="auto"/>
        </w:rPr>
        <w:t>Registrant</w:t>
      </w:r>
      <w:r>
        <w:rPr>
          <w:rFonts w:ascii="Arial" w:cs="Arial" w:eastAsia="Arial" w:hAnsi="Arial"/>
          <w:sz w:val="18"/>
          <w:szCs w:val="18"/>
          <w:color w:val="auto"/>
        </w:rPr>
        <w:t>”). The description of the Series C Preference Units is set forth under the caption “Description of the Series C Preference Units” in the prospectus filed by the Registrant on November 7, 2018, pursuant to Rule 424(b)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prospectus constitutes a part of the Registrant’s Registration Statement on Form F-3 (Registration No. 333-220736)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September 29, 2017, as amended. Such prospectus, in the form in which it is so filed, shall be deemed to be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0740" w:type="dxa"/>
            <w:vAlign w:val="bottom"/>
          </w:tcPr>
          <w:p>
            <w:pPr>
              <w:ind w:left="340"/>
              <w:spacing w:after="0"/>
              <w:rPr>
                <w:sz w:val="20"/>
                <w:szCs w:val="20"/>
                <w:color w:val="auto"/>
              </w:rPr>
            </w:pPr>
            <w:r>
              <w:rPr>
                <w:rFonts w:ascii="Arial" w:cs="Arial" w:eastAsia="Arial" w:hAnsi="Arial"/>
                <w:sz w:val="18"/>
                <w:szCs w:val="18"/>
                <w:color w:val="auto"/>
              </w:rPr>
              <w:t>Certificate of Limited Partnership of the Registrant, incorporated herein by reference to Exhibit 3.1 to the Registrant’s registration</w:t>
            </w:r>
          </w:p>
        </w:tc>
      </w:tr>
      <w:tr>
        <w:trPr>
          <w:trHeight w:val="243"/>
        </w:trPr>
        <w:tc>
          <w:tcPr>
            <w:tcW w:w="720" w:type="dxa"/>
            <w:vAlign w:val="bottom"/>
          </w:tcPr>
          <w:p>
            <w:pPr>
              <w:spacing w:after="0"/>
              <w:rPr>
                <w:sz w:val="21"/>
                <w:szCs w:val="21"/>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rPr>
              <w:t>statement on Form F-3 (Registration No. 333-220736).</w:t>
            </w:r>
          </w:p>
        </w:tc>
      </w:tr>
      <w:tr>
        <w:trPr>
          <w:trHeight w:val="378"/>
        </w:trPr>
        <w:tc>
          <w:tcPr>
            <w:tcW w:w="72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0740" w:type="dxa"/>
            <w:vAlign w:val="bottom"/>
          </w:tcPr>
          <w:p>
            <w:pPr>
              <w:ind w:left="340"/>
              <w:spacing w:after="0"/>
              <w:rPr>
                <w:sz w:val="20"/>
                <w:szCs w:val="20"/>
                <w:color w:val="auto"/>
              </w:rPr>
            </w:pPr>
            <w:r>
              <w:rPr>
                <w:rFonts w:ascii="Arial" w:cs="Arial" w:eastAsia="Arial" w:hAnsi="Arial"/>
                <w:sz w:val="18"/>
                <w:szCs w:val="18"/>
                <w:color w:val="auto"/>
              </w:rPr>
              <w:t>Fourth Amended and Restated Agreement of Limited Partnership of the Registrant, dated November 15, 2018, incorporated</w:t>
            </w:r>
          </w:p>
        </w:tc>
      </w:tr>
      <w:tr>
        <w:trPr>
          <w:trHeight w:val="243"/>
        </w:trPr>
        <w:tc>
          <w:tcPr>
            <w:tcW w:w="720" w:type="dxa"/>
            <w:vAlign w:val="bottom"/>
          </w:tcPr>
          <w:p>
            <w:pPr>
              <w:spacing w:after="0"/>
              <w:rPr>
                <w:sz w:val="21"/>
                <w:szCs w:val="21"/>
                <w:color w:val="auto"/>
              </w:rPr>
            </w:pPr>
          </w:p>
        </w:tc>
        <w:tc>
          <w:tcPr>
            <w:tcW w:w="10740" w:type="dxa"/>
            <w:vAlign w:val="bottom"/>
          </w:tcPr>
          <w:p>
            <w:pPr>
              <w:ind w:left="340"/>
              <w:spacing w:after="0"/>
              <w:rPr>
                <w:sz w:val="20"/>
                <w:szCs w:val="20"/>
                <w:color w:val="auto"/>
              </w:rPr>
            </w:pPr>
            <w:r>
              <w:rPr>
                <w:rFonts w:ascii="Arial" w:cs="Arial" w:eastAsia="Arial" w:hAnsi="Arial"/>
                <w:sz w:val="18"/>
                <w:szCs w:val="18"/>
                <w:color w:val="auto"/>
              </w:rPr>
              <w:t>herein by reference to Exhibit 3.2 to the Registrant’s Report on Form 6-K filed with the SEC on November 15, 2018.</w:t>
            </w:r>
          </w:p>
        </w:tc>
      </w:tr>
      <w:tr>
        <w:trPr>
          <w:trHeight w:val="330"/>
        </w:trPr>
        <w:tc>
          <w:tcPr>
            <w:tcW w:w="720" w:type="dxa"/>
            <w:vAlign w:val="bottom"/>
            <w:tcBorders>
              <w:bottom w:val="single" w:sz="8" w:color="808080"/>
            </w:tcBorders>
          </w:tcPr>
          <w:p>
            <w:pPr>
              <w:spacing w:after="0"/>
              <w:rPr>
                <w:sz w:val="24"/>
                <w:szCs w:val="24"/>
                <w:color w:val="auto"/>
              </w:rPr>
            </w:pPr>
          </w:p>
        </w:tc>
        <w:tc>
          <w:tcPr>
            <w:tcW w:w="10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2" w:name="page3"/>
    <w:bookmarkEnd w:id="2"/>
    <w:p>
      <w:pPr>
        <w:ind w:left="5200"/>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37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01" w:lineRule="exact"/>
        <w:rPr>
          <w:sz w:val="20"/>
          <w:szCs w:val="20"/>
          <w:color w:val="auto"/>
        </w:rPr>
      </w:pPr>
    </w:p>
    <w:p>
      <w:pPr>
        <w:spacing w:after="0"/>
        <w:tabs>
          <w:tab w:leader="none" w:pos="5980" w:val="left"/>
          <w:tab w:leader="none" w:pos="6560" w:val="left"/>
        </w:tabs>
        <w:rPr>
          <w:sz w:val="20"/>
          <w:szCs w:val="20"/>
          <w:color w:val="auto"/>
        </w:rPr>
      </w:pPr>
      <w:r>
        <w:rPr>
          <w:rFonts w:ascii="Arial" w:cs="Arial" w:eastAsia="Arial" w:hAnsi="Arial"/>
          <w:sz w:val="18"/>
          <w:szCs w:val="18"/>
          <w:color w:val="auto"/>
        </w:rPr>
        <w:t>Date: November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307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Andrew J. Orekar</w:t>
      </w:r>
    </w:p>
    <w:p>
      <w:pPr>
        <w:ind w:left="6580"/>
        <w:spacing w:after="0"/>
        <w:tabs>
          <w:tab w:leader="none" w:pos="71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780"/>
      </w:cols>
      <w:pgMar w:left="240" w:top="3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2019-12-08T09:57:12Z</dcterms:created>
  <dcterms:modified xsi:type="dcterms:W3CDTF">2019-12-08T09:57:12Z</dcterms:modified>
</cp:coreProperties>
</file>