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6"/>
              </w:rPr>
              <w:t>Form 6-K</w:t>
            </w:r>
          </w:p>
        </w:tc>
        <w:tc>
          <w:tcPr>
            <w:tcW w:w="720" w:type="dxa"/>
            <w:vAlign w:val="bottom"/>
          </w:tcPr>
          <w:p>
            <w:pPr>
              <w:spacing w:after="0"/>
              <w:rPr>
                <w:sz w:val="20"/>
                <w:szCs w:val="20"/>
                <w:color w:val="auto"/>
              </w:rPr>
            </w:pPr>
          </w:p>
        </w:tc>
      </w:tr>
      <w:tr>
        <w:trPr>
          <w:trHeight w:val="414"/>
        </w:trPr>
        <w:tc>
          <w:tcPr>
            <w:tcW w:w="10520" w:type="dxa"/>
            <w:vAlign w:val="bottom"/>
          </w:tcPr>
          <w:p>
            <w:pPr>
              <w:jc w:val="center"/>
              <w:ind w:left="65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20" w:type="dxa"/>
            <w:vAlign w:val="bottom"/>
          </w:tcPr>
          <w:p>
            <w:pPr>
              <w:spacing w:after="0"/>
              <w:rPr>
                <w:sz w:val="24"/>
                <w:szCs w:val="24"/>
                <w:color w:val="auto"/>
              </w:rPr>
            </w:pPr>
          </w:p>
        </w:tc>
      </w:t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8"/>
              </w:rPr>
              <w:t>EXCHANGE ACT OF 1934</w:t>
            </w:r>
          </w:p>
        </w:tc>
        <w:tc>
          <w:tcPr>
            <w:tcW w:w="72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For the month of March 2021</w:t>
            </w:r>
          </w:p>
        </w:tc>
        <w:tc>
          <w:tcPr>
            <w:tcW w:w="720" w:type="dxa"/>
            <w:vAlign w:val="bottom"/>
          </w:tcPr>
          <w:p>
            <w:pPr>
              <w:spacing w:after="0"/>
              <w:rPr>
                <w:sz w:val="24"/>
                <w:szCs w:val="24"/>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720" w:type="dxa"/>
            <w:vAlign w:val="bottom"/>
          </w:tcPr>
          <w:p>
            <w:pPr>
              <w:spacing w:after="0"/>
              <w:rPr>
                <w:sz w:val="24"/>
                <w:szCs w:val="24"/>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2"/>
              </w:rPr>
              <w:t>GasLog Partners LP</w:t>
            </w:r>
          </w:p>
        </w:tc>
        <w:tc>
          <w:tcPr>
            <w:tcW w:w="720" w:type="dxa"/>
            <w:vAlign w:val="bottom"/>
          </w:tcPr>
          <w:p>
            <w:pPr>
              <w:spacing w:after="0"/>
              <w:rPr>
                <w:sz w:val="24"/>
                <w:szCs w:val="24"/>
                <w:color w:val="auto"/>
              </w:rPr>
            </w:pPr>
          </w:p>
        </w:tc>
      </w:tr>
      <w:tr>
        <w:trPr>
          <w:trHeight w:val="230"/>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1"/>
              </w:rPr>
              <w:t>(Translation of registrant’s name into English)</w:t>
            </w:r>
          </w:p>
        </w:tc>
        <w:tc>
          <w:tcPr>
            <w:tcW w:w="720" w:type="dxa"/>
            <w:vAlign w:val="bottom"/>
          </w:tcPr>
          <w:p>
            <w:pPr>
              <w:spacing w:after="0"/>
              <w:rPr>
                <w:sz w:val="20"/>
                <w:szCs w:val="20"/>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2"/>
              </w:rPr>
              <w:t>c/o GasLog LNG Services Ltd.</w:t>
            </w:r>
          </w:p>
        </w:tc>
        <w:tc>
          <w:tcPr>
            <w:tcW w:w="720" w:type="dxa"/>
            <w:vAlign w:val="bottom"/>
          </w:tcPr>
          <w:p>
            <w:pPr>
              <w:spacing w:after="0"/>
              <w:rPr>
                <w:sz w:val="24"/>
                <w:szCs w:val="24"/>
                <w:color w:val="auto"/>
              </w:rPr>
            </w:pPr>
          </w:p>
        </w:tc>
      </w:tr>
      <w:tr>
        <w:trPr>
          <w:trHeight w:val="216"/>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5"/>
              </w:rPr>
              <w:t>69 Akti Miaouli, 18537</w:t>
            </w:r>
          </w:p>
        </w:tc>
        <w:tc>
          <w:tcPr>
            <w:tcW w:w="720" w:type="dxa"/>
            <w:vAlign w:val="bottom"/>
          </w:tcPr>
          <w:p>
            <w:pPr>
              <w:spacing w:after="0"/>
              <w:rPr>
                <w:sz w:val="18"/>
                <w:szCs w:val="18"/>
                <w:color w:val="auto"/>
              </w:rPr>
            </w:pPr>
          </w:p>
        </w:tc>
      </w:tr>
      <w:tr>
        <w:trPr>
          <w:trHeight w:val="216"/>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86"/>
              </w:rPr>
              <w:t>Piraeus, Greece</w:t>
            </w:r>
          </w:p>
        </w:tc>
        <w:tc>
          <w:tcPr>
            <w:tcW w:w="720" w:type="dxa"/>
            <w:vAlign w:val="bottom"/>
          </w:tcPr>
          <w:p>
            <w:pPr>
              <w:spacing w:after="0"/>
              <w:rPr>
                <w:sz w:val="18"/>
                <w:szCs w:val="18"/>
                <w:color w:val="auto"/>
              </w:rPr>
            </w:pPr>
          </w:p>
        </w:tc>
      </w:tr>
      <w:tr>
        <w:trPr>
          <w:trHeight w:val="230"/>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2"/>
              </w:rPr>
              <w:t>(Address of principal executive office)</w:t>
            </w:r>
          </w:p>
        </w:tc>
        <w:tc>
          <w:tcPr>
            <w:tcW w:w="72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20" w:type="dxa"/>
            <w:vAlign w:val="bottom"/>
          </w:tcPr>
          <w:p>
            <w:pPr>
              <w:spacing w:after="0"/>
              <w:rPr>
                <w:sz w:val="24"/>
                <w:szCs w:val="24"/>
                <w:color w:val="auto"/>
              </w:rPr>
            </w:pPr>
          </w:p>
        </w:tc>
      </w:tr>
      <w:tr>
        <w:trPr>
          <w:trHeight w:val="452"/>
        </w:trPr>
        <w:tc>
          <w:tcPr>
            <w:tcW w:w="105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r>
      <w:tr>
        <w:trPr>
          <w:trHeight w:val="655"/>
        </w:trPr>
        <w:tc>
          <w:tcPr>
            <w:tcW w:w="10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1" w:name="page2"/>
    <w:bookmarkEnd w:id="1"/>
    <w:p>
      <w:pPr>
        <w:ind w:left="360"/>
        <w:spacing w:after="0"/>
        <w:rPr>
          <w:sz w:val="20"/>
          <w:szCs w:val="20"/>
          <w:color w:val="auto"/>
        </w:rPr>
      </w:pPr>
      <w:r>
        <w:rPr>
          <w:rFonts w:ascii="Arial" w:cs="Arial" w:eastAsia="Arial" w:hAnsi="Arial"/>
          <w:sz w:val="14"/>
          <w:szCs w:val="14"/>
          <w:color w:val="auto"/>
        </w:rPr>
        <w:t>The press release issued by GasLog Partners LP on March 22, 2021 relating to its announcement for the change in certified accountants.</w:t>
      </w:r>
    </w:p>
    <w:p>
      <w:pPr>
        <w:spacing w:after="0" w:line="200" w:lineRule="exact"/>
        <w:rPr>
          <w:sz w:val="20"/>
          <w:szCs w:val="20"/>
          <w:color w:val="auto"/>
        </w:rPr>
      </w:pPr>
    </w:p>
    <w:p>
      <w:pPr>
        <w:spacing w:after="0" w:line="341"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EXHIBIT LIST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6"/>
                <w:szCs w:val="16"/>
                <w:color w:val="auto"/>
              </w:rPr>
              <w:t>Exhibit</w:t>
            </w:r>
          </w:p>
        </w:tc>
        <w:tc>
          <w:tcPr>
            <w:tcW w:w="2680" w:type="dxa"/>
            <w:vAlign w:val="bottom"/>
          </w:tcPr>
          <w:p>
            <w:pPr>
              <w:ind w:left="320"/>
              <w:spacing w:after="0"/>
              <w:rPr>
                <w:sz w:val="20"/>
                <w:szCs w:val="20"/>
                <w:color w:val="auto"/>
              </w:rPr>
            </w:pPr>
            <w:r>
              <w:rPr>
                <w:rFonts w:ascii="Arial" w:cs="Arial" w:eastAsia="Arial" w:hAnsi="Arial"/>
                <w:sz w:val="16"/>
                <w:szCs w:val="16"/>
                <w:color w:val="auto"/>
              </w:rPr>
              <w:t>Description</w:t>
            </w:r>
          </w:p>
        </w:tc>
      </w:tr>
      <w:tr>
        <w:trPr>
          <w:trHeight w:val="432"/>
        </w:trPr>
        <w:tc>
          <w:tcPr>
            <w:tcW w:w="8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99.1</w:t>
              </w:r>
            </w:hyperlink>
          </w:p>
        </w:tc>
        <w:tc>
          <w:tcPr>
            <w:tcW w:w="2680" w:type="dxa"/>
            <w:vAlign w:val="bottom"/>
          </w:tcPr>
          <w:p>
            <w:pPr>
              <w:ind w:left="320"/>
              <w:spacing w:after="0"/>
              <w:rPr>
                <w:rFonts w:ascii="Arial" w:cs="Arial" w:eastAsia="Arial" w:hAnsi="Arial"/>
                <w:sz w:val="16"/>
                <w:szCs w:val="16"/>
                <w:u w:val="single" w:color="auto"/>
                <w:color w:val="0000EE"/>
                <w:w w:val="88"/>
              </w:rPr>
            </w:pPr>
            <w:hyperlink w:anchor="page4">
              <w:r>
                <w:rPr>
                  <w:rFonts w:ascii="Arial" w:cs="Arial" w:eastAsia="Arial" w:hAnsi="Arial"/>
                  <w:sz w:val="16"/>
                  <w:szCs w:val="16"/>
                  <w:u w:val="single" w:color="auto"/>
                  <w:color w:val="0000EE"/>
                  <w:w w:val="88"/>
                </w:rPr>
                <w:t>Press Release dated March 22, 2021</w:t>
              </w:r>
            </w:hyperlink>
          </w:p>
        </w:tc>
      </w:tr>
      <w:tr>
        <w:trPr>
          <w:trHeight w:val="451"/>
        </w:trPr>
        <w:tc>
          <w:tcPr>
            <w:tcW w:w="820" w:type="dxa"/>
            <w:vAlign w:val="bottom"/>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99.2</w:t>
              </w:r>
            </w:hyperlink>
          </w:p>
        </w:tc>
        <w:tc>
          <w:tcPr>
            <w:tcW w:w="2680" w:type="dxa"/>
            <w:vAlign w:val="bottom"/>
          </w:tcPr>
          <w:p>
            <w:pPr>
              <w:ind w:left="3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Letter from Deloitte LLP</w:t>
              </w:r>
            </w:hyperlink>
          </w:p>
        </w:tc>
      </w:tr>
    </w:tbl>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13"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6"/>
          <w:szCs w:val="16"/>
          <w:color w:val="auto"/>
        </w:rPr>
        <w:t>SIGNATURES</w:t>
      </w:r>
    </w:p>
    <w:p>
      <w:pPr>
        <w:spacing w:after="0" w:line="221" w:lineRule="exact"/>
        <w:rPr>
          <w:sz w:val="20"/>
          <w:szCs w:val="20"/>
          <w:color w:val="auto"/>
        </w:rPr>
      </w:pPr>
    </w:p>
    <w:p>
      <w:pPr>
        <w:ind w:firstLine="37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Date: March 22, 2021</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GASLOG PARTNERS LP</w:t>
      </w:r>
    </w:p>
    <w:p>
      <w:pPr>
        <w:spacing w:after="0" w:line="248" w:lineRule="exact"/>
        <w:rPr>
          <w:sz w:val="20"/>
          <w:szCs w:val="20"/>
          <w:color w:val="auto"/>
        </w:rPr>
      </w:pPr>
    </w:p>
    <w:p>
      <w:pPr>
        <w:ind w:left="5980"/>
        <w:spacing w:after="0"/>
        <w:tabs>
          <w:tab w:leader="none" w:pos="6300" w:val="left"/>
        </w:tabs>
        <w:rPr>
          <w:sz w:val="20"/>
          <w:szCs w:val="20"/>
          <w:color w:val="auto"/>
        </w:rPr>
      </w:pPr>
      <w:r>
        <w:rPr>
          <w:rFonts w:ascii="Arial" w:cs="Arial" w:eastAsia="Arial" w:hAnsi="Arial"/>
          <w:sz w:val="16"/>
          <w:szCs w:val="16"/>
          <w:color w:val="auto"/>
        </w:rPr>
        <w:t>by</w:t>
        <w:tab/>
        <w:t>/s/ Paul Wogan</w:t>
      </w:r>
    </w:p>
    <w:p>
      <w:pPr>
        <w:spacing w:after="0" w:line="22" w:lineRule="exact"/>
        <w:rPr>
          <w:sz w:val="20"/>
          <w:szCs w:val="20"/>
          <w:color w:val="auto"/>
        </w:rPr>
      </w:pPr>
    </w:p>
    <w:tbl>
      <w:tblPr>
        <w:tblLayout w:type="fixed"/>
        <w:tblInd w:w="6320" w:type="dxa"/>
        <w:tblCellMar>
          <w:top w:w="0" w:type="dxa"/>
          <w:left w:w="0" w:type="dxa"/>
          <w:bottom w:w="0" w:type="dxa"/>
          <w:right w:w="0" w:type="dxa"/>
        </w:tblCellMar>
      </w:tblPr>
      <w:tr>
        <w:trPr>
          <w:trHeight w:val="206"/>
        </w:trPr>
        <w:tc>
          <w:tcPr>
            <w:tcW w:w="5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374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Paul Wogan</w:t>
            </w:r>
          </w:p>
        </w:tc>
      </w:tr>
      <w:tr>
        <w:trPr>
          <w:trHeight w:val="206"/>
        </w:trPr>
        <w:tc>
          <w:tcPr>
            <w:tcW w:w="520" w:type="dxa"/>
            <w:vAlign w:val="bottom"/>
          </w:tcPr>
          <w:p>
            <w:pPr>
              <w:spacing w:after="0"/>
              <w:rPr>
                <w:sz w:val="20"/>
                <w:szCs w:val="20"/>
                <w:color w:val="auto"/>
              </w:rPr>
            </w:pPr>
            <w:r>
              <w:rPr>
                <w:rFonts w:ascii="Arial" w:cs="Arial" w:eastAsia="Arial" w:hAnsi="Arial"/>
                <w:sz w:val="16"/>
                <w:szCs w:val="16"/>
                <w:color w:val="auto"/>
              </w:rPr>
              <w:t>Title:</w:t>
            </w:r>
          </w:p>
        </w:tc>
        <w:tc>
          <w:tcPr>
            <w:tcW w:w="3740" w:type="dxa"/>
            <w:vAlign w:val="bottom"/>
          </w:tcPr>
          <w:p>
            <w:pPr>
              <w:ind w:left="100"/>
              <w:spacing w:after="0"/>
              <w:rPr>
                <w:sz w:val="20"/>
                <w:szCs w:val="20"/>
                <w:color w:val="auto"/>
              </w:rPr>
            </w:pPr>
            <w:r>
              <w:rPr>
                <w:rFonts w:ascii="Arial" w:cs="Arial" w:eastAsia="Arial" w:hAnsi="Arial"/>
                <w:sz w:val="16"/>
                <w:szCs w:val="16"/>
                <w:color w:val="auto"/>
              </w:rPr>
              <w:t>Chief Executive Officer</w:t>
            </w:r>
          </w:p>
        </w:tc>
      </w:tr>
    </w:tbl>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13"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 Announces the Change in Certified Accountants</w:t>
      </w:r>
    </w:p>
    <w:p>
      <w:pPr>
        <w:spacing w:after="0" w:line="22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color w:val="auto"/>
        </w:rPr>
        <w:t xml:space="preserve">Piraeus, Greece, March 22, 2021, GasLog Partners LP (“GasLog Partners” or the “Partnership”) (NYSE: GLOP), </w:t>
      </w:r>
      <w:r>
        <w:rPr>
          <w:rFonts w:ascii="Arial" w:cs="Arial" w:eastAsia="Arial" w:hAnsi="Arial"/>
          <w:sz w:val="16"/>
          <w:szCs w:val="16"/>
          <w:color w:val="auto"/>
        </w:rPr>
        <w:t>an international owner and operator of liquefied</w:t>
      </w:r>
      <w:r>
        <w:rPr>
          <w:rFonts w:ascii="Arial" w:cs="Arial" w:eastAsia="Arial" w:hAnsi="Arial"/>
          <w:sz w:val="16"/>
          <w:szCs w:val="16"/>
          <w:b w:val="1"/>
          <w:bCs w:val="1"/>
          <w:color w:val="auto"/>
        </w:rPr>
        <w:t xml:space="preserve"> </w:t>
      </w:r>
      <w:r>
        <w:rPr>
          <w:rFonts w:ascii="Arial" w:cs="Arial" w:eastAsia="Arial" w:hAnsi="Arial"/>
          <w:sz w:val="16"/>
          <w:szCs w:val="16"/>
          <w:color w:val="auto"/>
        </w:rPr>
        <w:t>natural gas (“LNG”) carriers, announced today the change in Group’s certified accountants.</w:t>
      </w:r>
    </w:p>
    <w:p>
      <w:pPr>
        <w:spacing w:after="0" w:line="155"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On March 10 and 11, 2021, our audit committee and board of directors, respectively, approved the engagement of Deloitte Certified Public Accountants S.A. to audit our financial statements for the fiscal year ending December 31, 2021, following the expiration of the term of engagement of Deloitte LLP, subject to the approval of our unitholders at the 2021 annual general meeting.</w:t>
      </w:r>
    </w:p>
    <w:p>
      <w:pPr>
        <w:spacing w:after="0" w:line="184"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color w:val="auto"/>
        </w:rPr>
        <w:t>Deloitte LLP’s reports on the consolidated financial statements of GasLog Partners, for the fiscal years ended December 31, 2020 and 2019 did not contain an adverse opinion or disclaimer of opinion, and were not qualified or modified as to uncertainty or audit scope.</w:t>
      </w:r>
    </w:p>
    <w:p>
      <w:pPr>
        <w:spacing w:after="0" w:line="172"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We and Deloitte LLP did not, during the two most recent fiscal years and the subsequent period through March 11, 2021, have any disagreements on any matter of accounting principles or practices, financial statement disclosure or auditing scope or procedure which, if not resolved to the satisfaction of Deloitte LLP, would have caused Deloitte LLP to make reference to the matter in its reports on our financial statements; and there were no reportable events as the term is described in Item 16F(a)(1)(v) of Form 20-F.</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have requested that Deloitte LLP furnish a letter addressed to the Securities and Exchange Commission stating whether or not Deloitte LLP agrees with the statements in this report. A copy of such letter dated March 22, 2021 is filed as Exhibit 99.2 to this report.</w:t>
      </w:r>
    </w:p>
    <w:p>
      <w:pPr>
        <w:spacing w:after="0" w:line="172"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At no time during the two most recent fiscal years or the subsequent period through March 11, 2021 did we consult with Deloitte Certified Public Accountants S.A. regarding the application of accounting principles to a specific completed or proposed transaction, or the type of audit opinion that might be rendered on the Partnership’s consolidated financial statements.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 Partners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 xml:space="preserve">GasLog Partners is a growth-oriented owner, operator and acquirer of LNG carriers. The Partnership’s fleet consists of 15 LNG carriers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The Partnership’s principal executive offices are located at 69 Akti Miaouli, 18537, Piraeus, Greece. Visit GasLog Partners’ website at </w:t>
      </w:r>
      <w:r>
        <w:rPr>
          <w:rFonts w:ascii="Arial" w:cs="Arial" w:eastAsia="Arial" w:hAnsi="Arial"/>
          <w:sz w:val="15"/>
          <w:szCs w:val="15"/>
          <w:u w:val="single" w:color="auto"/>
          <w:color w:val="0000FF"/>
        </w:rPr>
        <w:t>http://www.gaslogmlp.com</w:t>
      </w:r>
      <w:r>
        <w:rPr>
          <w:rFonts w:ascii="Arial" w:cs="Arial" w:eastAsia="Arial" w:hAnsi="Arial"/>
          <w:sz w:val="15"/>
          <w:szCs w:val="15"/>
          <w:color w:val="0000FF"/>
        </w:rPr>
        <w: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+1-212-223-0643</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ir@gaslogmlp.com</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22 March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20549-7561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Sirs/Madams: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read Exhibit 99.1 of GasLog Partners LP's Form 6-K dated 22 March 2021, and we agree with the statements made therein.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2021-03-22T05:46:34Z</dcterms:created>
  <dcterms:modified xsi:type="dcterms:W3CDTF">2021-03-22T05:46:34Z</dcterms:modified>
</cp:coreProperties>
</file>