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FREE WRITING PROSPECTUS</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Filed pursuant to Rule 433</w:t>
      </w:r>
    </w:p>
    <w:p>
      <w:pPr>
        <w:jc w:val="right"/>
        <w:spacing w:after="0" w:line="230" w:lineRule="auto"/>
        <w:rPr>
          <w:sz w:val="20"/>
          <w:szCs w:val="20"/>
          <w:color w:val="auto"/>
        </w:rPr>
      </w:pPr>
      <w:r>
        <w:rPr>
          <w:rFonts w:ascii="Arial" w:cs="Arial" w:eastAsia="Arial" w:hAnsi="Arial"/>
          <w:sz w:val="22"/>
          <w:szCs w:val="22"/>
          <w:b w:val="1"/>
          <w:bCs w:val="1"/>
          <w:color w:val="auto"/>
        </w:rPr>
        <w:t>Registration Statement No. 333-204616</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May 8, 2017</w:t>
      </w:r>
    </w:p>
    <w:p>
      <w:pPr>
        <w:spacing w:after="0" w:line="182" w:lineRule="exact"/>
        <w:rPr>
          <w:sz w:val="24"/>
          <w:szCs w:val="24"/>
          <w:color w:val="auto"/>
        </w:rPr>
      </w:pPr>
    </w:p>
    <w:p>
      <w:pPr>
        <w:ind w:left="4500"/>
        <w:spacing w:after="0"/>
        <w:rPr>
          <w:sz w:val="20"/>
          <w:szCs w:val="20"/>
          <w:color w:val="auto"/>
        </w:rPr>
      </w:pPr>
      <w:r>
        <w:rPr>
          <w:rFonts w:ascii="Arial" w:cs="Arial" w:eastAsia="Arial" w:hAnsi="Arial"/>
          <w:sz w:val="22"/>
          <w:szCs w:val="22"/>
          <w:b w:val="1"/>
          <w:bCs w:val="1"/>
          <w:color w:val="auto"/>
        </w:rPr>
        <w:t>PRICING TERM SHEET</w:t>
      </w:r>
    </w:p>
    <w:p>
      <w:pPr>
        <w:spacing w:after="0" w:line="206"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GasLog Partners LP</w:t>
      </w:r>
    </w:p>
    <w:p>
      <w:pPr>
        <w:spacing w:after="0" w:line="206" w:lineRule="exact"/>
        <w:rPr>
          <w:sz w:val="24"/>
          <w:szCs w:val="24"/>
          <w:color w:val="auto"/>
        </w:rPr>
      </w:pPr>
    </w:p>
    <w:p>
      <w:pPr>
        <w:ind w:left="1460"/>
        <w:spacing w:after="0"/>
        <w:rPr>
          <w:sz w:val="20"/>
          <w:szCs w:val="20"/>
          <w:color w:val="auto"/>
        </w:rPr>
      </w:pPr>
      <w:r>
        <w:rPr>
          <w:rFonts w:ascii="Arial" w:cs="Arial" w:eastAsia="Arial" w:hAnsi="Arial"/>
          <w:sz w:val="22"/>
          <w:szCs w:val="22"/>
          <w:b w:val="1"/>
          <w:bCs w:val="1"/>
          <w:color w:val="auto"/>
        </w:rPr>
        <w:t>8.625% Series A Cumulative Redeemable Perpetual Fixed to Floating Rate Preference Units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(Liquidation Preference $25.00 per Unit)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Issuer:</w:t>
            </w:r>
          </w:p>
        </w:tc>
        <w:tc>
          <w:tcPr>
            <w:tcW w:w="8360" w:type="dxa"/>
            <w:vAlign w:val="bottom"/>
          </w:tcPr>
          <w:p>
            <w:pPr>
              <w:ind w:left="840"/>
              <w:spacing w:after="0"/>
              <w:rPr>
                <w:sz w:val="20"/>
                <w:szCs w:val="20"/>
                <w:color w:val="auto"/>
              </w:rPr>
            </w:pPr>
            <w:r>
              <w:rPr>
                <w:rFonts w:ascii="Arial" w:cs="Arial" w:eastAsia="Arial" w:hAnsi="Arial"/>
                <w:sz w:val="18"/>
                <w:szCs w:val="18"/>
                <w:color w:val="auto"/>
              </w:rPr>
              <w:t>GasLog Partners LP</w:t>
            </w:r>
          </w:p>
        </w:tc>
      </w:tr>
      <w:tr>
        <w:trPr>
          <w:trHeight w:val="337"/>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Securities Offered</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rPr>
              <w:t>8.625% Series A Cumulative Redeemable Perpetual Fixed to Floating Rate Preference Units</w:t>
            </w:r>
          </w:p>
        </w:tc>
      </w:tr>
      <w:tr>
        <w:trPr>
          <w:trHeight w:val="230"/>
        </w:trPr>
        <w:tc>
          <w:tcPr>
            <w:tcW w:w="3060" w:type="dxa"/>
            <w:vAlign w:val="bottom"/>
          </w:tcPr>
          <w:p>
            <w:pPr>
              <w:spacing w:after="0"/>
              <w:rPr>
                <w:sz w:val="20"/>
                <w:szCs w:val="20"/>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rPr>
              <w:t>representing limited partner interests in the Partnership (the “Series A Preference Units”).</w:t>
            </w:r>
          </w:p>
        </w:tc>
      </w:tr>
      <w:tr>
        <w:trPr>
          <w:trHeight w:val="324"/>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Number of Units</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rPr>
              <w:t>5,000,000 Series A Preference Units.</w:t>
            </w:r>
          </w:p>
        </w:tc>
      </w:tr>
      <w:tr>
        <w:trPr>
          <w:trHeight w:val="351"/>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Number of Option Units</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rPr>
              <w:t>750,000 Series A Preference Units.</w:t>
            </w:r>
          </w:p>
        </w:tc>
      </w:tr>
      <w:tr>
        <w:trPr>
          <w:trHeight w:val="337"/>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Public Offering Price</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w w:val="96"/>
              </w:rPr>
              <w:t>$25.00 per unit; $125,000,000 total (assuming no exercise of the underwriters’ option to purchase</w:t>
            </w:r>
          </w:p>
        </w:tc>
      </w:tr>
      <w:tr>
        <w:trPr>
          <w:trHeight w:val="230"/>
        </w:trPr>
        <w:tc>
          <w:tcPr>
            <w:tcW w:w="3060" w:type="dxa"/>
            <w:vAlign w:val="bottom"/>
          </w:tcPr>
          <w:p>
            <w:pPr>
              <w:spacing w:after="0"/>
              <w:rPr>
                <w:sz w:val="20"/>
                <w:szCs w:val="20"/>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rPr>
              <w:t>additional units).</w:t>
            </w:r>
          </w:p>
        </w:tc>
      </w:tr>
      <w:tr>
        <w:trPr>
          <w:trHeight w:val="31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Underwriting Discounts</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w w:val="97"/>
              </w:rPr>
              <w:t>$0.7875 per unit; $3,937,500 total (assuming no exercise of the underwriters’ option to purchase</w:t>
            </w:r>
          </w:p>
        </w:tc>
      </w:tr>
      <w:tr>
        <w:trPr>
          <w:trHeight w:val="230"/>
        </w:trPr>
        <w:tc>
          <w:tcPr>
            <w:tcW w:w="3060" w:type="dxa"/>
            <w:vAlign w:val="bottom"/>
          </w:tcPr>
          <w:p>
            <w:pPr>
              <w:spacing w:after="0"/>
              <w:rPr>
                <w:sz w:val="20"/>
                <w:szCs w:val="20"/>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rPr>
              <w:t>additional units).</w:t>
            </w:r>
          </w:p>
        </w:tc>
      </w:tr>
      <w:tr>
        <w:trPr>
          <w:trHeight w:val="324"/>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Maturity Date</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rPr>
              <w:t>Perpetual (unless redeemed by the issuer on or after June 15, 2027).</w:t>
            </w:r>
          </w:p>
        </w:tc>
      </w:tr>
      <w:tr>
        <w:trPr>
          <w:trHeight w:val="351"/>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Ratings</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rPr>
              <w:t>The Series A Preference Units will not be rated.</w:t>
            </w:r>
          </w:p>
        </w:tc>
      </w:tr>
      <w:tr>
        <w:trPr>
          <w:trHeight w:val="351"/>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Trade Date</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rPr>
              <w:t>May 8, 2017</w:t>
            </w:r>
          </w:p>
        </w:tc>
      </w:tr>
      <w:tr>
        <w:trPr>
          <w:trHeight w:val="351"/>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Settlement Date</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rPr>
              <w:t>May 15, 2017 (T+5)</w:t>
            </w:r>
          </w:p>
        </w:tc>
      </w:tr>
      <w:tr>
        <w:trPr>
          <w:trHeight w:val="351"/>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Liquidation Preference</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rPr>
              <w:t>$25.00 per Series A Preference Unit, plus accumulated and unpaid distributions.</w:t>
            </w:r>
          </w:p>
        </w:tc>
      </w:tr>
      <w:tr>
        <w:trPr>
          <w:trHeight w:val="337"/>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Distribution Rate</w:t>
            </w:r>
            <w:r>
              <w:rPr>
                <w:rFonts w:ascii="Arial" w:cs="Arial" w:eastAsia="Arial" w:hAnsi="Arial"/>
                <w:sz w:val="18"/>
                <w:szCs w:val="18"/>
                <w:color w:val="auto"/>
              </w:rPr>
              <w:t>:</w:t>
            </w:r>
          </w:p>
        </w:tc>
        <w:tc>
          <w:tcPr>
            <w:tcW w:w="8360" w:type="dxa"/>
            <w:vAlign w:val="bottom"/>
          </w:tcPr>
          <w:p>
            <w:pPr>
              <w:ind w:left="840"/>
              <w:spacing w:after="0"/>
              <w:rPr>
                <w:sz w:val="20"/>
                <w:szCs w:val="20"/>
                <w:color w:val="auto"/>
              </w:rPr>
            </w:pPr>
            <w:r>
              <w:rPr>
                <w:rFonts w:ascii="Arial" w:cs="Arial" w:eastAsia="Arial" w:hAnsi="Arial"/>
                <w:sz w:val="18"/>
                <w:szCs w:val="18"/>
                <w:color w:val="auto"/>
                <w:w w:val="91"/>
              </w:rPr>
              <w:t>From and including the Settlement Date to, but excluding, June 15, 2027 (the “Fixed Rate Period”), the</w:t>
            </w:r>
          </w:p>
        </w:tc>
      </w:tr>
      <w:tr>
        <w:trPr>
          <w:trHeight w:val="216"/>
        </w:trPr>
        <w:tc>
          <w:tcPr>
            <w:tcW w:w="306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w w:val="93"/>
              </w:rPr>
              <w:t>distribution rate for the Series A Preference Units will be 8.625% per annum per $25.00 of liquidation</w:t>
            </w:r>
          </w:p>
        </w:tc>
      </w:tr>
      <w:tr>
        <w:trPr>
          <w:trHeight w:val="216"/>
        </w:trPr>
        <w:tc>
          <w:tcPr>
            <w:tcW w:w="306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w w:val="91"/>
              </w:rPr>
              <w:t>preference per share (equal to $2.15625 per annum per share). From and including June 15, 2027 (the</w:t>
            </w:r>
          </w:p>
        </w:tc>
      </w:tr>
      <w:tr>
        <w:trPr>
          <w:trHeight w:val="216"/>
        </w:trPr>
        <w:tc>
          <w:tcPr>
            <w:tcW w:w="306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w w:val="94"/>
              </w:rPr>
              <w:t>“Floating Rate Period”), the distribution rate will be a floating rate equal to three-month LIBOR plus a</w:t>
            </w:r>
          </w:p>
        </w:tc>
      </w:tr>
      <w:tr>
        <w:trPr>
          <w:trHeight w:val="230"/>
        </w:trPr>
        <w:tc>
          <w:tcPr>
            <w:tcW w:w="3060" w:type="dxa"/>
            <w:vAlign w:val="bottom"/>
          </w:tcPr>
          <w:p>
            <w:pPr>
              <w:spacing w:after="0"/>
              <w:rPr>
                <w:sz w:val="20"/>
                <w:szCs w:val="20"/>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rPr>
              <w:t>spread of 6.31% per annum per $25.00 of liquidation preference per share.</w:t>
            </w:r>
          </w:p>
        </w:tc>
      </w:tr>
      <w:tr>
        <w:trPr>
          <w:trHeight w:val="31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Distribution Payment Dates:</w:t>
            </w:r>
          </w:p>
        </w:tc>
        <w:tc>
          <w:tcPr>
            <w:tcW w:w="8360" w:type="dxa"/>
            <w:vAlign w:val="bottom"/>
          </w:tcPr>
          <w:p>
            <w:pPr>
              <w:ind w:left="840"/>
              <w:spacing w:after="0"/>
              <w:rPr>
                <w:sz w:val="20"/>
                <w:szCs w:val="20"/>
                <w:color w:val="auto"/>
              </w:rPr>
            </w:pPr>
            <w:r>
              <w:rPr>
                <w:rFonts w:ascii="Arial" w:cs="Arial" w:eastAsia="Arial" w:hAnsi="Arial"/>
                <w:sz w:val="18"/>
                <w:szCs w:val="18"/>
                <w:color w:val="auto"/>
                <w:w w:val="96"/>
              </w:rPr>
              <w:t>The “Distribution Payment Dates” for the Series A Preference Units will be the 15th day of March,</w:t>
            </w:r>
          </w:p>
        </w:tc>
      </w:tr>
      <w:tr>
        <w:trPr>
          <w:trHeight w:val="216"/>
        </w:trPr>
        <w:tc>
          <w:tcPr>
            <w:tcW w:w="306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w w:val="99"/>
              </w:rPr>
              <w:t>June, September and December of each year, commencing on September 15, 2017. The initial</w:t>
            </w:r>
          </w:p>
        </w:tc>
      </w:tr>
      <w:tr>
        <w:trPr>
          <w:trHeight w:val="216"/>
        </w:trPr>
        <w:tc>
          <w:tcPr>
            <w:tcW w:w="306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w w:val="91"/>
              </w:rPr>
              <w:t>distribution on the Series A Preference Units will be paid on September 15, 2017 in an amount equal to</w:t>
            </w:r>
          </w:p>
        </w:tc>
      </w:tr>
      <w:tr>
        <w:trPr>
          <w:trHeight w:val="216"/>
        </w:trPr>
        <w:tc>
          <w:tcPr>
            <w:tcW w:w="306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w w:val="93"/>
              </w:rPr>
              <w:t>$0.71875 per unit. Distributions on the Series A Preference Units will accumulate at a rate of 8.625%</w:t>
            </w:r>
          </w:p>
        </w:tc>
      </w:tr>
      <w:tr>
        <w:trPr>
          <w:trHeight w:val="230"/>
        </w:trPr>
        <w:tc>
          <w:tcPr>
            <w:tcW w:w="3060" w:type="dxa"/>
            <w:vAlign w:val="bottom"/>
          </w:tcPr>
          <w:p>
            <w:pPr>
              <w:spacing w:after="0"/>
              <w:rPr>
                <w:sz w:val="20"/>
                <w:szCs w:val="20"/>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rPr>
              <w:t>per annum per $25.00 stated liquidation preference per Series A Preference Unit.</w:t>
            </w:r>
          </w:p>
        </w:tc>
      </w:tr>
      <w:tr>
        <w:trPr>
          <w:trHeight w:val="31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Optional Redemption:</w:t>
            </w:r>
          </w:p>
        </w:tc>
        <w:tc>
          <w:tcPr>
            <w:tcW w:w="8360" w:type="dxa"/>
            <w:vAlign w:val="bottom"/>
          </w:tcPr>
          <w:p>
            <w:pPr>
              <w:ind w:left="840"/>
              <w:spacing w:after="0"/>
              <w:rPr>
                <w:sz w:val="20"/>
                <w:szCs w:val="20"/>
                <w:color w:val="auto"/>
              </w:rPr>
            </w:pPr>
            <w:r>
              <w:rPr>
                <w:rFonts w:ascii="Arial" w:cs="Arial" w:eastAsia="Arial" w:hAnsi="Arial"/>
                <w:sz w:val="18"/>
                <w:szCs w:val="18"/>
                <w:color w:val="auto"/>
                <w:w w:val="90"/>
              </w:rPr>
              <w:t>The Partnership shall have the option to redeem the Series A Preference Units, in whole or in part, on or</w:t>
            </w:r>
          </w:p>
        </w:tc>
      </w:tr>
      <w:tr>
        <w:trPr>
          <w:trHeight w:val="216"/>
        </w:trPr>
        <w:tc>
          <w:tcPr>
            <w:tcW w:w="3060" w:type="dxa"/>
            <w:vAlign w:val="bottom"/>
          </w:tcPr>
          <w:p>
            <w:pPr>
              <w:spacing w:after="0"/>
              <w:rPr>
                <w:sz w:val="18"/>
                <w:szCs w:val="18"/>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rPr>
              <w:t>after June 15, 2027 at the liquidation preference of $25.00 per unit, plus accrued but unpaid</w:t>
            </w:r>
          </w:p>
        </w:tc>
      </w:tr>
      <w:tr>
        <w:trPr>
          <w:trHeight w:val="230"/>
        </w:trPr>
        <w:tc>
          <w:tcPr>
            <w:tcW w:w="3060" w:type="dxa"/>
            <w:vAlign w:val="bottom"/>
          </w:tcPr>
          <w:p>
            <w:pPr>
              <w:spacing w:after="0"/>
              <w:rPr>
                <w:sz w:val="20"/>
                <w:szCs w:val="20"/>
                <w:color w:val="auto"/>
              </w:rPr>
            </w:pPr>
          </w:p>
        </w:tc>
        <w:tc>
          <w:tcPr>
            <w:tcW w:w="8360" w:type="dxa"/>
            <w:vAlign w:val="bottom"/>
          </w:tcPr>
          <w:p>
            <w:pPr>
              <w:ind w:left="840"/>
              <w:spacing w:after="0"/>
              <w:rPr>
                <w:sz w:val="20"/>
                <w:szCs w:val="20"/>
                <w:color w:val="auto"/>
              </w:rPr>
            </w:pPr>
            <w:r>
              <w:rPr>
                <w:rFonts w:ascii="Arial" w:cs="Arial" w:eastAsia="Arial" w:hAnsi="Arial"/>
                <w:sz w:val="18"/>
                <w:szCs w:val="18"/>
                <w:color w:val="auto"/>
              </w:rPr>
              <w:t>distributions.</w:t>
            </w:r>
          </w:p>
        </w:tc>
      </w:tr>
      <w:tr>
        <w:trPr>
          <w:trHeight w:val="696"/>
        </w:trPr>
        <w:tc>
          <w:tcPr>
            <w:tcW w:w="3060" w:type="dxa"/>
            <w:vAlign w:val="bottom"/>
            <w:tcBorders>
              <w:bottom w:val="single" w:sz="8" w:color="808080"/>
            </w:tcBorders>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Y2687W116/MHY2687W116</w:t>
      </w:r>
    </w:p>
    <w:p>
      <w:pPr>
        <w:spacing w:after="0" w:line="151" w:lineRule="exact"/>
        <w:rPr>
          <w:sz w:val="20"/>
          <w:szCs w:val="20"/>
          <w:color w:val="auto"/>
        </w:rPr>
      </w:pPr>
    </w:p>
    <w:p>
      <w:pPr>
        <w:sectPr>
          <w:pgSz w:w="11900" w:h="16838" w:orient="portrait"/>
          <w:cols w:equalWidth="0" w:num="2">
            <w:col w:w="3180" w:space="720"/>
            <w:col w:w="7520"/>
          </w:cols>
          <w:pgMar w:left="240" w:top="580" w:right="2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122" w:lineRule="exact"/>
        <w:rPr>
          <w:sz w:val="20"/>
          <w:szCs w:val="20"/>
          <w:color w:val="auto"/>
        </w:rPr>
      </w:pPr>
    </w:p>
    <w:p>
      <w:pPr>
        <w:sectPr>
          <w:pgSz w:w="11900" w:h="16838" w:orient="portrait"/>
          <w:cols w:equalWidth="0" w:num="2">
            <w:col w:w="3180" w:space="720"/>
            <w:col w:w="7520"/>
          </w:cols>
          <w:pgMar w:left="240" w:top="580" w:right="2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ABN AMRO Securities (USA)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9" w:lineRule="exact"/>
        <w:rPr>
          <w:sz w:val="20"/>
          <w:szCs w:val="20"/>
          <w:color w:val="auto"/>
        </w:rPr>
      </w:pPr>
    </w:p>
    <w:p>
      <w:pPr>
        <w:sectPr>
          <w:pgSz w:w="11900" w:h="16838" w:orient="portrait"/>
          <w:cols w:equalWidth="0" w:num="2">
            <w:col w:w="3180" w:space="720"/>
            <w:col w:w="7520"/>
          </w:cols>
          <w:pgMar w:left="240" w:top="580" w:right="2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jc w:val="both"/>
        <w:ind w:right="260"/>
        <w:spacing w:after="0" w:line="286" w:lineRule="auto"/>
        <w:rPr>
          <w:sz w:val="20"/>
          <w:szCs w:val="20"/>
          <w:color w:val="auto"/>
        </w:rPr>
      </w:pPr>
      <w:r>
        <w:rPr>
          <w:rFonts w:ascii="Arial" w:cs="Arial" w:eastAsia="Arial" w:hAnsi="Arial"/>
          <w:sz w:val="17"/>
          <w:szCs w:val="17"/>
          <w:color w:val="auto"/>
        </w:rPr>
        <w:t>The issuer intends to file an application to list the Series A Preference Units on the NYSE under the symbol “GLOP PR A” If the application is approved, trading of the Series A Preference Units on the NYSE is expected to commence within 30 days after their original issue date.</w:t>
      </w:r>
    </w:p>
    <w:p>
      <w:pPr>
        <w:spacing w:after="0" w:line="200" w:lineRule="exact"/>
        <w:rPr>
          <w:sz w:val="20"/>
          <w:szCs w:val="20"/>
          <w:color w:val="auto"/>
        </w:rPr>
      </w:pPr>
    </w:p>
    <w:p>
      <w:pPr>
        <w:sectPr>
          <w:pgSz w:w="11900" w:h="16838" w:orient="portrait"/>
          <w:cols w:equalWidth="0" w:num="2">
            <w:col w:w="3180" w:space="720"/>
            <w:col w:w="7520"/>
          </w:cols>
          <w:pgMar w:left="240" w:top="580" w:right="23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INFORMATION:</w:t>
      </w:r>
    </w:p>
    <w:p>
      <w:pPr>
        <w:spacing w:after="0" w:line="21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All information (including financial information) presented in the Preliminary Prospectus is deemed to have changed to the extent affected by the changes described herein.</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units and is not soliciting an offer to buy the units in any jurisdiction where the offer or sale is not permitted.</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issuer has filed a registration statement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underwriters or any dealer participating in the offering will arrange to send you the prospectus if you request it by calling or contacting Morgan Stanley &amp; Co. LLC at Attn: Prospectus Department, 180 Varick Street, 2nd Floor, New York, NY 10014, UBS Securities LLC at 1-888-827-7275, Citigroup Global Markets Inc. at 1-800-831-9146 or Stifel, Nicolaus &amp; Company, Incorporated at 1-855-300-7136.</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DISCLAIMER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2019-12-07T22:51:13Z</dcterms:created>
  <dcterms:modified xsi:type="dcterms:W3CDTF">2019-12-07T22:51:13Z</dcterms:modified>
</cp:coreProperties>
</file>