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04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06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94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502" w:right="1440" w:bottom="1440" w:gutter="0" w:footer="0" w:header="0"/>
        </w:sectPr>
      </w:pPr>
    </w:p>
    <w:bookmarkStart w:id="1" w:name="page2"/>
    <w:bookmarkEnd w:id="1"/>
    <w:p>
      <w:pPr>
        <w:jc w:val="center"/>
        <w:ind w:right="200"/>
        <w:spacing w:after="0"/>
        <w:rPr>
          <w:sz w:val="20"/>
          <w:szCs w:val="20"/>
          <w:color w:val="auto"/>
        </w:rPr>
      </w:pPr>
      <w:r>
        <w:rPr>
          <w:rFonts w:ascii="Arial" w:cs="Arial" w:eastAsia="Arial" w:hAnsi="Arial"/>
          <w:sz w:val="16"/>
          <w:szCs w:val="16"/>
          <w:color w:val="auto"/>
        </w:rPr>
        <w:t>The press release issued by GasLog Partners LP. on June 21, 2021, announcing a new charter agreement with Cheniere is attached hereto as Exhibit 99.1.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Exhibit 99.1 to this Report on Form 6-K shall be incorporated by reference into our registration statement on Form F-3 (File No. 333-249399), filed with the Securities and Exchange Commission (the “SEC”) on October 9, 2020,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June 21,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21, 2021</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 Paul A. Wogan</w:t>
      </w:r>
    </w:p>
    <w:p>
      <w:pPr>
        <w:spacing w:after="0" w:line="22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Paul A.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Partners LP Announces New Charter Agreement with Cheniere</w:t>
      </w:r>
    </w:p>
    <w:p>
      <w:pPr>
        <w:spacing w:after="0" w:line="225" w:lineRule="exact"/>
        <w:rPr>
          <w:sz w:val="20"/>
          <w:szCs w:val="20"/>
          <w:color w:val="auto"/>
        </w:rPr>
      </w:pPr>
    </w:p>
    <w:p>
      <w:pPr>
        <w:ind w:right="200"/>
        <w:spacing w:after="0" w:line="289" w:lineRule="auto"/>
        <w:rPr>
          <w:sz w:val="20"/>
          <w:szCs w:val="20"/>
          <w:color w:val="auto"/>
        </w:rPr>
      </w:pPr>
      <w:r>
        <w:rPr>
          <w:rFonts w:ascii="Arial" w:cs="Arial" w:eastAsia="Arial" w:hAnsi="Arial"/>
          <w:sz w:val="17"/>
          <w:szCs w:val="17"/>
          <w:b w:val="1"/>
          <w:bCs w:val="1"/>
          <w:color w:val="auto"/>
        </w:rPr>
        <w:t>Piraeus, Greece — June 21, 2021 —</w:t>
      </w:r>
      <w:r>
        <w:rPr>
          <w:rFonts w:ascii="Arial" w:cs="Arial" w:eastAsia="Arial" w:hAnsi="Arial"/>
          <w:sz w:val="17"/>
          <w:szCs w:val="17"/>
          <w:color w:val="auto"/>
        </w:rPr>
        <w:t>GasLog Partners LP ("GasLog Partners" or the "Partnership") (NYSE: GLOP) today announced a new time charter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for the </w:t>
      </w:r>
      <w:r>
        <w:rPr>
          <w:rFonts w:ascii="Arial" w:cs="Arial" w:eastAsia="Arial" w:hAnsi="Arial"/>
          <w:sz w:val="17"/>
          <w:szCs w:val="17"/>
          <w:i w:val="1"/>
          <w:iCs w:val="1"/>
          <w:color w:val="auto"/>
        </w:rPr>
        <w:t>Methane Heather Sally</w:t>
      </w:r>
      <w:r>
        <w:rPr>
          <w:rFonts w:ascii="Arial" w:cs="Arial" w:eastAsia="Arial" w:hAnsi="Arial"/>
          <w:sz w:val="17"/>
          <w:szCs w:val="17"/>
          <w:color w:val="auto"/>
        </w:rPr>
        <w:t xml:space="preserve"> with a wholly owned subsidiary of Cheniere Energy, Inc. (“Cheniere”). The charter began last week and has a minimum duration one year. Cheniere have the option, until late August, to extend the charter for an additional one or two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Methane Heather Sally</w:t>
      </w:r>
      <w:r>
        <w:rPr>
          <w:rFonts w:ascii="Arial" w:cs="Arial" w:eastAsia="Arial" w:hAnsi="Arial"/>
          <w:sz w:val="18"/>
          <w:szCs w:val="18"/>
          <w:color w:val="auto"/>
        </w:rPr>
        <w:t xml:space="preserve"> is a 145,000 cbm steam turbine LNG carrier built in 2007 which previously operated in the spot market.</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Paul Wogan, Chief Executive Officer of GasLog Partners, stated, “The signing of this charter agreement deepens our relationship with one of the world’s leading LNG producers and is the Partnership’s third new multi-month charter agreement in recent weeks. The execution of this charter on attractive terms further improves our revenue and cash flow visibility and bolsters our deleveraging strategy for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GasLog Partners is a growth-oriented owner, operator and acquirer of LNG carriers. The Partnership’s fleet consists of 15 LNG carriers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The Partnership’s principal executive offices are located at 69 Akti Miaouli, 18537, Piraeus, Greece. Visit GasLog Partners’ website at http://www.gaslogmlp.com.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2021-06-21T05:51:37Z</dcterms:created>
  <dcterms:modified xsi:type="dcterms:W3CDTF">2021-06-21T05:51:37Z</dcterms:modified>
</cp:coreProperties>
</file>