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t>As filed with the Securities and Exchange Commission on July 14, 2023.</w:t>
      </w:r>
    </w:p>
    <w:p>
      <w:pPr>
        <w:spacing w:after="0" w:line="43"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231F20"/>
        </w:rPr>
        <w:t>Registration No. 333-249399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231F20"/>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231F20"/>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64135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 TO</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2"/>
          <w:szCs w:val="22"/>
          <w:b w:val="1"/>
          <w:bCs w:val="1"/>
          <w:color w:val="auto"/>
        </w:rPr>
        <w:t>orm</w:t>
      </w:r>
      <w:r>
        <w:rPr>
          <w:rFonts w:ascii="Arial" w:cs="Arial" w:eastAsia="Arial" w:hAnsi="Arial"/>
          <w:sz w:val="32"/>
          <w:szCs w:val="32"/>
          <w:b w:val="1"/>
          <w:bCs w:val="1"/>
          <w:color w:val="auto"/>
        </w:rPr>
        <w:t xml:space="preserve"> F-3</w:t>
      </w:r>
    </w:p>
    <w:p>
      <w:pPr>
        <w:jc w:val="center"/>
        <w:spacing w:after="0" w:line="230" w:lineRule="auto"/>
        <w:rPr>
          <w:sz w:val="20"/>
          <w:szCs w:val="20"/>
          <w:color w:val="auto"/>
        </w:rPr>
      </w:pPr>
      <w:r>
        <w:rPr>
          <w:rFonts w:ascii="Arial" w:cs="Arial" w:eastAsia="Arial" w:hAnsi="Arial"/>
          <w:sz w:val="22"/>
          <w:szCs w:val="22"/>
          <w:b w:val="1"/>
          <w:bCs w:val="1"/>
          <w:color w:val="231F20"/>
        </w:rPr>
        <w:t>REGISTRATION STATEMENT</w:t>
      </w:r>
    </w:p>
    <w:p>
      <w:pPr>
        <w:jc w:val="center"/>
        <w:spacing w:after="0" w:line="231" w:lineRule="auto"/>
        <w:rPr>
          <w:sz w:val="20"/>
          <w:szCs w:val="20"/>
          <w:color w:val="auto"/>
        </w:rPr>
      </w:pPr>
      <w:r>
        <w:rPr>
          <w:rFonts w:ascii="Arial" w:cs="Arial" w:eastAsia="Arial" w:hAnsi="Arial"/>
          <w:sz w:val="22"/>
          <w:szCs w:val="22"/>
          <w:b w:val="1"/>
          <w:bCs w:val="1"/>
          <w:color w:val="231F20"/>
        </w:rPr>
        <w:t>UNDER</w:t>
      </w:r>
    </w:p>
    <w:p>
      <w:pPr>
        <w:jc w:val="center"/>
        <w:spacing w:after="0"/>
        <w:rPr>
          <w:sz w:val="20"/>
          <w:szCs w:val="20"/>
          <w:color w:val="auto"/>
        </w:rPr>
      </w:pPr>
      <w:r>
        <w:rPr>
          <w:rFonts w:ascii="Arial" w:cs="Arial" w:eastAsia="Arial" w:hAnsi="Arial"/>
          <w:sz w:val="22"/>
          <w:szCs w:val="22"/>
          <w:b w:val="1"/>
          <w:bCs w:val="1"/>
          <w:color w:val="231F20"/>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64135</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231F20"/>
        </w:rPr>
        <w:t>GasLog Partners LP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(Exact Name of Registrant as Specified in its Charter)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(Translation of Registrant’s Name into English)</w:t>
      </w:r>
    </w:p>
    <w:p>
      <w:pPr>
        <w:sectPr>
          <w:pgSz w:w="11900" w:h="16838" w:orient="portrait"/>
          <w:cols w:equalWidth="0" w:num="1">
            <w:col w:w="11240"/>
          </w:cols>
          <w:pgMar w:left="320" w:top="226" w:right="339" w:bottom="174" w:gutter="0" w:footer="0" w:header="0"/>
        </w:sectPr>
      </w:pPr>
    </w:p>
    <w:p>
      <w:pPr>
        <w:spacing w:after="0" w:line="218" w:lineRule="exact"/>
        <w:rPr>
          <w:sz w:val="24"/>
          <w:szCs w:val="24"/>
          <w:color w:val="auto"/>
        </w:rPr>
      </w:pPr>
    </w:p>
    <w:p>
      <w:pPr>
        <w:ind w:left="1840"/>
        <w:spacing w:after="0"/>
        <w:rPr>
          <w:sz w:val="20"/>
          <w:szCs w:val="20"/>
          <w:color w:val="auto"/>
        </w:rPr>
      </w:pPr>
      <w:r>
        <w:rPr>
          <w:rFonts w:ascii="Arial" w:cs="Arial" w:eastAsia="Arial" w:hAnsi="Arial"/>
          <w:sz w:val="16"/>
          <w:szCs w:val="16"/>
          <w:b w:val="1"/>
          <w:bCs w:val="1"/>
          <w:color w:val="231F20"/>
        </w:rPr>
        <w:t>Republic of the Marshall Islands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231F20"/>
        </w:rPr>
        <w:t>98-1160877</w:t>
      </w:r>
    </w:p>
    <w:p>
      <w:pPr>
        <w:spacing w:after="0" w:line="50" w:lineRule="exact"/>
        <w:rPr>
          <w:sz w:val="24"/>
          <w:szCs w:val="24"/>
          <w:color w:val="auto"/>
        </w:rPr>
      </w:pPr>
    </w:p>
    <w:p>
      <w:pPr>
        <w:sectPr>
          <w:pgSz w:w="11900" w:h="16838" w:orient="portrait"/>
          <w:cols w:equalWidth="0" w:num="2">
            <w:col w:w="7000" w:space="720"/>
            <w:col w:w="3520"/>
          </w:cols>
          <w:pgMar w:left="320" w:top="226" w:right="339" w:bottom="174" w:gutter="0" w:footer="0" w:header="0"/>
          <w:type w:val="continuous"/>
        </w:sectPr>
      </w:pPr>
    </w:p>
    <w:p>
      <w:pPr>
        <w:ind w:left="9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120" w:space="720"/>
            <w:col w:w="4400"/>
          </w:cols>
          <w:pgMar w:left="320" w:top="226" w:right="339" w:bottom="174"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GasLog Partners LP</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c/o GasLog LNG Services Ltd</w:t>
      </w:r>
    </w:p>
    <w:p>
      <w:pPr>
        <w:jc w:val="center"/>
        <w:spacing w:after="0" w:line="230" w:lineRule="auto"/>
        <w:rPr>
          <w:sz w:val="20"/>
          <w:szCs w:val="20"/>
          <w:color w:val="auto"/>
        </w:rPr>
      </w:pPr>
      <w:r>
        <w:rPr>
          <w:rFonts w:ascii="Arial" w:cs="Arial" w:eastAsia="Arial" w:hAnsi="Arial"/>
          <w:sz w:val="22"/>
          <w:szCs w:val="22"/>
          <w:b w:val="1"/>
          <w:bCs w:val="1"/>
          <w:color w:val="231F20"/>
        </w:rPr>
        <w:t>69 Akti Miaouli</w:t>
      </w:r>
    </w:p>
    <w:p>
      <w:pPr>
        <w:jc w:val="center"/>
        <w:spacing w:after="0" w:line="231" w:lineRule="auto"/>
        <w:rPr>
          <w:sz w:val="20"/>
          <w:szCs w:val="20"/>
          <w:color w:val="auto"/>
        </w:rPr>
      </w:pPr>
      <w:r>
        <w:rPr>
          <w:rFonts w:ascii="Arial" w:cs="Arial" w:eastAsia="Arial" w:hAnsi="Arial"/>
          <w:sz w:val="22"/>
          <w:szCs w:val="22"/>
          <w:b w:val="1"/>
          <w:bCs w:val="1"/>
          <w:color w:val="231F20"/>
        </w:rPr>
        <w:t>18537 Piraeus Greece</w:t>
      </w:r>
    </w:p>
    <w:p>
      <w:pPr>
        <w:jc w:val="center"/>
        <w:spacing w:after="0" w:line="230" w:lineRule="auto"/>
        <w:rPr>
          <w:sz w:val="20"/>
          <w:szCs w:val="20"/>
          <w:color w:val="auto"/>
        </w:rPr>
      </w:pPr>
      <w:r>
        <w:rPr>
          <w:rFonts w:ascii="Arial" w:cs="Arial" w:eastAsia="Arial" w:hAnsi="Arial"/>
          <w:sz w:val="22"/>
          <w:szCs w:val="22"/>
          <w:b w:val="1"/>
          <w:bCs w:val="1"/>
          <w:color w:val="231F20"/>
        </w:rPr>
        <w:t>+30 210 459 1000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(Address and telephone number of Registrant’s principal executive offices)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Puglisi &amp; Associates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850 Library Avenue, Suite 204</w:t>
      </w:r>
    </w:p>
    <w:p>
      <w:pPr>
        <w:jc w:val="center"/>
        <w:spacing w:after="0" w:line="230" w:lineRule="auto"/>
        <w:rPr>
          <w:sz w:val="20"/>
          <w:szCs w:val="20"/>
          <w:color w:val="auto"/>
        </w:rPr>
      </w:pPr>
      <w:r>
        <w:rPr>
          <w:rFonts w:ascii="Arial" w:cs="Arial" w:eastAsia="Arial" w:hAnsi="Arial"/>
          <w:sz w:val="22"/>
          <w:szCs w:val="22"/>
          <w:b w:val="1"/>
          <w:bCs w:val="1"/>
          <w:color w:val="231F20"/>
        </w:rPr>
        <w:t>Newark, Delaware 19711</w:t>
      </w:r>
    </w:p>
    <w:p>
      <w:pPr>
        <w:jc w:val="center"/>
        <w:spacing w:after="0" w:line="231" w:lineRule="auto"/>
        <w:rPr>
          <w:sz w:val="20"/>
          <w:szCs w:val="20"/>
          <w:color w:val="auto"/>
        </w:rPr>
      </w:pPr>
      <w:r>
        <w:rPr>
          <w:rFonts w:ascii="Arial" w:cs="Arial" w:eastAsia="Arial" w:hAnsi="Arial"/>
          <w:sz w:val="22"/>
          <w:szCs w:val="22"/>
          <w:b w:val="1"/>
          <w:bCs w:val="1"/>
          <w:color w:val="231F20"/>
        </w:rPr>
        <w:t>(302) 738-6680</w:t>
      </w:r>
    </w:p>
    <w:p>
      <w:pPr>
        <w:jc w:val="center"/>
        <w:spacing w:after="0"/>
        <w:rPr>
          <w:sz w:val="20"/>
          <w:szCs w:val="20"/>
          <w:color w:val="auto"/>
        </w:rPr>
      </w:pPr>
      <w:r>
        <w:rPr>
          <w:rFonts w:ascii="Arial" w:cs="Arial" w:eastAsia="Arial" w:hAnsi="Arial"/>
          <w:sz w:val="22"/>
          <w:szCs w:val="22"/>
          <w:b w:val="1"/>
          <w:bCs w:val="1"/>
          <w:color w:val="231F20"/>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64135</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231F20"/>
        </w:rPr>
        <w:t>With copies to:</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D. Scott Bennett, Esq.</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Cravath, Swaine &amp; Moore LLP</w:t>
      </w:r>
    </w:p>
    <w:p>
      <w:pPr>
        <w:jc w:val="center"/>
        <w:spacing w:after="0" w:line="230" w:lineRule="auto"/>
        <w:rPr>
          <w:sz w:val="20"/>
          <w:szCs w:val="20"/>
          <w:color w:val="auto"/>
        </w:rPr>
      </w:pPr>
      <w:r>
        <w:rPr>
          <w:rFonts w:ascii="Arial" w:cs="Arial" w:eastAsia="Arial" w:hAnsi="Arial"/>
          <w:sz w:val="22"/>
          <w:szCs w:val="22"/>
          <w:b w:val="1"/>
          <w:bCs w:val="1"/>
          <w:color w:val="231F20"/>
        </w:rPr>
        <w:t>Worldwide Plaza</w:t>
      </w:r>
    </w:p>
    <w:p>
      <w:pPr>
        <w:spacing w:after="0" w:line="1" w:lineRule="exact"/>
        <w:rPr>
          <w:sz w:val="24"/>
          <w:szCs w:val="24"/>
          <w:color w:val="auto"/>
        </w:rPr>
      </w:pPr>
    </w:p>
    <w:p>
      <w:pPr>
        <w:ind w:left="4360" w:right="4360" w:firstLine="402"/>
        <w:spacing w:after="0" w:line="266" w:lineRule="auto"/>
        <w:tabs>
          <w:tab w:leader="none" w:pos="5137" w:val="left"/>
        </w:tabs>
        <w:numPr>
          <w:ilvl w:val="0"/>
          <w:numId w:val="1"/>
        </w:numPr>
        <w:rPr>
          <w:rFonts w:ascii="Arial" w:cs="Arial" w:eastAsia="Arial" w:hAnsi="Arial"/>
          <w:sz w:val="19"/>
          <w:szCs w:val="19"/>
          <w:b w:val="1"/>
          <w:bCs w:val="1"/>
          <w:color w:val="231F20"/>
        </w:rPr>
      </w:pPr>
      <w:r>
        <w:rPr>
          <w:rFonts w:ascii="Arial" w:cs="Arial" w:eastAsia="Arial" w:hAnsi="Arial"/>
          <w:sz w:val="19"/>
          <w:szCs w:val="19"/>
          <w:b w:val="1"/>
          <w:bCs w:val="1"/>
          <w:color w:val="231F20"/>
        </w:rPr>
        <w:t>Eighth Avenue New York, New York 10019</w:t>
      </w:r>
    </w:p>
    <w:p>
      <w:pPr>
        <w:spacing w:after="0" w:line="1" w:lineRule="exact"/>
        <w:rPr>
          <w:rFonts w:ascii="Arial" w:cs="Arial" w:eastAsia="Arial" w:hAnsi="Arial"/>
          <w:sz w:val="19"/>
          <w:szCs w:val="19"/>
          <w:b w:val="1"/>
          <w:bCs w:val="1"/>
          <w:color w:val="231F20"/>
        </w:rPr>
      </w:pPr>
    </w:p>
    <w:p>
      <w:pPr>
        <w:ind w:left="5480" w:hanging="531"/>
        <w:spacing w:after="0"/>
        <w:tabs>
          <w:tab w:leader="none" w:pos="5480" w:val="left"/>
        </w:tabs>
        <w:numPr>
          <w:ilvl w:val="1"/>
          <w:numId w:val="1"/>
        </w:numPr>
        <w:rPr>
          <w:rFonts w:ascii="Arial" w:cs="Arial" w:eastAsia="Arial" w:hAnsi="Arial"/>
          <w:sz w:val="22"/>
          <w:szCs w:val="22"/>
          <w:b w:val="1"/>
          <w:bCs w:val="1"/>
          <w:color w:val="231F20"/>
        </w:rPr>
      </w:pPr>
      <w:r>
        <w:rPr>
          <w:rFonts w:ascii="Arial" w:cs="Arial" w:eastAsia="Arial" w:hAnsi="Arial"/>
          <w:sz w:val="22"/>
          <w:szCs w:val="22"/>
          <w:b w:val="1"/>
          <w:bCs w:val="1"/>
          <w:color w:val="231F20"/>
        </w:rPr>
        <w:t>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64135</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340"/>
        <w:spacing w:after="0"/>
        <w:rPr>
          <w:sz w:val="20"/>
          <w:szCs w:val="20"/>
          <w:color w:val="auto"/>
        </w:rPr>
      </w:pPr>
      <w:r>
        <w:rPr>
          <w:rFonts w:ascii="Arial" w:cs="Arial" w:eastAsia="Arial" w:hAnsi="Arial"/>
          <w:sz w:val="22"/>
          <w:szCs w:val="22"/>
          <w:i w:val="1"/>
          <w:iCs w:val="1"/>
          <w:color w:val="231F20"/>
        </w:rPr>
        <w:t xml:space="preserve">Approximate Date of Commencement of Proposed Sale of the Securities to the Public: </w:t>
      </w:r>
      <w:r>
        <w:rPr>
          <w:rFonts w:ascii="Arial" w:cs="Arial" w:eastAsia="Arial" w:hAnsi="Arial"/>
          <w:sz w:val="22"/>
          <w:szCs w:val="22"/>
          <w:color w:val="231F20"/>
        </w:rPr>
        <w:t>Not Applicable</w:t>
      </w:r>
    </w:p>
    <w:p>
      <w:pPr>
        <w:spacing w:after="0" w:line="233" w:lineRule="exact"/>
        <w:rPr>
          <w:sz w:val="24"/>
          <w:szCs w:val="24"/>
          <w:color w:val="auto"/>
        </w:rPr>
      </w:pPr>
    </w:p>
    <w:p>
      <w:pPr>
        <w:ind w:right="260" w:firstLine="324"/>
        <w:spacing w:after="0" w:line="282" w:lineRule="exact"/>
        <w:rPr>
          <w:sz w:val="20"/>
          <w:szCs w:val="20"/>
          <w:color w:val="auto"/>
        </w:rPr>
      </w:pPr>
      <w:r>
        <w:rPr>
          <w:rFonts w:ascii="Arial" w:cs="Arial" w:eastAsia="Arial" w:hAnsi="Arial"/>
          <w:sz w:val="22"/>
          <w:szCs w:val="22"/>
          <w:color w:val="231F20"/>
        </w:rPr>
        <w:t xml:space="preserve">If only securities being registered on this Form are being offered pursuant to dividend or interest reinvestment plans, please check the following box. </w:t>
      </w:r>
      <w:r>
        <w:rPr>
          <w:rFonts w:ascii="MS PGothic" w:cs="MS PGothic" w:eastAsia="MS PGothic" w:hAnsi="MS PGothic"/>
          <w:sz w:val="22"/>
          <w:szCs w:val="22"/>
          <w:color w:val="231F20"/>
        </w:rPr>
        <w:t>☐</w:t>
      </w:r>
    </w:p>
    <w:p>
      <w:pPr>
        <w:spacing w:after="0" w:line="180" w:lineRule="exact"/>
        <w:rPr>
          <w:sz w:val="24"/>
          <w:szCs w:val="24"/>
          <w:color w:val="auto"/>
        </w:rPr>
      </w:pPr>
    </w:p>
    <w:p>
      <w:pPr>
        <w:ind w:right="180" w:firstLine="324"/>
        <w:spacing w:after="0" w:line="282" w:lineRule="exact"/>
        <w:rPr>
          <w:sz w:val="20"/>
          <w:szCs w:val="20"/>
          <w:color w:val="auto"/>
        </w:rPr>
      </w:pPr>
      <w:r>
        <w:rPr>
          <w:rFonts w:ascii="Arial" w:cs="Arial" w:eastAsia="Arial" w:hAnsi="Arial"/>
          <w:sz w:val="22"/>
          <w:szCs w:val="22"/>
          <w:color w:val="231F20"/>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22"/>
          <w:szCs w:val="22"/>
          <w:color w:val="231F20"/>
        </w:rPr>
        <w:t>☐</w:t>
      </w:r>
    </w:p>
    <w:p>
      <w:pPr>
        <w:spacing w:after="0" w:line="180" w:lineRule="exact"/>
        <w:rPr>
          <w:sz w:val="24"/>
          <w:szCs w:val="24"/>
          <w:color w:val="auto"/>
        </w:rPr>
      </w:pPr>
    </w:p>
    <w:p>
      <w:pPr>
        <w:ind w:right="60" w:firstLine="324"/>
        <w:spacing w:after="0" w:line="269" w:lineRule="exact"/>
        <w:rPr>
          <w:sz w:val="20"/>
          <w:szCs w:val="20"/>
          <w:color w:val="auto"/>
        </w:rPr>
      </w:pPr>
      <w:r>
        <w:rPr>
          <w:rFonts w:ascii="Arial" w:cs="Arial" w:eastAsia="Arial" w:hAnsi="Arial"/>
          <w:sz w:val="22"/>
          <w:szCs w:val="22"/>
          <w:color w:val="231F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2"/>
          <w:szCs w:val="22"/>
          <w:color w:val="231F20"/>
        </w:rPr>
        <w:t>☐</w:t>
      </w:r>
    </w:p>
    <w:p>
      <w:pPr>
        <w:spacing w:after="0" w:line="179" w:lineRule="exact"/>
        <w:rPr>
          <w:sz w:val="24"/>
          <w:szCs w:val="24"/>
          <w:color w:val="auto"/>
        </w:rPr>
      </w:pPr>
    </w:p>
    <w:p>
      <w:pPr>
        <w:ind w:right="340" w:firstLine="324"/>
        <w:spacing w:after="0" w:line="283" w:lineRule="exact"/>
        <w:rPr>
          <w:sz w:val="20"/>
          <w:szCs w:val="20"/>
          <w:color w:val="auto"/>
        </w:rPr>
      </w:pPr>
      <w:r>
        <w:rPr>
          <w:rFonts w:ascii="Arial" w:cs="Arial" w:eastAsia="Arial" w:hAnsi="Arial"/>
          <w:sz w:val="19"/>
          <w:szCs w:val="19"/>
          <w:color w:val="231F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231F20"/>
        </w:rPr>
        <w:t>☐</w:t>
      </w:r>
    </w:p>
    <w:p>
      <w:pPr>
        <w:sectPr>
          <w:pgSz w:w="11900" w:h="16838" w:orient="portrait"/>
          <w:cols w:equalWidth="0" w:num="1">
            <w:col w:w="11240"/>
          </w:cols>
          <w:pgMar w:left="320" w:top="226" w:right="339" w:bottom="174" w:gutter="0" w:footer="0" w:header="0"/>
          <w:type w:val="continuous"/>
        </w:sectPr>
      </w:pPr>
    </w:p>
    <w:bookmarkStart w:id="1" w:name="page2"/>
    <w:bookmarkEnd w:id="1"/>
    <w:p>
      <w:pPr>
        <w:ind w:right="120" w:firstLine="324"/>
        <w:spacing w:after="0" w:line="283" w:lineRule="exact"/>
        <w:rPr>
          <w:sz w:val="20"/>
          <w:szCs w:val="20"/>
          <w:color w:val="auto"/>
        </w:rPr>
      </w:pPr>
      <w:r>
        <w:rPr>
          <w:rFonts w:ascii="Arial" w:cs="Arial" w:eastAsia="Arial" w:hAnsi="Arial"/>
          <w:sz w:val="19"/>
          <w:szCs w:val="19"/>
          <w:color w:val="231F20"/>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9"/>
          <w:szCs w:val="19"/>
          <w:color w:val="231F20"/>
        </w:rPr>
        <w:t>☐</w:t>
      </w:r>
    </w:p>
    <w:p>
      <w:pPr>
        <w:spacing w:after="0" w:line="179" w:lineRule="exact"/>
        <w:rPr>
          <w:sz w:val="20"/>
          <w:szCs w:val="20"/>
          <w:color w:val="auto"/>
        </w:rPr>
      </w:pPr>
    </w:p>
    <w:p>
      <w:pPr>
        <w:jc w:val="both"/>
        <w:ind w:right="700" w:firstLine="324"/>
        <w:spacing w:after="0" w:line="269" w:lineRule="exact"/>
        <w:rPr>
          <w:sz w:val="20"/>
          <w:szCs w:val="20"/>
          <w:color w:val="auto"/>
        </w:rPr>
      </w:pPr>
      <w:r>
        <w:rPr>
          <w:rFonts w:ascii="Arial" w:cs="Arial" w:eastAsia="Arial" w:hAnsi="Arial"/>
          <w:sz w:val="22"/>
          <w:szCs w:val="22"/>
          <w:color w:val="231F20"/>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22"/>
          <w:szCs w:val="22"/>
          <w:color w:val="231F20"/>
        </w:rPr>
        <w:t>☐</w:t>
      </w:r>
    </w:p>
    <w:p>
      <w:pPr>
        <w:spacing w:after="0" w:line="179" w:lineRule="exact"/>
        <w:rPr>
          <w:sz w:val="20"/>
          <w:szCs w:val="20"/>
          <w:color w:val="auto"/>
        </w:rPr>
      </w:pPr>
    </w:p>
    <w:p>
      <w:pPr>
        <w:jc w:val="both"/>
        <w:ind w:right="80" w:firstLine="324"/>
        <w:spacing w:after="0" w:line="250" w:lineRule="auto"/>
        <w:rPr>
          <w:sz w:val="20"/>
          <w:szCs w:val="20"/>
          <w:color w:val="auto"/>
        </w:rPr>
      </w:pPr>
      <w:r>
        <w:rPr>
          <w:rFonts w:ascii="Arial" w:cs="Arial" w:eastAsia="Arial" w:hAnsi="Arial"/>
          <w:sz w:val="22"/>
          <w:szCs w:val="22"/>
          <w:color w:val="231F20"/>
        </w:rPr>
        <w:t>Indicate by check mark whether the registrant is an emerging growth company as defined in Rule 405 of the Securities Act of 1933.</w:t>
      </w:r>
    </w:p>
    <w:p>
      <w:pPr>
        <w:spacing w:after="0" w:line="161" w:lineRule="exact"/>
        <w:rPr>
          <w:sz w:val="20"/>
          <w:szCs w:val="20"/>
          <w:color w:val="auto"/>
        </w:rPr>
      </w:pPr>
    </w:p>
    <w:p>
      <w:pPr>
        <w:ind w:left="8640"/>
        <w:spacing w:after="0" w:line="219" w:lineRule="exact"/>
        <w:rPr>
          <w:sz w:val="20"/>
          <w:szCs w:val="20"/>
          <w:color w:val="auto"/>
        </w:rPr>
      </w:pPr>
      <w:r>
        <w:rPr>
          <w:rFonts w:ascii="Arial" w:cs="Arial" w:eastAsia="Arial" w:hAnsi="Arial"/>
          <w:sz w:val="19"/>
          <w:szCs w:val="19"/>
          <w:color w:val="231F20"/>
        </w:rPr>
        <w:t xml:space="preserve">Emerging growth company </w:t>
      </w:r>
      <w:r>
        <w:rPr>
          <w:rFonts w:ascii="MS PGothic" w:cs="MS PGothic" w:eastAsia="MS PGothic" w:hAnsi="MS PGothic"/>
          <w:sz w:val="19"/>
          <w:szCs w:val="19"/>
          <w:color w:val="231F20"/>
        </w:rPr>
        <w:t>☐</w:t>
      </w:r>
    </w:p>
    <w:p>
      <w:pPr>
        <w:spacing w:after="0" w:line="322" w:lineRule="exact"/>
        <w:rPr>
          <w:sz w:val="20"/>
          <w:szCs w:val="20"/>
          <w:color w:val="auto"/>
        </w:rPr>
      </w:pPr>
    </w:p>
    <w:p>
      <w:pPr>
        <w:jc w:val="both"/>
        <w:ind w:right="80" w:firstLine="324"/>
        <w:spacing w:after="0" w:line="269" w:lineRule="exact"/>
        <w:rPr>
          <w:sz w:val="20"/>
          <w:szCs w:val="20"/>
          <w:color w:val="auto"/>
        </w:rPr>
      </w:pPr>
      <w:r>
        <w:rPr>
          <w:rFonts w:ascii="Arial" w:cs="Arial" w:eastAsia="Arial" w:hAnsi="Arial"/>
          <w:sz w:val="22"/>
          <w:szCs w:val="22"/>
          <w:color w:val="231F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2"/>
          <w:szCs w:val="22"/>
          <w:color w:val="231F20"/>
        </w:rPr>
        <w:t>☐</w:t>
      </w:r>
    </w:p>
    <w:p>
      <w:pPr>
        <w:spacing w:after="0" w:line="179"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†The term “new or revised financial accounting standard” refers to any updated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This Post-Effective Amendment No. 1 relates to the Registration Statement on Form F-3 (Registration No. 333-249399) filed by GasLog Partners LP (the “Registrant”) with the Securities and Exchange Commission on October 9, 2020 (the “Registration Statement”) registering up to an aggregate public offering price of $400,000,000 of any combination of the securities of the Registrant described in the prospectus contained in the Registration Statement. The Registrant is filing this Post-Effective Amendment No. 1 to the Registration Statement to terminate the offering and remove from registration the securities that have not been sold pursuant to the prospectus contained in the Registration Statement.</w:t>
      </w:r>
    </w:p>
    <w:p>
      <w:pPr>
        <w:spacing w:after="0" w:line="17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On April 6, 2023, the Registrant entered into an Agreement and Plan of Merger (the “Merger Agreement”) with GasLog Partners GP LLC, the general partner of the Registrant, GasLog Ltd. (“GasLog”), and Saturn Merger Sub LLC, a wholly owned subsidiary of GasLog (“Merger Sub”). On July 13, 2023, pursuant to the Merger Agreement, Merger Sub merged with and into the Registrant, with the Registrant surviving as a direct subsidiary of GasLog (the “Merger”).</w:t>
      </w:r>
    </w:p>
    <w:p>
      <w:pPr>
        <w:spacing w:after="0" w:line="20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In connection with the Merger, the offerings of securities pursuant to the Registration Statement have been terminated. In accordance with an undertaking in the Registration Statement to remove from registration by means of a post-effective amendment any of the securities which had been registered under the Registration Statement but remain unsold at the termination of the offering, the Registrant hereby removes from registration any and all securities of the Registrant which have been registered for issuance under the Registration Statement but remain unsold. The Registration Statement is hereby amended to reflect the termination of the offering and the removal from registration of any and all securities of the Registrant which have been registered for issuance under the Registration Statement but remain unsold as of the date of this Post-Effective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center"/>
        <w:ind w:left="640"/>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Pursuant to the requirements of the Securities Act of 1933, the undersigned Registrant certifies that it has reasonable grounds to believe that it meets all of the requirements for filing on Form F-3 and has duly caused this Post-Effective Amendment No. 1 to the Registration Statement to be signed on its behalf by the undersigned, thereunto duly authorized, in the City of New York, State of New York, on July 14, 2023.</w:t>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60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4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25"/>
    </w:lvl>
    <w:lvl w:ilvl="1">
      <w:lvlJc w:val="left"/>
      <w:lvlText w:val="(%2)"/>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2023-07-14T15:27:25Z</dcterms:created>
  <dcterms:modified xsi:type="dcterms:W3CDTF">2023-07-14T15:27:25Z</dcterms:modified>
</cp:coreProperties>
</file>