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left="1000" w:right="4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July 2022</w:t>
            </w:r>
          </w:p>
        </w:tc>
        <w:tc>
          <w:tcPr>
            <w:tcW w:w="640" w:type="dxa"/>
            <w:vAlign w:val="bottom"/>
          </w:tcPr>
          <w:p>
            <w:pPr>
              <w:spacing w:after="0"/>
              <w:rPr>
                <w:sz w:val="20"/>
                <w:szCs w:val="20"/>
                <w:color w:val="auto"/>
              </w:rPr>
            </w:pP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640" w:type="dxa"/>
            <w:vAlign w:val="bottom"/>
          </w:tcPr>
          <w:p>
            <w:pPr>
              <w:spacing w:after="0"/>
              <w:rPr>
                <w:sz w:val="24"/>
                <w:szCs w:val="24"/>
                <w:color w:val="auto"/>
              </w:rPr>
            </w:pPr>
          </w:p>
        </w:tc>
      </w:tr>
      <w:tr>
        <w:trPr>
          <w:trHeight w:val="400"/>
        </w:trPr>
        <w:tc>
          <w:tcPr>
            <w:tcW w:w="92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GasLog Partners LP</w:t>
            </w:r>
          </w:p>
        </w:tc>
        <w:tc>
          <w:tcPr>
            <w:tcW w:w="640" w:type="dxa"/>
            <w:vAlign w:val="bottom"/>
          </w:tcPr>
          <w:p>
            <w:pPr>
              <w:spacing w:after="0"/>
              <w:rPr>
                <w:sz w:val="24"/>
                <w:szCs w:val="24"/>
                <w:color w:val="auto"/>
              </w:rPr>
            </w:pPr>
          </w:p>
        </w:tc>
      </w:tr>
      <w:tr>
        <w:trPr>
          <w:trHeight w:val="234"/>
        </w:trPr>
        <w:tc>
          <w:tcPr>
            <w:tcW w:w="92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640" w:type="dxa"/>
            <w:vAlign w:val="bottom"/>
          </w:tcPr>
          <w:p>
            <w:pPr>
              <w:spacing w:after="0"/>
              <w:rPr>
                <w:sz w:val="20"/>
                <w:szCs w:val="20"/>
                <w:color w:val="auto"/>
              </w:rPr>
            </w:pPr>
          </w:p>
        </w:tc>
      </w:tr>
      <w:tr>
        <w:trPr>
          <w:trHeight w:val="414"/>
        </w:trPr>
        <w:tc>
          <w:tcPr>
            <w:tcW w:w="92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640" w:type="dxa"/>
            <w:vAlign w:val="bottom"/>
          </w:tcPr>
          <w:p>
            <w:pPr>
              <w:spacing w:after="0"/>
              <w:rPr>
                <w:sz w:val="24"/>
                <w:szCs w:val="24"/>
                <w:color w:val="auto"/>
              </w:rPr>
            </w:pPr>
          </w:p>
        </w:tc>
      </w:tr>
      <w:tr>
        <w:trPr>
          <w:trHeight w:val="216"/>
        </w:trPr>
        <w:tc>
          <w:tcPr>
            <w:tcW w:w="92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640" w:type="dxa"/>
            <w:vAlign w:val="bottom"/>
          </w:tcPr>
          <w:p>
            <w:pPr>
              <w:spacing w:after="0"/>
              <w:rPr>
                <w:sz w:val="18"/>
                <w:szCs w:val="18"/>
                <w:color w:val="auto"/>
              </w:rPr>
            </w:pPr>
          </w:p>
        </w:tc>
      </w:tr>
      <w:tr>
        <w:trPr>
          <w:trHeight w:val="203"/>
        </w:trPr>
        <w:tc>
          <w:tcPr>
            <w:tcW w:w="9280" w:type="dxa"/>
            <w:vAlign w:val="bottom"/>
          </w:tcPr>
          <w:p>
            <w:pPr>
              <w:jc w:val="center"/>
              <w:ind w:left="550"/>
              <w:spacing w:after="0" w:line="202" w:lineRule="exact"/>
              <w:rPr>
                <w:sz w:val="20"/>
                <w:szCs w:val="20"/>
                <w:color w:val="auto"/>
              </w:rPr>
            </w:pPr>
            <w:r>
              <w:rPr>
                <w:rFonts w:ascii="Times New Roman" w:cs="Times New Roman" w:eastAsia="Times New Roman" w:hAnsi="Times New Roman"/>
                <w:sz w:val="18"/>
                <w:szCs w:val="18"/>
                <w:color w:val="auto"/>
                <w:w w:val="99"/>
              </w:rPr>
              <w:t>Piraeus, Greece</w:t>
            </w:r>
          </w:p>
        </w:tc>
        <w:tc>
          <w:tcPr>
            <w:tcW w:w="640" w:type="dxa"/>
            <w:vAlign w:val="bottom"/>
          </w:tcPr>
          <w:p>
            <w:pPr>
              <w:spacing w:after="0"/>
              <w:rPr>
                <w:sz w:val="17"/>
                <w:szCs w:val="17"/>
                <w:color w:val="auto"/>
              </w:rPr>
            </w:pPr>
          </w:p>
        </w:tc>
      </w:tr>
      <w:tr>
        <w:trPr>
          <w:trHeight w:val="234"/>
        </w:trPr>
        <w:tc>
          <w:tcPr>
            <w:tcW w:w="92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640" w:type="dxa"/>
            <w:vAlign w:val="bottom"/>
          </w:tcPr>
          <w:p>
            <w:pPr>
              <w:spacing w:after="0"/>
              <w:rPr>
                <w:sz w:val="20"/>
                <w:szCs w:val="20"/>
                <w:color w:val="auto"/>
              </w:rPr>
            </w:pPr>
          </w:p>
        </w:tc>
      </w:tr>
      <w:tr>
        <w:trPr>
          <w:trHeight w:val="432"/>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640" w:type="dxa"/>
            <w:vAlign w:val="bottom"/>
          </w:tcPr>
          <w:p>
            <w:pPr>
              <w:spacing w:after="0"/>
              <w:rPr>
                <w:sz w:val="24"/>
                <w:szCs w:val="24"/>
                <w:color w:val="auto"/>
              </w:rPr>
            </w:pPr>
          </w:p>
        </w:tc>
      </w:tr>
      <w:tr>
        <w:trPr>
          <w:trHeight w:val="452"/>
        </w:trPr>
        <w:tc>
          <w:tcPr>
            <w:tcW w:w="92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r>
      <w:tr>
        <w:trPr>
          <w:trHeight w:val="445"/>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6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9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95"/>
        </w:trPr>
        <w:tc>
          <w:tcPr>
            <w:tcW w:w="9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830"/>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995" w:right="999" w:bottom="1440" w:gutter="0" w:footer="0" w:header="0"/>
        </w:sectPr>
      </w:pPr>
    </w:p>
    <w:bookmarkStart w:id="1" w:name="page2"/>
    <w:bookmarkEnd w:id="1"/>
    <w:p>
      <w:pPr>
        <w:ind w:right="260" w:firstLine="376"/>
        <w:spacing w:after="0" w:line="280" w:lineRule="auto"/>
        <w:rPr>
          <w:sz w:val="20"/>
          <w:szCs w:val="20"/>
          <w:color w:val="auto"/>
        </w:rPr>
      </w:pPr>
      <w:r>
        <w:rPr>
          <w:rFonts w:ascii="Times New Roman" w:cs="Times New Roman" w:eastAsia="Times New Roman" w:hAnsi="Times New Roman"/>
          <w:sz w:val="16"/>
          <w:szCs w:val="16"/>
          <w:color w:val="auto"/>
        </w:rPr>
        <w:t>The press release issued by GasLog Partners LP on July 28, 2022 relating to its results for the three-month period ended June 30, 2022 and the related financial report are attached hereto as Exhibits 99.1, 99.2 and 99.3, respectively.</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194" w:lineRule="exact"/>
        <w:rPr>
          <w:sz w:val="20"/>
          <w:szCs w:val="20"/>
          <w:color w:val="auto"/>
        </w:rPr>
      </w:pPr>
    </w:p>
    <w:p>
      <w:pPr>
        <w:ind w:firstLine="376"/>
        <w:spacing w:after="0" w:line="267" w:lineRule="auto"/>
        <w:rPr>
          <w:rFonts w:ascii="Times New Roman" w:cs="Times New Roman" w:eastAsia="Times New Roman" w:hAnsi="Times New Roman"/>
          <w:sz w:val="16"/>
          <w:szCs w:val="16"/>
          <w:color w:val="0000EE"/>
        </w:rPr>
      </w:pPr>
      <w:hyperlink r:id="rId10">
        <w:r>
          <w:rPr>
            <w:rFonts w:ascii="Times New Roman" w:cs="Times New Roman" w:eastAsia="Times New Roman" w:hAnsi="Times New Roman"/>
            <w:sz w:val="16"/>
            <w:szCs w:val="16"/>
            <w:color w:val="auto"/>
          </w:rPr>
          <w:t xml:space="preserve">Exhibits 99.2 and 99.3 to this Report on Form 6-K shall be incorporated by reference into our registration statement on Form </w:t>
        </w:r>
        <w:r>
          <w:rPr>
            <w:rFonts w:ascii="Times New Roman" w:cs="Times New Roman" w:eastAsia="Times New Roman" w:hAnsi="Times New Roman"/>
            <w:sz w:val="16"/>
            <w:szCs w:val="16"/>
            <w:u w:val="single" w:color="auto"/>
            <w:color w:val="0000EE"/>
          </w:rPr>
          <w:t>F-3 (File No. 333-</w:t>
        </w:r>
      </w:hyperlink>
      <w:hyperlink r:id="rId11">
        <w:r>
          <w:rPr>
            <w:rFonts w:ascii="Times New Roman" w:cs="Times New Roman" w:eastAsia="Times New Roman" w:hAnsi="Times New Roman"/>
            <w:sz w:val="16"/>
            <w:szCs w:val="16"/>
            <w:u w:val="single" w:color="auto"/>
            <w:color w:val="0000EE"/>
          </w:rPr>
          <w:t>249399),</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filed with the Securities and Exchange Commission (the “SEC”) on October 9, 2020 and the registration statement 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u w:val="single" w:color="auto"/>
            <w:color w:val="0000EE"/>
          </w:rPr>
          <w:t>Form S-8 (File No. 333-</w:t>
        </w:r>
      </w:hyperlink>
    </w:p>
    <w:p>
      <w:pPr>
        <w:jc w:val="both"/>
        <w:ind w:right="100"/>
        <w:spacing w:after="0" w:line="251" w:lineRule="auto"/>
        <w:rPr>
          <w:rFonts w:ascii="Times New Roman" w:cs="Times New Roman" w:eastAsia="Times New Roman" w:hAnsi="Times New Roman"/>
          <w:sz w:val="16"/>
          <w:szCs w:val="16"/>
          <w:color w:val="0000EE"/>
        </w:rPr>
      </w:pPr>
      <w:hyperlink r:id="rId11">
        <w:r>
          <w:rPr>
            <w:rFonts w:ascii="Times New Roman" w:cs="Times New Roman" w:eastAsia="Times New Roman" w:hAnsi="Times New Roman"/>
            <w:sz w:val="16"/>
            <w:szCs w:val="16"/>
            <w:u w:val="single" w:color="auto"/>
            <w:color w:val="0000EE"/>
          </w:rPr>
          <w:t>203139),</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filed with the SEC on March 31, 2015, in each case to the extent not superseded by information subsequently filed or furnished (to the extent</w:t>
        </w:r>
      </w:hyperlink>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we expressly state that we incorporate such furnished information by reference) by us under the Securities Act of 1933 or the Securities Exchange Act of 1934, in each case as amended.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56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EXHIBIT LIST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Exhibit</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42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2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rPr>
              <w:t>Press Release dated July 28, 2022</w:t>
            </w:r>
          </w:p>
        </w:tc>
        <w:tc>
          <w:tcPr>
            <w:tcW w:w="3560" w:type="dxa"/>
            <w:vAlign w:val="bottom"/>
            <w:gridSpan w:val="3"/>
          </w:tcPr>
          <w:p>
            <w:pPr>
              <w:spacing w:after="0"/>
              <w:rPr>
                <w:sz w:val="24"/>
                <w:szCs w:val="24"/>
                <w:color w:val="auto"/>
              </w:rPr>
            </w:pPr>
          </w:p>
        </w:tc>
      </w:tr>
      <w:tr>
        <w:trPr>
          <w:trHeight w:val="43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4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Financial Report for the Three and Six Months Ended June 30, 2022</w:t>
            </w:r>
          </w:p>
        </w:tc>
        <w:tc>
          <w:tcPr>
            <w:tcW w:w="132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5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w:t>
            </w:r>
          </w:p>
        </w:tc>
      </w:tr>
      <w:tr>
        <w:trPr>
          <w:trHeight w:val="439"/>
        </w:trPr>
        <w:tc>
          <w:tcPr>
            <w:tcW w:w="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99.3</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Unaudited Condensed Consolidated Financial Statements</w:t>
            </w:r>
          </w:p>
        </w:tc>
      </w:tr>
      <w:tr>
        <w:trPr>
          <w:trHeight w:val="47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7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2040" w:type="dxa"/>
            <w:vAlign w:val="bottom"/>
            <w:gridSpan w:val="2"/>
          </w:tcPr>
          <w:p>
            <w:pPr>
              <w:spacing w:after="0"/>
              <w:rPr>
                <w:sz w:val="24"/>
                <w:szCs w:val="24"/>
                <w:color w:val="auto"/>
              </w:rPr>
            </w:pP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Scheme Calculation Linkbase</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Scheme Definition Linkbase</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Scheme Label Linkbase</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5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Scheme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6"/>
          <w:szCs w:val="16"/>
          <w:color w:val="auto"/>
        </w:rPr>
        <w:t>SIGNATURES</w:t>
      </w:r>
    </w:p>
    <w:p>
      <w:pPr>
        <w:spacing w:after="0" w:line="208" w:lineRule="exact"/>
        <w:rPr>
          <w:sz w:val="20"/>
          <w:szCs w:val="20"/>
          <w:color w:val="auto"/>
        </w:rPr>
      </w:pPr>
    </w:p>
    <w:p>
      <w:pPr>
        <w:ind w:firstLine="376"/>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2022</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126" w:right="12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Partners LP Reports Financial Results for the Second Quarter of 2022 and Declares Cash Distribution</w:t>
      </w:r>
    </w:p>
    <w:p>
      <w:pPr>
        <w:spacing w:after="0" w:line="235"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Majuro, Marshall Islands, July 28, 2022, GasLog Partners LP (“GasLog Partners” or the “Partnership”) (NYSE: GLOP), </w:t>
      </w:r>
      <w:r>
        <w:rPr>
          <w:rFonts w:ascii="Times New Roman" w:cs="Times New Roman" w:eastAsia="Times New Roman" w:hAnsi="Times New Roman"/>
          <w:sz w:val="16"/>
          <w:szCs w:val="16"/>
          <w:color w:val="auto"/>
        </w:rPr>
        <w:t>an international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owner and operator of liquefied natural gas (“LNG”) carriers, today reported its financial results for the second quarter of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Highlights</w:t>
      </w:r>
    </w:p>
    <w:p>
      <w:pPr>
        <w:spacing w:after="0" w:line="235" w:lineRule="exact"/>
        <w:rPr>
          <w:sz w:val="20"/>
          <w:szCs w:val="20"/>
          <w:color w:val="auto"/>
        </w:rPr>
      </w:pPr>
    </w:p>
    <w:p>
      <w:pPr>
        <w:ind w:left="340" w:right="360" w:hanging="332"/>
        <w:spacing w:after="0" w:line="25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Rechartered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 steam turbine propulsion (“Steam”) LNG carrier, with an energy major for one year and signed a new multi-month time charter agreement for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a tri-fuel diesel electric (“TFDE”) LNG carrier, with a major trading house</w:t>
      </w:r>
    </w:p>
    <w:p>
      <w:pPr>
        <w:spacing w:after="0" w:line="1" w:lineRule="exact"/>
        <w:rPr>
          <w:rFonts w:ascii="Times New Roman" w:cs="Times New Roman" w:eastAsia="Times New Roman" w:hAnsi="Times New Roman"/>
          <w:sz w:val="18"/>
          <w:szCs w:val="18"/>
          <w:color w:val="auto"/>
        </w:rPr>
      </w:pPr>
    </w:p>
    <w:p>
      <w:pPr>
        <w:ind w:left="340" w:right="440" w:hanging="332"/>
        <w:spacing w:after="0" w:line="253"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Entered into an agreement to sell, subject to customary and other closing conditions, the Steam LNG carrier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to an unrelated third party for approximately $54.0 million, with the sale expected to be completed in the third quarter of 2022, while pursuing an agreement for the sale and lease-back of another Steam vessel within the next 12 months</w:t>
      </w:r>
    </w:p>
    <w:p>
      <w:pPr>
        <w:spacing w:after="0" w:line="1" w:lineRule="exact"/>
        <w:rPr>
          <w:rFonts w:ascii="Times New Roman" w:cs="Times New Roman" w:eastAsia="Times New Roman" w:hAnsi="Times New Roman"/>
          <w:sz w:val="18"/>
          <w:szCs w:val="18"/>
          <w:color w:val="auto"/>
        </w:rPr>
      </w:pPr>
    </w:p>
    <w:p>
      <w:pPr>
        <w:ind w:left="340" w:right="680" w:hanging="332"/>
        <w:spacing w:after="0" w:line="24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Repurchased $8.7 million of preference units in the open market in the second quarter of 2022 and a total of $18.7 million of repurchased preference units in the first six months of 2022</w:t>
      </w:r>
    </w:p>
    <w:p>
      <w:pPr>
        <w:ind w:left="340" w:hanging="332"/>
        <w:spacing w:after="0" w:line="23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Repaid $19.9 million of debt and lease liabilities during the second quarter of 2022 and $56.9 million in the first six months of 2022</w:t>
      </w:r>
    </w:p>
    <w:p>
      <w:pPr>
        <w:spacing w:after="0" w:line="20" w:lineRule="exact"/>
        <w:rPr>
          <w:rFonts w:ascii="Times New Roman" w:cs="Times New Roman" w:eastAsia="Times New Roman" w:hAnsi="Times New Roman"/>
          <w:sz w:val="18"/>
          <w:szCs w:val="18"/>
          <w:color w:val="auto"/>
        </w:rPr>
      </w:pPr>
    </w:p>
    <w:p>
      <w:pPr>
        <w:ind w:left="340" w:right="800" w:hanging="332"/>
        <w:spacing w:after="0" w:line="20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Quarterly Revenues, Profit, Adjusted Profit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of $84.9 million, $0.8 million, $26.3 million and $59.3 million, respectively</w:t>
      </w:r>
    </w:p>
    <w:p>
      <w:pPr>
        <w:ind w:left="340" w:hanging="332"/>
        <w:spacing w:after="0" w:line="19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Quarterly Earnings/(loss) per unit (“EPU”) of ($0.12) and Adjusted EPU</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of $0.37</w:t>
      </w:r>
    </w:p>
    <w:p>
      <w:pPr>
        <w:ind w:left="340" w:hanging="332"/>
        <w:spacing w:after="0" w:line="223"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Declared cash distribution of $0.01 per common unit for the second quarter of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CEO Statement</w:t>
      </w:r>
    </w:p>
    <w:p>
      <w:pPr>
        <w:spacing w:after="0" w:line="23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 xml:space="preserve">Paolo Enoizi, Chief Executive Officer, commented: “The Partnership is glad to report a positive operating result for the second quarter of 2022, driven by an improved LNG shipping spot market and a sustained interest for term business. Our team has been able to secure important chartering opportunities for two vessels in our fleet, the Steam LNG carrier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TFDE LNG carrier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realize another two important transactions with the expected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potential sale and lease-back of an additional Steam vessel at prices that reflect the improved LNG carrier sale and purchase market. The two new charters are expected to add approximately $50.0 million of incremental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to our contract portfolio, while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is expected to contribute approximately $20.0 million of incremental net liquidity (net sale proceeds less debt prepayment) to our balance sheet.</w:t>
      </w:r>
    </w:p>
    <w:p>
      <w:pPr>
        <w:spacing w:after="0" w:line="202"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We continue to successfully execute on our business strategy and capital allocation plan, de-leveraging our balance sheet and continuing our preference unit repurchase programme and further reducing the all-in break-evens of our fleet.”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Summary</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All amounts expressed in thousands of U.S. dollars, except per unit amounts</w:t>
            </w:r>
            <w:r>
              <w:rPr>
                <w:rFonts w:ascii="Times New Roman" w:cs="Times New Roman" w:eastAsia="Times New Roman" w:hAnsi="Times New Roman"/>
                <w:sz w:val="14"/>
                <w:szCs w:val="14"/>
                <w:color w:val="auto"/>
              </w:rPr>
              <w:t>)</w:t>
            </w:r>
          </w:p>
        </w:tc>
        <w:tc>
          <w:tcPr>
            <w:tcW w:w="2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Profit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EPU, common (basic)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4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Profit</w:t>
            </w:r>
            <w:r>
              <w:rPr>
                <w:rFonts w:ascii="Times New Roman" w:cs="Times New Roman" w:eastAsia="Times New Roman" w:hAnsi="Times New Roman"/>
                <w:sz w:val="25"/>
                <w:szCs w:val="25"/>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26,329</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35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Adjusted EPU, common (basic)</w:t>
            </w:r>
            <w:r>
              <w:rPr>
                <w:rFonts w:ascii="Times New Roman" w:cs="Times New Roman" w:eastAsia="Times New Roman" w:hAnsi="Times New Roman"/>
                <w:sz w:val="26"/>
                <w:szCs w:val="26"/>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There were 1,365 available days for the second quarter of 2022, as compared to 1,283 available days for the second quarter of 2021, due to the scheduled dry-dockings of three of our vessels in the second quarter of 2021.</w:t>
      </w:r>
    </w:p>
    <w:p>
      <w:pPr>
        <w:spacing w:after="0" w:line="164"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6"/>
          <w:szCs w:val="16"/>
          <w:color w:val="auto"/>
        </w:rPr>
        <w:t>Management classifies the Partnership’s vessels from a commercial point of view into two categories: (a) spot fleet and (b) long-term fleet. The spot fleet includes all vessels under charter party agreements with an initial duration of up to five years (excluding optional periods), while the long-term fleet comprises all vessels with charter party agreements of an initial duration of more than five years (excluding optional periods).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4" w:name="page5"/>
    <w:bookmarkEnd w:id="4"/>
    <w:p>
      <w:pPr>
        <w:ind w:right="400"/>
        <w:spacing w:after="0" w:line="298" w:lineRule="auto"/>
        <w:rPr>
          <w:sz w:val="20"/>
          <w:szCs w:val="20"/>
          <w:color w:val="auto"/>
        </w:rPr>
      </w:pPr>
      <w:r>
        <w:rPr>
          <w:rFonts w:ascii="Times New Roman" w:cs="Times New Roman" w:eastAsia="Times New Roman" w:hAnsi="Times New Roman"/>
          <w:sz w:val="16"/>
          <w:szCs w:val="16"/>
          <w:color w:val="auto"/>
        </w:rPr>
        <w:t>For the three months ended June 30, 2021 and 2022, an analysis of available days, revenues and voyage expenses and commissions per category is presented below:</w:t>
      </w:r>
    </w:p>
    <w:p>
      <w:pPr>
        <w:spacing w:after="0" w:line="1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All amounts expressed in thousands of U.S. dollars, except</w:t>
            </w:r>
          </w:p>
        </w:tc>
        <w:tc>
          <w:tcPr>
            <w:tcW w:w="18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6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02"/>
        </w:trPr>
        <w:tc>
          <w:tcPr>
            <w:tcW w:w="3980" w:type="dxa"/>
            <w:vAlign w:val="bottom"/>
            <w:vMerge w:val="continue"/>
          </w:tcPr>
          <w:p>
            <w:pPr>
              <w:spacing w:after="0"/>
              <w:rPr>
                <w:sz w:val="8"/>
                <w:szCs w:val="8"/>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Spot fleet</w:t>
            </w:r>
          </w:p>
        </w:tc>
        <w:tc>
          <w:tcPr>
            <w:tcW w:w="1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Long-term fleet</w:t>
            </w: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Spot fleet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Long-term fleet</w:t>
            </w:r>
          </w:p>
        </w:tc>
        <w:tc>
          <w:tcPr>
            <w:tcW w:w="0" w:type="dxa"/>
            <w:vAlign w:val="bottom"/>
          </w:tcPr>
          <w:p>
            <w:pPr>
              <w:spacing w:after="0"/>
              <w:rPr>
                <w:sz w:val="1"/>
                <w:szCs w:val="1"/>
                <w:color w:val="auto"/>
              </w:rPr>
            </w:pPr>
          </w:p>
        </w:tc>
      </w:tr>
      <w:tr>
        <w:trPr>
          <w:trHeight w:val="175"/>
        </w:trPr>
        <w:tc>
          <w:tcPr>
            <w:tcW w:w="3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number of days</w:t>
            </w:r>
          </w:p>
        </w:tc>
        <w:tc>
          <w:tcPr>
            <w:tcW w:w="780" w:type="dxa"/>
            <w:vAlign w:val="bottom"/>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Available days </w:t>
            </w:r>
            <w:r>
              <w:rPr>
                <w:rFonts w:ascii="Times New Roman" w:cs="Times New Roman" w:eastAsia="Times New Roman" w:hAnsi="Times New Roman"/>
                <w:sz w:val="24"/>
                <w:szCs w:val="24"/>
                <w:color w:val="auto"/>
                <w:vertAlign w:val="superscript"/>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42,881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40" w:firstLine="8"/>
        <w:spacing w:after="0" w:line="261" w:lineRule="auto"/>
        <w:tabs>
          <w:tab w:leader="none" w:pos="162"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Available days represent total calendar days in the period after deducting off-hire days where vessels are undergoing dry-dockings and unavailable days (for example days before and after a dry-docking where the vessel has limited practical ability for chartering opportunities).</w:t>
      </w:r>
    </w:p>
    <w:p>
      <w:pPr>
        <w:spacing w:after="0" w:line="17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Revenues were $84.9 million for the second quarter of 2022, compared to $70.4 million for the same period in 2021. The increase of $14.5 million is mainly attributable to a net increase in revenues from our vessels operating in the spot market in the second quarter of 2022, in line with the improvement of the LNG shipping spot and term market, combined with an increase in revenues resulting from the 82 off-hire days due to the scheduled dry-dockings of three of our vessels in the second quarter of 2021 (compared to nil in the same period in 2022).</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Voyage expenses and commissions were $2.2 million for the second quarter of 2022, compared to $1.9 million for the same period in 2021. The increase of $0.3 million in voyage expenses and commissions is mainly attributable to an increase in broker commissions in line with the abovementioned increase in revenues in the second quarter of 2022, as compared to the same period in 2021.</w:t>
      </w:r>
    </w:p>
    <w:p>
      <w:pPr>
        <w:spacing w:after="0" w:line="17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 xml:space="preserve">Vessel operating costs were $19.0 million for the second quarter of 2022, compared to $20.0 million for the same period in 2021. The decrease of $1.0 million in vessel operating costs is mainly attributable to a decrease in technical maintenance expenses and a decrease in vessel management fees, partially offset by an increase in crew costs, with the latter largely related to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her redelivery into our managed fleet on April 6, 2022). As a result, daily operating costs per vessel decreased to $14,005 per day for the second quarter of 2022 from $15,734 per day for the second quarter of 2021.</w:t>
      </w:r>
    </w:p>
    <w:p>
      <w:pPr>
        <w:spacing w:after="0" w:line="18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were $4.4 million for the second quarter of 2022, compared to $3.5 million for the same period in 2021. The increase of $0.9 million is mainly attributable to an aggregate increase in administrative services fees for our fleet in connection with the increase in the annual fee per vessel payable to GasLog Ltd. in 2022 (approximately $0.3 million per vessel per year). As a result, daily general and administrative expenses increased to $3,211 per vessel ownership day for the second quarter of 2022 from $2,554 per vessel ownership day for the second quarter of 2021.</w:t>
      </w:r>
    </w:p>
    <w:p>
      <w:pPr>
        <w:spacing w:after="0" w:line="18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Impairment loss on vessels was $28.0 million for the second quarter of 2022, compared to nil for the same period in 2021. The impairment loss was recognized pursuant to the reclassification of two of our Steam vessels as held for sale and remeasurement of their carrying amounts as of June 30, 2022.</w:t>
      </w:r>
    </w:p>
    <w:p>
      <w:pPr>
        <w:spacing w:after="0" w:line="164"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was $59.3 million for the second quarter of 2022, compared to $45.0 million for the same period in 2021. The increase of $14.3 million is mainly attributable to the increase in revenues of $14.5 million described above.</w:t>
      </w:r>
    </w:p>
    <w:p>
      <w:pPr>
        <w:spacing w:after="0" w:line="20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 xml:space="preserve">Financial costs were $9.8 million for the second quarter of 2022, compared to $9.1 million for the same period in 2021. The increase of $0.7 million in financial costs is attributable to an increase in interest expense on loans, mainly due to an increase in the London Interbank Offered Rate (“LIBOR”) rates in the second quarter of 2022 as compared to the same period in 2021, and an increase in interest expense on leases, pursuant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in October 2021. During the second quarter of 2022, we had an average of $1,058.1 million of bank borrowings outstanding under our credit facilities with a weighted average interest rate of 3.1%, compared to an average of $1,261.1 million of bank borrowings outstanding under our credit facilities with a weighted average interest rate of 2.4% during the second quarter of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Gain on derivatives was $1.2 million for the second quarter of 2022, compared to a loss of $0.4 million for the same period in 2021. The decrease of</w:t>
      </w:r>
    </w:p>
    <w:p>
      <w:pPr>
        <w:spacing w:after="0" w:line="2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$1.6 million in the loss on derivatives is attributable to a decrease in realized loss on derivatives held for trading and an increase in unrealized gain from the mark-to-market valuation of derivatives (interest rate swaps) held for trading, which were carried at fair value through profit or loss, mainly due to changes in the forward yield curve.</w:t>
      </w:r>
    </w:p>
    <w:p>
      <w:pPr>
        <w:spacing w:after="0" w:line="18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Profit was $0.8 million for the second quarter of 2022, compared to $14.7 million for the same period in 2021. The decrease in profit of $13.9 million is mainly attributable to the impairment loss of $28.0 million, partially offset by the increase in revenues of $14.5 million, as described above.</w:t>
      </w:r>
    </w:p>
    <w:p>
      <w:pPr>
        <w:spacing w:after="0" w:line="164"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6"/>
          <w:szCs w:val="16"/>
          <w:color w:val="auto"/>
        </w:rPr>
        <w:t>Adjusted Profit was $26.3 million for the second quarter of 2022, compared to $12.7 million for the same period in 2021. The increase in Adjusted Profit of $13.6 million is mainly attributable to the increase in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discussed above.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5" w:name="page6"/>
    <w:bookmarkEnd w:id="5"/>
    <w:p>
      <w:pPr>
        <w:spacing w:after="0" w:line="281" w:lineRule="auto"/>
        <w:rPr>
          <w:sz w:val="20"/>
          <w:szCs w:val="20"/>
          <w:color w:val="auto"/>
        </w:rPr>
      </w:pPr>
      <w:r>
        <w:rPr>
          <w:rFonts w:ascii="Times New Roman" w:cs="Times New Roman" w:eastAsia="Times New Roman" w:hAnsi="Times New Roman"/>
          <w:sz w:val="16"/>
          <w:szCs w:val="16"/>
          <w:color w:val="auto"/>
        </w:rPr>
        <w:t>As of June 30, 2022, we had $147.3 million of cash and cash equivalents, out of which $51.8 million was held in current accounts and $95.5 million was held in time deposits with an original duration of less than three months. An additional amount of $10.0 million of time deposits with an original duration greater than three months was classified under short-term cash deposits.</w:t>
      </w:r>
    </w:p>
    <w:p>
      <w:pPr>
        <w:spacing w:after="0" w:line="17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 xml:space="preserve">As of June 30, 2022, we had an aggregate of $1,036.1 million of bank borrowings outstanding under our credit facilities, of which $159.3 million was repayable within one year. Current bank borrowings include an amount of $69.1 million with respect to the associated debt of our two Steam vessels classified as held for sale as of June 30, 2022. As of June 30, 2022, we also had an aggregate of $50.9 million of lease liabilities mainly related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of which $10.5 million was payable within one year.</w:t>
      </w:r>
    </w:p>
    <w:p>
      <w:pPr>
        <w:spacing w:after="0" w:line="183"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As of June 30, 2022, our current assets totaled $291.6 million and current liabilities totaled $239.8 million, resulting in a positive working capital position of $51.8 million.</w:t>
      </w:r>
    </w:p>
    <w:p>
      <w:pPr>
        <w:spacing w:after="0" w:line="155" w:lineRule="exact"/>
        <w:rPr>
          <w:sz w:val="20"/>
          <w:szCs w:val="20"/>
          <w:color w:val="auto"/>
        </w:rPr>
      </w:pPr>
    </w:p>
    <w:p>
      <w:pPr>
        <w:ind w:left="340" w:right="140" w:hanging="332"/>
        <w:spacing w:after="0"/>
        <w:tabs>
          <w:tab w:leader="none" w:pos="34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Adjusted Profit, EBITDA,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Sale of Vessels</w:t>
      </w:r>
    </w:p>
    <w:p>
      <w:pPr>
        <w:spacing w:after="0" w:line="23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 xml:space="preserve">In June 2022, GasLog Partners entered into an agreement to sell, subject to customary and other closing conditions,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a 145,000 cubic meter Steam LNG carrier built in 2007, to an unrelated third party for a gross sale price of approximately $54.0 million, resulting in the reclassification of the vessel as held for sale and the recognition of an impairment loss of $14.7 million as of June 30, 2022. The transaction is expected to be completed in the third quarter of 2022, upon redelivery of the vessel from its current charterer.</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 addition, as of June 30, 2022, GasLog Partners had been pursuing an agreement for the sale and lease-back of another Steam vessel, resulting in the reclassification of that vessel as held for sale and the recognition of an impairment loss of $13.3 million. While no definitive agreement has yet been reached, the agreement is expected to be executed and the sale expected to be completed within the next 12 months.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Repurchase Programme</w:t>
      </w:r>
    </w:p>
    <w:p>
      <w:pPr>
        <w:spacing w:after="0" w:line="2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the second quarter of 2022, under the Partnership’s preference unit repurchase programme (the “Repurchase Programme”) established in March 2021, GasLog Partners repurchased and cancelled 72,762 8.625% Series A Cumulative Redeemable Perpetual Fixed to Floating Rate Preference Units (the “Series A Preference Units”), 140,201 8.200% Series B Cumulative Redeemable Perpetual Fixed to Floating Rate Preference Units (the “Series B Preference Units”) and 132,715 8.500% Series C Cumulative Redeemable Perpetual Fixed to Floating Rate Preference Units (the “Series C Preference Units”), for an aggregate amount of $8.7 million, including commissions.</w:t>
      </w:r>
    </w:p>
    <w:p>
      <w:pPr>
        <w:spacing w:after="0" w:line="18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Since inception of the Repurchase Programme in March 2021 and up to June 30, 2022, GasLog Partners has repurchased and cancelled 80,600 Series A Preference Units, 777,220 Series B Preference Units and 615,599 Series C Preference Units at a weighted average price of $25.44, $25.06 and $25.23 per preference unit for Series A, Series B and Series C, respectively, for an aggregate amount of $37.1 million, including commissions.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LNG Market Update and Outlook</w:t>
      </w:r>
    </w:p>
    <w:p>
      <w:pPr>
        <w:spacing w:after="0" w:line="2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Global LNG demand was forecasted to be 95.7 million tonnes (“mt”) in the second quarter of 2022, according to Wood Mackenzie, Energy Research and Consultancy (“WoodMac”), compared to 92 mt in the second quarter of 2021, an increase of approximately 4%, primarily led by continued strong demand from Europe in response to low inventories and continued disruption of gas pipeline imports from Russia. As a result of increased LNG imports, European inventories were recovering to seasonal average levels. However, Russia has reduced flows via Nord Stream 1 pipeline into Germany by 60%, citing technical issues for the reduction.</w:t>
      </w:r>
    </w:p>
    <w:p>
      <w:pPr>
        <w:spacing w:after="0" w:line="18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Global LNG supply was approximately 101.3 mt in the second quarter of 2022, growing by 6.5 mt, or 6.9%, compared to the second quarter of 2021 according to WoodMac. LNG supply in 2022 retained strong levels compared to the first quarter of 2022, declining by just 0.1 mt as a result of high utilization in the United States (“U.S.”) and the gradual recovery of Norwegian exports. Looking ahead, approximately 163 mt of new LNG capacity is currently under construction and scheduled to come online between 2023 and 2027.</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6"/>
          <w:szCs w:val="16"/>
          <w:color w:val="auto"/>
        </w:rPr>
        <w:t>Headline spot rates for TFDE LNG carriers, as reported by Clarkson Research Services Limited (“Clarksons”), averaged $61,846 per day in the second quarter of 2022, a 6.7% increase over the $57,962 per day average in the second quarter of 2021. Headline spot rates for Steam LNG carriers averaged $40,346 per day in the second quarter of 2022, 10% lower than the average of $44,654 per day in the second quarter of 2021. Headline spot rates in the second quarter of 2022 were impacted by an increased availability of sublet tonnage, limited spot vessel enquiries and declining inter-basin demand.</w:t>
      </w:r>
    </w:p>
    <w:p>
      <w:pPr>
        <w:spacing w:after="0" w:line="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Most recently, the fire at the Freeport LNG export facility significantly negatively affected demand for LNG carriers in the Atlantic Basin while simultaneously releasing additional vessels into the spot market. The market for independently owned vessels, however, is supported by strong demand in the multi-month/multi-year market, despite the recent underperformance of the spot market, due to uncertainty, volatility and the small number of uncommitted vessels able to offer charterers the necessary flexibility. One-year time charter rates for TFDE LNG carriers averaged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6" w:name="page7"/>
    <w:bookmarkEnd w:id="6"/>
    <w:p>
      <w:pPr>
        <w:ind w:right="140"/>
        <w:spacing w:after="0" w:line="281" w:lineRule="auto"/>
        <w:rPr>
          <w:sz w:val="20"/>
          <w:szCs w:val="20"/>
          <w:color w:val="auto"/>
        </w:rPr>
      </w:pPr>
      <w:r>
        <w:rPr>
          <w:rFonts w:ascii="Times New Roman" w:cs="Times New Roman" w:eastAsia="Times New Roman" w:hAnsi="Times New Roman"/>
          <w:sz w:val="16"/>
          <w:szCs w:val="16"/>
          <w:color w:val="auto"/>
        </w:rPr>
        <w:t>$112,250 per day in the second quarter of 2022, a 43% increase over the $78,267 per day average in the second quarter of 2021. One-year time charter rates for Steam LNG carriers averaged $62,450 per day in the second quarter of 2022, a 20% increase over the $52,083 daily average in the second quarter of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July 1, 2022, Clarksons assessed headline spot rates for TFDE and Steam LNG carriers at $58,750 per day and $32,500 per day,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 assessments for LNG carrier spot rates indicate rising spot rates through the remainder of the year.</w:t>
      </w:r>
    </w:p>
    <w:p>
      <w:pPr>
        <w:spacing w:after="0" w:line="22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As of July 1, 2022, Poten &amp; Partners Group Inc. estimated that the orderbook totaled 219 dedicated LNG carriers (&gt;100,000 cbm), representing 37% of the on-the-water fleet. Of these, 189 vessels (or 86%) have multi-year charters. There were 88 orders for newbuild LNG carriers in the first six months of 2022 compared with 77 orders for all of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Distributions</w:t>
      </w:r>
    </w:p>
    <w:p>
      <w:pPr>
        <w:spacing w:after="0" w:line="23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On July 27, 2022,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September 15, 2022 to all unitholders of record as of September 8,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Unit Distribution</w:t>
      </w:r>
    </w:p>
    <w:p>
      <w:pPr>
        <w:spacing w:after="0" w:line="237"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On July 27, 2022, the board of directors of GasLog Partners approved and declared a quarterly cash distribution of $0.01 per common unit for the quarter ended June 30, 2022. The cash distribution is payable on August 11, 2022 to all unitholders of record as of August 8,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ATM Common Equity Offering Programme (“ATM Programme”)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Partnership did not issue any common units under the ATM Programme during the second quarter of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GasLog Partners will host a conference call to discuss its results for the second quarter of 2022 at 8.00 a.m. EDT (3.00 p.m. EEST) on Thursday, July 28, 2022. The Partnership’s senior management will review the operational and financial performance for the period. Management’s presentation will be followed by a Q&amp;A session.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+1 866 374 5140 (USA)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 20 3100 4191 (United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 1 72 25 67 60 (France)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+852 800 9337 52 (Hong Kong)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Conference ID: 57987430</w:t>
      </w:r>
    </w:p>
    <w:p>
      <w:pPr>
        <w:spacing w:after="0" w:line="235" w:lineRule="exact"/>
        <w:rPr>
          <w:sz w:val="20"/>
          <w:szCs w:val="20"/>
          <w:color w:val="auto"/>
        </w:rPr>
      </w:pPr>
    </w:p>
    <w:p>
      <w:pPr>
        <w:ind w:right="2300"/>
        <w:spacing w:after="0" w:line="298" w:lineRule="auto"/>
        <w:rPr>
          <w:sz w:val="20"/>
          <w:szCs w:val="20"/>
          <w:color w:val="auto"/>
        </w:rPr>
      </w:pPr>
      <w:r>
        <w:rPr>
          <w:rFonts w:ascii="Times New Roman" w:cs="Times New Roman" w:eastAsia="Times New Roman" w:hAnsi="Times New Roman"/>
          <w:sz w:val="16"/>
          <w:szCs w:val="16"/>
          <w:color w:val="auto"/>
        </w:rPr>
        <w:t>A live webcast of the conference call will be available on the Investor Relations page of the GasLog Partners website (http://www.gaslogmlp.com/investors).</w:t>
      </w:r>
    </w:p>
    <w:p>
      <w:pPr>
        <w:spacing w:after="0" w:line="16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For those unable to participate in the conference call, a replay of the webcast will be available on the Investor Relations page of the GasLog Partners website (http://www.gaslogmlp.com/investors).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Partners</w:t>
      </w:r>
    </w:p>
    <w:p>
      <w:pPr>
        <w:spacing w:after="0" w:line="23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GasLog Partners is an owner and operator of LNG carriers. The Partnership’s fleet consists of 14 wholly-owned LNG carriers as well as one vessel on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http://www.gaslogmlp.com.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3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6" w:right="1019" w:bottom="1440" w:gutter="0" w:footer="0" w:header="0"/>
        </w:sectPr>
      </w:pPr>
    </w:p>
    <w:bookmarkStart w:id="7" w:name="page8"/>
    <w:bookmarkEnd w:id="7"/>
    <w:p>
      <w:pPr>
        <w:ind w:right="340"/>
        <w:spacing w:after="0" w:line="271" w:lineRule="auto"/>
        <w:rPr>
          <w:sz w:val="20"/>
          <w:szCs w:val="20"/>
          <w:color w:val="auto"/>
        </w:rPr>
      </w:pPr>
      <w:r>
        <w:rPr>
          <w:rFonts w:ascii="Times New Roman" w:cs="Times New Roman" w:eastAsia="Times New Roman" w:hAnsi="Times New Roman"/>
          <w:sz w:val="16"/>
          <w:szCs w:val="16"/>
          <w:color w:val="auto"/>
        </w:rPr>
        <w:t>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20" w:lineRule="exact"/>
        <w:rPr>
          <w:rFonts w:ascii="Times New Roman" w:cs="Times New Roman" w:eastAsia="Times New Roman" w:hAnsi="Times New Roman"/>
          <w:sz w:val="18"/>
          <w:szCs w:val="18"/>
          <w:color w:val="auto"/>
        </w:rPr>
      </w:pPr>
    </w:p>
    <w:p>
      <w:pPr>
        <w:ind w:left="660" w:right="100" w:hanging="328"/>
        <w:spacing w:after="0" w:line="25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changes in our operating expenses, including crew costs, maintenance, dry-docking and insurance costs and bunker prices;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20" w:lineRule="exact"/>
        <w:rPr>
          <w:rFonts w:ascii="Times New Roman" w:cs="Times New Roman" w:eastAsia="Times New Roman" w:hAnsi="Times New Roman"/>
          <w:sz w:val="18"/>
          <w:szCs w:val="18"/>
          <w:color w:val="auto"/>
        </w:rPr>
      </w:pPr>
    </w:p>
    <w:p>
      <w:pPr>
        <w:ind w:left="660" w:right="380" w:hanging="328"/>
        <w:spacing w:after="0" w:line="24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business disruptions resulting from measures taken to reduce the spread of COVID-19, including possible delays due to the quarantine of vessels and crew, as well as government-imposed shutdowns;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fluctuations in exchange rates, especially the U.S. dollar and Euro;</w:t>
      </w:r>
    </w:p>
    <w:p>
      <w:pPr>
        <w:spacing w:after="0" w:line="20" w:lineRule="exact"/>
        <w:rPr>
          <w:rFonts w:ascii="Times New Roman" w:cs="Times New Roman" w:eastAsia="Times New Roman" w:hAnsi="Times New Roman"/>
          <w:sz w:val="18"/>
          <w:szCs w:val="18"/>
          <w:color w:val="auto"/>
        </w:rPr>
      </w:pPr>
    </w:p>
    <w:p>
      <w:pPr>
        <w:ind w:left="660" w:right="180" w:hanging="328"/>
        <w:spacing w:after="0" w:line="24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expand our portfolio by acquiring vessels through our drop-down pipeline with GasLog or by acquiring other assets from third parties;</w:t>
      </w:r>
    </w:p>
    <w:p>
      <w:pPr>
        <w:spacing w:after="0" w:line="1" w:lineRule="exact"/>
        <w:rPr>
          <w:rFonts w:ascii="Times New Roman" w:cs="Times New Roman" w:eastAsia="Times New Roman" w:hAnsi="Times New Roman"/>
          <w:sz w:val="18"/>
          <w:szCs w:val="18"/>
          <w:color w:val="auto"/>
        </w:rPr>
      </w:pPr>
    </w:p>
    <w:p>
      <w:pPr>
        <w:ind w:left="660" w:right="600" w:hanging="328"/>
        <w:spacing w:after="0" w:line="24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20" w:hanging="328"/>
        <w:spacing w:after="0" w:line="24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changes in the ownership of our charterers;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20" w:lineRule="exact"/>
        <w:rPr>
          <w:rFonts w:ascii="Times New Roman" w:cs="Times New Roman" w:eastAsia="Times New Roman" w:hAnsi="Times New Roman"/>
          <w:sz w:val="18"/>
          <w:szCs w:val="18"/>
          <w:color w:val="auto"/>
        </w:rPr>
      </w:pPr>
    </w:p>
    <w:p>
      <w:pPr>
        <w:ind w:left="660" w:right="240" w:hanging="328"/>
        <w:spacing w:after="0" w:line="24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distribution policy and our ability to make cash distributions on our units or the impact of changes to cash distributions on our financial position;</w:t>
      </w:r>
    </w:p>
    <w:p>
      <w:pPr>
        <w:spacing w:after="0" w:line="1" w:lineRule="exact"/>
        <w:rPr>
          <w:rFonts w:ascii="Times New Roman" w:cs="Times New Roman" w:eastAsia="Times New Roman" w:hAnsi="Times New Roman"/>
          <w:sz w:val="18"/>
          <w:szCs w:val="18"/>
          <w:color w:val="auto"/>
        </w:rPr>
      </w:pPr>
    </w:p>
    <w:p>
      <w:pPr>
        <w:ind w:left="660" w:right="30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20" w:lineRule="exact"/>
        <w:rPr>
          <w:rFonts w:ascii="Times New Roman" w:cs="Times New Roman" w:eastAsia="Times New Roman" w:hAnsi="Times New Roman"/>
          <w:sz w:val="18"/>
          <w:szCs w:val="18"/>
          <w:color w:val="auto"/>
        </w:rPr>
      </w:pPr>
    </w:p>
    <w:p>
      <w:pPr>
        <w:ind w:left="660" w:right="580" w:hanging="328"/>
        <w:spacing w:after="0" w:line="24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 w:lineRule="exact"/>
        <w:rPr>
          <w:rFonts w:ascii="Times New Roman" w:cs="Times New Roman" w:eastAsia="Times New Roman" w:hAnsi="Times New Roman"/>
          <w:sz w:val="18"/>
          <w:szCs w:val="18"/>
          <w:color w:val="auto"/>
        </w:rPr>
      </w:pPr>
    </w:p>
    <w:p>
      <w:pPr>
        <w:ind w:left="660" w:hanging="328"/>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expected cost of and our ability to comply with environmental and regulatory requirements related to climate change,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potential liability from future litigation; and</w:t>
      </w:r>
    </w:p>
    <w:p>
      <w:pPr>
        <w:spacing w:after="0" w:line="20"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other risks and uncertainties described in the Partnership’s Annual Report on Form 20-F filed with the SEC on March 1, 2022, available at http://www.sec.gov.</w:t>
      </w:r>
    </w:p>
    <w:p>
      <w:pPr>
        <w:spacing w:after="0" w:line="20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8" w:name="page9"/>
    <w:bookmarkEnd w:id="8"/>
    <w:p>
      <w:pPr>
        <w:jc w:val="both"/>
        <w:spacing w:after="0" w:line="281"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Brinberg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Rose &amp;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+1 212-517-0810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gaslog@roseandco.com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December 31, 2021 and June 30,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71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 non-current portion</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fixed assets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1,888,583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1,714,062</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81,996</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73,555</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1,970,623</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1,787,770</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Vessels held for sale</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113,435</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 – current portion</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Short-term cash deposits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145,530</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147,272</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161,110</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291,590</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2,131,733</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2,079,360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Partners’ equity and liabilities</w:t>
            </w: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unitholders (51,137,201 units issued and outstanding as of December 31, 2021 and</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51,272,865 units issued and outstanding as of June 30,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579,447</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600,151</w:t>
            </w: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partner (1,077,494 units issued and outstanding as of December 31, 2021 and</w:t>
            </w: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1,080,263 units issued and outstanding as of June 30,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0" w:type="dxa"/>
            <w:vAlign w:val="bottom"/>
          </w:tcPr>
          <w:p>
            <w:pPr>
              <w:spacing w:after="0"/>
              <w:rPr>
                <w:sz w:val="1"/>
                <w:szCs w:val="1"/>
                <w:color w:val="auto"/>
              </w:rPr>
            </w:pPr>
          </w:p>
        </w:tc>
      </w:tr>
      <w:tr>
        <w:trPr>
          <w:trHeight w:val="198"/>
        </w:trPr>
        <w:tc>
          <w:tcPr>
            <w:tcW w:w="7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Preference unitholders (5,750,000 Series A Preference Units, 4,135,571 Series B Preference</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and 3,730,451 Series C Preference Units issued and outstanding as of December 31,</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 and 5,669,400 Series A Preference Units, 3,822,780 Series B Preference Units and</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3,384,401 Series C Preference Units issued and outstanding as of June 30,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329,334</w:t>
            </w:r>
          </w:p>
        </w:tc>
        <w:tc>
          <w:tcPr>
            <w:tcW w:w="2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310,606</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equity</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919,498</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921,927</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instruments—current portion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50,171</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Borrowings—current portion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159,342</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175,503</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239,786</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instruments—non-current portion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Borrowings—non-current portion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986,451</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876,802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1,036,732</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917,647</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partners’ equity and liabilities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2,131,733</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2,079,360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and six months ended June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4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4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2"/>
                <w:szCs w:val="12"/>
                <w:color w:val="auto"/>
              </w:rPr>
            </w:pPr>
          </w:p>
        </w:tc>
        <w:tc>
          <w:tcPr>
            <w:tcW w:w="11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70,352</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84,922</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157,440</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24,170</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9,072</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67,615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(Loss)/gain on derivatives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(9,507)</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(8,311)</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(17,592)</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(12,076)</w:t>
            </w:r>
          </w:p>
        </w:tc>
        <w:tc>
          <w:tcPr>
            <w:tcW w:w="0" w:type="dxa"/>
            <w:vAlign w:val="bottom"/>
          </w:tcPr>
          <w:p>
            <w:pPr>
              <w:spacing w:after="0"/>
              <w:rPr>
                <w:sz w:val="1"/>
                <w:szCs w:val="1"/>
                <w:color w:val="auto"/>
              </w:rPr>
            </w:pPr>
          </w:p>
        </w:tc>
      </w:tr>
      <w:tr>
        <w:trPr>
          <w:trHeight w:val="24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and total comprehensive income for the period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14,663</w:t>
            </w:r>
          </w:p>
        </w:tc>
        <w:tc>
          <w:tcPr>
            <w:tcW w:w="1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16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50,023</w:t>
            </w:r>
          </w:p>
        </w:tc>
        <w:tc>
          <w:tcPr>
            <w:tcW w:w="16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Earnings/(loss) per unit, basic and diluted:</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 basic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Common unit, diluted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 unit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760" w:type="dxa"/>
            <w:vAlign w:val="bottom"/>
            <w:gridSpan w:val="3"/>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48"/>
        </w:trPr>
        <w:tc>
          <w:tcPr>
            <w:tcW w:w="7160" w:type="dxa"/>
            <w:vAlign w:val="bottom"/>
          </w:tcPr>
          <w:p>
            <w:pPr>
              <w:spacing w:after="0"/>
              <w:rPr>
                <w:sz w:val="12"/>
                <w:szCs w:val="12"/>
                <w:color w:val="auto"/>
              </w:rPr>
            </w:pPr>
          </w:p>
        </w:tc>
        <w:tc>
          <w:tcPr>
            <w:tcW w:w="14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tcPr>
          <w:p>
            <w:pPr>
              <w:jc w:val="right"/>
              <w:ind w:right="311"/>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1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44,211</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09"/>
        </w:trPr>
        <w:tc>
          <w:tcPr>
            <w:tcW w:w="7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109,266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120,519</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09"/>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113,017</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122,181</w:t>
            </w:r>
          </w:p>
        </w:tc>
      </w:tr>
      <w:tr>
        <w:trPr>
          <w:trHeight w:val="209"/>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tangible fixed assets additions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(12,241)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received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cash deposits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(14,718)</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(11,096)</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repayments</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(54,838)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(51,746)</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(21,384)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Release of cash collateral for interest rate swaps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public offerings of common units and issuances of general partner units (net of</w:t>
            </w: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preference units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(including common and preference)</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(16,134)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(82,219)</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(109,343)</w:t>
            </w:r>
          </w:p>
        </w:tc>
      </w:tr>
      <w:tr>
        <w:trPr>
          <w:trHeight w:val="210"/>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16,080</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1,742</w:t>
            </w: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103,736</w:t>
            </w: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145,530</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the period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119,816</w:t>
            </w:r>
          </w:p>
        </w:tc>
        <w:tc>
          <w:tcPr>
            <w:tcW w:w="2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147,272</w:t>
            </w:r>
          </w:p>
        </w:tc>
      </w:tr>
      <w:tr>
        <w:trPr>
          <w:trHeight w:val="20"/>
        </w:trPr>
        <w:tc>
          <w:tcPr>
            <w:tcW w:w="7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EBITDA is defined as earnings before financial income and costs, gain/loss on derivatives, taxes, depreciation and amortization. Adjusted EBITDA is defined as EBITDA before impairment loss on vessels, loss on disposal of vessel and restructuring costs. Adjusted Profit represents earnings before (a) non-cash gain/loss on derivatives that includes unrealized gain/loss on derivatives held for trading, (b) write-off and accelerated amortization of unamortized loan fees, (c) impairment loss on vessels, (d) loss on disposal of vessel and (e) restructuring costs. Adjusted EPU represents Adjusted Profit (as defined above), after deducting preference unit distributions and adding/deducting any difference between the carrying amount of preference units and the fair value of the consideration paid to settle them,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loss on disposal of vessel and restructuring costs and, in the case of Adjusted Profit and Adjusted EPU, non-cash gain/loss on derivatives, write-off and accelerated amortization of unamortized loan fees, impairment loss on vessels, loss on disposal of vessel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 Loss on disposal of vessel is excluded from Adjusted EBITDA, Adjusted Profit and Adjusted EPU because loss on disposal of vessel represents the excess of its carrying amount over the amount that was recovered through sale and therefore is not considered representative of the underlying operations of the Partnership.</w:t>
      </w:r>
    </w:p>
    <w:p>
      <w:pPr>
        <w:spacing w:after="0" w:line="20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pacing w:after="0" w:line="17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 xml:space="preserve">The estimated incremental EBITDA in 2022 and 2023 in connection with the recharterings of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is based on the following assumptions:</w:t>
      </w:r>
    </w:p>
    <w:p>
      <w:pPr>
        <w:spacing w:after="0" w:line="1" w:lineRule="exact"/>
        <w:rPr>
          <w:sz w:val="20"/>
          <w:szCs w:val="20"/>
          <w:color w:val="auto"/>
        </w:rPr>
      </w:pPr>
    </w:p>
    <w:p>
      <w:pPr>
        <w:ind w:left="380" w:right="560" w:hanging="331"/>
        <w:spacing w:after="0" w:line="264" w:lineRule="auto"/>
        <w:tabs>
          <w:tab w:leader="none" w:pos="3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continuation of the time charters for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through expiration in October 2023 and March 2023, respectively;</w:t>
      </w:r>
    </w:p>
    <w:p>
      <w:pPr>
        <w:ind w:left="380" w:hanging="331"/>
        <w:spacing w:after="0"/>
        <w:tabs>
          <w:tab w:leader="none" w:pos="3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vessel operating and supervision costs and voyage expenses and commissions per current internal estimates; and</w:t>
      </w:r>
    </w:p>
    <w:p>
      <w:pPr>
        <w:spacing w:after="0" w:line="18" w:lineRule="exact"/>
        <w:rPr>
          <w:rFonts w:ascii="Times New Roman" w:cs="Times New Roman" w:eastAsia="Times New Roman" w:hAnsi="Times New Roman"/>
          <w:sz w:val="16"/>
          <w:szCs w:val="16"/>
          <w:color w:val="auto"/>
        </w:rPr>
      </w:pPr>
    </w:p>
    <w:p>
      <w:pPr>
        <w:ind w:left="360" w:hanging="325"/>
        <w:spacing w:after="0"/>
        <w:tabs>
          <w:tab w:leader="none" w:pos="3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based on management’s current internal estimates.</w:t>
      </w:r>
    </w:p>
    <w:p>
      <w:pPr>
        <w:spacing w:after="0" w:line="2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We consider the above assumptions to be reasonable as of the date of this press release, but if these assumptions prove to be incorrect, actual EBITDA could differ materially from our estimates. The prospective financial information was not prepared with a view toward public disclosure or with a view toward complying with the guidelines established by the American Institute of Certified Public Accountants, but, in the view of the Partnership’s management, was prepared on a reasonable basis and reflects the best currently available estimates and judgments. However, this information is not fact and should not be relied upon as being necessarily indicative of future results, and readers of this press release are cautioned not to place undue reliance on the prospective financial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3" w:name="page14"/>
    <w:bookmarkEnd w:id="13"/>
    <w:p>
      <w:pPr>
        <w:ind w:right="340"/>
        <w:spacing w:after="0" w:line="281" w:lineRule="auto"/>
        <w:rPr>
          <w:sz w:val="20"/>
          <w:szCs w:val="20"/>
          <w:color w:val="auto"/>
        </w:rPr>
      </w:pPr>
      <w:r>
        <w:rPr>
          <w:rFonts w:ascii="Times New Roman" w:cs="Times New Roman" w:eastAsia="Times New Roman" w:hAnsi="Times New Roman"/>
          <w:sz w:val="16"/>
          <w:szCs w:val="16"/>
          <w:color w:val="auto"/>
        </w:rPr>
        <w:t>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52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derivatives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w:t>
            </w: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44,968</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31,296</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109,099</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92,029</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44,968</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59,323</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109,099</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120,224</w:t>
            </w:r>
          </w:p>
        </w:tc>
      </w:tr>
      <w:tr>
        <w:trPr>
          <w:trHeight w:val="40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9"/>
        </w:trPr>
        <w:tc>
          <w:tcPr>
            <w:tcW w:w="5520" w:type="dxa"/>
            <w:vAlign w:val="bottom"/>
          </w:tcPr>
          <w:p>
            <w:pPr>
              <w:spacing w:after="0"/>
              <w:rPr>
                <w:sz w:val="24"/>
                <w:szCs w:val="24"/>
                <w:color w:val="auto"/>
              </w:rPr>
            </w:pPr>
          </w:p>
        </w:tc>
        <w:tc>
          <w:tcPr>
            <w:tcW w:w="2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52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30,2021</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30,2022</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30,2021</w:t>
            </w:r>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June 30,2022</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Non-cash gain on derivatives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Profit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26,329</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44,454</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54,655</w:t>
            </w:r>
          </w:p>
        </w:tc>
      </w:tr>
      <w:tr>
        <w:trPr>
          <w:trHeight w:val="40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EPU and Adjusted EPU:</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6"/>
        </w:trPr>
        <w:tc>
          <w:tcPr>
            <w:tcW w:w="5520" w:type="dxa"/>
            <w:vAlign w:val="bottom"/>
          </w:tcPr>
          <w:p>
            <w:pPr>
              <w:spacing w:after="0"/>
              <w:rPr>
                <w:sz w:val="24"/>
                <w:szCs w:val="24"/>
                <w:color w:val="auto"/>
              </w:rPr>
            </w:pPr>
          </w:p>
        </w:tc>
        <w:tc>
          <w:tcPr>
            <w:tcW w:w="2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52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35,742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preference unit distributions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Differences on repurchase of preference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Partnership’s profit/(loss) attributable to:</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34,859</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21,718</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 (basic)</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48,161,285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51,171,651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47,841,332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51,154,521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1,077,524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1,021,646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1,077,509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EPU (basic)</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4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552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35,742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preference unit distributions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Differences on repurchase of preference units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Partnership’s profit/(loss) used in EPU calculation</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7,081</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34,859</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21,718</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Non-cash gain on derivatives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174"/>
        </w:trPr>
        <w:tc>
          <w:tcPr>
            <w:tcW w:w="55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Adjusted Partnership’s profit used in EPU calculation attributable</w:t>
            </w: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3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5,119</w:t>
            </w:r>
          </w:p>
        </w:tc>
        <w:tc>
          <w:tcPr>
            <w:tcW w:w="1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19,377</w:t>
            </w:r>
          </w:p>
        </w:tc>
        <w:tc>
          <w:tcPr>
            <w:tcW w:w="16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29,290</w:t>
            </w:r>
          </w:p>
        </w:tc>
        <w:tc>
          <w:tcPr>
            <w:tcW w:w="16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40,631</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 (basic)</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48,161,285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51,171,651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47,841,332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51,154,521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1,077,524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1,021,646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1,077,509</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EPU (basic)</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864"/>
        </w:trPr>
        <w:tc>
          <w:tcPr>
            <w:tcW w:w="5520" w:type="dxa"/>
            <w:vAlign w:val="bottom"/>
          </w:tcPr>
          <w:p>
            <w:pPr>
              <w:ind w:left="488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5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6" w:right="99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Financial Report for the Three and Six Months Ended June 30, 2022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w:t>
      </w:r>
    </w:p>
    <w:p>
      <w:pPr>
        <w:spacing w:after="0" w:line="237" w:lineRule="exact"/>
        <w:rPr>
          <w:sz w:val="20"/>
          <w:szCs w:val="20"/>
          <w:color w:val="auto"/>
        </w:rPr>
      </w:pPr>
    </w:p>
    <w:p>
      <w:pPr>
        <w:ind w:firstLine="401"/>
        <w:spacing w:after="0" w:line="269" w:lineRule="auto"/>
        <w:rPr>
          <w:sz w:val="20"/>
          <w:szCs w:val="20"/>
          <w:color w:val="auto"/>
        </w:rPr>
      </w:pPr>
      <w:r>
        <w:rPr>
          <w:rFonts w:ascii="Times New Roman" w:cs="Times New Roman" w:eastAsia="Times New Roman" w:hAnsi="Times New Roman"/>
          <w:sz w:val="16"/>
          <w:szCs w:val="16"/>
          <w:color w:val="auto"/>
        </w:rPr>
        <w:t>The following is a discussion of our financial condition and results of operations for the three-and six-month periods ended June 30, 2021 and June 30, 2022.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1, 2022.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ind w:right="40" w:firstLine="389"/>
        <w:spacing w:after="0" w:line="268" w:lineRule="auto"/>
        <w:rPr>
          <w:sz w:val="20"/>
          <w:szCs w:val="20"/>
          <w:color w:val="auto"/>
        </w:rPr>
      </w:pPr>
      <w:r>
        <w:rPr>
          <w:rFonts w:ascii="Times New Roman" w:cs="Times New Roman" w:eastAsia="Times New Roman" w:hAnsi="Times New Roman"/>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changes to our cash distributions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jc w:val="both"/>
        <w:ind w:left="660" w:right="10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20" w:lineRule="exact"/>
        <w:rPr>
          <w:rFonts w:ascii="Times New Roman" w:cs="Times New Roman" w:eastAsia="Times New Roman" w:hAnsi="Times New Roman"/>
          <w:sz w:val="18"/>
          <w:szCs w:val="18"/>
          <w:color w:val="auto"/>
        </w:rPr>
      </w:pPr>
    </w:p>
    <w:p>
      <w:pPr>
        <w:ind w:left="660" w:right="100" w:hanging="328"/>
        <w:spacing w:after="0" w:line="25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changes in our operating expenses, including crew costs, maintenance, dry-docking and insurance costs and bunker prices;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20" w:lineRule="exact"/>
        <w:rPr>
          <w:rFonts w:ascii="Times New Roman" w:cs="Times New Roman" w:eastAsia="Times New Roman" w:hAnsi="Times New Roman"/>
          <w:sz w:val="18"/>
          <w:szCs w:val="18"/>
          <w:color w:val="auto"/>
        </w:rPr>
      </w:pPr>
    </w:p>
    <w:p>
      <w:pPr>
        <w:ind w:left="660" w:right="380" w:hanging="328"/>
        <w:spacing w:after="0" w:line="24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business disruptions resulting from measures taken to reduce the spread of COVID-19, including possible delays due to the quarantine of vessels and crew, as well as government-imposed shutdowns;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fluctuations in exchange rates, especially the U.S. dollar and Euro;</w:t>
      </w:r>
    </w:p>
    <w:p>
      <w:pPr>
        <w:spacing w:after="0" w:line="20" w:lineRule="exact"/>
        <w:rPr>
          <w:rFonts w:ascii="Times New Roman" w:cs="Times New Roman" w:eastAsia="Times New Roman" w:hAnsi="Times New Roman"/>
          <w:sz w:val="18"/>
          <w:szCs w:val="18"/>
          <w:color w:val="auto"/>
        </w:rPr>
      </w:pPr>
    </w:p>
    <w:p>
      <w:pPr>
        <w:ind w:left="660" w:right="180" w:hanging="328"/>
        <w:spacing w:after="0" w:line="24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expand our portfolio by acquiring vessels through our drop-down pipeline with GasLog Ltd. (“GasLog”) or by acquiring other assets from third parties;</w:t>
      </w:r>
    </w:p>
    <w:p>
      <w:pPr>
        <w:spacing w:after="0" w:line="1" w:lineRule="exact"/>
        <w:rPr>
          <w:rFonts w:ascii="Times New Roman" w:cs="Times New Roman" w:eastAsia="Times New Roman" w:hAnsi="Times New Roman"/>
          <w:sz w:val="18"/>
          <w:szCs w:val="18"/>
          <w:color w:val="auto"/>
        </w:rPr>
      </w:pPr>
    </w:p>
    <w:p>
      <w:pPr>
        <w:ind w:left="660" w:right="620" w:hanging="328"/>
        <w:spacing w:after="0" w:line="24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ind w:left="660" w:right="20" w:hanging="328"/>
        <w:spacing w:after="0" w:line="24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changes in the ownership of our charterers;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20" w:lineRule="exact"/>
        <w:rPr>
          <w:rFonts w:ascii="Times New Roman" w:cs="Times New Roman" w:eastAsia="Times New Roman" w:hAnsi="Times New Roman"/>
          <w:sz w:val="18"/>
          <w:szCs w:val="18"/>
          <w:color w:val="auto"/>
        </w:rPr>
      </w:pPr>
    </w:p>
    <w:p>
      <w:pPr>
        <w:ind w:left="660" w:right="240" w:hanging="328"/>
        <w:spacing w:after="0" w:line="24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distribution policy and our ability to make cash distributions on our units or the impact of changes to cash distributions on our financial position;</w:t>
      </w:r>
    </w:p>
    <w:p>
      <w:pPr>
        <w:spacing w:after="0" w:line="1" w:lineRule="exact"/>
        <w:rPr>
          <w:rFonts w:ascii="Times New Roman" w:cs="Times New Roman" w:eastAsia="Times New Roman" w:hAnsi="Times New Roman"/>
          <w:sz w:val="18"/>
          <w:szCs w:val="18"/>
          <w:color w:val="auto"/>
        </w:rPr>
      </w:pPr>
    </w:p>
    <w:p>
      <w:pPr>
        <w:ind w:left="660" w:right="30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20" w:lineRule="exact"/>
        <w:rPr>
          <w:rFonts w:ascii="Times New Roman" w:cs="Times New Roman" w:eastAsia="Times New Roman" w:hAnsi="Times New Roman"/>
          <w:sz w:val="18"/>
          <w:szCs w:val="18"/>
          <w:color w:val="auto"/>
        </w:rPr>
      </w:pPr>
    </w:p>
    <w:p>
      <w:pPr>
        <w:ind w:left="660" w:hanging="328"/>
        <w:spacing w:after="0" w:line="22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6" w:name="page17"/>
    <w:bookmarkEnd w:id="16"/>
    <w:p>
      <w:pPr>
        <w:ind w:left="660" w:right="58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expected cost of and our ability to comply with environmental and regulatory requirements related to climate change,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right="300" w:hanging="328"/>
        <w:spacing w:after="0" w:line="288"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described in the Partnership’s Annual Report on Form 20-F filed with the SEC on March 1, 2022, available at http://www.sec.gov.</w:t>
      </w:r>
    </w:p>
    <w:p>
      <w:pPr>
        <w:spacing w:after="0" w:line="172" w:lineRule="exact"/>
        <w:rPr>
          <w:sz w:val="20"/>
          <w:szCs w:val="20"/>
          <w:color w:val="auto"/>
        </w:rPr>
      </w:pPr>
    </w:p>
    <w:p>
      <w:pPr>
        <w:jc w:val="both"/>
        <w:ind w:right="200" w:firstLine="324"/>
        <w:spacing w:after="0" w:line="281"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77"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Distribution</w:t>
      </w:r>
    </w:p>
    <w:p>
      <w:pPr>
        <w:spacing w:after="0" w:line="237" w:lineRule="exact"/>
        <w:rPr>
          <w:sz w:val="20"/>
          <w:szCs w:val="20"/>
          <w:color w:val="auto"/>
        </w:rPr>
      </w:pPr>
    </w:p>
    <w:p>
      <w:pPr>
        <w:ind w:right="40" w:firstLine="427"/>
        <w:spacing w:after="0" w:line="281" w:lineRule="auto"/>
        <w:rPr>
          <w:sz w:val="20"/>
          <w:szCs w:val="20"/>
          <w:color w:val="auto"/>
        </w:rPr>
      </w:pPr>
      <w:r>
        <w:rPr>
          <w:rFonts w:ascii="Times New Roman" w:cs="Times New Roman" w:eastAsia="Times New Roman" w:hAnsi="Times New Roman"/>
          <w:sz w:val="16"/>
          <w:szCs w:val="16"/>
          <w:color w:val="auto"/>
        </w:rPr>
        <w:t>On July 27, 2022, the board of directors of GasLog Partners approved and declared a quarterly cash distribution of $0.01 per common unit for the quarter ended June 30, 2022. The cash distribution is payable on August 11, 2022 to all unitholders of record as of August 8, 2022. The aggregate amount of the declared distribution will be $0.5 million based on the number of units issued and outstanding as of June 30,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7" w:lineRule="exact"/>
        <w:rPr>
          <w:sz w:val="20"/>
          <w:szCs w:val="20"/>
          <w:color w:val="auto"/>
        </w:rPr>
      </w:pPr>
    </w:p>
    <w:p>
      <w:pPr>
        <w:ind w:firstLine="427"/>
        <w:spacing w:after="0" w:line="275" w:lineRule="auto"/>
        <w:rPr>
          <w:sz w:val="20"/>
          <w:szCs w:val="20"/>
          <w:color w:val="auto"/>
        </w:rPr>
      </w:pPr>
      <w:r>
        <w:rPr>
          <w:rFonts w:ascii="Times New Roman" w:cs="Times New Roman" w:eastAsia="Times New Roman" w:hAnsi="Times New Roman"/>
          <w:sz w:val="16"/>
          <w:szCs w:val="16"/>
          <w:color w:val="auto"/>
        </w:rPr>
        <w:t>GasLog Partners is an owner and operator of LNG carriers. Since our initial public offering (“IPO”) in May 2014, we have grown our fleet from three vessels at the time of our IPO to 15 today (including one vessel sold and leased back under a bareboat charter). Our focus is on capital allocation to debt repayment, prioritizing balance sheet strength for 2022, in order to lower our cash break-evens, reduce our cost of capital and further enhance the Partnership’s competitive positioning.</w:t>
      </w:r>
    </w:p>
    <w:p>
      <w:pPr>
        <w:spacing w:after="0" w:line="183" w:lineRule="exact"/>
        <w:rPr>
          <w:sz w:val="20"/>
          <w:szCs w:val="20"/>
          <w:color w:val="auto"/>
        </w:rPr>
      </w:pPr>
    </w:p>
    <w:p>
      <w:pPr>
        <w:ind w:right="40" w:firstLine="427"/>
        <w:spacing w:after="0" w:line="269" w:lineRule="auto"/>
        <w:rPr>
          <w:sz w:val="20"/>
          <w:szCs w:val="20"/>
          <w:color w:val="auto"/>
        </w:rPr>
      </w:pPr>
      <w:r>
        <w:rPr>
          <w:rFonts w:ascii="Times New Roman" w:cs="Times New Roman" w:eastAsia="Times New Roman" w:hAnsi="Times New Roman"/>
          <w:sz w:val="16"/>
          <w:szCs w:val="16"/>
          <w:color w:val="auto"/>
        </w:rPr>
        <w:t xml:space="preserve">As of June 30, 2022, our owned and bareboat fleet consisted of ten vessels with tri-fuel diesel electric (“TFDE”) propulsion and five steam turbine propulsion (“Steam”) vessels. In June 2022, we entered into an agreement to sell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with the sale expected to be completed in the third quarter of 2022 and we are in active discussions for the sale and lease-back of a second Steam vessel. We also have options and other rights under which we may acquire additional LNG carriers from GasLog, as described below. We believe that such options and rights could provide us with built-in growth opportunities, subject to certain conditions described below. We may also acquire vessels or other LNG infrastructure assets from shipyards or other owners. However, we cannot assure you that we will make any acquisition or that, as a consequence, we will successfully grow our distributions per common unit. Among other things, our ability to acquire any additional LNG carriers or other LNG infrastructure assets will be dependent upon our ability to raise additional equity and debt financing.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Our Fleet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Cargo</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Charterer (for</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Charter</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LNG Carrier</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Built</w:t>
            </w:r>
          </w:p>
        </w:tc>
        <w:tc>
          <w:tcPr>
            <w:tcW w:w="1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contracts of more</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Optional Period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gridSpan w:val="3"/>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(cbm)</w:t>
            </w:r>
          </w:p>
        </w:tc>
        <w:tc>
          <w:tcPr>
            <w:tcW w:w="15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than six months)</w:t>
            </w: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(Firm Period)</w:t>
            </w: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Spot Market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Spot Market</w:t>
            </w:r>
          </w:p>
        </w:tc>
        <w:tc>
          <w:tcPr>
            <w:tcW w:w="1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32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7"/>
                <w:szCs w:val="17"/>
                <w:i w:val="1"/>
                <w:iCs w:val="1"/>
                <w:color w:val="auto"/>
              </w:rPr>
              <w:t xml:space="preserve">Methane Shirley Elisabeth </w:t>
            </w:r>
            <w:r>
              <w:rPr>
                <w:rFonts w:ascii="Times New Roman" w:cs="Times New Roman" w:eastAsia="Times New Roman" w:hAnsi="Times New Roman"/>
                <w:sz w:val="25"/>
                <w:szCs w:val="25"/>
                <w:color w:val="auto"/>
                <w:vertAlign w:val="superscript"/>
              </w:rPr>
              <w:t>(1)</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JOVO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2022</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Trafigura</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December 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2023–2028</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Cheniere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2024–2025</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23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Major Trading House</w:t>
            </w:r>
          </w:p>
        </w:tc>
        <w:tc>
          <w:tcPr>
            <w:tcW w:w="1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March 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2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Naturgy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April 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23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i w:val="1"/>
                <w:iCs w:val="1"/>
                <w:color w:val="auto"/>
              </w:rPr>
              <w:t>Methane Rita Andrea</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2006</w:t>
            </w:r>
          </w:p>
        </w:tc>
        <w:tc>
          <w:tcPr>
            <w:tcW w:w="160" w:type="dxa"/>
            <w:vAlign w:val="bottom"/>
          </w:tcPr>
          <w:p>
            <w:pPr>
              <w:spacing w:after="0"/>
              <w:rPr>
                <w:sz w:val="17"/>
                <w:szCs w:val="17"/>
                <w:color w:val="auto"/>
              </w:rPr>
            </w:pPr>
          </w:p>
        </w:tc>
        <w:tc>
          <w:tcPr>
            <w:tcW w:w="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7"/>
                <w:szCs w:val="17"/>
                <w:color w:val="auto"/>
              </w:rPr>
            </w:pP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Gunvor</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(6)</w:t>
            </w:r>
          </w:p>
        </w:tc>
        <w:tc>
          <w:tcPr>
            <w:tcW w:w="10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October 2022</w:t>
            </w: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Energy Major</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(7)</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October 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(8)</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2028–2031</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16"/>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i w:val="1"/>
                <w:iCs w:val="1"/>
                <w:color w:val="auto"/>
              </w:rPr>
              <w:t>Methane Alison Victoria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CNTIC VPower</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(9)</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October 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2024–2025</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16"/>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i w:val="1"/>
                <w:iCs w:val="1"/>
                <w:color w:val="auto"/>
              </w:rPr>
              <w:t>GasLog Gibraltar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October 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2028–2031</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16"/>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i w:val="1"/>
                <w:iCs w:val="1"/>
                <w:color w:val="auto"/>
              </w:rPr>
              <w:t>Methane Becki Anne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March 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2027–2029</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16"/>
        </w:trPr>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i w:val="1"/>
                <w:iCs w:val="1"/>
                <w:color w:val="auto"/>
              </w:rPr>
              <w:t>GasLog Greece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2026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38"/>
        </w:trPr>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i w:val="1"/>
                <w:iCs w:val="1"/>
                <w:color w:val="auto"/>
              </w:rPr>
              <w:t>GasLog Glasgow</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Shell</w:t>
            </w:r>
          </w:p>
        </w:tc>
        <w:tc>
          <w:tcPr>
            <w:tcW w:w="16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June 2026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Partnership has entered into an agreement and expects to complete the sale of the vessel in the third quarter of 2022.</w:t>
      </w:r>
    </w:p>
    <w:p>
      <w:pPr>
        <w:spacing w:after="0" w:line="3" w:lineRule="exact"/>
        <w:rPr>
          <w:rFonts w:ascii="Times New Roman" w:cs="Times New Roman" w:eastAsia="Times New Roman" w:hAnsi="Times New Roman"/>
          <w:sz w:val="11"/>
          <w:szCs w:val="11"/>
          <w:color w:val="auto"/>
        </w:rPr>
      </w:pPr>
    </w:p>
    <w:p>
      <w:pPr>
        <w:ind w:left="34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Singapore Carbon Hydrogen Energy Pte. Ltd., a wholly owned subsidiary of JOVO Group (“JOVO”).</w:t>
      </w:r>
    </w:p>
    <w:p>
      <w:pPr>
        <w:ind w:left="34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Trafigura Maritime Logistics PTE Ltd. (“Trafigura”). Charterer may extend the term of this time charter for a period ranging from one to six years, provided that the charterer gives us advance notice of declaration. The period shown reflects the expiration of the minimum optional period and the maximum optional period.</w:t>
      </w:r>
    </w:p>
    <w:p>
      <w:pPr>
        <w:jc w:val="both"/>
        <w:ind w:left="340" w:right="36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Cheniere Marketing International LLP, a subsidiary of Cheniere Energy Inc. (“Cheniere”). Charterers may extend the term of the time charters by two additional periods of one year, provided that the charterer gives us advance notice of declaration. The period shown reflects the expiration of the minimum optional period and the maximum optional period.</w:t>
      </w:r>
    </w:p>
    <w:p>
      <w:pPr>
        <w:ind w:left="34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Naturgy Aprovisionamentos S.A. (“Naturgy”).</w:t>
      </w:r>
    </w:p>
    <w:p>
      <w:pPr>
        <w:ind w:left="34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Clearlake Shipping Pte. Ltd., a subsidiary of Gunvor Group Ltd. (“Gunvor”).</w:t>
      </w:r>
    </w:p>
    <w:p>
      <w:pPr>
        <w:ind w:left="34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expected to begin its time charter with an energy major right after the expiration of its current charter with Gunvor.</w:t>
      </w:r>
    </w:p>
    <w:p>
      <w:pPr>
        <w:jc w:val="both"/>
        <w:ind w:left="340" w:right="10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a wholly owned subsidiary of Shell plc (“Shell”). 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26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100" w:hanging="332"/>
        <w:spacing w:after="0" w:line="221" w:lineRule="auto"/>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Charterer may extend the term of these time charters for a period of five years, provided that the charterer gives us advance notice of declaration.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Cargo</w:t>
            </w: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Charterer (for</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LNG Carrier</w:t>
            </w:r>
          </w:p>
        </w:tc>
        <w:tc>
          <w:tcPr>
            <w:tcW w:w="13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Built</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contracts of more</w:t>
            </w: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Period</w:t>
            </w:r>
          </w:p>
        </w:tc>
        <w:tc>
          <w:tcPr>
            <w:tcW w:w="0" w:type="dxa"/>
            <w:vAlign w:val="bottom"/>
          </w:tcPr>
          <w:p>
            <w:pPr>
              <w:spacing w:after="0"/>
              <w:rPr>
                <w:sz w:val="1"/>
                <w:szCs w:val="1"/>
                <w:color w:val="auto"/>
              </w:rPr>
            </w:pPr>
          </w:p>
        </w:tc>
      </w:tr>
      <w:tr>
        <w:trPr>
          <w:trHeight w:val="173"/>
        </w:trPr>
        <w:tc>
          <w:tcPr>
            <w:tcW w:w="2000" w:type="dxa"/>
            <w:vAlign w:val="bottom"/>
            <w:gridSpan w:val="2"/>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(cbm)</w:t>
            </w: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than six months)</w:t>
            </w:r>
          </w:p>
        </w:tc>
        <w:tc>
          <w:tcPr>
            <w:tcW w:w="1340" w:type="dxa"/>
            <w:vAlign w:val="bottom"/>
            <w:gridSpan w:val="2"/>
            <w:vMerge w:val="continue"/>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(Firm Period)</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Gunvor</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08"/>
        </w:trPr>
        <w:tc>
          <w:tcPr>
            <w:tcW w:w="1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500" w:hanging="332"/>
        <w:spacing w:after="0" w:line="261" w:lineRule="auto"/>
        <w:tabs>
          <w:tab w:leader="none" w:pos="34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October 2021, the vessel was sold and leased back from China Development Bank Financial Leasing Co. Ltd. (“CDBL”) for a period of five years, with no repurchase option or obligation.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Vessels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Five-Year Vessel Business Opportunities</w:t>
      </w:r>
    </w:p>
    <w:p>
      <w:pPr>
        <w:spacing w:after="0" w:line="237" w:lineRule="exact"/>
        <w:rPr>
          <w:sz w:val="20"/>
          <w:szCs w:val="20"/>
          <w:color w:val="auto"/>
        </w:rPr>
      </w:pPr>
    </w:p>
    <w:p>
      <w:pPr>
        <w:ind w:right="80" w:firstLine="389"/>
        <w:spacing w:after="0" w:line="272" w:lineRule="auto"/>
        <w:rPr>
          <w:sz w:val="20"/>
          <w:szCs w:val="20"/>
          <w:color w:val="auto"/>
        </w:rPr>
      </w:pPr>
      <w:r>
        <w:rPr>
          <w:rFonts w:ascii="Times New Roman" w:cs="Times New Roman" w:eastAsia="Times New Roman" w:hAnsi="Times New Roman"/>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results set forth below are derived from the unaudited condensed consolidated financial statements of the Partnership.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Three-month period ended June 30, 2021 compared to the three-month period ended June 30,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2"/>
        </w:trPr>
        <w:tc>
          <w:tcPr>
            <w:tcW w:w="67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(15,098)</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(Loss)/gain on derivatives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14,663</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01"/>
        <w:spacing w:after="0" w:line="275" w:lineRule="auto"/>
        <w:rPr>
          <w:sz w:val="20"/>
          <w:szCs w:val="20"/>
          <w:color w:val="auto"/>
        </w:rPr>
      </w:pPr>
      <w:r>
        <w:rPr>
          <w:rFonts w:ascii="Times New Roman" w:cs="Times New Roman" w:eastAsia="Times New Roman" w:hAnsi="Times New Roman"/>
          <w:sz w:val="16"/>
          <w:szCs w:val="16"/>
          <w:color w:val="auto"/>
        </w:rPr>
        <w:t>For the three-month period ended June 30, 2021, we had an average of 15.0 vessels operating in our owned fleet having 1,283 available days, while during the three-month period ended June 30, 2022, we had an average of 15.0 vessels operating in our owned and bareboat fleet having 1,365 available days. The increase in available days is due to the scheduled dry-dockings of three of our vessels in the second quarter of 2021 (compared to nil in the same period in 2022).</w:t>
      </w:r>
    </w:p>
    <w:p>
      <w:pPr>
        <w:spacing w:after="0" w:line="179" w:lineRule="exact"/>
        <w:rPr>
          <w:sz w:val="20"/>
          <w:szCs w:val="20"/>
          <w:color w:val="auto"/>
        </w:rPr>
      </w:pPr>
    </w:p>
    <w:p>
      <w:pPr>
        <w:ind w:right="60" w:firstLine="427"/>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increased by $14.5 million, or 20.6%, from $70.4 million for the three-month period ended June 30, 2021, to $84.9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2022. The increase is mainly attributable to a net increase in revenues from our vessels operating in the spot market in the second quarter of 2022, in line with the improvement of the LNG shipping spot and term market, combined with an increase in revenues resulting from the 82 off-hire days due to the scheduled dry-dockings of three of our vessels in the second quarter of 2021 (compared to nil in the same period in 2022). The average daily hire rate increased from $57,383 for the three-month period ended June 30, 2021, to $63,327 for the three-month period ended June 30, 2022.</w:t>
      </w:r>
    </w:p>
    <w:p>
      <w:pPr>
        <w:spacing w:after="0" w:line="180" w:lineRule="exact"/>
        <w:rPr>
          <w:sz w:val="20"/>
          <w:szCs w:val="20"/>
          <w:color w:val="auto"/>
        </w:rPr>
      </w:pPr>
    </w:p>
    <w:p>
      <w:pPr>
        <w:ind w:right="20" w:firstLine="427"/>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Voyage Expenses and Commissions: </w:t>
      </w:r>
      <w:r>
        <w:rPr>
          <w:rFonts w:ascii="Times New Roman" w:cs="Times New Roman" w:eastAsia="Times New Roman" w:hAnsi="Times New Roman"/>
          <w:sz w:val="16"/>
          <w:szCs w:val="16"/>
          <w:color w:val="auto"/>
        </w:rPr>
        <w:t>Voyage expenses and commissions increased by $0.3 million, or 15.8%, from $1.9 million for the three-month period ended June 30, 2022, to $2.2 million for the same period in 2022. The increase in voyage expenses and commissions is mainly attributable to an increase in broker commissions in line with the abovementioned increase in revenues in the three-month period ended June 30, 2022, as compared to the same period in 2021.</w:t>
      </w:r>
    </w:p>
    <w:p>
      <w:pPr>
        <w:spacing w:after="0" w:line="177" w:lineRule="exact"/>
        <w:rPr>
          <w:sz w:val="20"/>
          <w:szCs w:val="20"/>
          <w:color w:val="auto"/>
        </w:rPr>
      </w:pPr>
    </w:p>
    <w:p>
      <w:pPr>
        <w:ind w:right="20" w:firstLine="42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Vessel Operating Costs: </w:t>
      </w:r>
      <w:r>
        <w:rPr>
          <w:rFonts w:ascii="Times New Roman" w:cs="Times New Roman" w:eastAsia="Times New Roman" w:hAnsi="Times New Roman"/>
          <w:sz w:val="16"/>
          <w:szCs w:val="16"/>
          <w:color w:val="auto"/>
        </w:rPr>
        <w:t>Vessel operating costs decreased by $1.0 million, or 5.0%, from $20.0 million for the three-month period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2021, to $19.0 million for the same period in 2022. The decrease in vessel operating costs is mainly attributable to a decrease of $2.0 million in technical maintenance expenses, primarily in connection with the dry-dockings of three of our vessels in the second quarter of 2021 (compared to nil in the same period in 2022), and a decrease of $0.3 million in vessel management fees mainly in connection with the decrease of the annual fee payable to our manager (approximately $0.1 million per vessel per year), partially offset by an increase of $1.3 million in crew costs, largely related to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her redelivery into our managed fleet on April 6, 2022). As a result, daily operating costs per vessel decreased from $15,734 per day for the three-month period ended June 30, 2021, to $14,005 per day for the three-month period ended June 30, 2022.</w:t>
      </w:r>
    </w:p>
    <w:p>
      <w:pPr>
        <w:spacing w:after="0" w:line="185" w:lineRule="exact"/>
        <w:rPr>
          <w:sz w:val="20"/>
          <w:szCs w:val="20"/>
          <w:color w:val="auto"/>
        </w:rPr>
      </w:pPr>
    </w:p>
    <w:p>
      <w:pPr>
        <w:ind w:firstLine="427"/>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increased by $0.9 million, or 25.7%, from $3.5 million for the three-month period ended June 30, 2021, to $4.4 million for the same period in 2022. The increase in general and administrative expenses is mainly attributable to an aggregate increase of $1.0 million in administrative services fees for our fleet in connection with the increase in the annual fee per vessel payable to GasLog in 2022 (approximately $0.3 million per vessel per year). As a result, daily general and administrative expenses increased from $2,554 per vessel ownership day for the three-month period ended June 30, 2021, to $3,211 per vessel ownership day for the three-month period ended June 30, 2022.</w:t>
      </w:r>
    </w:p>
    <w:p>
      <w:pPr>
        <w:spacing w:after="0" w:line="385" w:lineRule="exact"/>
        <w:rPr>
          <w:sz w:val="20"/>
          <w:szCs w:val="20"/>
          <w:color w:val="auto"/>
        </w:rPr>
      </w:pPr>
    </w:p>
    <w:p>
      <w:pPr>
        <w:jc w:val="both"/>
        <w:ind w:right="120" w:firstLine="427"/>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Impairment Loss on Vessels: </w:t>
      </w:r>
      <w:r>
        <w:rPr>
          <w:rFonts w:ascii="Times New Roman" w:cs="Times New Roman" w:eastAsia="Times New Roman" w:hAnsi="Times New Roman"/>
          <w:sz w:val="16"/>
          <w:szCs w:val="16"/>
          <w:color w:val="auto"/>
        </w:rPr>
        <w:t>Impairment loss on vessels was $28.0 million for the three-month period ended June 30, 2022 and nil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2021. The impairment loss was recognized pursuant to the reclassification of two of our Steam vessels as held for sale and remeasurement of their carrying amounts as of June 30, 2022.</w:t>
      </w:r>
    </w:p>
    <w:p>
      <w:pPr>
        <w:spacing w:after="0" w:line="173" w:lineRule="exact"/>
        <w:rPr>
          <w:sz w:val="20"/>
          <w:szCs w:val="20"/>
          <w:color w:val="auto"/>
        </w:rPr>
      </w:pPr>
    </w:p>
    <w:p>
      <w:pPr>
        <w:ind w:right="80" w:firstLine="427"/>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increased by $0.7 million, or 7.7%, from $9.1 million for the three-month period ended June 30, 2021, to $9.8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million for the same period in 2022. The increase in financial costs is attributable to an increase of $0.5 million in interest expense on loans, mainly due to an increase in the London Interbank Offered Rate (“LIBOR”) rates in the three months ended June 30, 2022 as compared to the same period in 2021, and an increase of $0.4 million in interest expense on leases, pursuant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in October 2021. During the three-month period ended June 30, 2021, we had an average of $1,261.1 million of bank borrowings outstanding under our credit facilities with a weighted average interest rate of 2.4%, compared to an average of $1,058.1 million of bank borrowings outstanding under our credit facilities with a weighted average interest rate of 3.1% during the three-month period ended June 30, 2022.</w:t>
      </w:r>
    </w:p>
    <w:p>
      <w:pPr>
        <w:sectPr>
          <w:pgSz w:w="11900" w:h="16838" w:orient="portrait"/>
          <w:cols w:equalWidth="0" w:num="1">
            <w:col w:w="9920"/>
          </w:cols>
          <w:pgMar w:left="980" w:top="124"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type w:val="continuous"/>
        </w:sectPr>
      </w:pPr>
    </w:p>
    <w:bookmarkStart w:id="19" w:name="page20"/>
    <w:bookmarkEnd w:id="19"/>
    <w:p>
      <w:pPr>
        <w:jc w:val="both"/>
        <w:ind w:right="80" w:firstLine="427"/>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(Loss)/gain on Derivatives: </w:t>
      </w:r>
      <w:r>
        <w:rPr>
          <w:rFonts w:ascii="Times New Roman" w:cs="Times New Roman" w:eastAsia="Times New Roman" w:hAnsi="Times New Roman"/>
          <w:sz w:val="16"/>
          <w:szCs w:val="16"/>
          <w:color w:val="auto"/>
        </w:rPr>
        <w:t>Loss on derivatives decreased by $1.6 million, from a loss of $0.4 million for the three-month period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2021, to a gain of $1.2 million for the same period in 2022. The decrease is attributable to a decrease of $1.1 million in realized loss on derivatives held for trading and a $0.5 million increase in unrealized gain from the mark-to-market valuation of derivatives (interest rate swaps) held for trading, which were carried at fair value through profit or loss, mainly due to changes in the forward yield curve.</w:t>
      </w:r>
    </w:p>
    <w:p>
      <w:pPr>
        <w:spacing w:after="0" w:line="177" w:lineRule="exact"/>
        <w:rPr>
          <w:sz w:val="20"/>
          <w:szCs w:val="20"/>
          <w:color w:val="auto"/>
        </w:rPr>
      </w:pPr>
    </w:p>
    <w:p>
      <w:pPr>
        <w:ind w:right="200" w:firstLine="427"/>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Profit for the Period: </w:t>
      </w:r>
      <w:r>
        <w:rPr>
          <w:rFonts w:ascii="Times New Roman" w:cs="Times New Roman" w:eastAsia="Times New Roman" w:hAnsi="Times New Roman"/>
          <w:sz w:val="16"/>
          <w:szCs w:val="16"/>
          <w:color w:val="auto"/>
        </w:rPr>
        <w:t>Profit for the period decreased by $13.9 million, or 94.6%, from $14.7 million for the three-month period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2021, to $0.8 million for the same period in 2022, as a result of the aforementioned factors.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Six-month period ended June 30, 2021 compared to the six-month period ended June 30,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2"/>
        </w:trPr>
        <w:tc>
          <w:tcPr>
            <w:tcW w:w="67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w:t>
            </w: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67,615</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47,818</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(19,797)</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50,023</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35,742</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1"/>
        <w:spacing w:after="0" w:line="275" w:lineRule="auto"/>
        <w:rPr>
          <w:sz w:val="20"/>
          <w:szCs w:val="20"/>
          <w:color w:val="auto"/>
        </w:rPr>
      </w:pPr>
      <w:r>
        <w:rPr>
          <w:rFonts w:ascii="Times New Roman" w:cs="Times New Roman" w:eastAsia="Times New Roman" w:hAnsi="Times New Roman"/>
          <w:sz w:val="16"/>
          <w:szCs w:val="16"/>
          <w:color w:val="auto"/>
        </w:rPr>
        <w:t>For the six-month period ended June 30, 2021, we had an average of 15.0 vessels operating in our owned fleet having 2,619 available days, while during the six-month period ended June 30, 2022, we had an average of 15.0 vessels operating in our owned and bareboat fleet having 2,715 available days. The increase in available days is due to the scheduled dry-dockings of three of our vessels in the second quarter of 2021 (compared to nil in the same period in 2022).</w:t>
      </w:r>
    </w:p>
    <w:p>
      <w:pPr>
        <w:spacing w:after="0" w:line="179" w:lineRule="exact"/>
        <w:rPr>
          <w:sz w:val="20"/>
          <w:szCs w:val="20"/>
          <w:color w:val="auto"/>
        </w:rPr>
      </w:pPr>
    </w:p>
    <w:p>
      <w:pPr>
        <w:ind w:right="20" w:firstLine="427"/>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increased by $13.0 million, or 8.3%, from $157.4 million for the six-month period ended June 30, 2021, to $170.4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2022. The increase is mainly attributable to a net increase in revenues from our vessels operating in the spot market in the first six months of 2022, in line with the improvement of the LNG shipping spot and term market, combined with an increase in revenues resulting from the 96 off-hire days due to the scheduled dry-dockings of three of our vessels in the first six months of 2021 (compared to nil in the same period in 2022). The average daily hire rate increased from $62,057 for the six-month period ended June 30, 2021, to $63,504 for the six-month period ended June 30, 2022.</w:t>
      </w:r>
    </w:p>
    <w:p>
      <w:pPr>
        <w:spacing w:after="0" w:line="178" w:lineRule="exact"/>
        <w:rPr>
          <w:sz w:val="20"/>
          <w:szCs w:val="20"/>
          <w:color w:val="auto"/>
        </w:rPr>
      </w:pPr>
    </w:p>
    <w:p>
      <w:pPr>
        <w:ind w:right="40" w:firstLine="427"/>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Voyage Expenses and Commissions: </w:t>
      </w:r>
      <w:r>
        <w:rPr>
          <w:rFonts w:ascii="Times New Roman" w:cs="Times New Roman" w:eastAsia="Times New Roman" w:hAnsi="Times New Roman"/>
          <w:sz w:val="16"/>
          <w:szCs w:val="16"/>
          <w:color w:val="auto"/>
        </w:rPr>
        <w:t>Voyage expenses and commissions decreased by $0.3 million, or 7.7%, from $3.9 million for the six-month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ended June 30, 2022, to $3.6 million for the same period in 2022. The decrease in voyage expenses and commissions is mainly attributable to a decrease in bunker consumption costs due to the increased utilization of our vessels operating in the spot market in the six-month period ended June 30, 2022, as compared to the same period in 2021, partially offset by an increase in broker commissions, in line with the increase in revenues mentioned above.</w:t>
      </w:r>
    </w:p>
    <w:p>
      <w:pPr>
        <w:spacing w:after="0" w:line="178" w:lineRule="exact"/>
        <w:rPr>
          <w:sz w:val="20"/>
          <w:szCs w:val="20"/>
          <w:color w:val="auto"/>
        </w:rPr>
      </w:pPr>
    </w:p>
    <w:p>
      <w:pPr>
        <w:ind w:right="100" w:firstLine="427"/>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Vessel Operating Costs: </w:t>
      </w:r>
      <w:r>
        <w:rPr>
          <w:rFonts w:ascii="Times New Roman" w:cs="Times New Roman" w:eastAsia="Times New Roman" w:hAnsi="Times New Roman"/>
          <w:sz w:val="16"/>
          <w:szCs w:val="16"/>
          <w:color w:val="auto"/>
        </w:rPr>
        <w:t>Vessel operating costs decreased by $0.3 million, or 0.8%, from $37.9 million for the six-month period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2021, to $37.6 million for the same period in 2022. The decrease in vessel operating costs is mainly attributable to a decrease of $2.3 million in technical maintenance expenses, primarily in connection with the dry-dockings of three of our vessels in 2021 (compared to nil in the same period in 2022) and a decrease of $0.6 million in vessel management fees, mainly in connection with the decrease of the annual fee payable to our manager (approximately $0.1 million per vessel per year), which were partially offset by an increase of $2.6 million in crew costs, largely related to the in-house management of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(after her redelivery into our managed fleet on April 6, 2022) and additional costs following our COVID-19 enhanced protocols in 2022, crew extension bonuses to support our seafarers, travelling and extended quarantine days for seafarers prior to embarkation. As a result, daily operating costs per vessel decreased from $14,937 per day for the six-month period ended June 30, 2021, to $14,359 per day for the six-month period ended June 30, 2022.</w:t>
      </w:r>
    </w:p>
    <w:p>
      <w:pPr>
        <w:spacing w:after="0" w:line="183" w:lineRule="exact"/>
        <w:rPr>
          <w:sz w:val="20"/>
          <w:szCs w:val="20"/>
          <w:color w:val="auto"/>
        </w:rPr>
      </w:pPr>
    </w:p>
    <w:p>
      <w:pPr>
        <w:ind w:right="140" w:firstLine="427"/>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increased by $2.5 million, or 37.9%, from $6.6 million for the six-month period ended June 30, 2021, to $9.1 million for the same period in 2022. The increase in general and administrative expenses is mainly attributable to an aggregate increase of $2.0 million in administrative services fees for our fleet in connection with the increase in the annual fee per vessel payable to GasLog in 2022 (approximately $0.3 million per vessel per year) and an increase of $0.6 million in legal and professional fees. As a result, daily general and administrative expenses increased from $2,415 per vessel ownership day for the six-month period ended June 30, 2021, to $3,340 per vessel ownership day for the six-month period ended June 30, 2022.</w:t>
      </w:r>
    </w:p>
    <w:p>
      <w:pPr>
        <w:spacing w:after="0" w:line="180" w:lineRule="exact"/>
        <w:rPr>
          <w:sz w:val="20"/>
          <w:szCs w:val="20"/>
          <w:color w:val="auto"/>
        </w:rPr>
      </w:pPr>
    </w:p>
    <w:p>
      <w:pPr>
        <w:ind w:right="160" w:firstLine="427"/>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Impairment Loss on Vessels: </w:t>
      </w:r>
      <w:r>
        <w:rPr>
          <w:rFonts w:ascii="Times New Roman" w:cs="Times New Roman" w:eastAsia="Times New Roman" w:hAnsi="Times New Roman"/>
          <w:sz w:val="16"/>
          <w:szCs w:val="16"/>
          <w:color w:val="auto"/>
        </w:rPr>
        <w:t>Impairment loss on vessels was $28.0 million for the six-month period ended June 30, 2022 and nil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2021. The impairment loss was recognized pursuant to the reclassification of two of our Steam vessels as held for sale and remeasurement of their carrying amounts as of June 30, 2022.</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20" w:name="page21"/>
    <w:bookmarkEnd w:id="20"/>
    <w:p>
      <w:pPr>
        <w:ind w:right="80" w:firstLine="427"/>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increased by $0.1 million, or 0.5%, from $18.5 million for the six-month period ended June 30, 2021, to $18.6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million for the same period in 2022. The increase in financial costs is mainly attributable to an increase of $0.8 million in interest expense on leases, pursuant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in October 2021, partially offset by a decrease of $0.5 million in interest expense on loans, primarily due to the lower debt balances year-over-year. During the six-month period ended June 30, 2021, we had an average of $1,274.4 million of bank borrowings outstanding under our credit facilities with a weighted average interest rate of 2.4%, compared to an average of $1,070.7 million of bank borrowings outstanding under our credit facilities with a weighted average interest rate of 2.8% during the six-month period ended June 30, 2022.</w:t>
      </w:r>
    </w:p>
    <w:p>
      <w:pPr>
        <w:spacing w:after="0" w:line="180" w:lineRule="exact"/>
        <w:rPr>
          <w:sz w:val="20"/>
          <w:szCs w:val="20"/>
          <w:color w:val="auto"/>
        </w:rPr>
      </w:pPr>
    </w:p>
    <w:p>
      <w:pPr>
        <w:jc w:val="both"/>
        <w:ind w:right="320" w:firstLine="427"/>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Gain on Derivatives: </w:t>
      </w:r>
      <w:r>
        <w:rPr>
          <w:rFonts w:ascii="Times New Roman" w:cs="Times New Roman" w:eastAsia="Times New Roman" w:hAnsi="Times New Roman"/>
          <w:sz w:val="16"/>
          <w:szCs w:val="16"/>
          <w:color w:val="auto"/>
        </w:rPr>
        <w:t>Gain on derivatives increased by $5.3 million, from $0.9 million for the six-month period ended June 30, 2021, to $6.2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2022. The increase is attributable to a $3.7 million increase in unrealized gain from the mark-to-market valuation of derivatives (interest rate swaps) held for trading, which were carried at fair value through profit or loss, mainly due to changes in the forward yield curve, and a decrease of $1.6 million in realized loss on derivatives held for trading.</w:t>
      </w:r>
    </w:p>
    <w:p>
      <w:pPr>
        <w:spacing w:after="0" w:line="177" w:lineRule="exact"/>
        <w:rPr>
          <w:sz w:val="20"/>
          <w:szCs w:val="20"/>
          <w:color w:val="auto"/>
        </w:rPr>
      </w:pPr>
    </w:p>
    <w:p>
      <w:pPr>
        <w:jc w:val="both"/>
        <w:ind w:right="320" w:firstLine="427"/>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Profit for the Period: </w:t>
      </w:r>
      <w:r>
        <w:rPr>
          <w:rFonts w:ascii="Times New Roman" w:cs="Times New Roman" w:eastAsia="Times New Roman" w:hAnsi="Times New Roman"/>
          <w:sz w:val="16"/>
          <w:szCs w:val="16"/>
          <w:color w:val="auto"/>
        </w:rPr>
        <w:t>Profit for the period decreased by $14.3 million, or 28.6%, from $50.0 million for the six-month period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2021, to $35.7 million for the same period in 2022, as a result of the aforementioned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7" w:lineRule="exact"/>
        <w:rPr>
          <w:sz w:val="20"/>
          <w:szCs w:val="20"/>
          <w:color w:val="auto"/>
        </w:rPr>
      </w:pPr>
    </w:p>
    <w:p>
      <w:pPr>
        <w:ind w:firstLine="506"/>
        <w:spacing w:after="0" w:line="271" w:lineRule="auto"/>
        <w:rPr>
          <w:sz w:val="20"/>
          <w:szCs w:val="20"/>
          <w:color w:val="auto"/>
        </w:rPr>
      </w:pPr>
      <w:r>
        <w:rPr>
          <w:rFonts w:ascii="Times New Roman" w:cs="Times New Roman" w:eastAsia="Times New Roman" w:hAnsi="Times New Roman"/>
          <w:sz w:val="16"/>
          <w:szCs w:val="16"/>
          <w:color w:val="auto"/>
        </w:rPr>
        <w:t>We operate in a capital-intensive industry and we expect to finance the purchase of any additional vessels or other capital expenditures through a combination of borrowings from commercial banks, cash generated from operations and debt, lease and equity financings, if any. In addition to paying distributions and potentially repurchasing common and preference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84" w:lineRule="exact"/>
        <w:rPr>
          <w:sz w:val="20"/>
          <w:szCs w:val="20"/>
          <w:color w:val="auto"/>
        </w:rPr>
      </w:pPr>
    </w:p>
    <w:p>
      <w:pPr>
        <w:ind w:right="60" w:firstLine="506"/>
        <w:spacing w:after="0" w:line="272" w:lineRule="auto"/>
        <w:rPr>
          <w:sz w:val="20"/>
          <w:szCs w:val="20"/>
          <w:color w:val="auto"/>
        </w:rPr>
      </w:pPr>
      <w:r>
        <w:rPr>
          <w:rFonts w:ascii="Times New Roman" w:cs="Times New Roman" w:eastAsia="Times New Roman" w:hAnsi="Times New Roman"/>
          <w:sz w:val="16"/>
          <w:szCs w:val="16"/>
          <w:color w:val="auto"/>
        </w:rPr>
        <w:t>In the three months ended June 30, 2022, under the Partnership’s preference unit repurchase programme established in March 2021, GasLog Partners repurchased and cancelled 72,762 8.625% Series A Cumulative Redeemable Perpetual Fixed to Floating Rate Preference Units (the “Series A Preference Units”), 140,201 8.200% Series B Cumulative Redeemable Perpetual Fixed to Floating Rate Preference Units (the “Series B Preference Units”) and 132,715 8.500% Series C Cumulative Redeemable Perpetual Fixed to Floating Rate Preference Units (the “Series C Preference Units”), for an aggregate amount of $8.7 million, including commissions.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Partnership did not issue any common units during the second quarter of 2022 under the ATM Common Equity Offering Programme.</w:t>
      </w:r>
    </w:p>
    <w:p>
      <w:pPr>
        <w:spacing w:after="0" w:line="235" w:lineRule="exact"/>
        <w:rPr>
          <w:sz w:val="20"/>
          <w:szCs w:val="20"/>
          <w:color w:val="auto"/>
        </w:rPr>
      </w:pPr>
    </w:p>
    <w:p>
      <w:pPr>
        <w:jc w:val="both"/>
        <w:ind w:right="260" w:firstLine="506"/>
        <w:spacing w:after="0" w:line="281" w:lineRule="auto"/>
        <w:rPr>
          <w:sz w:val="20"/>
          <w:szCs w:val="20"/>
          <w:color w:val="auto"/>
        </w:rPr>
      </w:pPr>
      <w:r>
        <w:rPr>
          <w:rFonts w:ascii="Times New Roman" w:cs="Times New Roman" w:eastAsia="Times New Roman" w:hAnsi="Times New Roman"/>
          <w:sz w:val="16"/>
          <w:szCs w:val="16"/>
          <w:color w:val="auto"/>
        </w:rPr>
        <w:t>As of June 30, 2022, we had $147.3 million of cash and cash equivalents, out of which $51.8 million was held in current accounts and $95.5 million was held in time deposits with an original duration of less than three months. An additional amount of $10.0 million of time deposits with an original duration greater than three months was classified under short-term cash deposits.</w:t>
      </w:r>
    </w:p>
    <w:p>
      <w:pPr>
        <w:spacing w:after="0" w:line="177" w:lineRule="exact"/>
        <w:rPr>
          <w:sz w:val="20"/>
          <w:szCs w:val="20"/>
          <w:color w:val="auto"/>
        </w:rPr>
      </w:pPr>
    </w:p>
    <w:p>
      <w:pPr>
        <w:ind w:right="20" w:firstLine="506"/>
        <w:spacing w:after="0" w:line="275" w:lineRule="auto"/>
        <w:rPr>
          <w:sz w:val="20"/>
          <w:szCs w:val="20"/>
          <w:color w:val="auto"/>
        </w:rPr>
      </w:pPr>
      <w:r>
        <w:rPr>
          <w:rFonts w:ascii="Times New Roman" w:cs="Times New Roman" w:eastAsia="Times New Roman" w:hAnsi="Times New Roman"/>
          <w:sz w:val="16"/>
          <w:szCs w:val="16"/>
          <w:color w:val="auto"/>
        </w:rPr>
        <w:t xml:space="preserve">As of June 30, 2022, we had an aggregate of $1,036.1 million of borrowings outstanding under our credit facilities, of which $159.3 million was repayable within one year. Current bank borrowings include an amount of $69.1 million with respect to the associated debt of our two Steam vessels classified as held for sale as of June 30, 2022. As of June 30, 2022, we also had an aggregate of $50.9 million of lease liabilities mainly related to the sale and leaseback of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of which $10.5 million was payable within one year.</w:t>
      </w:r>
    </w:p>
    <w:p>
      <w:pPr>
        <w:spacing w:after="0" w:line="183" w:lineRule="exact"/>
        <w:rPr>
          <w:sz w:val="20"/>
          <w:szCs w:val="20"/>
          <w:color w:val="auto"/>
        </w:rPr>
      </w:pPr>
    </w:p>
    <w:p>
      <w:pPr>
        <w:jc w:val="both"/>
        <w:ind w:right="40" w:firstLine="506"/>
        <w:spacing w:after="0" w:line="281" w:lineRule="auto"/>
        <w:rPr>
          <w:sz w:val="20"/>
          <w:szCs w:val="20"/>
          <w:color w:val="auto"/>
        </w:rPr>
      </w:pPr>
      <w:r>
        <w:rPr>
          <w:rFonts w:ascii="Times New Roman" w:cs="Times New Roman" w:eastAsia="Times New Roman" w:hAnsi="Times New Roman"/>
          <w:sz w:val="16"/>
          <w:szCs w:val="16"/>
          <w:color w:val="auto"/>
        </w:rPr>
        <w:t>As of June 30, 2022, the Partnership had in place five interest rate swap agreements at a notional value of $263.3 million in aggregate, maturing between 2022 and 2025. As a result of its hedging agreements, the Partnership had hedged 25.1% of its floating interest rate exposure on its outstanding debt (excluding the lease liability) as of June 30, 2022, at a weighted average interest rate of approximately 2.4% (excluding margin).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Working Capital Position</w:t>
      </w:r>
    </w:p>
    <w:p>
      <w:pPr>
        <w:spacing w:after="0" w:line="237" w:lineRule="exact"/>
        <w:rPr>
          <w:sz w:val="20"/>
          <w:szCs w:val="20"/>
          <w:color w:val="auto"/>
        </w:rPr>
      </w:pPr>
    </w:p>
    <w:p>
      <w:pPr>
        <w:ind w:right="80" w:firstLine="401"/>
        <w:spacing w:after="0" w:line="298" w:lineRule="auto"/>
        <w:rPr>
          <w:sz w:val="20"/>
          <w:szCs w:val="20"/>
          <w:color w:val="auto"/>
        </w:rPr>
      </w:pPr>
      <w:r>
        <w:rPr>
          <w:rFonts w:ascii="Times New Roman" w:cs="Times New Roman" w:eastAsia="Times New Roman" w:hAnsi="Times New Roman"/>
          <w:sz w:val="16"/>
          <w:szCs w:val="16"/>
          <w:color w:val="auto"/>
        </w:rPr>
        <w:t>As of June 30, 2022, our current assets totaled $291.6 million and current liabilities totaled $239.8 million, resulting in a positive working capital position of $51.8 million.</w:t>
      </w:r>
    </w:p>
    <w:p>
      <w:pPr>
        <w:spacing w:after="0" w:line="164" w:lineRule="exact"/>
        <w:rPr>
          <w:sz w:val="20"/>
          <w:szCs w:val="20"/>
          <w:color w:val="auto"/>
        </w:rPr>
      </w:pPr>
    </w:p>
    <w:p>
      <w:pPr>
        <w:ind w:right="40" w:firstLine="401"/>
        <w:spacing w:after="0" w:line="298" w:lineRule="auto"/>
        <w:rPr>
          <w:sz w:val="20"/>
          <w:szCs w:val="20"/>
          <w:color w:val="auto"/>
        </w:rPr>
      </w:pPr>
      <w:r>
        <w:rPr>
          <w:rFonts w:ascii="Times New Roman" w:cs="Times New Roman" w:eastAsia="Times New Roman" w:hAnsi="Times New Roman"/>
          <w:sz w:val="16"/>
          <w:szCs w:val="16"/>
          <w:color w:val="auto"/>
        </w:rPr>
        <w:t>We believe that our current resources, cash from operations and existing debt facilities will be sufficient to meet our working capital requirements and comply with our banking covenants for at least twelve months from the date of this report.</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2" w:right="10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Six-month period ended June 30, 2021 compared to the six-month period ended June 30, 2022</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summarizes our net cash flows from operating, investing and financing activities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23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113,017</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(14,718)</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(82,219)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(109,343)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p>
      <w:pPr>
        <w:spacing w:after="0" w:line="239" w:lineRule="exact"/>
        <w:rPr>
          <w:sz w:val="20"/>
          <w:szCs w:val="20"/>
          <w:color w:val="auto"/>
        </w:rPr>
      </w:pPr>
    </w:p>
    <w:p>
      <w:pPr>
        <w:ind w:right="120" w:firstLine="427"/>
        <w:spacing w:after="0" w:line="275" w:lineRule="auto"/>
        <w:rPr>
          <w:sz w:val="20"/>
          <w:szCs w:val="20"/>
          <w:color w:val="auto"/>
        </w:rPr>
      </w:pPr>
      <w:r>
        <w:rPr>
          <w:rFonts w:ascii="Times New Roman" w:cs="Times New Roman" w:eastAsia="Times New Roman" w:hAnsi="Times New Roman"/>
          <w:sz w:val="16"/>
          <w:szCs w:val="16"/>
          <w:color w:val="auto"/>
        </w:rPr>
        <w:t>Net cash provided by operating activities increased by $9.2 million, from $113.0 million in the six-month period ended June 30, 2021, to $122.2 million in the six-month period ended June 30, 2022. The increase of $9.2 million is mainly attributable to an increase in revenues of $13.0 million, partially offset by a $2.1 million movement in working capital accounts and a net increase of $1.9 million in voyage expenses and commissions, vessel operating costs and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Investing Activities:</w:t>
      </w:r>
    </w:p>
    <w:p>
      <w:pPr>
        <w:spacing w:after="0" w:line="239" w:lineRule="exact"/>
        <w:rPr>
          <w:sz w:val="20"/>
          <w:szCs w:val="20"/>
          <w:color w:val="auto"/>
        </w:rPr>
      </w:pPr>
    </w:p>
    <w:p>
      <w:pPr>
        <w:ind w:right="100" w:firstLine="427"/>
        <w:spacing w:after="0" w:line="281" w:lineRule="auto"/>
        <w:rPr>
          <w:sz w:val="20"/>
          <w:szCs w:val="20"/>
          <w:color w:val="auto"/>
        </w:rPr>
      </w:pPr>
      <w:r>
        <w:rPr>
          <w:rFonts w:ascii="Times New Roman" w:cs="Times New Roman" w:eastAsia="Times New Roman" w:hAnsi="Times New Roman"/>
          <w:sz w:val="16"/>
          <w:szCs w:val="16"/>
          <w:color w:val="auto"/>
        </w:rPr>
        <w:t>Net cash used in investing activities decreased by $3.6 million, from $14.7 million in the six-month period ended June 30, 2021, to $11.1 million in the six-month period ended June 30, 2022. The decrease of $3.6 million is mainly attributable to a decrease of cash used in payments for tangible fixed assets of $11.0 million, partially offset by an increase in purchases of short-term cash deposits of $7.5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p>
      <w:pPr>
        <w:spacing w:after="0" w:line="239" w:lineRule="exact"/>
        <w:rPr>
          <w:sz w:val="20"/>
          <w:szCs w:val="20"/>
          <w:color w:val="auto"/>
        </w:rPr>
      </w:pPr>
    </w:p>
    <w:p>
      <w:pPr>
        <w:ind w:right="20" w:firstLine="427"/>
        <w:spacing w:after="0" w:line="272" w:lineRule="auto"/>
        <w:rPr>
          <w:sz w:val="20"/>
          <w:szCs w:val="20"/>
          <w:color w:val="auto"/>
        </w:rPr>
      </w:pPr>
      <w:r>
        <w:rPr>
          <w:rFonts w:ascii="Times New Roman" w:cs="Times New Roman" w:eastAsia="Times New Roman" w:hAnsi="Times New Roman"/>
          <w:sz w:val="16"/>
          <w:szCs w:val="16"/>
          <w:color w:val="auto"/>
        </w:rPr>
        <w:t>Net cash used in financing activities increased by $27.1 million, from $82.2 million in the six-month period ended June 30, 2021, to $109.3 million in the six-month period ended June 30, 2022. The increase of $27.1 million is mainly attributable to an increase of $18.7 million in cash used for repurchases of preference units, a decrease in proceeds from issuance of common and general partner units of $10.2 million and an increase of $4.9 million in lease payments (principal elements), partially offset by a decrease of $3.1 million in bank loan repayments, a decrease of $2.7 million in interest paid and a decrease of $1.1 million in paid distributions.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Contracted Charter Revenues</w:t>
      </w:r>
    </w:p>
    <w:p>
      <w:pPr>
        <w:spacing w:after="0" w:line="237" w:lineRule="exact"/>
        <w:rPr>
          <w:sz w:val="20"/>
          <w:szCs w:val="20"/>
          <w:color w:val="auto"/>
        </w:rPr>
      </w:pPr>
    </w:p>
    <w:p>
      <w:pPr>
        <w:ind w:right="40" w:firstLine="324"/>
        <w:spacing w:after="0" w:line="298" w:lineRule="auto"/>
        <w:rPr>
          <w:sz w:val="20"/>
          <w:szCs w:val="20"/>
          <w:color w:val="auto"/>
        </w:rPr>
      </w:pPr>
      <w:r>
        <w:rPr>
          <w:rFonts w:ascii="Times New Roman" w:cs="Times New Roman" w:eastAsia="Times New Roman" w:hAnsi="Times New Roman"/>
          <w:sz w:val="16"/>
          <w:szCs w:val="16"/>
          <w:color w:val="auto"/>
        </w:rPr>
        <w:t>The following table summarizes GasLog Partners’ contracted charter revenues and vessel utilization for the periods ending December 31, 2022 and 2023:</w:t>
      </w:r>
    </w:p>
    <w:p>
      <w:pPr>
        <w:spacing w:after="0" w:line="9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of U.S. dollars, except days and percentages)</w:t>
            </w:r>
          </w:p>
        </w:tc>
        <w:tc>
          <w:tcPr>
            <w:tcW w:w="23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July – December 2022</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47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Contracted time charter revenues</w:t>
            </w:r>
            <w:r>
              <w:rPr>
                <w:rFonts w:ascii="Times New Roman" w:cs="Times New Roman" w:eastAsia="Times New Roman" w:hAnsi="Times New Roman"/>
                <w:sz w:val="24"/>
                <w:szCs w:val="24"/>
                <w:color w:val="auto"/>
                <w:vertAlign w:val="superscript"/>
              </w:rPr>
              <w:t>(1)(2)(3)(4)</w:t>
            </w:r>
          </w:p>
        </w:tc>
        <w:tc>
          <w:tcPr>
            <w:tcW w:w="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Total contracted days</w:t>
            </w:r>
            <w:r>
              <w:rPr>
                <w:rFonts w:ascii="Times New Roman" w:cs="Times New Roman" w:eastAsia="Times New Roman" w:hAnsi="Times New Roman"/>
                <w:sz w:val="25"/>
                <w:szCs w:val="25"/>
                <w:color w:val="auto"/>
                <w:vertAlign w:val="superscript"/>
              </w:rPr>
              <w:t>(1)(2)</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Total available days</w:t>
            </w:r>
            <w:r>
              <w:rPr>
                <w:rFonts w:ascii="Times New Roman" w:cs="Times New Roman" w:eastAsia="Times New Roman" w:hAnsi="Times New Roman"/>
                <w:sz w:val="25"/>
                <w:szCs w:val="25"/>
                <w:color w:val="auto"/>
                <w:vertAlign w:val="superscript"/>
              </w:rPr>
              <w:t>(5)</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8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Total unfixed days</w:t>
            </w:r>
            <w:r>
              <w:rPr>
                <w:rFonts w:ascii="Times New Roman" w:cs="Times New Roman" w:eastAsia="Times New Roman" w:hAnsi="Times New Roman"/>
                <w:sz w:val="25"/>
                <w:szCs w:val="25"/>
                <w:color w:val="auto"/>
                <w:vertAlign w:val="superscript"/>
              </w:rPr>
              <w:t>(6)</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8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contracted days/ total available days</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87.2 %</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44.8 %</w:t>
            </w:r>
          </w:p>
        </w:tc>
      </w:tr>
    </w:tbl>
    <w:p>
      <w:pPr>
        <w:spacing w:after="0" w:line="135"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6"/>
          <w:szCs w:val="16"/>
          <w:color w:val="auto"/>
        </w:rPr>
        <w:t>After giving effect to the charter parties signed from July 1, 2022 until July 28, 2022, contracted time charter revenues increased to $163.1 million for the remainder of 2022 and $193.3 million for 2023, while the percentage of total contracted days to total available days for the remainder of 2022 and 2023 increased to 89.5% and 50.9%,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15684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48" w:lineRule="exact"/>
        <w:rPr>
          <w:sz w:val="20"/>
          <w:szCs w:val="20"/>
          <w:color w:val="auto"/>
        </w:rPr>
      </w:pPr>
    </w:p>
    <w:p>
      <w:pPr>
        <w:ind w:left="200" w:right="160" w:hanging="192"/>
        <w:spacing w:after="0" w:line="229" w:lineRule="auto"/>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Reflects time charter revenues and contracted days for the 15 LNG carriers in our fleet as of June 30, 2022 and through December 31, 2023 (including one vessel sold and leased back under a bareboat charter in October 2021). Contracted days are calculated taking into account the firm period charter expiration and expected market conditions as of June 30, 2022.</w:t>
      </w:r>
    </w:p>
    <w:p>
      <w:pPr>
        <w:ind w:left="200" w:right="120" w:hanging="192"/>
        <w:spacing w:after="0" w:line="221" w:lineRule="auto"/>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Our ships are scheduled to undergo dry-docking once every five years. Revenue calculations assume 365 revenue days per ship per annum, with 30 off-hire days when each ship undergoes scheduled dry-docking.</w:t>
      </w:r>
    </w:p>
    <w:p>
      <w:pPr>
        <w:ind w:left="200" w:right="60" w:hanging="192"/>
        <w:spacing w:after="0" w:line="221" w:lineRule="auto"/>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For time charters that include a variable rate of hire within an agreed range during the charter period, revenue calculations are based on the agreed minimum rate of hire for the respective period.</w:t>
      </w:r>
    </w:p>
    <w:p>
      <w:pPr>
        <w:ind w:left="200" w:hanging="192"/>
        <w:spacing w:after="0" w:line="221" w:lineRule="auto"/>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Revenue calculations assume no exercise of any option to extend the terms of the charters.</w:t>
      </w:r>
    </w:p>
    <w:p>
      <w:pPr>
        <w:ind w:left="200" w:hanging="192"/>
        <w:spacing w:after="0" w:line="221" w:lineRule="auto"/>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Available days represent total calendar days after deducting 30 off-hire days when the ship undergoes scheduled dry-docking.</w:t>
      </w:r>
    </w:p>
    <w:p>
      <w:pPr>
        <w:ind w:left="200" w:hanging="192"/>
        <w:spacing w:after="0"/>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available days for the ships after the expiration of the existing charters (assuming charterers do not exercise any option to extend the terms of the charters).</w:t>
      </w:r>
    </w:p>
    <w:p>
      <w:pPr>
        <w:spacing w:after="0" w:line="196" w:lineRule="exact"/>
        <w:rPr>
          <w:sz w:val="20"/>
          <w:szCs w:val="20"/>
          <w:color w:val="auto"/>
        </w:rPr>
      </w:pPr>
    </w:p>
    <w:p>
      <w:pPr>
        <w:jc w:val="both"/>
        <w:ind w:right="140" w:firstLine="194"/>
        <w:spacing w:after="0" w:line="281" w:lineRule="auto"/>
        <w:rPr>
          <w:sz w:val="20"/>
          <w:szCs w:val="20"/>
          <w:color w:val="auto"/>
        </w:rPr>
      </w:pPr>
      <w:r>
        <w:rPr>
          <w:rFonts w:ascii="Times New Roman" w:cs="Times New Roman" w:eastAsia="Times New Roman" w:hAnsi="Times New Roman"/>
          <w:sz w:val="16"/>
          <w:szCs w:val="16"/>
          <w:color w:val="auto"/>
        </w:rPr>
        <w:t>The table above provides information about our contracted charter revenues and ship utilization based on contracts in effect for the 15 LNG carriers in our fleet as of June 30, 2022 and through December 31, 2023 (including one vessel sold and leased back under a bareboat charter in October 2021). The table reflects only our contracted charter revenues for the ships in our owned and bareboat fleet for which we have secured time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6"/>
          <w:szCs w:val="16"/>
          <w:color w:val="auto"/>
        </w:rPr>
        <w:t>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 2022.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99.3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INDEX TO UNAUDITED CONDENSED CONSOLIDATED FINANCIAL STATEMENTS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40" w:type="dxa"/>
            <w:vAlign w:val="bottom"/>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Unaudited condensed consolidated statements of financial position as of December 31, 2021 and June 30, 2022</w:t>
            </w: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3280" w:type="dxa"/>
            <w:vAlign w:val="bottom"/>
            <w:tcBorders>
              <w:top w:val="single" w:sz="8" w:color="0000EE"/>
            </w:tcBorders>
            <w:shd w:val="clear" w:color="auto" w:fill="CCEEFF"/>
          </w:tcPr>
          <w:p>
            <w:pPr>
              <w:spacing w:after="0" w:line="20" w:lineRule="exact"/>
              <w:rPr>
                <w:sz w:val="1"/>
                <w:szCs w:val="1"/>
                <w:color w:val="auto"/>
              </w:rPr>
            </w:pPr>
          </w:p>
        </w:tc>
        <w:tc>
          <w:tcPr>
            <w:tcW w:w="27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9020" w:type="dxa"/>
            <w:vAlign w:val="bottom"/>
            <w:tcBorders>
              <w:bottom w:val="single" w:sz="8" w:color="0000EE"/>
            </w:tcBorders>
            <w:gridSpan w:val="7"/>
          </w:tcPr>
          <w:p>
            <w:pPr>
              <w:spacing w:after="0" w:line="162" w:lineRule="exact"/>
              <w:rPr>
                <w:sz w:val="20"/>
                <w:szCs w:val="20"/>
                <w:color w:val="auto"/>
              </w:rPr>
            </w:pPr>
            <w:r>
              <w:rPr>
                <w:rFonts w:ascii="Times New Roman" w:cs="Times New Roman" w:eastAsia="Times New Roman" w:hAnsi="Times New Roman"/>
                <w:sz w:val="16"/>
                <w:szCs w:val="16"/>
                <w:color w:val="0000EE"/>
              </w:rPr>
              <w:t>Unaudited condensed consolidated statements of profit or loss and total comprehensive income for the three and six months ended June 30,</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40" w:type="dxa"/>
            <w:vAlign w:val="bottom"/>
            <w:gridSpan w:val="8"/>
          </w:tcPr>
          <w:p>
            <w:pPr>
              <w:ind w:left="120"/>
              <w:spacing w:after="0" w:line="183" w:lineRule="exact"/>
              <w:rPr>
                <w:sz w:val="20"/>
                <w:szCs w:val="20"/>
                <w:color w:val="auto"/>
              </w:rPr>
            </w:pPr>
            <w:r>
              <w:rPr>
                <w:rFonts w:ascii="Times New Roman" w:cs="Times New Roman" w:eastAsia="Times New Roman" w:hAnsi="Times New Roman"/>
                <w:sz w:val="16"/>
                <w:szCs w:val="16"/>
                <w:color w:val="0000EE"/>
              </w:rPr>
              <w:t>2021 and 2022</w:t>
            </w:r>
          </w:p>
        </w:tc>
        <w:tc>
          <w:tcPr>
            <w:tcW w:w="88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04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Unaudited condensed consolidated statements of changes in partners’ equity for the six months ended June 30, 2021 and 2022</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60" w:type="dxa"/>
            <w:vAlign w:val="bottom"/>
            <w:tcBorders>
              <w:top w:val="single" w:sz="8" w:color="0000EE"/>
            </w:tcBorders>
            <w:gridSpan w:val="6"/>
          </w:tcPr>
          <w:p>
            <w:pPr>
              <w:spacing w:after="0" w:line="162" w:lineRule="exact"/>
              <w:rPr>
                <w:sz w:val="20"/>
                <w:szCs w:val="20"/>
                <w:color w:val="auto"/>
              </w:rPr>
            </w:pPr>
            <w:r>
              <w:rPr>
                <w:rFonts w:ascii="Times New Roman" w:cs="Times New Roman" w:eastAsia="Times New Roman" w:hAnsi="Times New Roman"/>
                <w:sz w:val="16"/>
                <w:szCs w:val="16"/>
                <w:color w:val="0000EE"/>
              </w:rPr>
              <w:t>Unaudited condensed consolidated statements of cash flows for the six months ended June 30, 2021 and 2022</w:t>
            </w:r>
          </w:p>
        </w:tc>
        <w:tc>
          <w:tcPr>
            <w:tcW w:w="880" w:type="dxa"/>
            <w:vAlign w:val="bottom"/>
            <w:tcBorders>
              <w:top w:val="single" w:sz="8" w:color="CCEEFF"/>
            </w:tcBorders>
            <w:gridSpan w:val="2"/>
          </w:tcPr>
          <w:p>
            <w:pPr>
              <w:spacing w:after="0"/>
              <w:rPr>
                <w:sz w:val="14"/>
                <w:szCs w:val="14"/>
                <w:color w:val="auto"/>
              </w:rPr>
            </w:pPr>
          </w:p>
        </w:tc>
        <w:tc>
          <w:tcPr>
            <w:tcW w:w="86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6"/>
                <w:szCs w:val="16"/>
                <w:color w:val="auto"/>
              </w:rPr>
              <w:t>F-5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80" w:type="dxa"/>
            <w:vAlign w:val="bottom"/>
            <w:tcBorders>
              <w:top w:val="single" w:sz="8" w:color="0000EE"/>
            </w:tcBorders>
          </w:tcPr>
          <w:p>
            <w:pPr>
              <w:spacing w:after="0" w:line="20" w:lineRule="exact"/>
              <w:rPr>
                <w:sz w:val="1"/>
                <w:szCs w:val="1"/>
                <w:color w:val="auto"/>
              </w:rPr>
            </w:pPr>
          </w:p>
        </w:tc>
        <w:tc>
          <w:tcPr>
            <w:tcW w:w="2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04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Notes to the unaudited condensed consolidated financial statements</w:t>
            </w: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F-6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280" w:type="dxa"/>
            <w:vAlign w:val="bottom"/>
            <w:tcBorders>
              <w:top w:val="single" w:sz="8" w:color="0000EE"/>
            </w:tcBorders>
          </w:tcPr>
          <w:p>
            <w:pPr>
              <w:spacing w:after="0"/>
              <w:rPr>
                <w:sz w:val="24"/>
                <w:szCs w:val="24"/>
                <w:color w:val="auto"/>
              </w:rPr>
            </w:pPr>
          </w:p>
        </w:tc>
        <w:tc>
          <w:tcPr>
            <w:tcW w:w="4680" w:type="dxa"/>
            <w:vAlign w:val="bottom"/>
            <w:tcBorders>
              <w:top w:val="single" w:sz="8" w:color="CCEEFF"/>
            </w:tcBorders>
            <w:gridSpan w:val="5"/>
          </w:tcPr>
          <w:p>
            <w:pPr>
              <w:jc w:val="center"/>
              <w:ind w:right="3500"/>
              <w:spacing w:after="0"/>
              <w:rPr>
                <w:sz w:val="20"/>
                <w:szCs w:val="20"/>
                <w:color w:val="auto"/>
              </w:rPr>
            </w:pPr>
            <w:r>
              <w:rPr>
                <w:rFonts w:ascii="Times New Roman" w:cs="Times New Roman" w:eastAsia="Times New Roman" w:hAnsi="Times New Roman"/>
                <w:sz w:val="16"/>
                <w:szCs w:val="16"/>
                <w:color w:val="auto"/>
                <w:w w:val="98"/>
              </w:rPr>
              <w:t>F-1</w:t>
            </w:r>
          </w:p>
        </w:tc>
        <w:tc>
          <w:tcPr>
            <w:tcW w:w="8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 and June 30, 2022</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6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 non-current portion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6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1,888,583</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1,714,062</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81,996</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73,555</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1,970,623</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1,787,770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Vessels held for sale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113,435</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11,156</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15,828</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 current portion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147,272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161,110</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291,590</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2,079,360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(51,137,201 units issued and outstanding as of December 31, 2021</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51,272,865 units issued and outstanding as of June 30, 2022)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579,447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600,151</w:t>
            </w:r>
          </w:p>
        </w:tc>
        <w:tc>
          <w:tcPr>
            <w:tcW w:w="0" w:type="dxa"/>
            <w:vAlign w:val="bottom"/>
          </w:tcPr>
          <w:p>
            <w:pPr>
              <w:spacing w:after="0"/>
              <w:rPr>
                <w:sz w:val="1"/>
                <w:szCs w:val="1"/>
                <w:color w:val="auto"/>
              </w:rPr>
            </w:pPr>
          </w:p>
        </w:tc>
      </w:tr>
      <w:tr>
        <w:trPr>
          <w:trHeight w:val="19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partner (1,077,494 units issued and outstanding as of December 31, 2021 and</w:t>
            </w: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1,080,263 units issued and outstanding as of June 30, 2022)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Preference unitholders (5,750,000 Series A Preference Units, 4,135,571 Series B</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Preference Units and 3,730,451 Series C Preference Units issued and outstanding as of</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2021 and 5,669,400 Series A Preference Units, 3,822,780 Series B</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Preference Units and 3,384,401 Series C Preference Units issued and outstanding as of</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June 30, 2022)</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329,334</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310,606</w:t>
            </w: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919,498</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921,927</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14,220</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instruments—current portion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50,171</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99,307</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159,342</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10,342</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175,503</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239,786</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instruments—non-current portion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986,451</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876,802</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40,367</w:t>
            </w:r>
          </w:p>
        </w:tc>
        <w:tc>
          <w:tcPr>
            <w:tcW w:w="0" w:type="dxa"/>
            <w:vAlign w:val="bottom"/>
          </w:tcPr>
          <w:p>
            <w:pPr>
              <w:spacing w:after="0"/>
              <w:rPr>
                <w:sz w:val="1"/>
                <w:szCs w:val="1"/>
                <w:color w:val="auto"/>
              </w:rPr>
            </w:pPr>
          </w:p>
        </w:tc>
      </w:tr>
      <w:tr>
        <w:trPr>
          <w:trHeight w:val="203"/>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1,036,732</w:t>
            </w:r>
          </w:p>
        </w:tc>
        <w:tc>
          <w:tcPr>
            <w:tcW w:w="24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917,647</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2,131,733</w:t>
            </w:r>
          </w:p>
        </w:tc>
        <w:tc>
          <w:tcPr>
            <w:tcW w:w="24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2,079,360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ind w:right="3380"/>
        <w:spacing w:after="0" w:line="270" w:lineRule="auto"/>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 and total comprehensive income For the three and six months ended June 30, 2021 and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3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70,352</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84,922</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157,440</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(1,852)</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(2,172)</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(3,931)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(20,044)</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(19,047)</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(37,851)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(20,798)</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(22,224)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(41,484)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(3,488)</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(4,380)</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(6,559)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(28,027)</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24,170</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9,072</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67,615</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(9,115)</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(Loss)/gain on derivatives</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(9,507)</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(8,311)</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(17,592)</w:t>
            </w: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(12,076)</w:t>
            </w:r>
          </w:p>
        </w:tc>
        <w:tc>
          <w:tcPr>
            <w:tcW w:w="0" w:type="dxa"/>
            <w:vAlign w:val="bottom"/>
          </w:tcPr>
          <w:p>
            <w:pPr>
              <w:spacing w:after="0"/>
              <w:rPr>
                <w:sz w:val="1"/>
                <w:szCs w:val="1"/>
                <w:color w:val="auto"/>
              </w:rPr>
            </w:pPr>
          </w:p>
        </w:tc>
      </w:tr>
      <w:tr>
        <w:trPr>
          <w:trHeight w:val="236"/>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Profit and total comprehensive income for the period</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14,663</w:t>
            </w: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761</w:t>
            </w: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50,023</w:t>
            </w:r>
          </w:p>
        </w:tc>
        <w:tc>
          <w:tcPr>
            <w:tcW w:w="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35,742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Earnings/(loss) per unit, basic and diluted:</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unit, basic</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Common unit, diluted</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partner unit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127" w:lineRule="exact"/>
        <w:rPr>
          <w:sz w:val="20"/>
          <w:szCs w:val="20"/>
          <w:color w:val="auto"/>
        </w:rPr>
      </w:pPr>
    </w:p>
    <w:p>
      <w:pPr>
        <w:ind w:right="4640"/>
        <w:spacing w:after="0" w:line="270" w:lineRule="auto"/>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partners’ equity For the six months ended June 30, 2021 and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78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6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General partner</w:t>
            </w:r>
          </w:p>
        </w:tc>
        <w:tc>
          <w:tcPr>
            <w:tcW w:w="17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Common unitholders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unitholders</w:t>
            </w:r>
          </w:p>
        </w:tc>
        <w:tc>
          <w:tcPr>
            <w:tcW w:w="178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unitholders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Partners’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60" w:type="dxa"/>
            <w:vAlign w:val="bottom"/>
          </w:tcPr>
          <w:p>
            <w:pPr>
              <w:spacing w:after="0"/>
              <w:rPr>
                <w:sz w:val="17"/>
                <w:szCs w:val="17"/>
                <w:color w:val="auto"/>
              </w:rPr>
            </w:pPr>
          </w:p>
        </w:tc>
        <w:tc>
          <w:tcPr>
            <w:tcW w:w="9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Amounts</w:t>
            </w:r>
          </w:p>
        </w:tc>
        <w:tc>
          <w:tcPr>
            <w:tcW w:w="16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60" w:type="dxa"/>
            <w:vAlign w:val="bottom"/>
          </w:tcPr>
          <w:p>
            <w:pPr>
              <w:spacing w:after="0"/>
              <w:rPr>
                <w:sz w:val="17"/>
                <w:szCs w:val="17"/>
                <w:color w:val="auto"/>
              </w:rPr>
            </w:pPr>
          </w:p>
        </w:tc>
        <w:tc>
          <w:tcPr>
            <w:tcW w:w="9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1,021,336</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11,028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47,517,824</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594,901</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2,075,000</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14,350,000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347,889</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953,818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Net proceeds from public offerings of</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units and issuances of general</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partner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3,195,401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awards vested during the</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period</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declared</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(15,164)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net of accrued</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Partnership’s profit and total comprehensive</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(Note 14)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34,127</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1,077,494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50,722,201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637,843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2,075,000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14,350,000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347,889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997,681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1,077,494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51,137,201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579,447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1,660,000</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13,616,022</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329,334</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919,498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preference units (Notes 6,</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(739,441)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(18,526)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awards vested during the</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period and issuance of general partner</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 (Note 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declared (Note 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(14,010)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net of accrued</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Partnership’s profit and total comprehensive</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(Note 14)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21,481</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1,080,263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51,272,865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600,151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1,660,000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12,876,581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310,606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921,927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 and 2022</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50,023</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41,484</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109,266</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2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113,017</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122,181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additions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(12,241)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(2,500)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(14,718)</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(54,838)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8, 13</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(21,384)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Release of cash collateral for interest rate swaps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public offerings of common units and issuances of general partner units (net of</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underwriting discounts and commissions)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preference units</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 (including common and preference)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(16,134)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8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(82,219)</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(109,343)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w:t>
            </w: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16,080</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103,736</w:t>
            </w:r>
          </w:p>
        </w:tc>
        <w:tc>
          <w:tcPr>
            <w:tcW w:w="2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145,530</w:t>
            </w:r>
          </w:p>
        </w:tc>
        <w:tc>
          <w:tcPr>
            <w:tcW w:w="0" w:type="dxa"/>
            <w:vAlign w:val="bottom"/>
          </w:tcPr>
          <w:p>
            <w:pPr>
              <w:spacing w:after="0"/>
              <w:rPr>
                <w:sz w:val="1"/>
                <w:szCs w:val="1"/>
                <w:color w:val="auto"/>
              </w:rPr>
            </w:pPr>
          </w:p>
        </w:tc>
      </w:tr>
      <w:tr>
        <w:trPr>
          <w:trHeight w:val="236"/>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119,816</w:t>
            </w:r>
          </w:p>
        </w:tc>
        <w:tc>
          <w:tcPr>
            <w:tcW w:w="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147,272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 included in liabilities at the end of the period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10,523</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Financing costs included in liabilities at the end of the period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costs included in liabilities at the end of the period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210"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GasLog Partners LP (“GasLog Partners” or the “Partnership”) was formed as a limited partnership under the laws of the Marshall Islands on January 23, 2014, as a wholly owned subsidiary of GasLog Ltd. (“GasLog”) for the purpose of initially acquiring the interests in three liquefied natural gas (“LNG”) carriers that were contributed to the Partnership by GasLog in connection with the initial public offering of its common units (the “IPO”).</w:t>
      </w:r>
    </w:p>
    <w:p>
      <w:pPr>
        <w:spacing w:after="0" w:line="137"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 As of June 30, 2022, the Partnership wholly owned 14 LNG vessels, of which one was agreed to be subsequently sold (Note 4), and operated one LNG vessel leased back under a bareboat charter.</w:t>
      </w:r>
    </w:p>
    <w:p>
      <w:pPr>
        <w:spacing w:after="0" w:line="142"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As of June 30, 2022, GasLog held a 33.2%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50" w:lineRule="exact"/>
        <w:rPr>
          <w:sz w:val="20"/>
          <w:szCs w:val="20"/>
          <w:color w:val="auto"/>
        </w:rPr>
      </w:pPr>
    </w:p>
    <w:p>
      <w:pPr>
        <w:ind w:right="60" w:firstLine="324"/>
        <w:spacing w:after="0" w:line="29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financial statements of GasLog Partners and its subsidiaries, which are 100% owned by the Partnership. No new subsidiaries were established or acquired in the six months ended June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19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 xml:space="preserve">These unaudited condensed consolidated financial statements have been prepared in accordance with International Accounting Standard (“IAS”) 34 </w:t>
      </w:r>
      <w:r>
        <w:rPr>
          <w:rFonts w:ascii="Times New Roman" w:cs="Times New Roman" w:eastAsia="Times New Roman" w:hAnsi="Times New Roman"/>
          <w:sz w:val="16"/>
          <w:szCs w:val="16"/>
          <w:i w:val="1"/>
          <w:iCs w:val="1"/>
          <w:color w:val="auto"/>
        </w:rPr>
        <w:t xml:space="preserve">Interim Financial Reporting </w:t>
      </w:r>
      <w:r>
        <w:rPr>
          <w:rFonts w:ascii="Times New Roman" w:cs="Times New Roman" w:eastAsia="Times New Roman" w:hAnsi="Times New Roman"/>
          <w:sz w:val="16"/>
          <w:szCs w:val="16"/>
          <w:color w:val="auto"/>
        </w:rPr>
        <w:t>as issued by the International Accounting Standards Board (“IASB”). Certain information and footnote disclosures required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International Financial Reporting Standards (“IFRS”) for a complete set of annual financial statements have been omitted, and, therefore, these unaudited condensed consolidated financial statements should be read in conjunction with the Partnership’s annual consolidated financial statements for the year ended December 31, 2021, filed on an Annual Report on Form 20-F with the Securities Exchange Commission on March 1, 2022.</w:t>
      </w:r>
    </w:p>
    <w:p>
      <w:pPr>
        <w:spacing w:after="0" w:line="145"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on the historical cost basis, except for the revaluation of derivative financial instruments. The same accounting policies and methods of computation have been followed in these unaudited condensed consolidated financial statements as applied in the preparation of the Partnership’s consolidated financial statements for the year ended December 31, 2021. On July 28, 2022, the Partnership’s board of directors authorized the unaudited condensed consolidated financial statements for issuance.</w:t>
      </w:r>
    </w:p>
    <w:p>
      <w:pPr>
        <w:spacing w:after="0" w:line="156" w:lineRule="exact"/>
        <w:rPr>
          <w:sz w:val="20"/>
          <w:szCs w:val="20"/>
          <w:color w:val="auto"/>
        </w:rPr>
      </w:pPr>
    </w:p>
    <w:p>
      <w:pPr>
        <w:ind w:right="420" w:firstLine="324"/>
        <w:spacing w:after="0" w:line="298" w:lineRule="auto"/>
        <w:rPr>
          <w:sz w:val="20"/>
          <w:szCs w:val="20"/>
          <w:color w:val="auto"/>
        </w:rPr>
      </w:pPr>
      <w:r>
        <w:rPr>
          <w:rFonts w:ascii="Times New Roman" w:cs="Times New Roman" w:eastAsia="Times New Roman" w:hAnsi="Times New Roman"/>
          <w:sz w:val="16"/>
          <w:szCs w:val="16"/>
          <w:color w:val="auto"/>
        </w:rPr>
        <w:t>The critical accounting judgments and key sources of estimation uncertainty were disclosed in the Partnership’s annual consolidated financial statements for the year ended December 31, 2021 and remain unchanged.</w:t>
      </w:r>
    </w:p>
    <w:p>
      <w:pPr>
        <w:spacing w:after="0" w:line="124"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and revised IFRS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Standards and interpretations adopted in the current period</w:t>
      </w:r>
    </w:p>
    <w:p>
      <w:pPr>
        <w:spacing w:after="0" w:line="237" w:lineRule="exact"/>
        <w:rPr>
          <w:sz w:val="20"/>
          <w:szCs w:val="20"/>
          <w:color w:val="auto"/>
        </w:rPr>
      </w:pPr>
    </w:p>
    <w:p>
      <w:pPr>
        <w:ind w:right="180" w:firstLine="324"/>
        <w:spacing w:after="0" w:line="298" w:lineRule="auto"/>
        <w:rPr>
          <w:sz w:val="20"/>
          <w:szCs w:val="20"/>
          <w:color w:val="auto"/>
        </w:rPr>
      </w:pPr>
      <w:r>
        <w:rPr>
          <w:rFonts w:ascii="Times New Roman" w:cs="Times New Roman" w:eastAsia="Times New Roman" w:hAnsi="Times New Roman"/>
          <w:sz w:val="16"/>
          <w:szCs w:val="16"/>
          <w:color w:val="auto"/>
        </w:rPr>
        <w:t>There were no IFRS standards or amendments that became effective in the current period which were relevant to the Partnership or material with respect to the Partnership’s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Standards and amendments in issue not yet adopted</w:t>
      </w:r>
    </w:p>
    <w:p>
      <w:pPr>
        <w:spacing w:after="0" w:line="237" w:lineRule="exact"/>
        <w:rPr>
          <w:sz w:val="20"/>
          <w:szCs w:val="20"/>
          <w:color w:val="auto"/>
        </w:rPr>
      </w:pPr>
    </w:p>
    <w:p>
      <w:pPr>
        <w:ind w:right="60" w:firstLine="324"/>
        <w:spacing w:after="0" w:line="298" w:lineRule="auto"/>
        <w:rPr>
          <w:sz w:val="20"/>
          <w:szCs w:val="20"/>
          <w:color w:val="auto"/>
        </w:rPr>
      </w:pPr>
      <w:r>
        <w:rPr>
          <w:rFonts w:ascii="Times New Roman" w:cs="Times New Roman" w:eastAsia="Times New Roman" w:hAnsi="Times New Roman"/>
          <w:sz w:val="16"/>
          <w:szCs w:val="16"/>
          <w:color w:val="auto"/>
        </w:rPr>
        <w:t>At the date of authorization of these consolidated financial statements, the following standards and amendments relevant to the Partnership were in issue but not yet effective: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6"/>
          <w:szCs w:val="16"/>
          <w:color w:val="auto"/>
        </w:rPr>
        <w:t xml:space="preserve">In January 2020, the IASB issued a narrow-scope amendment to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Times New Roman" w:cs="Times New Roman" w:eastAsia="Times New Roman" w:hAnsi="Times New Roman"/>
          <w:sz w:val="16"/>
          <w:szCs w:val="16"/>
          <w:i w:val="1"/>
          <w:iCs w:val="1"/>
          <w:color w:val="auto"/>
        </w:rPr>
        <w:t>Accounting Policies, Changes in Accounting Estimates and Errors</w:t>
      </w:r>
      <w:r>
        <w:rPr>
          <w:rFonts w:ascii="Times New Roman" w:cs="Times New Roman" w:eastAsia="Times New Roman" w:hAnsi="Times New Roman"/>
          <w:sz w:val="16"/>
          <w:szCs w:val="16"/>
          <w:color w:val="auto"/>
        </w:rPr>
        <w:t>. Earlier application is permitted. Management anticipates that this amendment will not have a material impact on the Partnership’s financial statements.</w:t>
      </w:r>
    </w:p>
    <w:p>
      <w:pPr>
        <w:spacing w:after="0" w:line="185"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6"/>
          <w:szCs w:val="16"/>
          <w:color w:val="auto"/>
        </w:rPr>
        <w:t xml:space="preserve">In February 2021, the IASB amended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IFRS Practice Statement 2 and IAS 8 </w:t>
      </w:r>
      <w:r>
        <w:rPr>
          <w:rFonts w:ascii="Times New Roman" w:cs="Times New Roman" w:eastAsia="Times New Roman" w:hAnsi="Times New Roman"/>
          <w:sz w:val="16"/>
          <w:szCs w:val="16"/>
          <w:i w:val="1"/>
          <w:iCs w:val="1"/>
          <w:color w:val="auto"/>
        </w:rPr>
        <w:t>Accounting Policies,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Changes in Accounting Estimates and Errors </w:t>
      </w:r>
      <w:r>
        <w:rPr>
          <w:rFonts w:ascii="Times New Roman" w:cs="Times New Roman" w:eastAsia="Times New Roman" w:hAnsi="Times New Roman"/>
          <w:sz w:val="16"/>
          <w:szCs w:val="16"/>
          <w:color w:val="auto"/>
        </w:rPr>
        <w:t>to improve accounting policy disclosures and help the users of the financial statements to distinguish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between changes in accounting estimates and changes in accounting policies. The amendments will be effective for annual periods beginning on or after January 1, 2023. Management anticipates that these amendments will not have a material impact on the Partnership’s financial statements.</w:t>
      </w:r>
    </w:p>
    <w:p>
      <w:pPr>
        <w:spacing w:after="0" w:line="182"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6"/>
          <w:szCs w:val="16"/>
          <w:color w:val="auto"/>
        </w:rPr>
        <w:t>The impact of all other IFRS standards and amendments issued but not yet adopted is not expected to be material with respect to the Partnership’s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Related Party Transactions</w:t>
      </w:r>
    </w:p>
    <w:p>
      <w:pPr>
        <w:spacing w:after="0" w:line="237" w:lineRule="exact"/>
        <w:rPr>
          <w:sz w:val="20"/>
          <w:szCs w:val="20"/>
          <w:color w:val="auto"/>
        </w:rPr>
      </w:pPr>
    </w:p>
    <w:p>
      <w:pPr>
        <w:ind w:right="180" w:firstLine="324"/>
        <w:spacing w:after="0" w:line="298" w:lineRule="auto"/>
        <w:rPr>
          <w:sz w:val="20"/>
          <w:szCs w:val="20"/>
          <w:color w:val="auto"/>
        </w:rPr>
      </w:pPr>
      <w:r>
        <w:rPr>
          <w:rFonts w:ascii="Times New Roman" w:cs="Times New Roman" w:eastAsia="Times New Roman" w:hAnsi="Times New Roman"/>
          <w:sz w:val="16"/>
          <w:szCs w:val="16"/>
          <w:color w:val="auto"/>
        </w:rPr>
        <w:t>The Partnership has the following balances with related parties, which have been included in the unaudited condensed consolidated statements of financial position: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due to related parties</w:t>
            </w: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1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40" w:type="dxa"/>
            <w:vAlign w:val="bottom"/>
            <w:tcBorders>
              <w:top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 xml:space="preserve">Due to GasLog LNG Services </w:t>
            </w:r>
            <w:r>
              <w:rPr>
                <w:rFonts w:ascii="Times New Roman" w:cs="Times New Roman" w:eastAsia="Times New Roman" w:hAnsi="Times New Roman"/>
                <w:sz w:val="23"/>
                <w:szCs w:val="23"/>
                <w:color w:val="auto"/>
                <w:vertAlign w:val="superscript"/>
              </w:rPr>
              <w:t>(a)</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CCEEFF"/>
            </w:tcBorders>
            <w:gridSpan w:val="3"/>
          </w:tcPr>
          <w:p>
            <w:pPr>
              <w:spacing w:after="0" w:line="202" w:lineRule="exact"/>
              <w:rPr>
                <w:sz w:val="20"/>
                <w:szCs w:val="20"/>
                <w:color w:val="auto"/>
              </w:rPr>
            </w:pPr>
            <w:r>
              <w:rPr>
                <w:rFonts w:ascii="Times New Roman" w:cs="Times New Roman" w:eastAsia="Times New Roman" w:hAnsi="Times New Roman"/>
                <w:sz w:val="16"/>
                <w:szCs w:val="16"/>
                <w:color w:val="auto"/>
              </w:rPr>
              <w:t xml:space="preserve">Due to GasLog </w:t>
            </w:r>
            <w:r>
              <w:rPr>
                <w:rFonts w:ascii="Times New Roman" w:cs="Times New Roman" w:eastAsia="Times New Roman" w:hAnsi="Times New Roman"/>
                <w:sz w:val="23"/>
                <w:szCs w:val="23"/>
                <w:color w:val="auto"/>
                <w:vertAlign w:val="superscript"/>
              </w:rPr>
              <w:t>(b)</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952</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The balances represent mainly payments made by GasLog LNG Services on behalf of the Partnership.</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20"/>
                <w:szCs w:val="20"/>
                <w:color w:val="auto"/>
              </w:rPr>
            </w:pPr>
            <w:r>
              <w:rPr>
                <w:rFonts w:ascii="Times New Roman" w:cs="Times New Roman" w:eastAsia="Times New Roman" w:hAnsi="Times New Roman"/>
                <w:sz w:val="11"/>
                <w:szCs w:val="11"/>
                <w:color w:val="auto"/>
              </w:rPr>
              <w:t>(b)</w:t>
            </w:r>
          </w:p>
        </w:tc>
        <w:tc>
          <w:tcPr>
            <w:tcW w:w="7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The balances represent mainly payments made by GasLog on behalf of the Partnership.</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Loans due to related parties</w:t>
      </w:r>
    </w:p>
    <w:p>
      <w:pPr>
        <w:spacing w:after="0" w:line="131" w:lineRule="exact"/>
        <w:rPr>
          <w:sz w:val="20"/>
          <w:szCs w:val="20"/>
          <w:color w:val="auto"/>
        </w:rPr>
      </w:pPr>
    </w:p>
    <w:p>
      <w:pPr>
        <w:jc w:val="both"/>
        <w:ind w:right="640" w:firstLine="324"/>
        <w:spacing w:after="0" w:line="281" w:lineRule="auto"/>
        <w:rPr>
          <w:sz w:val="20"/>
          <w:szCs w:val="20"/>
          <w:color w:val="auto"/>
        </w:rPr>
      </w:pPr>
      <w:r>
        <w:rPr>
          <w:rFonts w:ascii="Times New Roman" w:cs="Times New Roman" w:eastAsia="Times New Roman" w:hAnsi="Times New Roman"/>
          <w:sz w:val="16"/>
          <w:szCs w:val="16"/>
          <w:color w:val="auto"/>
        </w:rPr>
        <w:t>The main terms of the revolving credit facility of $30,000 with GasLog (the “Sponsor Credit Facility”) have been disclosed in the annual consolidated financial statements for the year ended December 31, 2021. Refer to Note 7 “Borrowings”. As of December 31, 2021, the amount outstanding under the Sponsor Credit Facility was nil. The Sponsor Credit Facility matured in March 2022.</w:t>
      </w:r>
    </w:p>
    <w:p>
      <w:pPr>
        <w:spacing w:after="0" w:line="177" w:lineRule="exact"/>
        <w:rPr>
          <w:sz w:val="20"/>
          <w:szCs w:val="20"/>
          <w:color w:val="auto"/>
        </w:rPr>
      </w:pPr>
    </w:p>
    <w:p>
      <w:pPr>
        <w:jc w:val="both"/>
        <w:ind w:right="620" w:firstLine="324"/>
        <w:spacing w:after="0" w:line="281" w:lineRule="auto"/>
        <w:rPr>
          <w:sz w:val="20"/>
          <w:szCs w:val="20"/>
          <w:color w:val="auto"/>
        </w:rPr>
      </w:pPr>
      <w:r>
        <w:rPr>
          <w:rFonts w:ascii="Times New Roman" w:cs="Times New Roman" w:eastAsia="Times New Roman" w:hAnsi="Times New Roman"/>
          <w:sz w:val="16"/>
          <w:szCs w:val="16"/>
          <w:color w:val="auto"/>
        </w:rPr>
        <w:t>The main terms of the Partnership’s related party transactions, including the commercial management agreements, administrative services agreement and ship management agreements with GasLog and GasLog LNG Services, have been disclosed in the annual consolidated financial statements for the year ended December 31, 2021. Refer to Note 14 “Related Party Transactions”.</w:t>
      </w:r>
    </w:p>
    <w:p>
      <w:pPr>
        <w:spacing w:after="0" w:line="137" w:lineRule="exact"/>
        <w:rPr>
          <w:sz w:val="20"/>
          <w:szCs w:val="20"/>
          <w:color w:val="auto"/>
        </w:rPr>
      </w:pPr>
    </w:p>
    <w:p>
      <w:pPr>
        <w:ind w:right="500" w:firstLine="324"/>
        <w:spacing w:after="0" w:line="298" w:lineRule="auto"/>
        <w:rPr>
          <w:sz w:val="20"/>
          <w:szCs w:val="20"/>
          <w:color w:val="auto"/>
        </w:rPr>
      </w:pPr>
      <w:r>
        <w:rPr>
          <w:rFonts w:ascii="Times New Roman" w:cs="Times New Roman" w:eastAsia="Times New Roman" w:hAnsi="Times New Roman"/>
          <w:sz w:val="16"/>
          <w:szCs w:val="16"/>
          <w:color w:val="auto"/>
        </w:rPr>
        <w:t>The Partnership had the following transactions with such related parties, which have been included in the unaudited condensed consolidated statements of profit or loss for the three and six months ended June 30, 2021 and 2022:</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1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Details</w:t>
            </w:r>
          </w:p>
        </w:tc>
        <w:tc>
          <w:tcPr>
            <w:tcW w:w="160" w:type="dxa"/>
            <w:vAlign w:val="bottom"/>
          </w:tcPr>
          <w:p>
            <w:pPr>
              <w:spacing w:after="0"/>
              <w:rPr>
                <w:sz w:val="18"/>
                <w:szCs w:val="18"/>
                <w:color w:val="auto"/>
              </w:rPr>
            </w:pP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Account</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174"/>
        </w:trPr>
        <w:tc>
          <w:tcPr>
            <w:tcW w:w="17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GasLog LNG Services</w:t>
            </w:r>
          </w:p>
        </w:tc>
        <w:tc>
          <w:tcPr>
            <w:tcW w:w="16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General and</w:t>
            </w: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30"/>
        </w:trPr>
        <w:tc>
          <w:tcPr>
            <w:tcW w:w="1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management fees</w:t>
            </w:r>
            <w:r>
              <w:rPr>
                <w:rFonts w:ascii="Times New Roman" w:cs="Times New Roman" w:eastAsia="Times New Roman" w:hAnsi="Times New Roman"/>
                <w:sz w:val="24"/>
                <w:szCs w:val="24"/>
                <w:color w:val="auto"/>
                <w:vertAlign w:val="superscript"/>
              </w:rPr>
              <w:t>(i)</w:t>
            </w:r>
          </w:p>
        </w:tc>
        <w:tc>
          <w:tcPr>
            <w:tcW w:w="2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administrative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r>
      <w:tr>
        <w:trPr>
          <w:trHeight w:val="175"/>
        </w:trPr>
        <w:tc>
          <w:tcPr>
            <w:tcW w:w="19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GasLog</w:t>
            </w:r>
          </w:p>
        </w:tc>
        <w:tc>
          <w:tcPr>
            <w:tcW w:w="16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Administrative services</w:t>
            </w:r>
          </w:p>
        </w:tc>
        <w:tc>
          <w:tcPr>
            <w:tcW w:w="2000" w:type="dxa"/>
            <w:vAlign w:val="bottom"/>
            <w:gridSpan w:val="3"/>
          </w:tcPr>
          <w:p>
            <w:pPr>
              <w:ind w:left="160"/>
              <w:spacing w:after="0" w:line="175" w:lineRule="exact"/>
              <w:rPr>
                <w:sz w:val="20"/>
                <w:szCs w:val="20"/>
                <w:color w:val="auto"/>
              </w:rPr>
            </w:pPr>
            <w:r>
              <w:rPr>
                <w:rFonts w:ascii="Times New Roman" w:cs="Times New Roman" w:eastAsia="Times New Roman" w:hAnsi="Times New Roman"/>
                <w:sz w:val="16"/>
                <w:szCs w:val="16"/>
                <w:color w:val="auto"/>
              </w:rPr>
              <w:t>General and</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line="230" w:lineRule="exact"/>
              <w:rPr>
                <w:sz w:val="20"/>
                <w:szCs w:val="20"/>
                <w:color w:val="auto"/>
              </w:rPr>
            </w:pPr>
            <w:r>
              <w:rPr>
                <w:rFonts w:ascii="Times New Roman" w:cs="Times New Roman" w:eastAsia="Times New Roman" w:hAnsi="Times New Roman"/>
                <w:sz w:val="26"/>
                <w:szCs w:val="26"/>
                <w:color w:val="auto"/>
                <w:vertAlign w:val="subscript"/>
              </w:rPr>
              <w:t>fees</w:t>
            </w:r>
            <w:r>
              <w:rPr>
                <w:rFonts w:ascii="Times New Roman" w:cs="Times New Roman" w:eastAsia="Times New Roman" w:hAnsi="Times New Roman"/>
                <w:sz w:val="11"/>
                <w:szCs w:val="11"/>
                <w:color w:val="auto"/>
              </w:rPr>
              <w:t>(ii)</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4,342</w:t>
            </w:r>
          </w:p>
        </w:tc>
      </w:tr>
      <w:tr>
        <w:trPr>
          <w:trHeight w:val="203"/>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GasLog LNG Services</w:t>
            </w:r>
          </w:p>
        </w:tc>
        <w:tc>
          <w:tcPr>
            <w:tcW w:w="1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Management fees</w:t>
            </w:r>
            <w:r>
              <w:rPr>
                <w:rFonts w:ascii="Times New Roman" w:cs="Times New Roman" w:eastAsia="Times New Roman" w:hAnsi="Times New Roman"/>
                <w:sz w:val="23"/>
                <w:szCs w:val="23"/>
                <w:color w:val="auto"/>
                <w:vertAlign w:val="superscript"/>
              </w:rPr>
              <w:t>(iii)</w:t>
            </w:r>
          </w:p>
        </w:tc>
        <w:tc>
          <w:tcPr>
            <w:tcW w:w="2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Vessel operating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r>
      <w:tr>
        <w:trPr>
          <w:trHeight w:val="189"/>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GasLog LNG Services</w:t>
            </w: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Other vessel operating</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costs</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Vessel operating costs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5"/>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GasLog</w:t>
            </w: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 fee under</w:t>
            </w:r>
          </w:p>
        </w:tc>
        <w:tc>
          <w:tcPr>
            <w:tcW w:w="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Sponsor Credit Facility</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13)</w:t>
            </w:r>
          </w:p>
        </w:tc>
        <w:tc>
          <w:tcPr>
            <w:tcW w:w="2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Financial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89"/>
        </w:trPr>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GasLog</w:t>
            </w: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Realized loss on interest</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(Loss)/gain on</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rate swaps held for</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derivatives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trading (Note 13)</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1568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2" w:lineRule="exact"/>
        <w:rPr>
          <w:sz w:val="20"/>
          <w:szCs w:val="20"/>
          <w:color w:val="auto"/>
        </w:rPr>
      </w:pPr>
    </w:p>
    <w:p>
      <w:pPr>
        <w:ind w:left="340" w:right="240" w:hanging="332"/>
        <w:spacing w:after="0" w:line="261" w:lineRule="auto"/>
        <w:tabs>
          <w:tab w:leader="none" w:pos="34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January 1, 2022, the annual commercial management fee changed from $360 for each vessel to a fixed commission of 1.25% on the annual gross charter revenues of each vessel.</w:t>
      </w:r>
    </w:p>
    <w:p>
      <w:pPr>
        <w:ind w:left="340" w:hanging="332"/>
        <w:spacing w:after="0"/>
        <w:tabs>
          <w:tab w:leader="none" w:pos="34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Effective January 1, 2022, the annual administrative services fee was changed to $579 per vessel, from $314 effective since January 1, 2021.</w:t>
      </w:r>
    </w:p>
    <w:p>
      <w:pPr>
        <w:spacing w:after="0" w:line="41" w:lineRule="exact"/>
        <w:rPr>
          <w:rFonts w:ascii="Times New Roman" w:cs="Times New Roman" w:eastAsia="Times New Roman" w:hAnsi="Times New Roman"/>
          <w:sz w:val="11"/>
          <w:szCs w:val="11"/>
          <w:color w:val="auto"/>
        </w:rPr>
      </w:pPr>
    </w:p>
    <w:p>
      <w:pPr>
        <w:ind w:left="340" w:right="200" w:hanging="332"/>
        <w:spacing w:after="0" w:line="261" w:lineRule="auto"/>
        <w:tabs>
          <w:tab w:leader="none" w:pos="34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Effective January 1, 2022, the management fee was changed to $37.5 per vessel per month (from $46 per vessel per month). In April 2022, GAS-eight Ltd. entered into a similar management agreement for the </w:t>
      </w:r>
      <w:r>
        <w:rPr>
          <w:rFonts w:ascii="Times New Roman" w:cs="Times New Roman" w:eastAsia="Times New Roman" w:hAnsi="Times New Roman"/>
          <w:sz w:val="14"/>
          <w:szCs w:val="14"/>
          <w:i w:val="1"/>
          <w:iCs w:val="1"/>
          <w:color w:val="auto"/>
        </w:rPr>
        <w:t>Solaris</w:t>
      </w:r>
      <w:r>
        <w:rPr>
          <w:rFonts w:ascii="Times New Roman" w:cs="Times New Roman" w:eastAsia="Times New Roman" w:hAnsi="Times New Roman"/>
          <w:sz w:val="14"/>
          <w:szCs w:val="14"/>
          <w:color w:val="auto"/>
        </w:rPr>
        <w:t>, previously managed by a subsidiary of Shell plc.</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4. Tangible Fixed Assets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2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The movement in tangible fixed assets (i.e. vessels and their associated depot spares) is reported in the following table: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Other tangible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tangible fixed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Vessels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tcBorders>
              <w:top w:val="single" w:sz="8" w:color="CCEEFF"/>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Cost</w:t>
            </w:r>
          </w:p>
        </w:tc>
        <w:tc>
          <w:tcPr>
            <w:tcW w:w="15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 of January 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2,681,095</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Transfer under Vessels held for sale</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(324,034)</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2,357,677</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6,052</w:t>
            </w: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2,363,729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06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depreciation and impairment loss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As of January 1, 2022</w:t>
            </w:r>
          </w:p>
        </w:tc>
        <w:tc>
          <w:tcPr>
            <w:tcW w:w="180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796,601</w:t>
            </w:r>
          </w:p>
        </w:tc>
        <w:tc>
          <w:tcPr>
            <w:tcW w:w="18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796,601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Transfer under Vessels held for sale</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(182,572)</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649,667</w:t>
            </w:r>
          </w:p>
        </w:tc>
        <w:tc>
          <w:tcPr>
            <w:tcW w:w="1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649,667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6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book value</w:t>
            </w:r>
          </w:p>
        </w:tc>
        <w:tc>
          <w:tcPr>
            <w:tcW w:w="1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1,884,494</w:t>
            </w:r>
          </w:p>
        </w:tc>
        <w:tc>
          <w:tcPr>
            <w:tcW w:w="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4,089</w:t>
            </w:r>
          </w:p>
        </w:tc>
        <w:tc>
          <w:tcPr>
            <w:tcW w:w="2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1,888,583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1,708,010</w:t>
            </w: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6,052</w:t>
            </w: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All vessels have been pledged as collateral under the terms of the Partnership’s credit facilities.</w:t>
      </w:r>
    </w:p>
    <w:p>
      <w:pPr>
        <w:spacing w:after="0" w:line="206"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6"/>
          <w:szCs w:val="16"/>
          <w:color w:val="auto"/>
        </w:rPr>
        <w:t xml:space="preserve">In June 2022, GAS-twenty Ltd., the vessel-owning entity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entered into a Memorandum of Agreement with respect to the sale of its vessel to an unrelated third party, with the transaction expected to be completed in the third quarter of 2022. Also, as of June 30, 2022, GasLog Partners was actively pursuing to enter into an agreement for the sale and lease-back of a second steam turbine propulsion (“Steam”) vessel. All criteria outlined by IFRS 5 </w:t>
      </w:r>
      <w:r>
        <w:rPr>
          <w:rFonts w:ascii="Times New Roman" w:cs="Times New Roman" w:eastAsia="Times New Roman" w:hAnsi="Times New Roman"/>
          <w:sz w:val="16"/>
          <w:szCs w:val="16"/>
          <w:i w:val="1"/>
          <w:iCs w:val="1"/>
          <w:color w:val="auto"/>
        </w:rPr>
        <w:t>Non-current Assets Held for Sale and Discontinued Operations</w:t>
      </w:r>
      <w:r>
        <w:rPr>
          <w:rFonts w:ascii="Times New Roman" w:cs="Times New Roman" w:eastAsia="Times New Roman" w:hAnsi="Times New Roman"/>
          <w:sz w:val="16"/>
          <w:szCs w:val="16"/>
          <w:color w:val="auto"/>
        </w:rPr>
        <w:t xml:space="preserve"> were deemed to have been met as of the reporting date with respect to both vessels. As a result, the carrying amounts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($67,339) and the second vessel ($74,123) were reclassified as “Vessels held for sale” (within current assets) and remeasured at the lower between carrying amount and fair value less costs to sell, resulting in the recognition of an impairment loss of $14,664 and $13,363, respectively.</w:t>
      </w:r>
    </w:p>
    <w:p>
      <w:pPr>
        <w:spacing w:after="0" w:line="146" w:lineRule="exact"/>
        <w:rPr>
          <w:sz w:val="20"/>
          <w:szCs w:val="20"/>
          <w:color w:val="auto"/>
        </w:rPr>
      </w:pPr>
    </w:p>
    <w:p>
      <w:pPr>
        <w:ind w:right="420" w:firstLine="324"/>
        <w:spacing w:after="0" w:line="298" w:lineRule="auto"/>
        <w:rPr>
          <w:sz w:val="20"/>
          <w:szCs w:val="20"/>
          <w:color w:val="auto"/>
        </w:rPr>
      </w:pPr>
      <w:r>
        <w:rPr>
          <w:rFonts w:ascii="Times New Roman" w:cs="Times New Roman" w:eastAsia="Times New Roman" w:hAnsi="Times New Roman"/>
          <w:sz w:val="16"/>
          <w:szCs w:val="16"/>
          <w:color w:val="auto"/>
        </w:rPr>
        <w:t>As of June 30, 2022, the Partnership concluded that there were no events or circumstances triggering the existence of potential impairment or reversal of impairment of its remaining vessels.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5. Leases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3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The movements in right-of-use assets are reported in the following table:</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0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Vessels’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3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Right-of-Use Assets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Vessel</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January 1, 2022</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81,651</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81,996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(8,395)</w:t>
            </w:r>
          </w:p>
        </w:tc>
        <w:tc>
          <w:tcPr>
            <w:tcW w:w="160" w:type="dxa"/>
            <w:vAlign w:val="bottom"/>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w:t>
            </w:r>
          </w:p>
        </w:tc>
        <w:tc>
          <w:tcPr>
            <w:tcW w:w="0" w:type="dxa"/>
            <w:vAlign w:val="bottom"/>
          </w:tcPr>
          <w:p>
            <w:pPr>
              <w:spacing w:after="0"/>
              <w:rPr>
                <w:sz w:val="1"/>
                <w:szCs w:val="1"/>
                <w:color w:val="auto"/>
              </w:rPr>
            </w:pPr>
          </w:p>
        </w:tc>
      </w:tr>
      <w:tr>
        <w:trPr>
          <w:trHeight w:val="196"/>
        </w:trPr>
        <w:tc>
          <w:tcPr>
            <w:tcW w:w="63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73,256</w:t>
            </w:r>
          </w:p>
        </w:tc>
        <w:tc>
          <w:tcPr>
            <w:tcW w:w="16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299</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73,555</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auto"/>
              </w:rPr>
              <w:t>An analysis of the lease liabilities is as follows:</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2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5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Lease Liabilities</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January 1, 2022</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55,898</w:t>
            </w: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leases (Note 13)</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Payments</w:t>
            </w: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50,879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40,367</w:t>
            </w:r>
          </w:p>
        </w:tc>
        <w:tc>
          <w:tcPr>
            <w:tcW w:w="0" w:type="dxa"/>
            <w:vAlign w:val="bottom"/>
          </w:tcPr>
          <w:p>
            <w:pPr>
              <w:spacing w:after="0"/>
              <w:rPr>
                <w:sz w:val="1"/>
                <w:szCs w:val="1"/>
                <w:color w:val="auto"/>
              </w:rPr>
            </w:pPr>
          </w:p>
        </w:tc>
      </w:tr>
      <w:tr>
        <w:trPr>
          <w:trHeight w:val="196"/>
        </w:trPr>
        <w:tc>
          <w:tcPr>
            <w:tcW w:w="632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50,879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Partners’ Equity</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Partnership’s cash distributions for the six months ended June 30, 2022 are presented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Type of units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Distribution per unit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Amount paid</w:t>
            </w:r>
          </w:p>
        </w:tc>
      </w:tr>
      <w:tr>
        <w:trPr>
          <w:trHeight w:val="199"/>
        </w:trPr>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26, 2022</w:t>
            </w:r>
          </w:p>
        </w:tc>
        <w:tc>
          <w:tcPr>
            <w:tcW w:w="2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2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3"/>
        </w:trPr>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February 25,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Preference (Series A, B, 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2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15, 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w:t>
            </w:r>
          </w:p>
        </w:tc>
      </w:tr>
      <w:tr>
        <w:trPr>
          <w:trHeight w:val="203"/>
        </w:trPr>
        <w:tc>
          <w:tcPr>
            <w:tcW w:w="2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April 27,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11, 2022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03"/>
        </w:trPr>
        <w:tc>
          <w:tcPr>
            <w:tcW w:w="220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May 12, 2022</w:t>
            </w:r>
          </w:p>
        </w:tc>
        <w:tc>
          <w:tcPr>
            <w:tcW w:w="2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Preference (Series A, B, C)</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2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June 15, 2022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6,898</w:t>
            </w:r>
          </w:p>
        </w:tc>
      </w:tr>
      <w:tr>
        <w:trPr>
          <w:trHeight w:val="196"/>
        </w:trPr>
        <w:tc>
          <w:tcPr>
            <w:tcW w:w="20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15,054</w:t>
            </w: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16"/>
          <w:szCs w:val="16"/>
          <w:color w:val="auto"/>
        </w:rPr>
        <w:t>In the six months ended June 30, 2022, under the Partnership’s preference unit repurchase programme established in March 2021 and covering the period March 11, 2021 to March 31, 2023, GasLog Partners repurchased and cancelled 80,600 8.625% Series A Cumulative Redeemable Perpetual Fixed to Floating Rate Preference Units (the “Series A Preference Units”), 312,791 8.200% Series B Cumulative Redeemable Perpetual Fixed to Floating Rate Preference Units (the “Series B Preference Units”) and 346,050 8.500% Series C Cumulative Redeemable Perpetual Fixed to Floating Rate Preference Units (the “Series C Preference Units”). The aggregate amount paid during the period for repurchases of preference units was $18,742, including commissions.</w:t>
      </w:r>
    </w:p>
    <w:p>
      <w:pPr>
        <w:spacing w:after="0" w:line="171"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On April 1, 2022, GasLog Partners issued 33,700 common units in connection with the vesting of 19,638 Restricted Common Units (“RCUs”) and 14,062 Performance Common Units (“PCUs”) under its 2015 Long-Term Incentive Plan (the “2015 Plan”). On June 30, 2022, GasLog Partners issued 101,964 common units in connection with the vesting of 50,982 RCUs and 50,982 PCUs under its 2015 Plan. During this period, the Partnership also issued 2,769 general partner units to its general partner in order for GasLog to retain its 2.0% general partner interest for net proceeds of $16.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 Borrowings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09"/>
        </w:trPr>
        <w:tc>
          <w:tcPr>
            <w:tcW w:w="77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77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within one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163,821</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(4,186)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w:t>
            </w:r>
          </w:p>
        </w:tc>
      </w:tr>
      <w:tr>
        <w:trPr>
          <w:trHeight w:val="196"/>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Borrowings - current portion</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99,307</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159,342</w:t>
            </w: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Amounts due after one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996,242</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884,168</w:t>
            </w: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(9,791)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(7,366)</w:t>
            </w:r>
          </w:p>
        </w:tc>
      </w:tr>
      <w:tr>
        <w:trPr>
          <w:trHeight w:val="196"/>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Borrowings - non-current portion</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986,451</w:t>
            </w:r>
          </w:p>
        </w:tc>
        <w:tc>
          <w:tcPr>
            <w:tcW w:w="2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876,802</w:t>
            </w:r>
          </w:p>
        </w:tc>
      </w:tr>
      <w:tr>
        <w:trPr>
          <w:trHeight w:val="196"/>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1,085,758</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1,036,144</w:t>
            </w: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84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credit facilities, including financial covenants, and the Sponsor Credit Facility have been disclosed in the annual consolidated financial statements for the year ended December 31, 2021. Refer to Note 7 “Borrowings”.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 the six months ended June 30, 2022, the Partnership repaid $51,746 in accordance with the repayment terms under its credit facilities.</w:t>
      </w:r>
    </w:p>
    <w:p>
      <w:pPr>
        <w:spacing w:after="0" w:line="235" w:lineRule="exact"/>
        <w:rPr>
          <w:sz w:val="20"/>
          <w:szCs w:val="20"/>
          <w:color w:val="auto"/>
        </w:rPr>
      </w:pPr>
    </w:p>
    <w:p>
      <w:pPr>
        <w:ind w:right="20" w:firstLine="324"/>
        <w:spacing w:after="0" w:line="298" w:lineRule="auto"/>
        <w:rPr>
          <w:sz w:val="20"/>
          <w:szCs w:val="20"/>
          <w:color w:val="auto"/>
        </w:rPr>
      </w:pPr>
      <w:r>
        <w:rPr>
          <w:rFonts w:ascii="Times New Roman" w:cs="Times New Roman" w:eastAsia="Times New Roman" w:hAnsi="Times New Roman"/>
          <w:sz w:val="16"/>
          <w:szCs w:val="16"/>
          <w:color w:val="auto"/>
        </w:rPr>
        <w:t>The current portion of borrowings includes an amount of $69,125 (debt less unamortized loan issuance costs) with respect to our two Steam vessels reclassified under "Vessels held for sale" as of June 30, 2022 (Note 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GasLog Partners was in compliance with its financial covenants as of June 30, 2022.</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19"/>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 Other Payables and Accruals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other payables and accruals is as follows: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9"/>
        </w:trPr>
        <w:tc>
          <w:tcPr>
            <w:tcW w:w="77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77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2"/>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Unearned revenue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28,530</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Accrued off-hire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purchases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10,020</w:t>
            </w:r>
          </w:p>
        </w:tc>
      </w:tr>
      <w:tr>
        <w:trPr>
          <w:trHeight w:val="20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accruals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w:t>
            </w: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50,171</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51,352</w:t>
            </w: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9. Revenues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18"/>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Partnership has recognized the following amounts relating to revenues: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9"/>
        </w:trPr>
        <w:tc>
          <w:tcPr>
            <w:tcW w:w="5580" w:type="dxa"/>
            <w:vAlign w:val="bottom"/>
          </w:tcPr>
          <w:p>
            <w:pPr>
              <w:spacing w:after="0"/>
              <w:rPr>
                <w:sz w:val="24"/>
                <w:szCs w:val="24"/>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1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5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02"/>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from long-term time charters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42,881</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43,498</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92,915</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88,850</w:t>
            </w:r>
          </w:p>
        </w:tc>
      </w:tr>
      <w:tr>
        <w:trPr>
          <w:trHeight w:val="20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Revenues from spot time charters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41,424</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64,525</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81,531</w:t>
            </w:r>
          </w:p>
        </w:tc>
      </w:tr>
      <w:tr>
        <w:trPr>
          <w:trHeight w:val="196"/>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70,352</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84,922</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157,440</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170,381</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The Partnership defines long-term time charters as charter party agreements with an initial duration of more than five years (excluding any optional periods), while all charter party agreements of an initial duration of less than (or equal to) five years (excluding any optional periods) are classified as spot time charters.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 General and Administrative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18"/>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general and administrative expenses is as follows: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9"/>
        </w:trPr>
        <w:tc>
          <w:tcPr>
            <w:tcW w:w="5580" w:type="dxa"/>
            <w:vAlign w:val="bottom"/>
          </w:tcPr>
          <w:p>
            <w:pPr>
              <w:spacing w:after="0"/>
              <w:rPr>
                <w:sz w:val="24"/>
                <w:szCs w:val="24"/>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1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5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02"/>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Administrative services fees (Note 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Commercial management fees (Note 3)</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0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w:t>
            </w:r>
          </w:p>
        </w:tc>
      </w:tr>
      <w:tr>
        <w:trPr>
          <w:trHeight w:val="196"/>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3,488</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4,380</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6,559</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9,071</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Vessel Operating Costs</w:t>
      </w: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 analysis of vessel operating costs is as follows:</w:t>
      </w:r>
    </w:p>
    <w:p>
      <w:pPr>
        <w:sectPr>
          <w:pgSz w:w="11900" w:h="16838" w:orient="portrait"/>
          <w:cols w:equalWidth="0" w:num="1">
            <w:col w:w="9920"/>
          </w:cols>
          <w:pgMar w:left="980" w:top="513" w:right="999" w:bottom="1440" w:gutter="0" w:footer="0" w:header="0"/>
        </w:sectPr>
      </w:pPr>
    </w:p>
    <w:p>
      <w:pPr>
        <w:spacing w:after="0" w:line="233"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8" w:lineRule="exact"/>
        <w:rPr>
          <w:sz w:val="20"/>
          <w:szCs w:val="20"/>
          <w:color w:val="auto"/>
        </w:rPr>
      </w:pPr>
    </w:p>
    <w:p>
      <w:pPr>
        <w:jc w:val="center"/>
        <w:ind w:left="5580"/>
        <w:spacing w:after="0"/>
        <w:tabs>
          <w:tab w:leader="none" w:pos="160" w:val="left"/>
        </w:tabs>
        <w:rPr>
          <w:sz w:val="20"/>
          <w:szCs w:val="20"/>
          <w:color w:val="auto"/>
        </w:rPr>
      </w:pPr>
      <w:r>
        <w:rPr>
          <w:rFonts w:ascii="Times New Roman" w:cs="Times New Roman" w:eastAsia="Times New Roman" w:hAnsi="Times New Roman"/>
          <w:sz w:val="16"/>
          <w:szCs w:val="16"/>
          <w:b w:val="1"/>
          <w:bCs w:val="1"/>
          <w:color w:val="auto"/>
        </w:rPr>
        <w:t>June 30, 2021</w:t>
        <w:tab/>
        <w:t>June 30, 2022</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For the six months ended June 30, 2021  June 30, 2022</w:t>
      </w:r>
    </w:p>
    <w:p>
      <w:pPr>
        <w:spacing w:after="0" w:line="1" w:lineRule="exact"/>
        <w:rPr>
          <w:sz w:val="20"/>
          <w:szCs w:val="20"/>
          <w:color w:val="auto"/>
        </w:rPr>
      </w:pPr>
    </w:p>
    <w:p>
      <w:pPr>
        <w:sectPr>
          <w:pgSz w:w="11900" w:h="16838" w:orient="portrait"/>
          <w:cols w:equalWidth="0" w:num="2">
            <w:col w:w="7640" w:space="180"/>
            <w:col w:w="210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48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Crew costs</w:t>
            </w:r>
          </w:p>
        </w:tc>
        <w:tc>
          <w:tcPr>
            <w:tcW w:w="7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9,675</w:t>
            </w: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10,936</w:t>
            </w:r>
          </w:p>
        </w:tc>
        <w:tc>
          <w:tcPr>
            <w:tcW w:w="160" w:type="dxa"/>
            <w:vAlign w:val="bottom"/>
            <w:tcBorders>
              <w:top w:val="single" w:sz="8" w:color="CCEEFF"/>
            </w:tcBorders>
            <w:gridSpan w:val="2"/>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18,647</w:t>
            </w: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21,286</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Technical maintenance expenses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7,937</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20,044</w:t>
            </w:r>
          </w:p>
        </w:tc>
        <w:tc>
          <w:tcPr>
            <w:tcW w:w="1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37,851</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37,621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12. Derivative Financial Instruments</w:t>
            </w:r>
          </w:p>
        </w:tc>
        <w:tc>
          <w:tcPr>
            <w:tcW w:w="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fair value of the Partnership’s derivative assets is as follows:</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Derivative assets carried at fair value through profit or loss (FVTPL)</w:t>
            </w:r>
          </w:p>
        </w:tc>
        <w:tc>
          <w:tcPr>
            <w:tcW w:w="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Derivative financial instruments, current assets</w:t>
            </w: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continue"/>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assets</w:t>
            </w: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F-10</w:t>
            </w: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800" w:type="dxa"/>
            <w:vAlign w:val="bottom"/>
          </w:tcPr>
          <w:p>
            <w:pPr>
              <w:spacing w:after="0"/>
              <w:rPr>
                <w:sz w:val="24"/>
                <w:szCs w:val="24"/>
                <w:color w:val="auto"/>
              </w:rPr>
            </w:pPr>
          </w:p>
        </w:tc>
        <w:tc>
          <w:tcPr>
            <w:tcW w:w="190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4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fair value of the Partnership’s derivative liabilities is as follows: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774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 carried at fair value through profit or loss (FVTPL)</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9,245</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9,245</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Derivative financial instruments, current liability</w:t>
            </w: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liability</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9,245</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p>
      <w:pPr>
        <w:spacing w:after="0" w:line="237" w:lineRule="exact"/>
        <w:rPr>
          <w:sz w:val="20"/>
          <w:szCs w:val="20"/>
          <w:color w:val="auto"/>
        </w:rPr>
      </w:pPr>
    </w:p>
    <w:p>
      <w:pPr>
        <w:ind w:right="420" w:firstLine="324"/>
        <w:spacing w:after="0" w:line="275" w:lineRule="auto"/>
        <w:rPr>
          <w:sz w:val="20"/>
          <w:szCs w:val="20"/>
          <w:color w:val="auto"/>
        </w:rPr>
      </w:pPr>
      <w:r>
        <w:rPr>
          <w:rFonts w:ascii="Times New Roman" w:cs="Times New Roman" w:eastAsia="Times New Roman" w:hAnsi="Times New Roman"/>
          <w:sz w:val="16"/>
          <w:szCs w:val="16"/>
          <w:color w:val="auto"/>
        </w:rPr>
        <w:t>The Partnership enters into interest rate swap agreements which convert the floating interest rate exposure into a fixed interest rate in order to economically hedge a portion of the Partnership’s exposure to fluctuations in prevailing market interest rates. Under the interest rate swaps, the counterparty effects quarterly floating-rate payments to the Partnership for the notional amount based on the three-month USD London Interbank Offered Rate (“LIBOR”), and the Partnership effects quarterly payments to the counterparty on the notional amount at the respective fixed rates.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swaps held for trading</w:t>
      </w:r>
    </w:p>
    <w:p>
      <w:pPr>
        <w:spacing w:after="0" w:line="239" w:lineRule="exact"/>
        <w:rPr>
          <w:sz w:val="20"/>
          <w:szCs w:val="20"/>
          <w:color w:val="auto"/>
        </w:rPr>
      </w:pPr>
    </w:p>
    <w:p>
      <w:pPr>
        <w:ind w:right="540" w:firstLine="324"/>
        <w:spacing w:after="0" w:line="298" w:lineRule="auto"/>
        <w:rPr>
          <w:sz w:val="20"/>
          <w:szCs w:val="20"/>
          <w:color w:val="auto"/>
        </w:rPr>
      </w:pPr>
      <w:r>
        <w:rPr>
          <w:rFonts w:ascii="Times New Roman" w:cs="Times New Roman" w:eastAsia="Times New Roman" w:hAnsi="Times New Roman"/>
          <w:sz w:val="16"/>
          <w:szCs w:val="16"/>
          <w:color w:val="auto"/>
        </w:rPr>
        <w:t>The principal terms of the Partnership’s interest rate swaps held for trading have been disclosed in the annual audited consolidated financial statements for the year ended December 31, 2021. Refer to Note 18 “Derivative Financial Instruments”.</w:t>
      </w:r>
    </w:p>
    <w:p>
      <w:pPr>
        <w:spacing w:after="0" w:line="164"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6"/>
          <w:szCs w:val="16"/>
          <w:color w:val="auto"/>
        </w:rPr>
        <w:t>The derivative instruments of the Partnership were not designated as cash flow hedging instruments as of June 30, 2022. The change in the fair value of the interest rate swaps for the three and six months ended June 30, 2022 amounted to a gain of $2,459 and a gain of $9,282, respectively (for the three and six months ended June 30, 2021, a gain of $1,962 and a gain of $5,569, respectively), which was recognized in profit or loss in the period incurred and is included in (Loss)/gain on derivatives. During the three and six months ended June 30, 2022, the gain of $2,459 and the gain of $9,282, respectively (Note 13), was mainly attributable to changes in the USD LIBOR yield curve, which was used to calculate the present value of the estimated future cash flows, resulting in a decrease in derivative liabilities from interest rate swaps held for trading.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13. Financial Costs and (Loss)/gain on Derivatives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19"/>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financial costs is as follows: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9"/>
        </w:trPr>
        <w:tc>
          <w:tcPr>
            <w:tcW w:w="5580" w:type="dxa"/>
            <w:vAlign w:val="bottom"/>
          </w:tcPr>
          <w:p>
            <w:pPr>
              <w:spacing w:after="0"/>
              <w:rPr>
                <w:sz w:val="24"/>
                <w:szCs w:val="24"/>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1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5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02"/>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loan issuance costs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on loans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15,077</w:t>
            </w: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Commitment fees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financial costs including bank commissions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196"/>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financial costs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9,778</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18,531</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18,559</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loss/(gain) on derivatives is as follows:</w:t>
      </w:r>
    </w:p>
    <w:p>
      <w:pPr>
        <w:sectPr>
          <w:pgSz w:w="11900" w:h="16838" w:orient="portrait"/>
          <w:cols w:equalWidth="0" w:num="1">
            <w:col w:w="9920"/>
          </w:cols>
          <w:pgMar w:left="980" w:top="513" w:right="999" w:bottom="1440" w:gutter="0" w:footer="0" w:header="0"/>
        </w:sectPr>
      </w:pPr>
    </w:p>
    <w:p>
      <w:pPr>
        <w:spacing w:after="0" w:line="233"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8" w:lineRule="exact"/>
        <w:rPr>
          <w:sz w:val="20"/>
          <w:szCs w:val="20"/>
          <w:color w:val="auto"/>
        </w:rPr>
      </w:pPr>
    </w:p>
    <w:p>
      <w:pPr>
        <w:jc w:val="center"/>
        <w:ind w:left="5580"/>
        <w:spacing w:after="0"/>
        <w:tabs>
          <w:tab w:leader="none" w:pos="160" w:val="left"/>
        </w:tabs>
        <w:rPr>
          <w:sz w:val="20"/>
          <w:szCs w:val="20"/>
          <w:color w:val="auto"/>
        </w:rPr>
      </w:pPr>
      <w:r>
        <w:rPr>
          <w:rFonts w:ascii="Times New Roman" w:cs="Times New Roman" w:eastAsia="Times New Roman" w:hAnsi="Times New Roman"/>
          <w:sz w:val="16"/>
          <w:szCs w:val="16"/>
          <w:b w:val="1"/>
          <w:bCs w:val="1"/>
          <w:color w:val="auto"/>
        </w:rPr>
        <w:t>June 30, 2021</w:t>
        <w:tab/>
        <w:t>June 30, 2022</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For the six months ended June 30, 2021  June 30, 2022</w:t>
      </w:r>
    </w:p>
    <w:p>
      <w:pPr>
        <w:spacing w:after="0" w:line="1" w:lineRule="exact"/>
        <w:rPr>
          <w:sz w:val="20"/>
          <w:szCs w:val="20"/>
          <w:color w:val="auto"/>
        </w:rPr>
      </w:pPr>
    </w:p>
    <w:p>
      <w:pPr>
        <w:sectPr>
          <w:pgSz w:w="11900" w:h="16838" w:orient="portrait"/>
          <w:cols w:equalWidth="0" w:num="2">
            <w:col w:w="7640" w:space="180"/>
            <w:col w:w="210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82"/>
        </w:trPr>
        <w:tc>
          <w:tcPr>
            <w:tcW w:w="55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Unrealized gain on interest rate swaps held for trading (Note 12)</w:t>
            </w:r>
          </w:p>
        </w:tc>
        <w:tc>
          <w:tcPr>
            <w:tcW w:w="1120" w:type="dxa"/>
            <w:vAlign w:val="bottom"/>
            <w:gridSpan w:val="2"/>
            <w:shd w:val="clear" w:color="auto" w:fill="CCEEFF"/>
          </w:tcPr>
          <w:p>
            <w:pPr>
              <w:jc w:val="right"/>
              <w:ind w:right="160"/>
              <w:spacing w:after="0" w:line="182" w:lineRule="exact"/>
              <w:rPr>
                <w:sz w:val="20"/>
                <w:szCs w:val="20"/>
                <w:color w:val="auto"/>
              </w:rPr>
            </w:pPr>
            <w:r>
              <w:rPr>
                <w:rFonts w:ascii="Times New Roman" w:cs="Times New Roman" w:eastAsia="Times New Roman" w:hAnsi="Times New Roman"/>
                <w:sz w:val="16"/>
                <w:szCs w:val="16"/>
                <w:color w:val="auto"/>
              </w:rPr>
              <w:t>(1,962)</w:t>
            </w:r>
          </w:p>
        </w:tc>
        <w:tc>
          <w:tcPr>
            <w:tcW w:w="1120" w:type="dxa"/>
            <w:vAlign w:val="bottom"/>
            <w:gridSpan w:val="2"/>
            <w:shd w:val="clear" w:color="auto" w:fill="CCEEFF"/>
          </w:tcPr>
          <w:p>
            <w:pPr>
              <w:jc w:val="right"/>
              <w:ind w:right="160"/>
              <w:spacing w:after="0" w:line="182" w:lineRule="exact"/>
              <w:rPr>
                <w:sz w:val="20"/>
                <w:szCs w:val="20"/>
                <w:color w:val="auto"/>
              </w:rPr>
            </w:pPr>
            <w:r>
              <w:rPr>
                <w:rFonts w:ascii="Times New Roman" w:cs="Times New Roman" w:eastAsia="Times New Roman" w:hAnsi="Times New Roman"/>
                <w:sz w:val="16"/>
                <w:szCs w:val="16"/>
                <w:color w:val="auto"/>
              </w:rPr>
              <w:t>(2,459)</w:t>
            </w:r>
          </w:p>
        </w:tc>
        <w:tc>
          <w:tcPr>
            <w:tcW w:w="1120" w:type="dxa"/>
            <w:vAlign w:val="bottom"/>
            <w:gridSpan w:val="2"/>
            <w:shd w:val="clear" w:color="auto" w:fill="CCEEFF"/>
          </w:tcPr>
          <w:p>
            <w:pPr>
              <w:jc w:val="right"/>
              <w:ind w:right="160"/>
              <w:spacing w:after="0" w:line="182" w:lineRule="exact"/>
              <w:rPr>
                <w:sz w:val="20"/>
                <w:szCs w:val="20"/>
                <w:color w:val="auto"/>
              </w:rPr>
            </w:pPr>
            <w:r>
              <w:rPr>
                <w:rFonts w:ascii="Times New Roman" w:cs="Times New Roman" w:eastAsia="Times New Roman" w:hAnsi="Times New Roman"/>
                <w:sz w:val="16"/>
                <w:szCs w:val="16"/>
                <w:color w:val="auto"/>
              </w:rPr>
              <w:t>(5,569)</w:t>
            </w: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(9,282)</w:t>
            </w:r>
          </w:p>
        </w:tc>
      </w:tr>
      <w:tr>
        <w:trPr>
          <w:trHeight w:val="20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Realized loss on interest rate swaps held for trading</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r>
      <w:tr>
        <w:trPr>
          <w:trHeight w:val="196"/>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loss/(gain) on derivatives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(1,246)</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(916)</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(6,223)</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Earnings/(loss) per Unit (“EPU”)</w:t>
      </w:r>
    </w:p>
    <w:p>
      <w:pPr>
        <w:spacing w:after="0" w:line="237" w:lineRule="exact"/>
        <w:rPr>
          <w:sz w:val="20"/>
          <w:szCs w:val="20"/>
          <w:color w:val="auto"/>
        </w:rPr>
      </w:pPr>
    </w:p>
    <w:p>
      <w:pPr>
        <w:ind w:right="760" w:firstLine="324"/>
        <w:spacing w:after="0" w:line="298" w:lineRule="auto"/>
        <w:rPr>
          <w:sz w:val="20"/>
          <w:szCs w:val="20"/>
          <w:color w:val="auto"/>
        </w:rPr>
      </w:pPr>
      <w:r>
        <w:rPr>
          <w:rFonts w:ascii="Times New Roman" w:cs="Times New Roman" w:eastAsia="Times New Roman" w:hAnsi="Times New Roman"/>
          <w:sz w:val="16"/>
          <w:szCs w:val="16"/>
          <w:color w:val="auto"/>
        </w:rPr>
        <w:t>The Partnership calculates earnings/(loss) per unit by allocating reported profit or loss for each period to each class of units based on the distribution policy for available cash stated in the Partnership Agreement.</w:t>
      </w:r>
    </w:p>
    <w:p>
      <w:pPr>
        <w:spacing w:after="0" w:line="164"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6"/>
          <w:szCs w:val="16"/>
          <w:color w:val="auto"/>
        </w:rPr>
        <w:t>Basic earnings/(loss) per unit is determined by dividing profit or loss for the period, after deducting preference unit distributions and adding/ deducting any difference of the carrying amount of preference units above/below the fair value of the consideration paid to settle them, by the weighted average number of units outstanding during the period. Diluted earnings/(loss) per unit is calculated by dividing the profit or loss of the</w:t>
      </w:r>
    </w:p>
    <w:p>
      <w:pPr>
        <w:sectPr>
          <w:pgSz w:w="11900" w:h="16838" w:orient="portrait"/>
          <w:cols w:equalWidth="0" w:num="1">
            <w:col w:w="9920"/>
          </w:cols>
          <w:pgMar w:left="980" w:top="513" w:right="999" w:bottom="1440" w:gutter="0" w:footer="0" w:header="0"/>
          <w:type w:val="continuous"/>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period attributable to common unitholders by the weighted average number of potential ordinary common units assumed to have been converted into common units, unless such potential ordinary common units have an antidilutive effect.</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Earnings/(loss) per unit is presented for the period in which the units were outstanding, with earnings/(loss) calculated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08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0" w:type="dxa"/>
            <w:vAlign w:val="bottom"/>
          </w:tcPr>
          <w:p>
            <w:pPr>
              <w:spacing w:after="0"/>
              <w:rPr>
                <w:sz w:val="1"/>
                <w:szCs w:val="1"/>
                <w:color w:val="auto"/>
              </w:rPr>
            </w:pPr>
          </w:p>
        </w:tc>
      </w:tr>
      <w:tr>
        <w:trPr>
          <w:trHeight w:val="202"/>
        </w:trPr>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for the period and Partnership’s profit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14,663</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761</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50,023</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35,742</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preference unit distributions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(7,582)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(6,818)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(15,164)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(13,808)</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Differences on repurchase of preference units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Partnership’s profit/(loss) attributable to:</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21,718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Common unitholders</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gridSpan w:val="2"/>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c>
          <w:tcPr>
            <w:tcW w:w="160" w:type="dxa"/>
            <w:vAlign w:val="bottom"/>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(6,064)</w:t>
            </w:r>
          </w:p>
        </w:tc>
        <w:tc>
          <w:tcPr>
            <w:tcW w:w="160" w:type="dxa"/>
            <w:vAlign w:val="bottom"/>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34,127</w:t>
            </w:r>
          </w:p>
        </w:tc>
        <w:tc>
          <w:tcPr>
            <w:tcW w:w="160" w:type="dxa"/>
            <w:vAlign w:val="bottom"/>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21,269</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partner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(basic)</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48,161,285</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51,171,651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47,841,332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51,154,521</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1,021,953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1,077,524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1,021,646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1,077,509</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Earnings/(loss) per unit (basic)</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unitholders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partner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(diluted)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50,425,047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51,171,651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50,016,601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53,090,429</w:t>
            </w: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1,021,953</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1,077,524</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1,021,646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1,077,509</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Earnings/(loss) per unit (diluted)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unitholders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partner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60" w:hanging="332"/>
        <w:spacing w:after="0" w:line="187" w:lineRule="auto"/>
        <w:tabs>
          <w:tab w:leader="none" w:pos="34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Includes unvested awards with respect to the 2015 Plan and Class B units. After the conversion of the first and second tranche of 415,000 Class B units on July 1, 2020 and 2021, respectively, the remaining 1,660,000 Class B units will become eligible for conversion on a one-for-one basis into common units at GasLog’s option in four tranches of 415,000 units per annum on July 1 of 2022 (Note 16), 2023, 2024 and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Commitments and Contingencies</w:t>
      </w:r>
    </w:p>
    <w:p>
      <w:pPr>
        <w:spacing w:after="0" w:line="237" w:lineRule="exact"/>
        <w:rPr>
          <w:sz w:val="20"/>
          <w:szCs w:val="20"/>
          <w:color w:val="auto"/>
        </w:rPr>
      </w:pPr>
    </w:p>
    <w:p>
      <w:pPr>
        <w:ind w:right="60" w:firstLine="324"/>
        <w:spacing w:after="0" w:line="275" w:lineRule="auto"/>
        <w:rPr>
          <w:sz w:val="20"/>
          <w:szCs w:val="20"/>
          <w:color w:val="auto"/>
        </w:rPr>
      </w:pPr>
      <w:r>
        <w:rPr>
          <w:rFonts w:ascii="Times New Roman" w:cs="Times New Roman" w:eastAsia="Times New Roman" w:hAnsi="Times New Roman"/>
          <w:sz w:val="16"/>
          <w:szCs w:val="16"/>
          <w:color w:val="auto"/>
        </w:rPr>
        <w:t>Future gross minimum lease payments receivable in relation to non-cancellable time charter agreements for vessels in operation, including a vessel under a lease (Note 5) as of June 30, 2022,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Period</w:t>
            </w:r>
          </w:p>
        </w:tc>
        <w:tc>
          <w:tcPr>
            <w:tcW w:w="2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0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 later than one year</w:t>
            </w: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210,210</w:t>
            </w:r>
          </w:p>
        </w:tc>
      </w:tr>
      <w:tr>
        <w:trPr>
          <w:trHeight w:val="203"/>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Later than one year and not later than two years</w:t>
            </w: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85,578</w:t>
            </w:r>
          </w:p>
        </w:tc>
      </w:tr>
      <w:tr>
        <w:trPr>
          <w:trHeight w:val="20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Later than two years and not later than three years</w:t>
            </w: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51,707</w:t>
            </w:r>
          </w:p>
        </w:tc>
      </w:tr>
      <w:tr>
        <w:trPr>
          <w:trHeight w:val="203"/>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Later than three years and not later than four years</w:t>
            </w:r>
          </w:p>
        </w:tc>
        <w:tc>
          <w:tcPr>
            <w:tcW w:w="2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45,189</w:t>
            </w: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392,684</w:t>
            </w:r>
          </w:p>
        </w:tc>
      </w:tr>
      <w:tr>
        <w:trPr>
          <w:trHeight w:val="20"/>
        </w:trPr>
        <w:tc>
          <w:tcPr>
            <w:tcW w:w="6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right="60" w:firstLine="324"/>
        <w:spacing w:after="0" w:line="281" w:lineRule="auto"/>
        <w:rPr>
          <w:sz w:val="20"/>
          <w:szCs w:val="20"/>
          <w:color w:val="auto"/>
        </w:rPr>
      </w:pPr>
      <w:r>
        <w:rPr>
          <w:rFonts w:ascii="Times New Roman" w:cs="Times New Roman" w:eastAsia="Times New Roman" w:hAnsi="Times New Roman"/>
          <w:sz w:val="16"/>
          <w:szCs w:val="16"/>
          <w:color w:val="auto"/>
        </w:rPr>
        <w:t>In September 2017 and July 2018, GasLog LNG Services entered into maintenance agreements with Wartsila Greece S.A. in respect of nine of the Partnership’s LNG carriers. The agreements ensure dynamic maintenance planning, technical support, security of spare parts supply, specialist technical personnel and performance monitoring.</w:t>
      </w:r>
    </w:p>
    <w:p>
      <w:pPr>
        <w:spacing w:after="0" w:line="13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June 30, 2022, ballast water management systems had been installed on seven out of the eleven vessels.</w:t>
      </w:r>
    </w:p>
    <w:p>
      <w:pPr>
        <w:spacing w:after="0" w:line="183" w:lineRule="exact"/>
        <w:rPr>
          <w:sz w:val="20"/>
          <w:szCs w:val="20"/>
          <w:color w:val="auto"/>
        </w:rPr>
      </w:pPr>
    </w:p>
    <w:p>
      <w:pPr>
        <w:ind w:right="260" w:firstLine="324"/>
        <w:spacing w:after="0" w:line="275" w:lineRule="auto"/>
        <w:rPr>
          <w:sz w:val="20"/>
          <w:szCs w:val="20"/>
          <w:color w:val="auto"/>
        </w:rPr>
      </w:pPr>
      <w:r>
        <w:rPr>
          <w:rFonts w:ascii="Times New Roman" w:cs="Times New Roman" w:eastAsia="Times New Roman" w:hAnsi="Times New Roman"/>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370840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Subsequent Events</w:t>
      </w:r>
    </w:p>
    <w:p>
      <w:pPr>
        <w:spacing w:after="0" w:line="237" w:lineRule="exact"/>
        <w:rPr>
          <w:sz w:val="20"/>
          <w:szCs w:val="20"/>
          <w:color w:val="auto"/>
        </w:rPr>
      </w:pPr>
    </w:p>
    <w:p>
      <w:pPr>
        <w:ind w:right="240" w:firstLine="324"/>
        <w:spacing w:after="0" w:line="298" w:lineRule="auto"/>
        <w:rPr>
          <w:sz w:val="20"/>
          <w:szCs w:val="20"/>
          <w:color w:val="auto"/>
        </w:rPr>
      </w:pPr>
      <w:r>
        <w:rPr>
          <w:rFonts w:ascii="Times New Roman" w:cs="Times New Roman" w:eastAsia="Times New Roman" w:hAnsi="Times New Roman"/>
          <w:sz w:val="16"/>
          <w:szCs w:val="16"/>
          <w:color w:val="auto"/>
        </w:rPr>
        <w:t>On July 1, 2022, GasLog Partners issued 415,000 common units in connection with GasLog’s option to convert the third tranche of its Class B units issued upon the elimination of incentive distributions rights in June 2019.</w:t>
      </w:r>
    </w:p>
    <w:p>
      <w:pPr>
        <w:spacing w:after="0" w:line="164"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6"/>
          <w:szCs w:val="16"/>
          <w:color w:val="auto"/>
        </w:rPr>
        <w:t>On July 27, 2022, the board of directors of GasLog Partners approved and declared a quarterly cash distribution of $0.01 per common unit for the quarter ended June 30, 2022. The cash distribution is payable on August 11, 2022 to all unitholders of record as of August 8, 2022. The aggregate amount of the declared distribution will be $524 based on the number of units issued and outstanding as of June 30, 2022.</w:t>
      </w:r>
    </w:p>
    <w:p>
      <w:pPr>
        <w:spacing w:after="0" w:line="17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On July 27, 2022,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September 15, 2022 to all unitholders of record as of September 8,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820"/>
      </w:cols>
      <w:pgMar w:left="980" w:top="513"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10" Type="http://schemas.openxmlformats.org/officeDocument/2006/relationships/hyperlink" Target="https://www.sec.gov/Archives/edgar/data/1598655/000104746920005156/a2242501zf-3.htm" TargetMode="External"/><Relationship Id="rId11" Type="http://schemas.openxmlformats.org/officeDocument/2006/relationships/hyperlink" Target="https://www.sec.gov/Archives/edgar/data/1598655/000095015715000356/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2022-07-28T05:54:29Z</dcterms:created>
  <dcterms:modified xsi:type="dcterms:W3CDTF">2022-07-28T05:54:29Z</dcterms:modified>
</cp:coreProperties>
</file>