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For the month of August 2017</w:t>
            </w:r>
          </w:p>
        </w:tc>
        <w:tc>
          <w:tcPr>
            <w:tcW w:w="14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Commission File Number 001-36433</w:t>
            </w:r>
          </w:p>
        </w:tc>
        <w:tc>
          <w:tcPr>
            <w:tcW w:w="1400" w:type="dxa"/>
            <w:vAlign w:val="bottom"/>
          </w:tcPr>
          <w:p>
            <w:pPr>
              <w:spacing w:after="0"/>
              <w:rPr>
                <w:sz w:val="24"/>
                <w:szCs w:val="24"/>
                <w:color w:val="auto"/>
              </w:rPr>
            </w:pPr>
          </w:p>
        </w:tc>
      </w:tr>
      <w:tr>
        <w:trPr>
          <w:trHeight w:val="418"/>
        </w:trPr>
        <w:tc>
          <w:tcPr>
            <w:tcW w:w="10020" w:type="dxa"/>
            <w:vAlign w:val="bottom"/>
          </w:tcPr>
          <w:p>
            <w:pPr>
              <w:jc w:val="center"/>
              <w:ind w:left="1310"/>
              <w:spacing w:after="0"/>
              <w:rPr>
                <w:sz w:val="20"/>
                <w:szCs w:val="20"/>
                <w:color w:val="auto"/>
              </w:rPr>
            </w:pPr>
            <w:r>
              <w:rPr>
                <w:rFonts w:ascii="Arial" w:cs="Arial" w:eastAsia="Arial" w:hAnsi="Arial"/>
                <w:sz w:val="18"/>
                <w:szCs w:val="18"/>
                <w:b w:val="1"/>
                <w:bCs w:val="1"/>
                <w:color w:val="auto"/>
                <w:w w:val="91"/>
              </w:rPr>
              <w:t>GasLog Partners LP</w:t>
            </w:r>
          </w:p>
        </w:tc>
        <w:tc>
          <w:tcPr>
            <w:tcW w:w="1400" w:type="dxa"/>
            <w:vAlign w:val="bottom"/>
          </w:tcPr>
          <w:p>
            <w:pPr>
              <w:spacing w:after="0"/>
              <w:rPr>
                <w:sz w:val="24"/>
                <w:szCs w:val="24"/>
                <w:color w:val="auto"/>
              </w:rPr>
            </w:pPr>
          </w:p>
        </w:tc>
      </w:tr>
      <w:tr>
        <w:trPr>
          <w:trHeight w:val="230"/>
        </w:trPr>
        <w:tc>
          <w:tcPr>
            <w:tcW w:w="10020" w:type="dxa"/>
            <w:vAlign w:val="bottom"/>
          </w:tcPr>
          <w:p>
            <w:pPr>
              <w:jc w:val="center"/>
              <w:ind w:left="1330"/>
              <w:spacing w:after="0"/>
              <w:rPr>
                <w:sz w:val="20"/>
                <w:szCs w:val="20"/>
                <w:color w:val="auto"/>
              </w:rPr>
            </w:pPr>
            <w:r>
              <w:rPr>
                <w:rFonts w:ascii="Arial" w:cs="Arial" w:eastAsia="Arial" w:hAnsi="Arial"/>
                <w:sz w:val="18"/>
                <w:szCs w:val="18"/>
                <w:color w:val="auto"/>
                <w:w w:val="91"/>
              </w:rPr>
              <w:t>(Translation of registrant’s name into English)</w:t>
            </w:r>
          </w:p>
        </w:tc>
        <w:tc>
          <w:tcPr>
            <w:tcW w:w="1400" w:type="dxa"/>
            <w:vAlign w:val="bottom"/>
          </w:tcPr>
          <w:p>
            <w:pPr>
              <w:spacing w:after="0"/>
              <w:rPr>
                <w:sz w:val="20"/>
                <w:szCs w:val="20"/>
                <w:color w:val="auto"/>
              </w:rPr>
            </w:pPr>
          </w:p>
        </w:tc>
      </w:tr>
      <w:tr>
        <w:trPr>
          <w:trHeight w:val="418"/>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89"/>
              </w:rPr>
              <w:t>Gildo Pastor Center</w:t>
            </w:r>
          </w:p>
        </w:tc>
        <w:tc>
          <w:tcPr>
            <w:tcW w:w="1400" w:type="dxa"/>
            <w:vAlign w:val="bottom"/>
          </w:tcPr>
          <w:p>
            <w:pPr>
              <w:spacing w:after="0"/>
              <w:rPr>
                <w:sz w:val="24"/>
                <w:szCs w:val="24"/>
                <w:color w:val="auto"/>
              </w:rPr>
            </w:pPr>
          </w:p>
        </w:tc>
      </w:tr>
      <w:tr>
        <w:trPr>
          <w:trHeight w:val="216"/>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89"/>
              </w:rPr>
              <w:t>7 Rue du Gabian</w:t>
            </w:r>
          </w:p>
        </w:tc>
        <w:tc>
          <w:tcPr>
            <w:tcW w:w="1400" w:type="dxa"/>
            <w:vAlign w:val="bottom"/>
          </w:tcPr>
          <w:p>
            <w:pPr>
              <w:spacing w:after="0"/>
              <w:rPr>
                <w:sz w:val="18"/>
                <w:szCs w:val="18"/>
                <w:color w:val="auto"/>
              </w:rPr>
            </w:pPr>
          </w:p>
        </w:tc>
      </w:tr>
      <w:tr>
        <w:trPr>
          <w:trHeight w:val="216"/>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92"/>
              </w:rPr>
              <w:t>MC 98000, Monaco</w:t>
            </w:r>
          </w:p>
        </w:tc>
        <w:tc>
          <w:tcPr>
            <w:tcW w:w="1400" w:type="dxa"/>
            <w:vAlign w:val="bottom"/>
          </w:tcPr>
          <w:p>
            <w:pPr>
              <w:spacing w:after="0"/>
              <w:rPr>
                <w:sz w:val="18"/>
                <w:szCs w:val="18"/>
                <w:color w:val="auto"/>
              </w:rPr>
            </w:pPr>
          </w:p>
        </w:tc>
      </w:tr>
      <w:tr>
        <w:trPr>
          <w:trHeight w:val="230"/>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92"/>
              </w:rPr>
              <w:t>(Address of principal executive office)</w:t>
            </w:r>
          </w:p>
        </w:tc>
        <w:tc>
          <w:tcPr>
            <w:tcW w:w="14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400" w:type="dxa"/>
            <w:vAlign w:val="bottom"/>
          </w:tcPr>
          <w:p>
            <w:pPr>
              <w:spacing w:after="0"/>
              <w:rPr>
                <w:sz w:val="24"/>
                <w:szCs w:val="24"/>
                <w:color w:val="auto"/>
              </w:rPr>
            </w:pPr>
          </w:p>
        </w:tc>
      </w:tr>
      <w:tr>
        <w:trPr>
          <w:trHeight w:val="452"/>
        </w:trPr>
        <w:tc>
          <w:tcPr>
            <w:tcW w:w="1002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1400" w:type="dxa"/>
            <w:vAlign w:val="bottom"/>
          </w:tcPr>
          <w:p>
            <w:pPr>
              <w:spacing w:after="0"/>
              <w:rPr>
                <w:sz w:val="24"/>
                <w:szCs w:val="24"/>
                <w:color w:val="auto"/>
              </w:rPr>
            </w:pPr>
          </w:p>
        </w:tc>
      </w:tr>
      <w:tr>
        <w:trPr>
          <w:trHeight w:val="412"/>
        </w:trPr>
        <w:tc>
          <w:tcPr>
            <w:tcW w:w="100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400" w:type="dxa"/>
            <w:vAlign w:val="bottom"/>
          </w:tcPr>
          <w:p>
            <w:pPr>
              <w:ind w:left="1060"/>
              <w:spacing w:after="0"/>
              <w:rPr>
                <w:sz w:val="20"/>
                <w:szCs w:val="20"/>
                <w:color w:val="auto"/>
              </w:rPr>
            </w:pPr>
            <w:r>
              <w:rPr>
                <w:rFonts w:ascii="Arial" w:cs="Arial" w:eastAsia="Arial" w:hAnsi="Arial"/>
                <w:sz w:val="18"/>
                <w:szCs w:val="18"/>
                <w:color w:val="auto"/>
              </w:rPr>
              <w:t>o</w:t>
            </w: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400" w:type="dxa"/>
            <w:vAlign w:val="bottom"/>
          </w:tcPr>
          <w:p>
            <w:pPr>
              <w:ind w:left="1060"/>
              <w:spacing w:after="0"/>
              <w:rPr>
                <w:sz w:val="20"/>
                <w:szCs w:val="20"/>
                <w:color w:val="auto"/>
              </w:rPr>
            </w:pPr>
            <w:r>
              <w:rPr>
                <w:rFonts w:ascii="Arial" w:cs="Arial" w:eastAsia="Arial" w:hAnsi="Arial"/>
                <w:sz w:val="18"/>
                <w:szCs w:val="18"/>
                <w:color w:val="auto"/>
              </w:rPr>
              <w:t>o</w:t>
            </w:r>
          </w:p>
        </w:tc>
      </w:tr>
      <w:tr>
        <w:trPr>
          <w:trHeight w:val="709"/>
        </w:trPr>
        <w:tc>
          <w:tcPr>
            <w:tcW w:w="10020" w:type="dxa"/>
            <w:vAlign w:val="bottom"/>
            <w:tcBorders>
              <w:bottom w:val="single" w:sz="8" w:color="C0C0C0"/>
            </w:tcBorders>
          </w:tcPr>
          <w:p>
            <w:pPr>
              <w:spacing w:after="0"/>
              <w:rPr>
                <w:sz w:val="24"/>
                <w:szCs w:val="24"/>
                <w:color w:val="auto"/>
              </w:rPr>
            </w:pPr>
          </w:p>
        </w:tc>
        <w:tc>
          <w:tcPr>
            <w:tcW w:w="140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jc w:val="both"/>
        <w:ind w:firstLine="383"/>
        <w:spacing w:after="0" w:line="277" w:lineRule="auto"/>
        <w:rPr>
          <w:sz w:val="20"/>
          <w:szCs w:val="20"/>
          <w:color w:val="auto"/>
        </w:rPr>
      </w:pPr>
      <w:r>
        <w:rPr>
          <w:rFonts w:ascii="Arial" w:cs="Arial" w:eastAsia="Arial" w:hAnsi="Arial"/>
          <w:sz w:val="18"/>
          <w:szCs w:val="18"/>
          <w:color w:val="auto"/>
        </w:rPr>
        <w:t>The press release issued by GasLog Partners LP and GasLog Ltd on August 21, 2017 announcing the appointment of Richard Sadler as Chief Operating Officer is attached hereto as Exhibit 99.1.</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INCORPORATION BY REFERENCE</w:t>
      </w:r>
    </w:p>
    <w:p>
      <w:pPr>
        <w:spacing w:after="0" w:line="217" w:lineRule="exact"/>
        <w:rPr>
          <w:sz w:val="20"/>
          <w:szCs w:val="20"/>
          <w:color w:val="auto"/>
        </w:rPr>
      </w:pPr>
    </w:p>
    <w:p>
      <w:pPr>
        <w:jc w:val="both"/>
        <w:ind w:firstLine="376"/>
        <w:spacing w:after="0" w:line="302" w:lineRule="auto"/>
        <w:rPr>
          <w:sz w:val="20"/>
          <w:szCs w:val="20"/>
          <w:color w:val="auto"/>
        </w:rPr>
      </w:pPr>
      <w:r>
        <w:rPr>
          <w:rFonts w:ascii="Arial" w:cs="Arial" w:eastAsia="Arial" w:hAnsi="Arial"/>
          <w:sz w:val="14"/>
          <w:szCs w:val="14"/>
          <w:color w:val="auto"/>
        </w:rPr>
        <w:t xml:space="preserve">Exhibit 99.1 to this Report on Form 6-K </w:t>
      </w:r>
      <w:r>
        <w:rPr>
          <w:rFonts w:ascii="Arial" w:cs="Arial" w:eastAsia="Arial" w:hAnsi="Arial"/>
          <w:sz w:val="16"/>
          <w:szCs w:val="16"/>
          <w:color w:val="auto"/>
        </w:rPr>
        <w:t>shall be incorporated by reference into our registration statement on Form F-3 (File No. 333-204616), filed with the</w:t>
      </w:r>
      <w:r>
        <w:rPr>
          <w:rFonts w:ascii="Arial" w:cs="Arial" w:eastAsia="Arial" w:hAnsi="Arial"/>
          <w:sz w:val="14"/>
          <w:szCs w:val="14"/>
          <w:color w:val="auto"/>
        </w:rPr>
        <w:t xml:space="preserve"> </w:t>
      </w:r>
      <w:r>
        <w:rPr>
          <w:rFonts w:ascii="Arial" w:cs="Arial" w:eastAsia="Arial" w:hAnsi="Arial"/>
          <w:sz w:val="16"/>
          <w:szCs w:val="16"/>
          <w:color w:val="auto"/>
        </w:rPr>
        <w:t>Securities and Exchange Commission (the “SEC”) on June 1, 2015,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LIST</w:t>
      </w:r>
    </w:p>
    <w:p>
      <w:pPr>
        <w:spacing w:after="0" w:line="23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958215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2" w:name="page3"/>
    <w:bookmarkEnd w:id="2"/>
    <w:p>
      <w:pPr>
        <w:jc w:val="center"/>
        <w:ind w:right="-7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21, 2017</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GASLOG PARTNERS LP</w:t>
      </w:r>
    </w:p>
    <w:p>
      <w:pPr>
        <w:spacing w:after="0" w:line="225" w:lineRule="exact"/>
        <w:rPr>
          <w:sz w:val="20"/>
          <w:szCs w:val="20"/>
          <w:color w:val="auto"/>
        </w:rPr>
      </w:pPr>
    </w:p>
    <w:p>
      <w:pPr>
        <w:ind w:left="654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Orekar</w:t>
      </w:r>
    </w:p>
    <w:p>
      <w:pPr>
        <w:spacing w:after="0" w:line="2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Andrew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4612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660"/>
          </w:cols>
          <w:pgMar w:left="240" w:top="1003"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GasLog Ltd. and GasLog Partners LP Appoint Richard Sadler as Chief Operating Officer</w:t>
      </w:r>
    </w:p>
    <w:p>
      <w:pPr>
        <w:spacing w:after="0" w:line="367" w:lineRule="exact"/>
        <w:rPr>
          <w:sz w:val="20"/>
          <w:szCs w:val="20"/>
          <w:color w:val="auto"/>
        </w:rPr>
      </w:pPr>
    </w:p>
    <w:p>
      <w:pPr>
        <w:jc w:val="both"/>
        <w:spacing w:after="0" w:line="232" w:lineRule="auto"/>
        <w:rPr>
          <w:sz w:val="20"/>
          <w:szCs w:val="20"/>
          <w:color w:val="auto"/>
        </w:rPr>
      </w:pPr>
      <w:r>
        <w:rPr>
          <w:rFonts w:ascii="Arial" w:cs="Arial" w:eastAsia="Arial" w:hAnsi="Arial"/>
          <w:sz w:val="18"/>
          <w:szCs w:val="18"/>
          <w:b w:val="1"/>
          <w:bCs w:val="1"/>
          <w:color w:val="auto"/>
        </w:rPr>
        <w:t xml:space="preserve">MONACO — August 21, 2017 — </w:t>
      </w:r>
      <w:r>
        <w:rPr>
          <w:rFonts w:ascii="Arial" w:cs="Arial" w:eastAsia="Arial" w:hAnsi="Arial"/>
          <w:sz w:val="18"/>
          <w:szCs w:val="18"/>
          <w:color w:val="auto"/>
        </w:rPr>
        <w:t>GasLog Ltd. (NYSE:GLOG) (“GasLog”) and GasLog Partners LP (NYSE:GLOP) (“GasLog Partners”) announced today</w:t>
      </w:r>
      <w:r>
        <w:rPr>
          <w:rFonts w:ascii="Arial" w:cs="Arial" w:eastAsia="Arial" w:hAnsi="Arial"/>
          <w:sz w:val="18"/>
          <w:szCs w:val="18"/>
          <w:b w:val="1"/>
          <w:bCs w:val="1"/>
          <w:color w:val="auto"/>
        </w:rPr>
        <w:t xml:space="preserve"> </w:t>
      </w:r>
      <w:r>
        <w:rPr>
          <w:rFonts w:ascii="Arial" w:cs="Arial" w:eastAsia="Arial" w:hAnsi="Arial"/>
          <w:sz w:val="18"/>
          <w:szCs w:val="18"/>
          <w:color w:val="auto"/>
        </w:rPr>
        <w:t>that, following Graham Westgarth’s retirement from his position as Chief Operating Officer (“COO”), Richard Sadler has been appointed as COO of GasLog and GasLog Partners and will take up his new role in September 2017. Graham was appointed to the GasLog Board of Directors at GasLog’s annual general meeting in May 2017, and will work with Richard to ensure a smooth transition.</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Richard is highly respected throughout the maritime industry and brings a wealth of shipping experience to GasLog having served as Chief Executive Officer of Lloyd’s Register Group from 2007 to 2015. During his 8 years as CEO, Lloyd’s Register Group doubled its revenue reaching an annual turnover of £1.1bn, through 9,500 staff providing compliance and consultancy services to 60,000 global clients in 78 countries.</w:t>
      </w:r>
    </w:p>
    <w:p>
      <w:pPr>
        <w:spacing w:after="0" w:line="13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Prior to his time as CEO of Lloyd’s Register, Richard worked as a Director of Asset Management for the Royal Bank of Scotland in the Shipping and Offshore Energy Division. Before that, Richard held a number of positions at Lloyd’s Register including in Kuwait, Bahrain, Oman and Japan. Whilst in Japan he oversaw, on behalf of Lloyds Register, the construction of LNG newbuildings for the North West Shelf project and was the LR liaison for the Shell LNG vessels operating from Brunei. Earlier in Richard’s career, he was an Engineering Officer in the Royal Navy before studying Naval Architecture at the University of Newcastle-upon-Tyne.</w:t>
      </w:r>
    </w:p>
    <w:p>
      <w:pPr>
        <w:spacing w:after="0" w:line="15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Richard is a Fellow of the Royal Academy of Engineering, where he is also a member of the audit and risk committee. He holds Honorary Doctorates from the University of Southampton and the University of Newcastle-upon-Tyne and is a visiting Professor of Dalian Maritime University. Richard is also a Trustee and one of the Elder Brethren of Trinity House. Richard has also held the office of President of the Welding Institute in Cambridge for three years.</w:t>
      </w:r>
    </w:p>
    <w:p>
      <w:pPr>
        <w:spacing w:after="0" w:line="13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Paul Wogan, GasLog CEO, said, “On behalf of the Boards of GasLog and GasLog Partners, and the Management team, I am pleased to welcome Richard to GasLog as COO. His deep understanding of the shipping sector and his years of relevant operational experience will make him a huge asset to the company. I would also like to take this opportunity to thank Graham for his contribution to GasLog during the past few years of growth and I look forward to being able to continue to access his experience and wisdom as a Board member.”</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Richard Sadler commented, “I am delighted to be joining GasLog at such an exciting time in the company’s evolution. The LNG and LNG shipping markets are experiencing a period of considerable growth with significant opportunities and I believe that GasLog is well placed to take advantage of these opportunities. I look forward to working with the team to continue to develop GasLog into a world-class player in the LNG value chain.”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16"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27 LNG carriers (22 ships on the water and 5 on order). GasLog also has an additional LNG carrier which was sold to a subsidiary of Mitsui Co. Ltd. and leased back under a long-term bareboat charter. GasLog’s consolidated fleet now includes eleven LNG carriers in operation owned by GasLog’s subsidiary, GasLog Partners. GasLog’s principal executive offices are at Gildo Pastor Center, 7 Rue du Gabian, MC 98000, Monaco.</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GasLog Partners is a growth-oriented master limited partnership focused on owning, operating and acquiring LNG carriers under multi-year charters. GasLog Partners’ fleet consists of eleven LNG carriers, each of which has a multi-year time charter. GasLog Partners’ principal executive offices are located at Gildo Pastor Center, 7 Rue du Gabian, MC 98000, Monaco.</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1" w:lineRule="auto"/>
        <w:rPr>
          <w:sz w:val="20"/>
          <w:szCs w:val="20"/>
          <w:color w:val="auto"/>
        </w:rPr>
      </w:pPr>
      <w:r>
        <w:rPr>
          <w:rFonts w:ascii="Arial" w:cs="Arial" w:eastAsia="Arial" w:hAnsi="Arial"/>
          <w:sz w:val="18"/>
          <w:szCs w:val="18"/>
          <w:color w:val="auto"/>
        </w:rPr>
        <w:t>Paul Wogan</w:t>
      </w:r>
    </w:p>
    <w:p>
      <w:pPr>
        <w:spacing w:after="0" w:line="219" w:lineRule="auto"/>
        <w:rPr>
          <w:sz w:val="20"/>
          <w:szCs w:val="20"/>
          <w:color w:val="auto"/>
        </w:rPr>
      </w:pPr>
      <w:r>
        <w:rPr>
          <w:rFonts w:ascii="Arial" w:cs="Arial" w:eastAsia="Arial" w:hAnsi="Arial"/>
          <w:sz w:val="18"/>
          <w:szCs w:val="18"/>
          <w:color w:val="auto"/>
        </w:rPr>
        <w:t>Chief Executive Officer, GasLog Ltd.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Phone: +44 203 388 3108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Andy Orekar</w:t>
      </w:r>
    </w:p>
    <w:p>
      <w:pPr>
        <w:spacing w:after="0" w:line="234" w:lineRule="auto"/>
        <w:rPr>
          <w:sz w:val="20"/>
          <w:szCs w:val="20"/>
          <w:color w:val="auto"/>
        </w:rPr>
      </w:pPr>
      <w:r>
        <w:rPr>
          <w:rFonts w:ascii="Arial" w:cs="Arial" w:eastAsia="Arial" w:hAnsi="Arial"/>
          <w:sz w:val="18"/>
          <w:szCs w:val="18"/>
          <w:color w:val="auto"/>
        </w:rPr>
        <w:t>Chief Executive Officer, GasLog Partners.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Phone: +1 212 223 0847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Jamie Buckland</w:t>
      </w:r>
    </w:p>
    <w:p>
      <w:pPr>
        <w:spacing w:after="0" w:line="219" w:lineRule="auto"/>
        <w:rPr>
          <w:sz w:val="20"/>
          <w:szCs w:val="20"/>
          <w:color w:val="auto"/>
        </w:rPr>
      </w:pPr>
      <w:r>
        <w:rPr>
          <w:rFonts w:ascii="Arial" w:cs="Arial" w:eastAsia="Arial" w:hAnsi="Arial"/>
          <w:sz w:val="18"/>
          <w:szCs w:val="18"/>
          <w:color w:val="auto"/>
        </w:rPr>
        <w:t>Head of Investor Relations</w:t>
      </w:r>
    </w:p>
    <w:p>
      <w:pPr>
        <w:spacing w:after="0"/>
        <w:rPr>
          <w:sz w:val="20"/>
          <w:szCs w:val="20"/>
          <w:color w:val="auto"/>
        </w:rPr>
      </w:pPr>
      <w:r>
        <w:rPr>
          <w:rFonts w:ascii="Arial" w:cs="Arial" w:eastAsia="Arial" w:hAnsi="Arial"/>
          <w:sz w:val="18"/>
          <w:szCs w:val="18"/>
          <w:color w:val="auto"/>
        </w:rPr>
        <w:t>Phone: +44 203 388 3116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2019-12-07T22:19:29Z</dcterms:created>
  <dcterms:modified xsi:type="dcterms:W3CDTF">2019-12-07T22:19:29Z</dcterms:modified>
</cp:coreProperties>
</file>