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left="146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July 2025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 001-36433</w:t>
      </w:r>
    </w:p>
    <w:p>
      <w:pPr>
        <w:spacing w:after="0" w:line="2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GasLog Partners LP</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 GasLog LNG Services Ltd.</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69 Akti Miaouli, 18537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Piraeus, Greece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2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25" w:right="1440" w:bottom="1440" w:gutter="0" w:footer="0" w:header="0"/>
        </w:sectPr>
      </w:pPr>
    </w:p>
    <w:bookmarkStart w:id="1" w:name="page2"/>
    <w:bookmarkEnd w:id="1"/>
    <w:p>
      <w:pPr>
        <w:ind w:left="380"/>
        <w:spacing w:after="0"/>
        <w:rPr>
          <w:sz w:val="20"/>
          <w:szCs w:val="20"/>
          <w:color w:val="auto"/>
        </w:rPr>
      </w:pPr>
      <w:r>
        <w:rPr>
          <w:rFonts w:ascii="Times New Roman" w:cs="Times New Roman" w:eastAsia="Times New Roman" w:hAnsi="Times New Roman"/>
          <w:sz w:val="16"/>
          <w:szCs w:val="16"/>
          <w:color w:val="auto"/>
        </w:rPr>
        <w:t>The press release issued by GasLog Partners LP on July 25, 2025 relating to its results for the three-month period ended June 30, 2025 is attached hereto as Exhibit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99.1.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EXHIBIT LIST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Exhibit</w:t>
            </w:r>
          </w:p>
        </w:tc>
        <w:tc>
          <w:tcPr>
            <w:tcW w:w="10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370"/>
        </w:trPr>
        <w:tc>
          <w:tcPr>
            <w:tcW w:w="300" w:type="dxa"/>
            <w:vAlign w:val="bottom"/>
          </w:tcPr>
          <w:p>
            <w:pPr>
              <w:spacing w:after="0"/>
              <w:rPr>
                <w:sz w:val="20"/>
                <w:szCs w:val="20"/>
                <w:color w:val="auto"/>
              </w:rPr>
            </w:pPr>
            <w:r>
              <w:rPr>
                <w:rFonts w:ascii="Times New Roman" w:cs="Times New Roman" w:eastAsia="Times New Roman" w:hAnsi="Times New Roman"/>
                <w:sz w:val="16"/>
                <w:szCs w:val="16"/>
                <w:color w:val="0000EE"/>
                <w:w w:val="99"/>
              </w:rPr>
              <w:t>99.</w:t>
            </w:r>
            <w:r>
              <w:rPr>
                <w:rFonts w:ascii="Times New Roman" w:cs="Times New Roman" w:eastAsia="Times New Roman" w:hAnsi="Times New Roman"/>
                <w:sz w:val="16"/>
                <w:szCs w:val="16"/>
                <w:u w:val="single" w:color="auto"/>
                <w:color w:val="0000EE"/>
                <w:w w:val="99"/>
              </w:rPr>
              <w:t>1</w:t>
            </w:r>
          </w:p>
        </w:tc>
        <w:tc>
          <w:tcPr>
            <w:tcW w:w="84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6"/>
                <w:szCs w:val="16"/>
                <w:color w:val="0000EE"/>
              </w:rPr>
              <w:t>Press Release of GasLog Partners LP dated July 25, 2025</w:t>
            </w:r>
          </w:p>
        </w:tc>
      </w:tr>
      <w:tr>
        <w:trPr>
          <w:trHeight w:val="682"/>
        </w:trPr>
        <w:tc>
          <w:tcPr>
            <w:tcW w:w="300" w:type="dxa"/>
            <w:vAlign w:val="bottom"/>
            <w:tcBorders>
              <w:top w:val="single" w:sz="8" w:color="0000EE"/>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720" w:type="dxa"/>
            <w:vAlign w:val="bottom"/>
            <w:tcBorders>
              <w:top w:val="single" w:sz="8" w:color="0000EE"/>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6"/>
          <w:szCs w:val="16"/>
          <w:color w:val="auto"/>
        </w:rPr>
        <w:t>SIGNATURES</w:t>
      </w:r>
    </w:p>
    <w:p>
      <w:pPr>
        <w:spacing w:after="0" w:line="221" w:lineRule="exact"/>
        <w:rPr>
          <w:sz w:val="20"/>
          <w:szCs w:val="20"/>
          <w:color w:val="auto"/>
        </w:rPr>
      </w:pPr>
    </w:p>
    <w:p>
      <w:pPr>
        <w:ind w:firstLine="376"/>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July 25,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GASLOG PARTNERS LP</w:t>
      </w:r>
    </w:p>
    <w:p>
      <w:pPr>
        <w:spacing w:after="0" w:line="221" w:lineRule="exact"/>
        <w:rPr>
          <w:sz w:val="20"/>
          <w:szCs w:val="20"/>
          <w:color w:val="auto"/>
        </w:rPr>
      </w:pPr>
    </w:p>
    <w:p>
      <w:pPr>
        <w:ind w:left="5980"/>
        <w:spacing w:after="0"/>
        <w:tabs>
          <w:tab w:leader="none" w:pos="6300" w:val="left"/>
        </w:tabs>
        <w:rPr>
          <w:sz w:val="20"/>
          <w:szCs w:val="20"/>
          <w:color w:val="auto"/>
        </w:rPr>
      </w:pPr>
      <w:r>
        <w:rPr>
          <w:rFonts w:ascii="Times New Roman" w:cs="Times New Roman" w:eastAsia="Times New Roman" w:hAnsi="Times New Roman"/>
          <w:sz w:val="16"/>
          <w:szCs w:val="16"/>
          <w:color w:val="auto"/>
        </w:rPr>
        <w:t>by</w:t>
        <w:tab/>
        <w:t>/s/ Paolo Enoizi</w:t>
      </w:r>
    </w:p>
    <w:p>
      <w:pPr>
        <w:spacing w:after="0" w:line="3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6"/>
          <w:szCs w:val="16"/>
          <w:color w:val="auto"/>
        </w:rPr>
        <w:t>Name: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-116205</wp:posOffset>
            </wp:positionV>
            <wp:extent cx="3128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6" w:lineRule="exact"/>
        <w:rPr>
          <w:sz w:val="20"/>
          <w:szCs w:val="20"/>
          <w:color w:val="auto"/>
        </w:rPr>
      </w:pPr>
    </w:p>
    <w:p>
      <w:pPr>
        <w:ind w:left="6320"/>
        <w:spacing w:after="0"/>
        <w:tabs>
          <w:tab w:leader="none" w:pos="680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435610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895"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GasLog Partners LP Reports Financial Results for the Three-Month Period Ended June 30, 2025</w:t>
      </w:r>
    </w:p>
    <w:p>
      <w:pPr>
        <w:spacing w:after="0" w:line="221" w:lineRule="exact"/>
        <w:rPr>
          <w:sz w:val="20"/>
          <w:szCs w:val="20"/>
          <w:color w:val="auto"/>
        </w:rPr>
      </w:pPr>
    </w:p>
    <w:p>
      <w:pPr>
        <w:ind w:right="360"/>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Majuro, Marshall Islands, July 25, 2025, GasLog Partners LP (“GasLog Partners” or the “Partnership”) (NYSE: GLOP-PA, GLOP-PB, GLOP-PC), </w:t>
      </w:r>
      <w:r>
        <w:rPr>
          <w:rFonts w:ascii="Times New Roman" w:cs="Times New Roman" w:eastAsia="Times New Roman" w:hAnsi="Times New Roman"/>
          <w:sz w:val="16"/>
          <w:szCs w:val="16"/>
          <w:color w:val="auto"/>
        </w:rPr>
        <w:t>an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international owner, operator and acquirer of liquefied natural gas (“LNG”) carriers, today reported its financial results for the three-month period ended June 30, 2025.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Sale of Vessel</w:t>
      </w:r>
    </w:p>
    <w:p>
      <w:pPr>
        <w:spacing w:after="0" w:line="2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6"/>
          <w:szCs w:val="16"/>
          <w:color w:val="auto"/>
        </w:rPr>
        <w:t xml:space="preserve">In June 2025, GasLog Partners entered into an agreement to sell, subject to customary and other closing conditions,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a 145,000 cubic meter steam turbine propulsion (“Steam”) LNG carrier built in 2007, to an unrelated third party for a gross sale price of approximately $27.0 million, resulting in the reclassification of the vessel as held for sale and the recognition of an impairment loss of $29.1 million as of June 30, 2025. The sale was completed on July 15,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 xml:space="preserve">Redelivery of the </w:t>
      </w:r>
      <w:r>
        <w:rPr>
          <w:rFonts w:ascii="Times New Roman" w:cs="Times New Roman" w:eastAsia="Times New Roman" w:hAnsi="Times New Roman"/>
          <w:sz w:val="16"/>
          <w:szCs w:val="16"/>
          <w:b w:val="1"/>
          <w:bCs w:val="1"/>
          <w:i w:val="1"/>
          <w:iCs w:val="1"/>
          <w:u w:val="single" w:color="auto"/>
          <w:color w:val="auto"/>
        </w:rPr>
        <w:t>Methane Heather Sally</w:t>
      </w:r>
    </w:p>
    <w:p>
      <w:pPr>
        <w:spacing w:after="0" w:line="223"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 xml:space="preserve">On July 4, 2025,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a 145,000 cubic meter Steam LNG carrier built in 2007, was redelivered to its owners, an unrelated third party, pursuant to the completion of the sale and leaseback agreement entered into on October 31,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Impairment Loss</w:t>
      </w:r>
    </w:p>
    <w:p>
      <w:pPr>
        <w:spacing w:after="0" w:line="221"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6"/>
          <w:szCs w:val="16"/>
          <w:color w:val="auto"/>
        </w:rPr>
        <w:t xml:space="preserve">As of June 30, 2025, the Partnership recognized a non-cash impairment loss of $5.5 million with respect to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a Steam vessel, in accordance with International Financial Reporting Standards. The indications that led to the recognition of a non-cash impairment loss included the sale of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at a price lower than the carrying amount of the vessel together with the current low market rates and the decreased ship brokers’ valuation for the Steam vessels.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GasLog Partners Dividend Declarations</w:t>
      </w:r>
    </w:p>
    <w:p>
      <w:pPr>
        <w:spacing w:after="0" w:line="223" w:lineRule="exact"/>
        <w:rPr>
          <w:sz w:val="20"/>
          <w:szCs w:val="20"/>
          <w:color w:val="auto"/>
        </w:rPr>
      </w:pPr>
    </w:p>
    <w:p>
      <w:pPr>
        <w:jc w:val="both"/>
        <w:ind w:right="120"/>
        <w:spacing w:after="0" w:line="298" w:lineRule="auto"/>
        <w:rPr>
          <w:sz w:val="20"/>
          <w:szCs w:val="20"/>
          <w:color w:val="auto"/>
        </w:rPr>
      </w:pPr>
      <w:r>
        <w:rPr>
          <w:rFonts w:ascii="Times New Roman" w:cs="Times New Roman" w:eastAsia="Times New Roman" w:hAnsi="Times New Roman"/>
          <w:sz w:val="16"/>
          <w:szCs w:val="16"/>
          <w:color w:val="auto"/>
        </w:rPr>
        <w:t>On June 23, 2025, the board of directors of GasLog Partners approved and declared a quarterly cash distribution of $0.87 per common unit to GasLog Ltd. (“GasLog”) that was settled immediately.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July 24, 2025, the board of directors of GasLog Partners approved and declared:</w:t>
      </w:r>
    </w:p>
    <w:p>
      <w:pPr>
        <w:spacing w:after="0" w:line="221" w:lineRule="exact"/>
        <w:rPr>
          <w:sz w:val="20"/>
          <w:szCs w:val="20"/>
          <w:color w:val="auto"/>
        </w:rPr>
      </w:pPr>
    </w:p>
    <w:p>
      <w:pPr>
        <w:ind w:left="340" w:right="360" w:hanging="332"/>
        <w:spacing w:after="0" w:line="269"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distribution on the 8.625% Series A Cumulative Redeemable Perpetual Fixed to Floating Rate Preference Units (“Series A Preference Units”) of $0.5390625 per preference unit (based on the fixed rate),</w:t>
      </w:r>
    </w:p>
    <w:p>
      <w:pPr>
        <w:ind w:left="340" w:right="180" w:hanging="332"/>
        <w:spacing w:after="0" w:line="264"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distribution on the 8.200% Series B Cumulative Redeemable Perpetual Fixed to Floating Rate Preference Units (“Series B Preference Units”) of $0.665121 per preference unit (based on a floating rate equal to the Term Secured Overnight Financing Rate (“SOFR”) for a three-month tenor published by the Chicago Mercantile Exchange (“CME”) of 4.30998% plus 0.26161% of Credit Adjustment Spread (“CAS”) and spread of 5.839% per annum) and</w:t>
      </w:r>
    </w:p>
    <w:p>
      <w:pPr>
        <w:ind w:left="340" w:right="80" w:hanging="332"/>
        <w:spacing w:after="0" w:line="276" w:lineRule="auto"/>
        <w:tabs>
          <w:tab w:leader="none" w:pos="3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distribution on the 8.500% Series C Cumulative Redeemable Perpetual Fixed to Floating Rate Preference Units (“Series C Preference Units”) of $0.631771 per preference unit (based on a floating rate equal to the three-month Term SOFR as published by the CME of 4.30998% plus 0.26161% of CAS and spread of 5.317% per annum).</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cash distributions are payable on September 15, 2025 to all unitholders of record as of September 8, 2025.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0"/>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Quarterly Financial Results</w:t>
            </w:r>
          </w:p>
        </w:tc>
        <w:tc>
          <w:tcPr>
            <w:tcW w:w="6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8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 of U.S. dollars</w:t>
            </w:r>
          </w:p>
        </w:tc>
        <w:tc>
          <w:tcPr>
            <w:tcW w:w="120" w:type="dxa"/>
            <w:vAlign w:val="bottom"/>
          </w:tcPr>
          <w:p>
            <w:pPr>
              <w:spacing w:after="0"/>
              <w:rPr>
                <w:sz w:val="24"/>
                <w:szCs w:val="24"/>
                <w:color w:val="auto"/>
              </w:rPr>
            </w:pPr>
          </w:p>
        </w:tc>
        <w:tc>
          <w:tcPr>
            <w:tcW w:w="22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19"/>
        </w:trPr>
        <w:tc>
          <w:tcPr>
            <w:tcW w:w="194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June 30, 2025</w:t>
            </w:r>
          </w:p>
        </w:tc>
      </w:tr>
      <w:tr>
        <w:trPr>
          <w:trHeight w:val="199"/>
        </w:trPr>
        <w:tc>
          <w:tcPr>
            <w:tcW w:w="8900" w:type="dxa"/>
            <w:vAlign w:val="bottom"/>
            <w:tcBorders>
              <w:top w:val="single" w:sz="8" w:color="E5FFFF"/>
            </w:tcBorders>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87,273</w:t>
            </w:r>
          </w:p>
        </w:tc>
        <w:tc>
          <w:tcPr>
            <w:tcW w:w="220" w:type="dxa"/>
            <w:vAlign w:val="bottom"/>
            <w:tcBorders>
              <w:top w:val="single" w:sz="8" w:color="E5FFFF"/>
            </w:tcBorders>
            <w:shd w:val="clear" w:color="auto" w:fill="E5FFFF"/>
          </w:tcPr>
          <w:p>
            <w:pPr>
              <w:spacing w:after="0"/>
              <w:rPr>
                <w:sz w:val="17"/>
                <w:szCs w:val="17"/>
                <w:color w:val="auto"/>
              </w:rPr>
            </w:pPr>
          </w:p>
        </w:tc>
        <w:tc>
          <w:tcPr>
            <w:tcW w:w="280" w:type="dxa"/>
            <w:vAlign w:val="bottom"/>
            <w:tcBorders>
              <w:top w:val="single" w:sz="8" w:color="auto"/>
            </w:tcBorders>
            <w:shd w:val="clear" w:color="auto" w:fill="E5FF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70,236</w:t>
            </w:r>
          </w:p>
        </w:tc>
        <w:tc>
          <w:tcPr>
            <w:tcW w:w="100" w:type="dxa"/>
            <w:vAlign w:val="bottom"/>
            <w:tcBorders>
              <w:top w:val="single" w:sz="8" w:color="E5FFFF"/>
            </w:tcBorders>
            <w:shd w:val="clear" w:color="auto" w:fill="E5FFFF"/>
          </w:tcPr>
          <w:p>
            <w:pPr>
              <w:spacing w:after="0"/>
              <w:rPr>
                <w:sz w:val="17"/>
                <w:szCs w:val="17"/>
                <w:color w:val="auto"/>
              </w:rPr>
            </w:pPr>
          </w:p>
        </w:tc>
      </w:tr>
      <w:tr>
        <w:trPr>
          <w:trHeight w:val="210"/>
        </w:trPr>
        <w:tc>
          <w:tcPr>
            <w:tcW w:w="89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Profit/(loss) for the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38,551</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(17,861)</w:t>
            </w:r>
          </w:p>
        </w:tc>
      </w:tr>
    </w:tbl>
    <w:p>
      <w:pPr>
        <w:spacing w:after="0" w:line="181" w:lineRule="exact"/>
        <w:rPr>
          <w:sz w:val="20"/>
          <w:szCs w:val="20"/>
          <w:color w:val="auto"/>
        </w:rPr>
      </w:pPr>
    </w:p>
    <w:p>
      <w:pPr>
        <w:jc w:val="both"/>
        <w:ind w:right="20" w:firstLine="383"/>
        <w:spacing w:after="0" w:line="298" w:lineRule="auto"/>
        <w:rPr>
          <w:sz w:val="20"/>
          <w:szCs w:val="20"/>
          <w:color w:val="auto"/>
        </w:rPr>
      </w:pPr>
      <w:r>
        <w:rPr>
          <w:rFonts w:ascii="Times New Roman" w:cs="Times New Roman" w:eastAsia="Times New Roman" w:hAnsi="Times New Roman"/>
          <w:sz w:val="16"/>
          <w:szCs w:val="16"/>
          <w:color w:val="auto"/>
        </w:rPr>
        <w:t>Revenues were $70.2 million for the quarter ended June 30, 2025 ($87.3 million for the same period in 2024). The decrease of $17.1 million is mainly attributable to the 2024 and 2025 fixtures at lower rates due to the weak market and the 232 idle days in the quarter ended June 30, 2025 (nil idle days for the quarter ended June 30, 2024).</w:t>
      </w:r>
    </w:p>
    <w:p>
      <w:pPr>
        <w:spacing w:after="0" w:line="151" w:lineRule="exact"/>
        <w:rPr>
          <w:sz w:val="20"/>
          <w:szCs w:val="20"/>
          <w:color w:val="auto"/>
        </w:rPr>
      </w:pPr>
    </w:p>
    <w:p>
      <w:pPr>
        <w:ind w:right="140" w:firstLine="383"/>
        <w:spacing w:after="0" w:line="272" w:lineRule="auto"/>
        <w:rPr>
          <w:sz w:val="20"/>
          <w:szCs w:val="20"/>
          <w:color w:val="auto"/>
        </w:rPr>
      </w:pPr>
      <w:r>
        <w:rPr>
          <w:rFonts w:ascii="Times New Roman" w:cs="Times New Roman" w:eastAsia="Times New Roman" w:hAnsi="Times New Roman"/>
          <w:sz w:val="16"/>
          <w:szCs w:val="16"/>
          <w:color w:val="auto"/>
        </w:rPr>
        <w:t xml:space="preserve">Loss was $17.9 million for the quarter ended June 30, 2025 (profit of $38.6 million for the same period in 2024). The decrease in profit of $56.5 million is mainly attributable to a) $29.1 million non-cash impairment loss from the agreement to sale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and $5.5 million relating to the non-cash impairment loss of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b) a decrease of $17.1 million in revenues, as discussed above, c) an increase of $4.0 million in voyage expenses and commissions mainly attributable to an increase in bunkers consumption as a result of the idle days mentioned above and d) an increase of $3.1 million in depreciation, mainly attributable to the increase in depreciation of the right-of-use assets as a result of the </w:t>
      </w:r>
      <w:r>
        <w:rPr>
          <w:rFonts w:ascii="Times New Roman" w:cs="Times New Roman" w:eastAsia="Times New Roman" w:hAnsi="Times New Roman"/>
          <w:sz w:val="16"/>
          <w:szCs w:val="16"/>
          <w:i w:val="1"/>
          <w:iCs w:val="1"/>
          <w:color w:val="auto"/>
        </w:rPr>
        <w:t>GasLog Santiago</w:t>
      </w:r>
      <w:r>
        <w:rPr>
          <w:rFonts w:ascii="Times New Roman" w:cs="Times New Roman" w:eastAsia="Times New Roman" w:hAnsi="Times New Roman"/>
          <w:sz w:val="16"/>
          <w:szCs w:val="16"/>
          <w:color w:val="auto"/>
        </w:rPr>
        <w:t xml:space="preserve"> sale and leaseback completed on August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20" w:type="dxa"/>
            <w:vAlign w:val="bottom"/>
            <w:gridSpan w:val="7"/>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34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0" w:type="dxa"/>
            <w:vAlign w:val="bottom"/>
          </w:tcPr>
          <w:p>
            <w:pPr>
              <w:spacing w:after="0"/>
              <w:rPr>
                <w:sz w:val="1"/>
                <w:szCs w:val="1"/>
                <w:color w:val="auto"/>
              </w:rPr>
            </w:pPr>
          </w:p>
        </w:tc>
      </w:tr>
      <w:tr>
        <w:trPr>
          <w:trHeight w:val="199"/>
        </w:trPr>
        <w:tc>
          <w:tcPr>
            <w:tcW w:w="60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20" w:type="dxa"/>
            <w:vAlign w:val="bottom"/>
            <w:tcBorders>
              <w:top w:val="single" w:sz="8" w:color="E5FFFF"/>
            </w:tcBorders>
            <w:shd w:val="clear" w:color="auto" w:fill="E5FFFF"/>
          </w:tcPr>
          <w:p>
            <w:pPr>
              <w:spacing w:after="0"/>
              <w:rPr>
                <w:sz w:val="17"/>
                <w:szCs w:val="17"/>
                <w:color w:val="auto"/>
              </w:rPr>
            </w:pPr>
          </w:p>
        </w:tc>
        <w:tc>
          <w:tcPr>
            <w:tcW w:w="36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600" w:type="dxa"/>
            <w:vAlign w:val="bottom"/>
            <w:tcBorders>
              <w:top w:val="single" w:sz="8" w:color="auto"/>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180" w:type="dxa"/>
            <w:vAlign w:val="bottom"/>
            <w:tcBorders>
              <w:top w:val="single" w:sz="8" w:color="auto"/>
            </w:tcBorders>
            <w:shd w:val="clear" w:color="auto" w:fill="E5FFFF"/>
          </w:tcPr>
          <w:p>
            <w:pPr>
              <w:spacing w:after="0"/>
              <w:rPr>
                <w:sz w:val="17"/>
                <w:szCs w:val="17"/>
                <w:color w:val="auto"/>
              </w:rPr>
            </w:pPr>
          </w:p>
        </w:tc>
        <w:tc>
          <w:tcPr>
            <w:tcW w:w="540" w:type="dxa"/>
            <w:vAlign w:val="bottom"/>
            <w:tcBorders>
              <w:top w:val="single" w:sz="8" w:color="auto"/>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240" w:type="dxa"/>
            <w:vAlign w:val="bottom"/>
            <w:tcBorders>
              <w:top w:val="single" w:sz="8" w:color="auto"/>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spacing w:after="0"/>
              <w:rPr>
                <w:sz w:val="17"/>
                <w:szCs w:val="17"/>
                <w:color w:val="auto"/>
              </w:rPr>
            </w:pP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0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60" w:type="dxa"/>
            <w:vAlign w:val="bottom"/>
            <w:gridSpan w:val="3"/>
            <w:shd w:val="clear" w:color="auto" w:fill="E5FFFF"/>
          </w:tcPr>
          <w:p>
            <w:pPr>
              <w:jc w:val="right"/>
              <w:ind w:right="239"/>
              <w:spacing w:after="0"/>
              <w:rPr>
                <w:sz w:val="20"/>
                <w:szCs w:val="20"/>
                <w:color w:val="auto"/>
              </w:rPr>
            </w:pPr>
            <w:r>
              <w:rPr>
                <w:rFonts w:ascii="Times New Roman" w:cs="Times New Roman" w:eastAsia="Times New Roman" w:hAnsi="Times New Roman"/>
                <w:sz w:val="16"/>
                <w:szCs w:val="16"/>
                <w:color w:val="auto"/>
              </w:rPr>
              <w:t>1,482</w:t>
            </w: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1,240</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Tangible fixed assets</w:t>
            </w: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1,276,472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1,193,556</w:t>
            </w:r>
          </w:p>
        </w:tc>
        <w:tc>
          <w:tcPr>
            <w:tcW w:w="0" w:type="dxa"/>
            <w:vAlign w:val="bottom"/>
          </w:tcPr>
          <w:p>
            <w:pPr>
              <w:spacing w:after="0"/>
              <w:rPr>
                <w:sz w:val="1"/>
                <w:szCs w:val="1"/>
                <w:color w:val="auto"/>
              </w:rPr>
            </w:pPr>
          </w:p>
        </w:tc>
      </w:tr>
      <w:tr>
        <w:trPr>
          <w:trHeight w:val="216"/>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10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60" w:type="dxa"/>
            <w:vAlign w:val="bottom"/>
            <w:gridSpan w:val="3"/>
            <w:shd w:val="clear" w:color="auto" w:fill="E5FFFF"/>
          </w:tcPr>
          <w:p>
            <w:pPr>
              <w:jc w:val="right"/>
              <w:ind w:right="239"/>
              <w:spacing w:after="0"/>
              <w:rPr>
                <w:sz w:val="20"/>
                <w:szCs w:val="20"/>
                <w:color w:val="auto"/>
              </w:rPr>
            </w:pPr>
            <w:r>
              <w:rPr>
                <w:rFonts w:ascii="Times New Roman" w:cs="Times New Roman" w:eastAsia="Times New Roman" w:hAnsi="Times New Roman"/>
                <w:sz w:val="16"/>
                <w:szCs w:val="16"/>
                <w:color w:val="auto"/>
              </w:rPr>
              <w:t>129,890</w:t>
            </w: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100,282</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020" w:type="dxa"/>
            <w:vAlign w:val="bottom"/>
            <w:tcBorders>
              <w:bottom w:val="single" w:sz="8" w:color="E5FFFF"/>
            </w:tcBorders>
          </w:tcPr>
          <w:p>
            <w:pPr>
              <w:spacing w:after="0"/>
              <w:rPr>
                <w:sz w:val="17"/>
                <w:szCs w:val="17"/>
                <w:color w:val="auto"/>
              </w:rPr>
            </w:pPr>
          </w:p>
        </w:tc>
        <w:tc>
          <w:tcPr>
            <w:tcW w:w="360" w:type="dxa"/>
            <w:vAlign w:val="bottom"/>
            <w:tcBorders>
              <w:bottom w:val="single" w:sz="8" w:color="E5FFFF"/>
            </w:tcBorders>
          </w:tcPr>
          <w:p>
            <w:pPr>
              <w:spacing w:after="0"/>
              <w:rPr>
                <w:sz w:val="17"/>
                <w:szCs w:val="17"/>
                <w:color w:val="auto"/>
              </w:rPr>
            </w:pPr>
          </w:p>
        </w:tc>
        <w:tc>
          <w:tcPr>
            <w:tcW w:w="420" w:type="dxa"/>
            <w:vAlign w:val="bottom"/>
            <w:tcBorders>
              <w:bottom w:val="single" w:sz="8" w:color="E5FF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1,407,844</w:t>
            </w:r>
          </w:p>
        </w:tc>
        <w:tc>
          <w:tcPr>
            <w:tcW w:w="340" w:type="dxa"/>
            <w:vAlign w:val="bottom"/>
            <w:tcBorders>
              <w:bottom w:val="single" w:sz="8" w:color="E5FF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1,295,078</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0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Vessel held for sale</w:t>
            </w: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27,000</w:t>
            </w:r>
          </w:p>
        </w:tc>
        <w:tc>
          <w:tcPr>
            <w:tcW w:w="0" w:type="dxa"/>
            <w:vAlign w:val="bottom"/>
          </w:tcPr>
          <w:p>
            <w:pPr>
              <w:spacing w:after="0"/>
              <w:rPr>
                <w:sz w:val="1"/>
                <w:szCs w:val="1"/>
                <w:color w:val="auto"/>
              </w:rPr>
            </w:pPr>
          </w:p>
        </w:tc>
      </w:tr>
      <w:tr>
        <w:trPr>
          <w:trHeight w:val="203"/>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0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60" w:type="dxa"/>
            <w:vAlign w:val="bottom"/>
            <w:gridSpan w:val="3"/>
            <w:shd w:val="clear" w:color="auto" w:fill="E5FFFF"/>
          </w:tcPr>
          <w:p>
            <w:pPr>
              <w:jc w:val="right"/>
              <w:ind w:right="239"/>
              <w:spacing w:after="0"/>
              <w:rPr>
                <w:sz w:val="20"/>
                <w:szCs w:val="20"/>
                <w:color w:val="auto"/>
              </w:rPr>
            </w:pPr>
            <w:r>
              <w:rPr>
                <w:rFonts w:ascii="Times New Roman" w:cs="Times New Roman" w:eastAsia="Times New Roman" w:hAnsi="Times New Roman"/>
                <w:sz w:val="16"/>
                <w:szCs w:val="16"/>
                <w:color w:val="auto"/>
              </w:rPr>
              <w:t>13,383</w:t>
            </w: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12,314</w:t>
            </w:r>
          </w:p>
        </w:tc>
        <w:tc>
          <w:tcPr>
            <w:tcW w:w="0" w:type="dxa"/>
            <w:vAlign w:val="bottom"/>
          </w:tcPr>
          <w:p>
            <w:pPr>
              <w:spacing w:after="0"/>
              <w:rPr>
                <w:sz w:val="1"/>
                <w:szCs w:val="1"/>
                <w:color w:val="auto"/>
              </w:rPr>
            </w:pPr>
          </w:p>
        </w:tc>
      </w:tr>
      <w:tr>
        <w:trPr>
          <w:trHeight w:val="202"/>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2,725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6,833</w:t>
            </w:r>
          </w:p>
        </w:tc>
        <w:tc>
          <w:tcPr>
            <w:tcW w:w="0" w:type="dxa"/>
            <w:vAlign w:val="bottom"/>
          </w:tcPr>
          <w:p>
            <w:pPr>
              <w:spacing w:after="0"/>
              <w:rPr>
                <w:sz w:val="1"/>
                <w:szCs w:val="1"/>
                <w:color w:val="auto"/>
              </w:rPr>
            </w:pPr>
          </w:p>
        </w:tc>
      </w:tr>
      <w:tr>
        <w:trPr>
          <w:trHeight w:val="203"/>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Due from related parties</w:t>
            </w:r>
          </w:p>
        </w:tc>
        <w:tc>
          <w:tcPr>
            <w:tcW w:w="10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60" w:type="dxa"/>
            <w:vAlign w:val="bottom"/>
            <w:gridSpan w:val="3"/>
            <w:shd w:val="clear" w:color="auto" w:fill="E5FFFF"/>
          </w:tcPr>
          <w:p>
            <w:pPr>
              <w:jc w:val="right"/>
              <w:ind w:right="239"/>
              <w:spacing w:after="0"/>
              <w:rPr>
                <w:sz w:val="20"/>
                <w:szCs w:val="20"/>
                <w:color w:val="auto"/>
              </w:rPr>
            </w:pPr>
            <w:r>
              <w:rPr>
                <w:rFonts w:ascii="Times New Roman" w:cs="Times New Roman" w:eastAsia="Times New Roman" w:hAnsi="Times New Roman"/>
                <w:sz w:val="16"/>
                <w:szCs w:val="16"/>
                <w:color w:val="auto"/>
              </w:rPr>
              <w:t>10,408</w:t>
            </w: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11,014</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3,986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3,344</w:t>
            </w:r>
          </w:p>
        </w:tc>
        <w:tc>
          <w:tcPr>
            <w:tcW w:w="0" w:type="dxa"/>
            <w:vAlign w:val="bottom"/>
          </w:tcPr>
          <w:p>
            <w:pPr>
              <w:spacing w:after="0"/>
              <w:rPr>
                <w:sz w:val="1"/>
                <w:szCs w:val="1"/>
                <w:color w:val="auto"/>
              </w:rPr>
            </w:pPr>
          </w:p>
        </w:tc>
      </w:tr>
      <w:tr>
        <w:trPr>
          <w:trHeight w:val="216"/>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60" w:type="dxa"/>
            <w:vAlign w:val="bottom"/>
            <w:gridSpan w:val="3"/>
            <w:shd w:val="clear" w:color="auto" w:fill="E5FFFF"/>
          </w:tcPr>
          <w:p>
            <w:pPr>
              <w:jc w:val="right"/>
              <w:ind w:right="239"/>
              <w:spacing w:after="0"/>
              <w:rPr>
                <w:sz w:val="20"/>
                <w:szCs w:val="20"/>
                <w:color w:val="auto"/>
              </w:rPr>
            </w:pPr>
            <w:r>
              <w:rPr>
                <w:rFonts w:ascii="Times New Roman" w:cs="Times New Roman" w:eastAsia="Times New Roman" w:hAnsi="Times New Roman"/>
                <w:sz w:val="16"/>
                <w:szCs w:val="16"/>
                <w:color w:val="auto"/>
              </w:rPr>
              <w:t>7,771</w:t>
            </w: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2,299</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020" w:type="dxa"/>
            <w:vAlign w:val="bottom"/>
            <w:tcBorders>
              <w:bottom w:val="single" w:sz="8" w:color="E5FFFF"/>
            </w:tcBorders>
          </w:tcPr>
          <w:p>
            <w:pPr>
              <w:spacing w:after="0"/>
              <w:rPr>
                <w:sz w:val="17"/>
                <w:szCs w:val="17"/>
                <w:color w:val="auto"/>
              </w:rPr>
            </w:pPr>
          </w:p>
        </w:tc>
        <w:tc>
          <w:tcPr>
            <w:tcW w:w="360" w:type="dxa"/>
            <w:vAlign w:val="bottom"/>
            <w:tcBorders>
              <w:bottom w:val="single" w:sz="8" w:color="E5FFFF"/>
            </w:tcBorders>
          </w:tcPr>
          <w:p>
            <w:pPr>
              <w:spacing w:after="0"/>
              <w:rPr>
                <w:sz w:val="17"/>
                <w:szCs w:val="17"/>
                <w:color w:val="auto"/>
              </w:rPr>
            </w:pPr>
          </w:p>
        </w:tc>
        <w:tc>
          <w:tcPr>
            <w:tcW w:w="420" w:type="dxa"/>
            <w:vAlign w:val="bottom"/>
            <w:tcBorders>
              <w:bottom w:val="single" w:sz="8" w:color="E5FF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38,273</w:t>
            </w:r>
          </w:p>
        </w:tc>
        <w:tc>
          <w:tcPr>
            <w:tcW w:w="340" w:type="dxa"/>
            <w:vAlign w:val="bottom"/>
            <w:tcBorders>
              <w:bottom w:val="single" w:sz="8" w:color="E5FF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62,804</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8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20" w:type="dxa"/>
            <w:vAlign w:val="bottom"/>
            <w:tcBorders>
              <w:bottom w:val="single" w:sz="8" w:color="E5FFFF"/>
            </w:tcBorders>
            <w:shd w:val="clear" w:color="auto" w:fill="E5FFFF"/>
          </w:tcPr>
          <w:p>
            <w:pPr>
              <w:spacing w:after="0"/>
              <w:rPr>
                <w:sz w:val="18"/>
                <w:szCs w:val="18"/>
                <w:color w:val="auto"/>
              </w:rPr>
            </w:pPr>
          </w:p>
        </w:tc>
        <w:tc>
          <w:tcPr>
            <w:tcW w:w="360" w:type="dxa"/>
            <w:vAlign w:val="bottom"/>
            <w:tcBorders>
              <w:bottom w:val="single" w:sz="8" w:color="E5FFFF"/>
            </w:tcBorders>
            <w:shd w:val="clear" w:color="auto" w:fill="E5FFFF"/>
          </w:tcPr>
          <w:p>
            <w:pPr>
              <w:spacing w:after="0"/>
              <w:rPr>
                <w:sz w:val="18"/>
                <w:szCs w:val="18"/>
                <w:color w:val="auto"/>
              </w:rPr>
            </w:pPr>
          </w:p>
        </w:tc>
        <w:tc>
          <w:tcPr>
            <w:tcW w:w="420" w:type="dxa"/>
            <w:vAlign w:val="bottom"/>
            <w:tcBorders>
              <w:bottom w:val="single" w:sz="8" w:color="E5FFFF"/>
            </w:tcBorders>
            <w:shd w:val="clear" w:color="auto" w:fill="E5FFFF"/>
          </w:tcPr>
          <w:p>
            <w:pPr>
              <w:spacing w:after="0"/>
              <w:rPr>
                <w:sz w:val="18"/>
                <w:szCs w:val="18"/>
                <w:color w:val="auto"/>
              </w:rPr>
            </w:pPr>
          </w:p>
        </w:tc>
        <w:tc>
          <w:tcPr>
            <w:tcW w:w="600" w:type="dxa"/>
            <w:vAlign w:val="bottom"/>
            <w:tcBorders>
              <w:bottom w:val="single" w:sz="8" w:color="auto"/>
            </w:tcBorders>
            <w:shd w:val="clear" w:color="auto" w:fill="E5FFFF"/>
          </w:tcPr>
          <w:p>
            <w:pPr>
              <w:spacing w:after="0"/>
              <w:rPr>
                <w:sz w:val="18"/>
                <w:szCs w:val="18"/>
                <w:color w:val="auto"/>
              </w:rPr>
            </w:pPr>
          </w:p>
        </w:tc>
        <w:tc>
          <w:tcPr>
            <w:tcW w:w="140" w:type="dxa"/>
            <w:vAlign w:val="bottom"/>
            <w:tcBorders>
              <w:bottom w:val="single" w:sz="8" w:color="auto"/>
            </w:tcBorders>
            <w:shd w:val="clear" w:color="auto" w:fill="E5FFFF"/>
          </w:tcPr>
          <w:p>
            <w:pPr>
              <w:spacing w:after="0"/>
              <w:rPr>
                <w:sz w:val="18"/>
                <w:szCs w:val="18"/>
                <w:color w:val="auto"/>
              </w:rPr>
            </w:pPr>
          </w:p>
        </w:tc>
        <w:tc>
          <w:tcPr>
            <w:tcW w:w="720" w:type="dxa"/>
            <w:vAlign w:val="bottom"/>
            <w:tcBorders>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1,446,117</w:t>
            </w:r>
          </w:p>
        </w:tc>
        <w:tc>
          <w:tcPr>
            <w:tcW w:w="340" w:type="dxa"/>
            <w:vAlign w:val="bottom"/>
            <w:tcBorders>
              <w:bottom w:val="single" w:sz="8" w:color="E5FFFF"/>
            </w:tcBorders>
            <w:shd w:val="clear" w:color="auto" w:fill="E5FFFF"/>
          </w:tcPr>
          <w:p>
            <w:pPr>
              <w:spacing w:after="0"/>
              <w:rPr>
                <w:sz w:val="18"/>
                <w:szCs w:val="18"/>
                <w:color w:val="auto"/>
              </w:rPr>
            </w:pPr>
          </w:p>
        </w:tc>
        <w:tc>
          <w:tcPr>
            <w:tcW w:w="120" w:type="dxa"/>
            <w:vAlign w:val="bottom"/>
            <w:tcBorders>
              <w:bottom w:val="single" w:sz="8" w:color="auto"/>
            </w:tcBorders>
            <w:shd w:val="clear" w:color="auto" w:fill="E5FFFF"/>
          </w:tcPr>
          <w:p>
            <w:pPr>
              <w:spacing w:after="0"/>
              <w:rPr>
                <w:sz w:val="18"/>
                <w:szCs w:val="18"/>
                <w:color w:val="auto"/>
              </w:rPr>
            </w:pPr>
          </w:p>
        </w:tc>
        <w:tc>
          <w:tcPr>
            <w:tcW w:w="100" w:type="dxa"/>
            <w:vAlign w:val="bottom"/>
            <w:tcBorders>
              <w:bottom w:val="single" w:sz="8" w:color="auto"/>
            </w:tcBorders>
            <w:shd w:val="clear" w:color="auto" w:fill="E5FFFF"/>
          </w:tcPr>
          <w:p>
            <w:pPr>
              <w:spacing w:after="0"/>
              <w:rPr>
                <w:sz w:val="18"/>
                <w:szCs w:val="18"/>
                <w:color w:val="auto"/>
              </w:rPr>
            </w:pPr>
          </w:p>
        </w:tc>
        <w:tc>
          <w:tcPr>
            <w:tcW w:w="1240" w:type="dxa"/>
            <w:vAlign w:val="bottom"/>
            <w:tcBorders>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1,357,882</w:t>
            </w:r>
          </w:p>
        </w:tc>
        <w:tc>
          <w:tcPr>
            <w:tcW w:w="10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Partners’ equity and liabilities</w:t>
            </w: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Partners’ equity</w:t>
            </w:r>
          </w:p>
        </w:tc>
        <w:tc>
          <w:tcPr>
            <w:tcW w:w="10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Common unitholders and general partner</w:t>
            </w: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1,016,574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958,345</w:t>
            </w:r>
          </w:p>
        </w:tc>
        <w:tc>
          <w:tcPr>
            <w:tcW w:w="0" w:type="dxa"/>
            <w:vAlign w:val="bottom"/>
          </w:tcPr>
          <w:p>
            <w:pPr>
              <w:spacing w:after="0"/>
              <w:rPr>
                <w:sz w:val="1"/>
                <w:szCs w:val="1"/>
                <w:color w:val="auto"/>
              </w:rPr>
            </w:pPr>
          </w:p>
        </w:tc>
      </w:tr>
      <w:tr>
        <w:trPr>
          <w:trHeight w:val="216"/>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Preference unitholders</w:t>
            </w:r>
          </w:p>
        </w:tc>
        <w:tc>
          <w:tcPr>
            <w:tcW w:w="102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6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060" w:type="dxa"/>
            <w:vAlign w:val="bottom"/>
            <w:gridSpan w:val="3"/>
            <w:shd w:val="clear" w:color="auto" w:fill="E5FFFF"/>
          </w:tcPr>
          <w:p>
            <w:pPr>
              <w:jc w:val="right"/>
              <w:ind w:right="239"/>
              <w:spacing w:after="0"/>
              <w:rPr>
                <w:sz w:val="20"/>
                <w:szCs w:val="20"/>
                <w:color w:val="auto"/>
              </w:rPr>
            </w:pPr>
            <w:r>
              <w:rPr>
                <w:rFonts w:ascii="Times New Roman" w:cs="Times New Roman" w:eastAsia="Times New Roman" w:hAnsi="Times New Roman"/>
                <w:sz w:val="16"/>
                <w:szCs w:val="16"/>
                <w:color w:val="auto"/>
              </w:rPr>
              <w:t>280,129</w:t>
            </w: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280,067</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partners’ equity</w:t>
            </w:r>
          </w:p>
        </w:tc>
        <w:tc>
          <w:tcPr>
            <w:tcW w:w="1020" w:type="dxa"/>
            <w:vAlign w:val="bottom"/>
            <w:tcBorders>
              <w:bottom w:val="single" w:sz="8" w:color="E5FFFF"/>
            </w:tcBorders>
          </w:tcPr>
          <w:p>
            <w:pPr>
              <w:spacing w:after="0"/>
              <w:rPr>
                <w:sz w:val="17"/>
                <w:szCs w:val="17"/>
                <w:color w:val="auto"/>
              </w:rPr>
            </w:pPr>
          </w:p>
        </w:tc>
        <w:tc>
          <w:tcPr>
            <w:tcW w:w="360" w:type="dxa"/>
            <w:vAlign w:val="bottom"/>
            <w:tcBorders>
              <w:bottom w:val="single" w:sz="8" w:color="E5FFFF"/>
            </w:tcBorders>
          </w:tcPr>
          <w:p>
            <w:pPr>
              <w:spacing w:after="0"/>
              <w:rPr>
                <w:sz w:val="17"/>
                <w:szCs w:val="17"/>
                <w:color w:val="auto"/>
              </w:rPr>
            </w:pPr>
          </w:p>
        </w:tc>
        <w:tc>
          <w:tcPr>
            <w:tcW w:w="420" w:type="dxa"/>
            <w:vAlign w:val="bottom"/>
            <w:tcBorders>
              <w:bottom w:val="single" w:sz="8" w:color="E5FFFF"/>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1,296,703</w:t>
            </w:r>
          </w:p>
        </w:tc>
        <w:tc>
          <w:tcPr>
            <w:tcW w:w="340" w:type="dxa"/>
            <w:vAlign w:val="bottom"/>
            <w:tcBorders>
              <w:bottom w:val="single" w:sz="8" w:color="E5FF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1,238,412</w:t>
            </w:r>
          </w:p>
        </w:tc>
        <w:tc>
          <w:tcPr>
            <w:tcW w:w="10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0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5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0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7,733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4,326</w:t>
            </w:r>
          </w:p>
        </w:tc>
        <w:tc>
          <w:tcPr>
            <w:tcW w:w="0" w:type="dxa"/>
            <w:vAlign w:val="bottom"/>
          </w:tcPr>
          <w:p>
            <w:pPr>
              <w:spacing w:after="0"/>
              <w:rPr>
                <w:sz w:val="1"/>
                <w:szCs w:val="1"/>
                <w:color w:val="auto"/>
              </w:rPr>
            </w:pPr>
          </w:p>
        </w:tc>
      </w:tr>
      <w:tr>
        <w:trPr>
          <w:trHeight w:val="203"/>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10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60" w:type="dxa"/>
            <w:vAlign w:val="bottom"/>
            <w:gridSpan w:val="3"/>
            <w:shd w:val="clear" w:color="auto" w:fill="E5FFFF"/>
          </w:tcPr>
          <w:p>
            <w:pPr>
              <w:jc w:val="right"/>
              <w:ind w:right="239"/>
              <w:spacing w:after="0"/>
              <w:rPr>
                <w:sz w:val="20"/>
                <w:szCs w:val="20"/>
                <w:color w:val="auto"/>
              </w:rPr>
            </w:pPr>
            <w:r>
              <w:rPr>
                <w:rFonts w:ascii="Times New Roman" w:cs="Times New Roman" w:eastAsia="Times New Roman" w:hAnsi="Times New Roman"/>
                <w:sz w:val="16"/>
                <w:szCs w:val="16"/>
                <w:color w:val="auto"/>
              </w:rPr>
              <w:t>33,784</w:t>
            </w: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29,832</w:t>
            </w:r>
          </w:p>
        </w:tc>
        <w:tc>
          <w:tcPr>
            <w:tcW w:w="0" w:type="dxa"/>
            <w:vAlign w:val="bottom"/>
          </w:tcPr>
          <w:p>
            <w:pPr>
              <w:spacing w:after="0"/>
              <w:rPr>
                <w:sz w:val="1"/>
                <w:szCs w:val="1"/>
                <w:color w:val="auto"/>
              </w:rPr>
            </w:pPr>
          </w:p>
        </w:tc>
      </w:tr>
      <w:tr>
        <w:trPr>
          <w:trHeight w:val="21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liabilities—current portion</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42,741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40,227</w:t>
            </w:r>
          </w:p>
        </w:tc>
        <w:tc>
          <w:tcPr>
            <w:tcW w:w="0" w:type="dxa"/>
            <w:vAlign w:val="bottom"/>
          </w:tcPr>
          <w:p>
            <w:pPr>
              <w:spacing w:after="0"/>
              <w:rPr>
                <w:sz w:val="1"/>
                <w:szCs w:val="1"/>
                <w:color w:val="auto"/>
              </w:rPr>
            </w:pPr>
          </w:p>
        </w:tc>
      </w:tr>
      <w:tr>
        <w:trPr>
          <w:trHeight w:val="199"/>
        </w:trPr>
        <w:tc>
          <w:tcPr>
            <w:tcW w:w="60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020" w:type="dxa"/>
            <w:vAlign w:val="bottom"/>
            <w:tcBorders>
              <w:top w:val="single" w:sz="8" w:color="E5FFFF"/>
            </w:tcBorders>
            <w:shd w:val="clear" w:color="auto" w:fill="E5FFFF"/>
          </w:tcPr>
          <w:p>
            <w:pPr>
              <w:spacing w:after="0"/>
              <w:rPr>
                <w:sz w:val="17"/>
                <w:szCs w:val="17"/>
                <w:color w:val="auto"/>
              </w:rPr>
            </w:pPr>
          </w:p>
        </w:tc>
        <w:tc>
          <w:tcPr>
            <w:tcW w:w="36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600" w:type="dxa"/>
            <w:vAlign w:val="bottom"/>
            <w:tcBorders>
              <w:top w:val="single" w:sz="8" w:color="auto"/>
              <w:bottom w:val="single" w:sz="8" w:color="auto"/>
            </w:tcBorders>
            <w:shd w:val="clear" w:color="auto" w:fill="E5FFFF"/>
          </w:tcPr>
          <w:p>
            <w:pPr>
              <w:spacing w:after="0"/>
              <w:rPr>
                <w:sz w:val="17"/>
                <w:szCs w:val="17"/>
                <w:color w:val="auto"/>
              </w:rPr>
            </w:pPr>
          </w:p>
        </w:tc>
        <w:tc>
          <w:tcPr>
            <w:tcW w:w="140" w:type="dxa"/>
            <w:vAlign w:val="bottom"/>
            <w:tcBorders>
              <w:top w:val="single" w:sz="8" w:color="auto"/>
              <w:bottom w:val="single" w:sz="8" w:color="auto"/>
            </w:tcBorders>
            <w:shd w:val="clear" w:color="auto" w:fill="E5FF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84,258</w:t>
            </w:r>
          </w:p>
        </w:tc>
        <w:tc>
          <w:tcPr>
            <w:tcW w:w="3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bottom w:val="single" w:sz="8" w:color="auto"/>
            </w:tcBorders>
            <w:shd w:val="clear" w:color="auto" w:fill="E5FFFF"/>
          </w:tcPr>
          <w:p>
            <w:pPr>
              <w:spacing w:after="0"/>
              <w:rPr>
                <w:sz w:val="17"/>
                <w:szCs w:val="17"/>
                <w:color w:val="auto"/>
              </w:rPr>
            </w:pPr>
          </w:p>
        </w:tc>
        <w:tc>
          <w:tcPr>
            <w:tcW w:w="100" w:type="dxa"/>
            <w:vAlign w:val="bottom"/>
            <w:tcBorders>
              <w:top w:val="single" w:sz="8" w:color="auto"/>
              <w:bottom w:val="single" w:sz="8" w:color="auto"/>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74,385</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Lease liabilities—non-current portion</w:t>
            </w:r>
          </w:p>
        </w:tc>
        <w:tc>
          <w:tcPr>
            <w:tcW w:w="1020" w:type="dxa"/>
            <w:vAlign w:val="bottom"/>
            <w:shd w:val="clear" w:color="auto" w:fill="E5FFFF"/>
          </w:tcPr>
          <w:p>
            <w:pPr>
              <w:spacing w:after="0"/>
              <w:rPr>
                <w:sz w:val="17"/>
                <w:szCs w:val="17"/>
                <w:color w:val="auto"/>
              </w:rPr>
            </w:pPr>
          </w:p>
        </w:tc>
        <w:tc>
          <w:tcPr>
            <w:tcW w:w="360" w:type="dxa"/>
            <w:vAlign w:val="bottom"/>
            <w:shd w:val="clear" w:color="auto" w:fill="E5FFFF"/>
          </w:tcPr>
          <w:p>
            <w:pPr>
              <w:spacing w:after="0"/>
              <w:rPr>
                <w:sz w:val="17"/>
                <w:szCs w:val="17"/>
                <w:color w:val="auto"/>
              </w:rPr>
            </w:pPr>
          </w:p>
        </w:tc>
        <w:tc>
          <w:tcPr>
            <w:tcW w:w="4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060" w:type="dxa"/>
            <w:vAlign w:val="bottom"/>
            <w:gridSpan w:val="3"/>
            <w:shd w:val="clear" w:color="auto" w:fill="E5FFFF"/>
          </w:tcPr>
          <w:p>
            <w:pPr>
              <w:jc w:val="right"/>
              <w:ind w:right="239"/>
              <w:spacing w:after="0"/>
              <w:rPr>
                <w:sz w:val="20"/>
                <w:szCs w:val="20"/>
                <w:color w:val="auto"/>
              </w:rPr>
            </w:pPr>
            <w:r>
              <w:rPr>
                <w:rFonts w:ascii="Times New Roman" w:cs="Times New Roman" w:eastAsia="Times New Roman" w:hAnsi="Times New Roman"/>
                <w:sz w:val="16"/>
                <w:szCs w:val="16"/>
                <w:color w:val="auto"/>
              </w:rPr>
              <w:t>64,852</w:t>
            </w: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3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44,828</w:t>
            </w:r>
          </w:p>
        </w:tc>
        <w:tc>
          <w:tcPr>
            <w:tcW w:w="0" w:type="dxa"/>
            <w:vAlign w:val="bottom"/>
          </w:tcPr>
          <w:p>
            <w:pPr>
              <w:spacing w:after="0"/>
              <w:rPr>
                <w:sz w:val="1"/>
                <w:szCs w:val="1"/>
                <w:color w:val="auto"/>
              </w:rPr>
            </w:pPr>
          </w:p>
        </w:tc>
      </w:tr>
      <w:tr>
        <w:trPr>
          <w:trHeight w:val="21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199"/>
        </w:trPr>
        <w:tc>
          <w:tcPr>
            <w:tcW w:w="60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020" w:type="dxa"/>
            <w:vAlign w:val="bottom"/>
            <w:tcBorders>
              <w:top w:val="single" w:sz="8" w:color="E5FFFF"/>
            </w:tcBorders>
            <w:shd w:val="clear" w:color="auto" w:fill="E5FFFF"/>
          </w:tcPr>
          <w:p>
            <w:pPr>
              <w:spacing w:after="0"/>
              <w:rPr>
                <w:sz w:val="17"/>
                <w:szCs w:val="17"/>
                <w:color w:val="auto"/>
              </w:rPr>
            </w:pPr>
          </w:p>
        </w:tc>
        <w:tc>
          <w:tcPr>
            <w:tcW w:w="360" w:type="dxa"/>
            <w:vAlign w:val="bottom"/>
            <w:tcBorders>
              <w:top w:val="single" w:sz="8" w:color="E5FFFF"/>
            </w:tcBorders>
            <w:shd w:val="clear" w:color="auto" w:fill="E5FFFF"/>
          </w:tcPr>
          <w:p>
            <w:pPr>
              <w:spacing w:after="0"/>
              <w:rPr>
                <w:sz w:val="17"/>
                <w:szCs w:val="17"/>
                <w:color w:val="auto"/>
              </w:rPr>
            </w:pPr>
          </w:p>
        </w:tc>
        <w:tc>
          <w:tcPr>
            <w:tcW w:w="420" w:type="dxa"/>
            <w:vAlign w:val="bottom"/>
            <w:tcBorders>
              <w:top w:val="single" w:sz="8" w:color="E5FFFF"/>
            </w:tcBorders>
            <w:shd w:val="clear" w:color="auto" w:fill="E5FFFF"/>
          </w:tcPr>
          <w:p>
            <w:pPr>
              <w:spacing w:after="0"/>
              <w:rPr>
                <w:sz w:val="17"/>
                <w:szCs w:val="17"/>
                <w:color w:val="auto"/>
              </w:rPr>
            </w:pPr>
          </w:p>
        </w:tc>
        <w:tc>
          <w:tcPr>
            <w:tcW w:w="600" w:type="dxa"/>
            <w:vAlign w:val="bottom"/>
            <w:tcBorders>
              <w:top w:val="single" w:sz="8" w:color="auto"/>
              <w:bottom w:val="single" w:sz="8" w:color="auto"/>
            </w:tcBorders>
            <w:shd w:val="clear" w:color="auto" w:fill="E5FFFF"/>
          </w:tcPr>
          <w:p>
            <w:pPr>
              <w:spacing w:after="0"/>
              <w:rPr>
                <w:sz w:val="17"/>
                <w:szCs w:val="17"/>
                <w:color w:val="auto"/>
              </w:rPr>
            </w:pPr>
          </w:p>
        </w:tc>
        <w:tc>
          <w:tcPr>
            <w:tcW w:w="140" w:type="dxa"/>
            <w:vAlign w:val="bottom"/>
            <w:tcBorders>
              <w:top w:val="single" w:sz="8" w:color="auto"/>
              <w:bottom w:val="single" w:sz="8" w:color="auto"/>
            </w:tcBorders>
            <w:shd w:val="clear" w:color="auto" w:fill="E5FF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65,156</w:t>
            </w:r>
          </w:p>
        </w:tc>
        <w:tc>
          <w:tcPr>
            <w:tcW w:w="34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bottom w:val="single" w:sz="8" w:color="auto"/>
            </w:tcBorders>
            <w:shd w:val="clear" w:color="auto" w:fill="E5FFFF"/>
          </w:tcPr>
          <w:p>
            <w:pPr>
              <w:spacing w:after="0"/>
              <w:rPr>
                <w:sz w:val="17"/>
                <w:szCs w:val="17"/>
                <w:color w:val="auto"/>
              </w:rPr>
            </w:pPr>
          </w:p>
        </w:tc>
        <w:tc>
          <w:tcPr>
            <w:tcW w:w="100" w:type="dxa"/>
            <w:vAlign w:val="bottom"/>
            <w:tcBorders>
              <w:top w:val="single" w:sz="8" w:color="auto"/>
              <w:bottom w:val="single" w:sz="8" w:color="auto"/>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45,085</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partners’ equity and liabilities</w:t>
            </w: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1,446,117</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1,357,882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profit or loss</w:t>
            </w: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608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(All amounts expressed in thousands of U.S. Dollars)</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6080" w:type="dxa"/>
            <w:vAlign w:val="bottom"/>
          </w:tcPr>
          <w:p>
            <w:pPr>
              <w:spacing w:after="0"/>
              <w:rPr>
                <w:sz w:val="24"/>
                <w:szCs w:val="24"/>
                <w:color w:val="auto"/>
              </w:rPr>
            </w:pPr>
          </w:p>
        </w:tc>
        <w:tc>
          <w:tcPr>
            <w:tcW w:w="2540" w:type="dxa"/>
            <w:vAlign w:val="bottom"/>
            <w:gridSpan w:val="5"/>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180" w:type="dxa"/>
            <w:vAlign w:val="bottom"/>
          </w:tcPr>
          <w:p>
            <w:pPr>
              <w:spacing w:after="0"/>
              <w:rPr>
                <w:sz w:val="24"/>
                <w:szCs w:val="24"/>
                <w:color w:val="auto"/>
              </w:rPr>
            </w:pPr>
          </w:p>
        </w:tc>
        <w:tc>
          <w:tcPr>
            <w:tcW w:w="2440" w:type="dxa"/>
            <w:vAlign w:val="bottom"/>
            <w:gridSpan w:val="7"/>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0" w:type="dxa"/>
            <w:vAlign w:val="bottom"/>
          </w:tcPr>
          <w:p>
            <w:pPr>
              <w:spacing w:after="0"/>
              <w:rPr>
                <w:sz w:val="1"/>
                <w:szCs w:val="1"/>
                <w:color w:val="auto"/>
              </w:rPr>
            </w:pPr>
          </w:p>
        </w:tc>
      </w:tr>
      <w:tr>
        <w:trPr>
          <w:trHeight w:val="219"/>
        </w:trPr>
        <w:tc>
          <w:tcPr>
            <w:tcW w:w="6080" w:type="dxa"/>
            <w:vAlign w:val="bottom"/>
          </w:tcPr>
          <w:p>
            <w:pPr>
              <w:spacing w:after="0"/>
              <w:rPr>
                <w:sz w:val="19"/>
                <w:szCs w:val="19"/>
                <w:color w:val="auto"/>
              </w:rPr>
            </w:pPr>
          </w:p>
        </w:tc>
        <w:tc>
          <w:tcPr>
            <w:tcW w:w="138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1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9"/>
                <w:szCs w:val="19"/>
                <w:color w:val="auto"/>
              </w:rPr>
            </w:pPr>
          </w:p>
        </w:tc>
        <w:tc>
          <w:tcPr>
            <w:tcW w:w="110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0" w:type="dxa"/>
            <w:vAlign w:val="bottom"/>
          </w:tcPr>
          <w:p>
            <w:pPr>
              <w:spacing w:after="0"/>
              <w:rPr>
                <w:sz w:val="1"/>
                <w:szCs w:val="1"/>
                <w:color w:val="auto"/>
              </w:rPr>
            </w:pPr>
          </w:p>
        </w:tc>
      </w:tr>
      <w:tr>
        <w:trPr>
          <w:trHeight w:val="199"/>
        </w:trPr>
        <w:tc>
          <w:tcPr>
            <w:tcW w:w="60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0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87,273</w:t>
            </w:r>
          </w:p>
        </w:tc>
        <w:tc>
          <w:tcPr>
            <w:tcW w:w="36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70,236</w:t>
            </w:r>
          </w:p>
        </w:tc>
        <w:tc>
          <w:tcPr>
            <w:tcW w:w="140" w:type="dxa"/>
            <w:vAlign w:val="bottom"/>
            <w:tcBorders>
              <w:top w:val="single" w:sz="8" w:color="E5FFFF"/>
            </w:tcBorders>
            <w:shd w:val="clear" w:color="auto" w:fill="E5FFFF"/>
          </w:tcPr>
          <w:p>
            <w:pPr>
              <w:spacing w:after="0"/>
              <w:rPr>
                <w:sz w:val="17"/>
                <w:szCs w:val="17"/>
                <w:color w:val="auto"/>
              </w:rPr>
            </w:pPr>
          </w:p>
        </w:tc>
        <w:tc>
          <w:tcPr>
            <w:tcW w:w="180" w:type="dxa"/>
            <w:vAlign w:val="bottom"/>
            <w:tcBorders>
              <w:top w:val="single" w:sz="8" w:color="E5FFFF"/>
            </w:tcBorders>
            <w:shd w:val="clear" w:color="auto" w:fill="E5FFFF"/>
          </w:tcPr>
          <w:p>
            <w:pPr>
              <w:spacing w:after="0"/>
              <w:rPr>
                <w:sz w:val="17"/>
                <w:szCs w:val="17"/>
                <w:color w:val="auto"/>
              </w:rPr>
            </w:pPr>
          </w:p>
        </w:tc>
        <w:tc>
          <w:tcPr>
            <w:tcW w:w="1000" w:type="dxa"/>
            <w:vAlign w:val="bottom"/>
            <w:tcBorders>
              <w:top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185,367</w:t>
            </w:r>
          </w:p>
        </w:tc>
        <w:tc>
          <w:tcPr>
            <w:tcW w:w="10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150,508</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13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(1,068)</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(10,251)</w:t>
            </w:r>
          </w:p>
        </w:tc>
        <w:tc>
          <w:tcPr>
            <w:tcW w:w="0" w:type="dxa"/>
            <w:vAlign w:val="bottom"/>
          </w:tcPr>
          <w:p>
            <w:pPr>
              <w:spacing w:after="0"/>
              <w:rPr>
                <w:sz w:val="1"/>
                <w:szCs w:val="1"/>
                <w:color w:val="auto"/>
              </w:rPr>
            </w:pPr>
          </w:p>
        </w:tc>
      </w:tr>
      <w:tr>
        <w:trPr>
          <w:trHeight w:val="203"/>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Vessel operating costs</w:t>
            </w:r>
          </w:p>
        </w:tc>
        <w:tc>
          <w:tcPr>
            <w:tcW w:w="1380" w:type="dxa"/>
            <w:vAlign w:val="bottom"/>
            <w:gridSpan w:val="2"/>
            <w:shd w:val="clear" w:color="auto" w:fill="E5FFFF"/>
          </w:tcPr>
          <w:p>
            <w:pPr>
              <w:jc w:val="right"/>
              <w:ind w:right="219"/>
              <w:spacing w:after="0"/>
              <w:rPr>
                <w:sz w:val="20"/>
                <w:szCs w:val="20"/>
                <w:color w:val="auto"/>
              </w:rPr>
            </w:pPr>
            <w:r>
              <w:rPr>
                <w:rFonts w:ascii="Times New Roman" w:cs="Times New Roman" w:eastAsia="Times New Roman" w:hAnsi="Times New Roman"/>
                <w:sz w:val="16"/>
                <w:szCs w:val="16"/>
                <w:color w:val="auto"/>
              </w:rPr>
              <w:t>(17,506)</w:t>
            </w:r>
          </w:p>
        </w:tc>
        <w:tc>
          <w:tcPr>
            <w:tcW w:w="11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(15,694)</w:t>
            </w:r>
          </w:p>
        </w:tc>
        <w:tc>
          <w:tcPr>
            <w:tcW w:w="1280" w:type="dxa"/>
            <w:vAlign w:val="bottom"/>
            <w:gridSpan w:val="5"/>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(33,294)</w:t>
            </w:r>
          </w:p>
        </w:tc>
        <w:tc>
          <w:tcPr>
            <w:tcW w:w="134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(31,874)</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38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(25,196)</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(28,322)</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(50,366)</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(56,242)</w:t>
            </w:r>
          </w:p>
        </w:tc>
        <w:tc>
          <w:tcPr>
            <w:tcW w:w="0" w:type="dxa"/>
            <w:vAlign w:val="bottom"/>
          </w:tcPr>
          <w:p>
            <w:pPr>
              <w:spacing w:after="0"/>
              <w:rPr>
                <w:sz w:val="1"/>
                <w:szCs w:val="1"/>
                <w:color w:val="auto"/>
              </w:rPr>
            </w:pPr>
          </w:p>
        </w:tc>
      </w:tr>
      <w:tr>
        <w:trPr>
          <w:trHeight w:val="203"/>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80" w:type="dxa"/>
            <w:vAlign w:val="bottom"/>
            <w:gridSpan w:val="2"/>
            <w:shd w:val="clear" w:color="auto" w:fill="E5FFFF"/>
          </w:tcPr>
          <w:p>
            <w:pPr>
              <w:jc w:val="right"/>
              <w:ind w:right="219"/>
              <w:spacing w:after="0"/>
              <w:rPr>
                <w:sz w:val="20"/>
                <w:szCs w:val="20"/>
                <w:color w:val="auto"/>
              </w:rPr>
            </w:pPr>
            <w:r>
              <w:rPr>
                <w:rFonts w:ascii="Times New Roman" w:cs="Times New Roman" w:eastAsia="Times New Roman" w:hAnsi="Times New Roman"/>
                <w:sz w:val="16"/>
                <w:szCs w:val="16"/>
                <w:color w:val="auto"/>
              </w:rPr>
              <w:t>(4,051)</w:t>
            </w:r>
          </w:p>
        </w:tc>
        <w:tc>
          <w:tcPr>
            <w:tcW w:w="116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1280" w:type="dxa"/>
            <w:vAlign w:val="bottom"/>
            <w:gridSpan w:val="5"/>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(8,441)</w:t>
            </w:r>
          </w:p>
        </w:tc>
        <w:tc>
          <w:tcPr>
            <w:tcW w:w="134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(6,880)</w:t>
            </w:r>
          </w:p>
        </w:tc>
        <w:tc>
          <w:tcPr>
            <w:tcW w:w="0" w:type="dxa"/>
            <w:vAlign w:val="bottom"/>
          </w:tcPr>
          <w:p>
            <w:pPr>
              <w:spacing w:after="0"/>
              <w:rPr>
                <w:sz w:val="1"/>
                <w:szCs w:val="1"/>
                <w:color w:val="auto"/>
              </w:rPr>
            </w:pPr>
          </w:p>
        </w:tc>
      </w:tr>
      <w:tr>
        <w:trPr>
          <w:trHeight w:val="213"/>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13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(34,612)</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(34,612)</w:t>
            </w:r>
          </w:p>
        </w:tc>
        <w:tc>
          <w:tcPr>
            <w:tcW w:w="0" w:type="dxa"/>
            <w:vAlign w:val="bottom"/>
          </w:tcPr>
          <w:p>
            <w:pPr>
              <w:spacing w:after="0"/>
              <w:rPr>
                <w:sz w:val="1"/>
                <w:szCs w:val="1"/>
                <w:color w:val="auto"/>
              </w:rPr>
            </w:pPr>
          </w:p>
        </w:tc>
      </w:tr>
      <w:tr>
        <w:trPr>
          <w:trHeight w:val="199"/>
        </w:trPr>
        <w:tc>
          <w:tcPr>
            <w:tcW w:w="60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Profit/(loss) from operations</w:t>
            </w:r>
          </w:p>
        </w:tc>
        <w:tc>
          <w:tcPr>
            <w:tcW w:w="10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39,452</w:t>
            </w:r>
          </w:p>
        </w:tc>
        <w:tc>
          <w:tcPr>
            <w:tcW w:w="360" w:type="dxa"/>
            <w:vAlign w:val="bottom"/>
            <w:tcBorders>
              <w:top w:val="single" w:sz="8" w:color="E5FFFF"/>
            </w:tcBorders>
            <w:shd w:val="clear" w:color="auto" w:fill="E5FFFF"/>
          </w:tcPr>
          <w:p>
            <w:pPr>
              <w:spacing w:after="0"/>
              <w:rPr>
                <w:sz w:val="17"/>
                <w:szCs w:val="17"/>
                <w:color w:val="auto"/>
              </w:rPr>
            </w:pPr>
          </w:p>
        </w:tc>
        <w:tc>
          <w:tcPr>
            <w:tcW w:w="102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(16,576</w:t>
            </w:r>
          </w:p>
        </w:tc>
        <w:tc>
          <w:tcPr>
            <w:tcW w:w="140" w:type="dxa"/>
            <w:vAlign w:val="bottom"/>
            <w:tcBorders>
              <w:top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E5FFFF"/>
            </w:tcBorders>
            <w:shd w:val="clear" w:color="auto" w:fill="E5FFFF"/>
          </w:tcPr>
          <w:p>
            <w:pPr>
              <w:spacing w:after="0"/>
              <w:rPr>
                <w:sz w:val="17"/>
                <w:szCs w:val="17"/>
                <w:color w:val="auto"/>
              </w:rPr>
            </w:pPr>
          </w:p>
        </w:tc>
        <w:tc>
          <w:tcPr>
            <w:tcW w:w="1000" w:type="dxa"/>
            <w:vAlign w:val="bottom"/>
            <w:tcBorders>
              <w:top w:val="single" w:sz="8" w:color="auto"/>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90,341</w:t>
            </w:r>
          </w:p>
        </w:tc>
        <w:tc>
          <w:tcPr>
            <w:tcW w:w="10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0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10,649</w:t>
            </w:r>
          </w:p>
        </w:tc>
        <w:tc>
          <w:tcPr>
            <w:tcW w:w="10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80" w:type="dxa"/>
            <w:vAlign w:val="bottom"/>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3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380" w:type="dxa"/>
            <w:vAlign w:val="bottom"/>
            <w:gridSpan w:val="2"/>
            <w:shd w:val="clear" w:color="auto" w:fill="E5FFFF"/>
          </w:tcPr>
          <w:p>
            <w:pPr>
              <w:jc w:val="right"/>
              <w:ind w:right="279"/>
              <w:spacing w:after="0"/>
              <w:rPr>
                <w:sz w:val="20"/>
                <w:szCs w:val="20"/>
                <w:color w:val="auto"/>
              </w:rPr>
            </w:pPr>
            <w:r>
              <w:rPr>
                <w:rFonts w:ascii="Times New Roman" w:cs="Times New Roman" w:eastAsia="Times New Roman" w:hAnsi="Times New Roman"/>
                <w:sz w:val="16"/>
                <w:szCs w:val="16"/>
                <w:color w:val="auto"/>
              </w:rPr>
              <w:t>46</w:t>
            </w:r>
          </w:p>
        </w:tc>
        <w:tc>
          <w:tcPr>
            <w:tcW w:w="1160" w:type="dxa"/>
            <w:vAlign w:val="bottom"/>
            <w:gridSpan w:val="3"/>
            <w:shd w:val="clear" w:color="auto" w:fill="E5FFFF"/>
          </w:tcPr>
          <w:p>
            <w:pPr>
              <w:jc w:val="right"/>
              <w:ind w:right="59"/>
              <w:spacing w:after="0"/>
              <w:rPr>
                <w:sz w:val="20"/>
                <w:szCs w:val="20"/>
                <w:color w:val="auto"/>
              </w:rPr>
            </w:pPr>
            <w:r>
              <w:rPr>
                <w:rFonts w:ascii="Times New Roman" w:cs="Times New Roman" w:eastAsia="Times New Roman" w:hAnsi="Times New Roman"/>
                <w:sz w:val="16"/>
                <w:szCs w:val="16"/>
                <w:color w:val="auto"/>
              </w:rPr>
              <w:t>35</w:t>
            </w:r>
          </w:p>
        </w:tc>
        <w:tc>
          <w:tcPr>
            <w:tcW w:w="1280" w:type="dxa"/>
            <w:vAlign w:val="bottom"/>
            <w:gridSpan w:val="5"/>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123</w:t>
            </w:r>
          </w:p>
        </w:tc>
        <w:tc>
          <w:tcPr>
            <w:tcW w:w="13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196"/>
        </w:trPr>
        <w:tc>
          <w:tcPr>
            <w:tcW w:w="60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(901</w:t>
            </w:r>
          </w:p>
        </w:tc>
        <w:tc>
          <w:tcPr>
            <w:tcW w:w="360" w:type="dxa"/>
            <w:vAlign w:val="bottom"/>
            <w:tcBorders>
              <w:bottom w:val="single" w:sz="8" w:color="E5FFFF"/>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(1,285</w:t>
            </w:r>
          </w:p>
        </w:tc>
        <w:tc>
          <w:tcPr>
            <w:tcW w:w="140" w:type="dxa"/>
            <w:vAlign w:val="bottom"/>
            <w:tcBorders>
              <w:bottom w:val="single" w:sz="8" w:color="E5FF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bottom w:val="single" w:sz="8" w:color="E5FFFF"/>
            </w:tcBorders>
          </w:tcPr>
          <w:p>
            <w:pPr>
              <w:spacing w:after="0"/>
              <w:rPr>
                <w:sz w:val="17"/>
                <w:szCs w:val="17"/>
                <w:color w:val="auto"/>
              </w:rPr>
            </w:pP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(1,838</w:t>
            </w:r>
          </w:p>
        </w:tc>
        <w:tc>
          <w:tcPr>
            <w:tcW w:w="100" w:type="dxa"/>
            <w:vAlign w:val="bottom"/>
            <w:tcBorders>
              <w:bottom w:val="single" w:sz="8" w:color="E5FF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bottom w:val="single" w:sz="8" w:color="E5FF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(2,721</w:t>
            </w:r>
          </w:p>
        </w:tc>
        <w:tc>
          <w:tcPr>
            <w:tcW w:w="100" w:type="dxa"/>
            <w:vAlign w:val="bottom"/>
            <w:tcBorders>
              <w:bottom w:val="single" w:sz="8" w:color="E5FFFF"/>
            </w:tcBorders>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8"/>
        </w:trPr>
        <w:tc>
          <w:tcPr>
            <w:tcW w:w="608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Profit/(loss) for the period</w:t>
            </w:r>
          </w:p>
        </w:tc>
        <w:tc>
          <w:tcPr>
            <w:tcW w:w="10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38,551</w:t>
            </w:r>
          </w:p>
        </w:tc>
        <w:tc>
          <w:tcPr>
            <w:tcW w:w="360" w:type="dxa"/>
            <w:vAlign w:val="bottom"/>
            <w:tcBorders>
              <w:bottom w:val="single" w:sz="8" w:color="E5FFFF"/>
            </w:tcBorders>
            <w:shd w:val="clear" w:color="auto" w:fill="E5FFFF"/>
          </w:tcPr>
          <w:p>
            <w:pPr>
              <w:spacing w:after="0"/>
              <w:rPr>
                <w:sz w:val="18"/>
                <w:szCs w:val="18"/>
                <w:color w:val="auto"/>
              </w:rPr>
            </w:pPr>
          </w:p>
        </w:tc>
        <w:tc>
          <w:tcPr>
            <w:tcW w:w="1020" w:type="dxa"/>
            <w:vAlign w:val="bottom"/>
            <w:tcBorders>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(17,861</w:t>
            </w:r>
          </w:p>
        </w:tc>
        <w:tc>
          <w:tcPr>
            <w:tcW w:w="140" w:type="dxa"/>
            <w:vAlign w:val="bottom"/>
            <w:tcBorders>
              <w:bottom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bottom w:val="single" w:sz="8" w:color="E5FFFF"/>
            </w:tcBorders>
            <w:shd w:val="clear" w:color="auto" w:fill="E5FFFF"/>
          </w:tcPr>
          <w:p>
            <w:pPr>
              <w:spacing w:after="0"/>
              <w:rPr>
                <w:sz w:val="18"/>
                <w:szCs w:val="18"/>
                <w:color w:val="auto"/>
              </w:rPr>
            </w:pPr>
          </w:p>
        </w:tc>
        <w:tc>
          <w:tcPr>
            <w:tcW w:w="1000" w:type="dxa"/>
            <w:vAlign w:val="bottom"/>
            <w:tcBorders>
              <w:bottom w:val="single" w:sz="8" w:color="auto"/>
            </w:tcBorders>
            <w:gridSpan w:val="3"/>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88,503</w:t>
            </w:r>
          </w:p>
        </w:tc>
        <w:tc>
          <w:tcPr>
            <w:tcW w:w="100" w:type="dxa"/>
            <w:vAlign w:val="bottom"/>
            <w:tcBorders>
              <w:bottom w:val="single" w:sz="8" w:color="E5FFFF"/>
            </w:tcBorders>
            <w:shd w:val="clear" w:color="auto" w:fill="E5FFFF"/>
          </w:tcPr>
          <w:p>
            <w:pPr>
              <w:spacing w:after="0"/>
              <w:rPr>
                <w:sz w:val="18"/>
                <w:szCs w:val="18"/>
                <w:color w:val="auto"/>
              </w:rPr>
            </w:pPr>
          </w:p>
        </w:tc>
        <w:tc>
          <w:tcPr>
            <w:tcW w:w="240" w:type="dxa"/>
            <w:vAlign w:val="bottom"/>
            <w:tcBorders>
              <w:bottom w:val="single" w:sz="8" w:color="E5FFFF"/>
            </w:tcBorders>
            <w:shd w:val="clear" w:color="auto" w:fill="E5FFFF"/>
          </w:tcPr>
          <w:p>
            <w:pPr>
              <w:spacing w:after="0"/>
              <w:rPr>
                <w:sz w:val="18"/>
                <w:szCs w:val="18"/>
                <w:color w:val="auto"/>
              </w:rPr>
            </w:pPr>
          </w:p>
        </w:tc>
        <w:tc>
          <w:tcPr>
            <w:tcW w:w="10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7,928</w:t>
            </w:r>
          </w:p>
        </w:tc>
        <w:tc>
          <w:tcPr>
            <w:tcW w:w="10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60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2025-07-25T05:10:02Z</dcterms:created>
  <dcterms:modified xsi:type="dcterms:W3CDTF">2025-07-25T05:10:02Z</dcterms:modified>
</cp:coreProperties>
</file>