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40"/>
        <w:spacing w:after="0" w:line="25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month of October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Commission File Number 001-36433</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GasLog Partners LP</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 GasLog Monaco S.A.M.</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Gildo Pastor Center</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7 Rue du Gabian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MC 98000, Monaco</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spacing w:after="0"/>
        <w:tabs>
          <w:tab w:leader="none" w:pos="116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7"/>
          <w:szCs w:val="17"/>
          <w:color w:val="auto"/>
        </w:rPr>
        <w:t>Form 40-F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ind w:right="100" w:firstLine="376"/>
        <w:spacing w:after="0" w:line="277" w:lineRule="auto"/>
        <w:rPr>
          <w:sz w:val="20"/>
          <w:szCs w:val="20"/>
          <w:color w:val="auto"/>
        </w:rPr>
      </w:pPr>
      <w:r>
        <w:rPr>
          <w:rFonts w:ascii="Arial" w:cs="Arial" w:eastAsia="Arial" w:hAnsi="Arial"/>
          <w:sz w:val="18"/>
          <w:szCs w:val="18"/>
          <w:color w:val="auto"/>
        </w:rPr>
        <w:t>The press release issued by GasLog Partners LP on October 26, 2017 relating to its results for the three-month period ended September 30, 2017 and the related financial report are attached hereto as Exhibits 99.1 and 99.2, respectively.</w:t>
      </w:r>
    </w:p>
    <w:p>
      <w:pPr>
        <w:spacing w:after="0" w:line="17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4"/>
          <w:szCs w:val="24"/>
          <w:color w:val="auto"/>
        </w:rPr>
      </w:pPr>
    </w:p>
    <w:p>
      <w:pPr>
        <w:ind w:right="40" w:firstLine="376"/>
        <w:spacing w:after="0" w:line="255" w:lineRule="auto"/>
        <w:rPr>
          <w:sz w:val="20"/>
          <w:szCs w:val="20"/>
          <w:color w:val="auto"/>
        </w:rPr>
      </w:pPr>
      <w:r>
        <w:rPr>
          <w:rFonts w:ascii="Arial" w:cs="Arial" w:eastAsia="Arial" w:hAnsi="Arial"/>
          <w:sz w:val="18"/>
          <w:szCs w:val="18"/>
          <w:color w:val="auto"/>
        </w:rPr>
        <w:t>Exhibit 99.2, including Appendix A thereto, to this Report on Form 6-K shall be incorporated by reference into our registration statement on Form F-3 (File No. 333-220736), filed with the Securities and Exchange Commission (the “SEC”) on September 29, 2017, the registration statement on Form F-3 (File No. 333-204616), filed with the Securities and Exchange Commission (the “SEC”) on June 1, 2015,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3640"/>
              <w:spacing w:after="0"/>
              <w:rPr>
                <w:sz w:val="20"/>
                <w:szCs w:val="20"/>
                <w:color w:val="auto"/>
              </w:rPr>
            </w:pPr>
            <w:r>
              <w:rPr>
                <w:rFonts w:ascii="Arial" w:cs="Arial" w:eastAsia="Arial" w:hAnsi="Arial"/>
                <w:sz w:val="18"/>
                <w:szCs w:val="18"/>
                <w:color w:val="auto"/>
              </w:rPr>
              <w:t>EXHIBIT LIST</w:t>
            </w:r>
          </w:p>
        </w:tc>
        <w:tc>
          <w:tcPr>
            <w:tcW w:w="40" w:type="dxa"/>
            <w:vAlign w:val="bottom"/>
          </w:tcPr>
          <w:p>
            <w:pPr>
              <w:spacing w:after="0"/>
              <w:rPr>
                <w:sz w:val="20"/>
                <w:szCs w:val="20"/>
                <w:color w:val="auto"/>
              </w:rPr>
            </w:pPr>
          </w:p>
        </w:tc>
      </w:tr>
      <w:tr>
        <w:trPr>
          <w:trHeight w:val="365"/>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9920" w:type="dxa"/>
            <w:vAlign w:val="bottom"/>
            <w:tcBorders>
              <w:bottom w:val="single" w:sz="8" w:color="auto"/>
            </w:tcBorders>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Press Release dated October 26, 2017</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99.2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Financial Report for the Three and Nine Months Ended September 30, 2017</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Management’s Discussion and Analysis of Financial Condition and Results of Operation</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Unaudited Condensed Consolidated Financial Statements</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Appendix A: Supplemental Non-GAAP Partnership Performance Information and Reconciliation Tables</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10260" w:type="dxa"/>
            <w:vAlign w:val="bottom"/>
            <w:gridSpan w:val="2"/>
          </w:tcPr>
          <w:p>
            <w:pPr>
              <w:ind w:left="45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4"/>
          <w:szCs w:val="24"/>
          <w:color w:val="auto"/>
        </w:rPr>
      </w:pPr>
    </w:p>
    <w:p>
      <w:pPr>
        <w:ind w:right="800"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Date: October 26, 2017</w:t>
      </w:r>
    </w:p>
    <w:p>
      <w:pPr>
        <w:sectPr>
          <w:pgSz w:w="11900" w:h="16838" w:orient="portrait"/>
          <w:cols w:equalWidth="0" w:num="1">
            <w:col w:w="11460"/>
          </w:cols>
          <w:pgMar w:left="240" w:top="544" w:right="199" w:bottom="0" w:gutter="0" w:footer="0" w:header="0"/>
        </w:sectPr>
      </w:pPr>
    </w:p>
    <w:bookmarkStart w:id="1" w:name="page2"/>
    <w:bookmarkEnd w:id="1"/>
    <w:p>
      <w:pPr>
        <w:ind w:left="4620"/>
        <w:spacing w:after="0"/>
        <w:rPr>
          <w:sz w:val="20"/>
          <w:szCs w:val="20"/>
          <w:color w:val="auto"/>
        </w:rPr>
      </w:pPr>
      <w:r>
        <w:rPr>
          <w:rFonts w:ascii="Arial" w:cs="Arial" w:eastAsia="Arial" w:hAnsi="Arial"/>
          <w:sz w:val="18"/>
          <w:szCs w:val="18"/>
          <w:color w:val="auto"/>
        </w:rPr>
        <w:t>GASLOG PARTNERS LP</w:t>
      </w:r>
    </w:p>
    <w:p>
      <w:pPr>
        <w:spacing w:after="0" w:line="225" w:lineRule="exact"/>
        <w:rPr>
          <w:sz w:val="20"/>
          <w:szCs w:val="20"/>
          <w:color w:val="auto"/>
        </w:rPr>
      </w:pPr>
    </w:p>
    <w:tbl>
      <w:tblPr>
        <w:tblLayout w:type="fixed"/>
        <w:tblInd w:w="496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Orekar</w:t>
            </w:r>
          </w:p>
        </w:tc>
      </w:tr>
      <w:tr>
        <w:trPr>
          <w:trHeight w:val="195"/>
        </w:trPr>
        <w:tc>
          <w:tcPr>
            <w:tcW w:w="52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20" w:type="dxa"/>
            <w:vAlign w:val="bottom"/>
          </w:tcPr>
          <w:p>
            <w:pPr>
              <w:ind w:left="140"/>
              <w:spacing w:after="0" w:line="195" w:lineRule="exact"/>
              <w:rPr>
                <w:sz w:val="20"/>
                <w:szCs w:val="20"/>
                <w:color w:val="auto"/>
              </w:rPr>
            </w:pPr>
            <w:r>
              <w:rPr>
                <w:rFonts w:ascii="Arial" w:cs="Arial" w:eastAsia="Arial" w:hAnsi="Arial"/>
                <w:sz w:val="18"/>
                <w:szCs w:val="18"/>
                <w:color w:val="auto"/>
              </w:rPr>
              <w:t>Andrew Orekar</w:t>
            </w: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12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2" w:name="page3"/>
    <w:bookmarkEnd w:id="2"/>
    <w:p>
      <w:pPr>
        <w:spacing w:after="0" w:line="8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Press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GasLog Partners LP Reports Financial Results for the Three-Month Period Ended September 30, 2017 and Increases Cash Distribution</w:t>
      </w:r>
    </w:p>
    <w:p>
      <w:pPr>
        <w:spacing w:after="0" w:line="237" w:lineRule="exact"/>
        <w:rPr>
          <w:sz w:val="20"/>
          <w:szCs w:val="20"/>
          <w:color w:val="auto"/>
        </w:rPr>
      </w:pPr>
    </w:p>
    <w:p>
      <w:pPr>
        <w:ind w:right="300"/>
        <w:spacing w:after="0" w:line="313" w:lineRule="auto"/>
        <w:rPr>
          <w:sz w:val="20"/>
          <w:szCs w:val="20"/>
          <w:color w:val="auto"/>
        </w:rPr>
      </w:pPr>
      <w:r>
        <w:rPr>
          <w:rFonts w:ascii="Arial" w:cs="Arial" w:eastAsia="Arial" w:hAnsi="Arial"/>
          <w:sz w:val="17"/>
          <w:szCs w:val="17"/>
          <w:b w:val="1"/>
          <w:bCs w:val="1"/>
          <w:color w:val="auto"/>
        </w:rPr>
        <w:t xml:space="preserve">Monaco, October 26, 2017, GasLog Partners LP (“GasLog Partners” or the “Partnership”) (NYSE: GLOP), </w:t>
      </w:r>
      <w:r>
        <w:rPr>
          <w:rFonts w:ascii="Arial" w:cs="Arial" w:eastAsia="Arial" w:hAnsi="Arial"/>
          <w:sz w:val="17"/>
          <w:szCs w:val="17"/>
          <w:color w:val="auto"/>
        </w:rPr>
        <w:t>an international owner and operator of</w:t>
      </w:r>
      <w:r>
        <w:rPr>
          <w:rFonts w:ascii="Arial" w:cs="Arial" w:eastAsia="Arial" w:hAnsi="Arial"/>
          <w:sz w:val="17"/>
          <w:szCs w:val="17"/>
          <w:b w:val="1"/>
          <w:bCs w:val="1"/>
          <w:color w:val="auto"/>
        </w:rPr>
        <w:t xml:space="preserve"> </w:t>
      </w:r>
      <w:r>
        <w:rPr>
          <w:rFonts w:ascii="Arial" w:cs="Arial" w:eastAsia="Arial" w:hAnsi="Arial"/>
          <w:sz w:val="17"/>
          <w:szCs w:val="17"/>
          <w:color w:val="auto"/>
        </w:rPr>
        <w:t>liquefied natural gas (“LNG”) carriers, today reported its financial results for the three-month period ended September 30, 2017.</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Highlights</w:t>
      </w:r>
    </w:p>
    <w:p>
      <w:pPr>
        <w:spacing w:after="0" w:line="229" w:lineRule="exact"/>
        <w:rPr>
          <w:sz w:val="20"/>
          <w:szCs w:val="20"/>
          <w:color w:val="auto"/>
        </w:rPr>
      </w:pPr>
    </w:p>
    <w:p>
      <w:pPr>
        <w:ind w:left="340" w:right="280" w:hanging="332"/>
        <w:spacing w:after="0" w:line="258" w:lineRule="auto"/>
        <w:tabs>
          <w:tab w:leader="none" w:pos="304"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Completed the acquisition of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from GasLog Ltd. (“GasLog”) for $211.0 million, with attached multi-year charter to a subsidiary of Royal Dutch Shell plc (“Shell”).</w:t>
      </w:r>
    </w:p>
    <w:p>
      <w:pPr>
        <w:spacing w:after="0" w:line="1" w:lineRule="exact"/>
        <w:rPr>
          <w:rFonts w:ascii="Arial" w:cs="Arial" w:eastAsia="Arial" w:hAnsi="Arial"/>
          <w:sz w:val="18"/>
          <w:szCs w:val="18"/>
          <w:color w:val="auto"/>
        </w:rPr>
      </w:pPr>
    </w:p>
    <w:p>
      <w:pPr>
        <w:ind w:left="340" w:right="700" w:hanging="332"/>
        <w:spacing w:after="0" w:line="250" w:lineRule="auto"/>
        <w:tabs>
          <w:tab w:leader="none" w:pos="304"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Announced and, post quarter-end, completed the acquisition of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from GasLog for $185.9 million, with attached multi-year charter to a subsidiary of Shell.</w:t>
      </w:r>
    </w:p>
    <w:p>
      <w:pPr>
        <w:ind w:left="300" w:hanging="292"/>
        <w:spacing w:after="0" w:line="197" w:lineRule="auto"/>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Revenues, Profit, Adjusted Profit</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and EBITDA</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$73.4 million, $25.4 million, $25.6 million and $53.7 million, respectively.</w:t>
      </w:r>
    </w:p>
    <w:p>
      <w:pPr>
        <w:ind w:left="340" w:right="40" w:hanging="332"/>
        <w:spacing w:after="0" w:line="219" w:lineRule="auto"/>
        <w:tabs>
          <w:tab w:leader="none" w:pos="304" w:val="left"/>
        </w:tabs>
        <w:numPr>
          <w:ilvl w:val="0"/>
          <w:numId w:val="1"/>
        </w:numPr>
        <w:rPr>
          <w:rFonts w:ascii="Arial" w:cs="Arial" w:eastAsia="Arial" w:hAnsi="Arial"/>
          <w:sz w:val="18"/>
          <w:szCs w:val="18"/>
          <w:color w:val="auto"/>
        </w:rPr>
      </w:pPr>
      <w:r>
        <w:rPr>
          <w:rFonts w:ascii="Arial" w:cs="Arial" w:eastAsia="Arial" w:hAnsi="Arial"/>
          <w:sz w:val="18"/>
          <w:szCs w:val="18"/>
          <w:color w:val="auto"/>
        </w:rPr>
        <w:t>Highest-ever quarterly Partnership Performance</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Results for Revenues, Profit, Adjusted Profit, EBITDA and Distributable cash flow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$73.3 million, $25.3 million, $25.5 million, $53.5 million and $26.9 million, respectively.</w:t>
      </w:r>
    </w:p>
    <w:p>
      <w:pPr>
        <w:ind w:left="340" w:right="160" w:hanging="332"/>
        <w:spacing w:after="0" w:line="250" w:lineRule="auto"/>
        <w:tabs>
          <w:tab w:leader="none" w:pos="304"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cash distribution of $0.5175 per common unit for the third quarter of 2017, 1.5% higher than the second quarter of 2017 and 8.3% higher than the third quarter of 2016.</w:t>
      </w: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Distribution coverage ratio</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of 1.20x.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1826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3" w:lineRule="exact"/>
        <w:rPr>
          <w:sz w:val="20"/>
          <w:szCs w:val="20"/>
          <w:color w:val="auto"/>
        </w:rPr>
      </w:pPr>
    </w:p>
    <w:p>
      <w:pPr>
        <w:ind w:left="340" w:right="100" w:hanging="332"/>
        <w:spacing w:after="0" w:line="238" w:lineRule="auto"/>
        <w:tabs>
          <w:tab w:leader="none" w:pos="328" w:val="left"/>
        </w:tabs>
        <w:numPr>
          <w:ilvl w:val="0"/>
          <w:numId w:val="2"/>
        </w:numPr>
        <w:rPr>
          <w:rFonts w:ascii="Arial" w:cs="Arial" w:eastAsia="Arial" w:hAnsi="Arial"/>
          <w:sz w:val="23"/>
          <w:szCs w:val="23"/>
          <w:color w:val="auto"/>
          <w:vertAlign w:val="superscript"/>
        </w:rPr>
      </w:pPr>
      <w:r>
        <w:rPr>
          <w:rFonts w:ascii="Arial" w:cs="Arial" w:eastAsia="Arial" w:hAnsi="Arial"/>
          <w:sz w:val="18"/>
          <w:szCs w:val="18"/>
          <w:color w:val="auto"/>
        </w:rPr>
        <w:t>Adjusted Profit, EBITDA and Distributable cash flow are non-GAAP financial measures, and should not be used in isolation or as a substitute for GasLog Partners’ financial results presented in accordance with International Financial Reporting Standards (“IFRS”). For definition and reconciliation of these measures to the most directly comparable financial measures calculated and presented in accordance with IFRS, please refer to Exhibit III at the end of this press release.</w:t>
      </w:r>
    </w:p>
    <w:p>
      <w:pPr>
        <w:ind w:left="340" w:right="40" w:hanging="332"/>
        <w:spacing w:after="0" w:line="229" w:lineRule="auto"/>
        <w:tabs>
          <w:tab w:leader="none" w:pos="328" w:val="left"/>
        </w:tabs>
        <w:numPr>
          <w:ilvl w:val="0"/>
          <w:numId w:val="2"/>
        </w:numPr>
        <w:rPr>
          <w:rFonts w:ascii="Arial" w:cs="Arial" w:eastAsia="Arial" w:hAnsi="Arial"/>
          <w:sz w:val="23"/>
          <w:szCs w:val="23"/>
          <w:color w:val="auto"/>
          <w:vertAlign w:val="superscript"/>
        </w:rPr>
      </w:pPr>
      <w:r>
        <w:rPr>
          <w:rFonts w:ascii="Arial" w:cs="Arial" w:eastAsia="Arial" w:hAnsi="Arial"/>
          <w:sz w:val="18"/>
          <w:szCs w:val="18"/>
          <w:color w:val="auto"/>
        </w:rPr>
        <w:t>Partnership Performance represents the results attributable to GasLog Partners which are non-GAAP financial measures. For definition and reconciliation of these measures to the most directly comparable financial measures calculated and presented in accordance with IFRS, please refer to Exhibit II at the end of this press release.</w:t>
      </w:r>
    </w:p>
    <w:p>
      <w:pPr>
        <w:ind w:left="340" w:right="40" w:hanging="332"/>
        <w:spacing w:after="0" w:line="229" w:lineRule="auto"/>
        <w:tabs>
          <w:tab w:leader="none" w:pos="328" w:val="left"/>
        </w:tabs>
        <w:numPr>
          <w:ilvl w:val="0"/>
          <w:numId w:val="2"/>
        </w:numPr>
        <w:rPr>
          <w:rFonts w:ascii="Arial" w:cs="Arial" w:eastAsia="Arial" w:hAnsi="Arial"/>
          <w:sz w:val="23"/>
          <w:szCs w:val="23"/>
          <w:color w:val="auto"/>
          <w:vertAlign w:val="superscript"/>
        </w:rPr>
      </w:pPr>
      <w:r>
        <w:rPr>
          <w:rFonts w:ascii="Arial" w:cs="Arial" w:eastAsia="Arial" w:hAnsi="Arial"/>
          <w:sz w:val="18"/>
          <w:szCs w:val="18"/>
          <w:color w:val="auto"/>
        </w:rPr>
        <w:t>Distribution coverage ratio represents the ratio of Distributable cash flow to the cash distribution declared. For definition and reconciliation of Distributable cash flow to the most directly comparable financial measure calculated and presented in accordance with IFRS, please refer to Exhibit III at the end of this press release.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CEO Statement</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 xml:space="preserve">Mr. Andrew Orekar, Chief Executive Officer, commented: “Following the successful acquisition of the </w:t>
      </w:r>
      <w:r>
        <w:rPr>
          <w:rFonts w:ascii="Arial" w:cs="Arial" w:eastAsia="Arial" w:hAnsi="Arial"/>
          <w:sz w:val="18"/>
          <w:szCs w:val="18"/>
          <w:i w:val="1"/>
          <w:iCs w:val="1"/>
          <w:color w:val="auto"/>
        </w:rPr>
        <w:t>GasLog Geneva</w:t>
      </w:r>
      <w:r>
        <w:rPr>
          <w:rFonts w:ascii="Arial" w:cs="Arial" w:eastAsia="Arial" w:hAnsi="Arial"/>
          <w:sz w:val="18"/>
          <w:szCs w:val="18"/>
          <w:color w:val="auto"/>
        </w:rPr>
        <w:t>, GasLog Partners delivered our highest-ever quarterly Partnership Performance Results for Revenues, EBITDA and Distributable cash flow, among other metrics. As a result of this strong performance, we are increasing our cash distribution for the fourth consecutive quarter to $0.5175 per unit, or $2.07 per unit annualized. With this increase, the Partnership has grown distributions per unit by 8.3% year-on-year and by 38% since our initial public offering (“IPO”), representing a 10% compound annual growth rate.</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In the third quarter of 2017, we announced and, post quarter-end, closed the dropdown of the </w:t>
      </w:r>
      <w:r>
        <w:rPr>
          <w:rFonts w:ascii="Arial" w:cs="Arial" w:eastAsia="Arial" w:hAnsi="Arial"/>
          <w:sz w:val="17"/>
          <w:szCs w:val="17"/>
          <w:i w:val="1"/>
          <w:iCs w:val="1"/>
          <w:color w:val="auto"/>
        </w:rPr>
        <w:t>Solaris</w:t>
      </w:r>
      <w:r>
        <w:rPr>
          <w:rFonts w:ascii="Arial" w:cs="Arial" w:eastAsia="Arial" w:hAnsi="Arial"/>
          <w:sz w:val="17"/>
          <w:szCs w:val="17"/>
          <w:color w:val="auto"/>
        </w:rPr>
        <w:t xml:space="preserve">, our third LNG carrier acquisition of 2017 and our fourth acquisition in the last twelve months. The </w:t>
      </w:r>
      <w:r>
        <w:rPr>
          <w:rFonts w:ascii="Arial" w:cs="Arial" w:eastAsia="Arial" w:hAnsi="Arial"/>
          <w:sz w:val="17"/>
          <w:szCs w:val="17"/>
          <w:i w:val="1"/>
          <w:iCs w:val="1"/>
          <w:color w:val="auto"/>
        </w:rPr>
        <w:t>Solaris</w:t>
      </w:r>
      <w:r>
        <w:rPr>
          <w:rFonts w:ascii="Arial" w:cs="Arial" w:eastAsia="Arial" w:hAnsi="Arial"/>
          <w:sz w:val="17"/>
          <w:szCs w:val="17"/>
          <w:color w:val="auto"/>
        </w:rPr>
        <w:t xml:space="preserve"> expands the Partnership’s fleet to 12 wholly owned LNG carriers and provides incremental visible cash flows for multiple years, helping to increase our future contracted days to approximately 90% for 2018 and 72% for 2019.</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2018, we expect a year-on-year distribution growth of 5% to 7%. This guidance is supported by our three acquisitions completed to date in 2017, our dropdown pipeline and continued access to equity capital funding, while also reflecting the three scheduled vessel dry-dockings and three vessels coming off charter next year. While the recovery in spot rates to mid-cycle levels is taking longer than anticipated, the recent improvement in rates gives us confidence in a continuing market recovery.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are pleased with this quarter’s operating performance and the continued growth of the Partnership’s cash flows and distributions.”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Acquisition of the </w:t>
      </w:r>
      <w:r>
        <w:rPr>
          <w:rFonts w:ascii="Arial" w:cs="Arial" w:eastAsia="Arial" w:hAnsi="Arial"/>
          <w:sz w:val="18"/>
          <w:szCs w:val="18"/>
          <w:b w:val="1"/>
          <w:bCs w:val="1"/>
          <w:i w:val="1"/>
          <w:iCs w:val="1"/>
          <w:u w:val="single" w:color="auto"/>
          <w:color w:val="auto"/>
        </w:rPr>
        <w:t>GasLog Geneva</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On July 3, 2017, GasLog Partners acquired from GasLog 100% of the shares in the entity that owns and charters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is a 174,000 cubic meter (“cbm”) tri-fuel diesel electric (“TFDE”) LNG carrier built in 2016 and operated by GasLog since delivery. The vessel is currently on a multi-year time charter with a subsidiary of Shell through September 2023 and Shell has two consecutive extension options which, if exercised, would extend the charter for a period of either five or eight years.</w:t>
      </w:r>
    </w:p>
    <w:p>
      <w:pPr>
        <w:spacing w:after="0" w:line="18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The aggregate purchase price for the acquisition was $211.0 million, which included $1.0 million for positive net working capital balances transferred with the vessel. GasLog Partners financed the acquisition with cash on hand, including proceeds from the public offering of 8.625% Series A Cumulative Redeemable Perpetual Fixed to Floating Rate Preference Units (the “Series A Preference Units”) completed on May 15, 2017, and the assumption of the </w:t>
      </w:r>
      <w:r>
        <w:rPr>
          <w:rFonts w:ascii="Arial" w:cs="Arial" w:eastAsia="Arial" w:hAnsi="Arial"/>
          <w:sz w:val="18"/>
          <w:szCs w:val="18"/>
          <w:i w:val="1"/>
          <w:iCs w:val="1"/>
          <w:color w:val="auto"/>
        </w:rPr>
        <w:t>GasLog Geneva</w:t>
      </w:r>
      <w:r>
        <w:rPr>
          <w:rFonts w:ascii="Arial" w:cs="Arial" w:eastAsia="Arial" w:hAnsi="Arial"/>
          <w:sz w:val="18"/>
          <w:szCs w:val="18"/>
          <w:color w:val="auto"/>
        </w:rPr>
        <w:t>’s outstanding indebtedness of $155.0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Post Quarter-End Acquisition of the </w:t>
      </w:r>
      <w:r>
        <w:rPr>
          <w:rFonts w:ascii="Arial" w:cs="Arial" w:eastAsia="Arial" w:hAnsi="Arial"/>
          <w:sz w:val="18"/>
          <w:szCs w:val="18"/>
          <w:b w:val="1"/>
          <w:bCs w:val="1"/>
          <w:i w:val="1"/>
          <w:iCs w:val="1"/>
          <w:u w:val="single" w:color="auto"/>
          <w:color w:val="auto"/>
        </w:rPr>
        <w:t>Solaris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On September 19, 2017, GasLog Partners entered into an agreement to acquire 100% of the shares in the entity that owns and charters to Shell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from GasLog.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is a 155,000 cbm TFDE LNG carrier built in 2014 and operated and managed by Shell since delivery. The vessel is currently on a multi-year time charter with a subsidiary of Shell through June 2021 and Shell has two consecutive 5-year extension options which, if exercised, would extend the charter for</w:t>
      </w:r>
    </w:p>
    <w:p>
      <w:pPr>
        <w:sectPr>
          <w:pgSz w:w="11900" w:h="16921" w:orient="portrait"/>
          <w:cols w:equalWidth="0" w:num="1">
            <w:col w:w="11420"/>
          </w:cols>
          <w:pgMar w:left="240" w:top="121" w:right="239" w:bottom="0" w:gutter="0" w:footer="0" w:header="0"/>
        </w:sectPr>
      </w:pPr>
    </w:p>
    <w:bookmarkStart w:id="3" w:name="page4"/>
    <w:bookmarkEnd w:id="3"/>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period of either five or ten years.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The aggregate purchase price for the acquisition was $185.9 million, which includes $1.0 million for positive net working capital balances transferred with the vessel. GasLog Partners financed the acquisition with cash on hand, including proceeds from the ongoing execution of our at-the-market common equity offering programme (“ATM Programme”) described below, and the assumption of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outstanding indebtedness of $116.5 million. The acquisition closed on October 20,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ATM Common Equity Offering Programme</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May 16, 2017, GasLog Partners commenced an ATM Programme under which the Partnership may, from time to time, raise equity through the issuance and sale of new common units having an aggregate offering price of up to $100.0 million in accordance with the terms of an equity distribution agreement entered into on the same date. Citigroup Global Markets Inc., Merrill Lynch, Pierce, Fenner &amp; Smith Incorporated, Credit Suisse Securities (USA) LLC and Morgan Stanley &amp; Co. LLC have agreed to act as sales agents. During the third quarter of 2017, GasLog Partners issued and received payment for 1,941,008 common units at a weighted average price of $22.96 per common unit for total gross proceeds of $44.6 million and net proceeds of $43.9 million, after broker commissions of $0.6 million and other expenses of $0.1 million. In connection with the issuance of common units under the ATM Programme during this period, the Partnership also issued 39,613 general partner units to its general partner in order for GasLog to retain its 2.0% general partner interest. The net proceeds from the issuance of the general partner units were $0.9 million.</w:t>
      </w:r>
    </w:p>
    <w:p>
      <w:pPr>
        <w:spacing w:after="0" w:line="1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Since the commencement of the ATM Programme through September 30, 2017, GasLog Partners has issued and received payment for a total of 2,351,885 common units, with cumulative gross proceeds of $53.9 million at a weighted average price of $22.91 per unit, representing a discount of 0.6% to the volume weighted average trading price of GasLog Partners’ common units on the days on which new common units were issued. Net proceeds for the same period amounted to $52.7 million.</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period from October 1, 2017 through October 3, 2017, GasLog Partners issued and received payment for an additional 130,220 common units at a weighted average price of $23.26 per unit for gross proceeds of $3.03 million and net proceeds of $2.99 million, after broker commissions of $0.04 million. The issuance of these units fulfilled contractual commitments entered into on or before September 30, 2017. In connection with the issuance of common units during this subsequent period, the Partnership also issued 2,658 general partner units to its general partner in order for GasLog to retain its 2.0% general partner interest, the net proceeds of which were $0.1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Interest Rate Hedging Agreement</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On July 12, 2017, the Partnership entered into a new interest rate swap agreement with GasLog with a notional value of $80.0 million, maturing in 2022. As a result of its hedging agreements, the Partnership has hedged 44.1% of its floating interest rate exposure on its outstanding debt as of September 30, 2017, at a weighted average interest rate of approximately 1.8% (excluding margin).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Chief Operating Officer Appointment</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Following Graham Westgarth’s retirement from his position as Chief Operating Officer (“COO”), GasLog Partners and GasLog announced on August 21, 2017 that Richard Sadler was appointed as COO with an effective date of September 20,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Summary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260" w:type="dxa"/>
            <w:vAlign w:val="bottom"/>
            <w:tcBorders>
              <w:bottom w:val="single" w:sz="8" w:color="auto"/>
            </w:tcBorders>
            <w:gridSpan w:val="6"/>
          </w:tcPr>
          <w:p>
            <w:pPr>
              <w:ind w:left="680"/>
              <w:spacing w:after="0"/>
              <w:rPr>
                <w:sz w:val="20"/>
                <w:szCs w:val="20"/>
                <w:color w:val="auto"/>
              </w:rPr>
            </w:pPr>
            <w:r>
              <w:rPr>
                <w:rFonts w:ascii="Arial" w:cs="Arial" w:eastAsia="Arial" w:hAnsi="Arial"/>
                <w:sz w:val="14"/>
                <w:szCs w:val="14"/>
                <w:b w:val="1"/>
                <w:bCs w:val="1"/>
                <w:color w:val="auto"/>
              </w:rPr>
              <w:t>IFRS Common Control Reported Results</w:t>
            </w:r>
            <w:r>
              <w:rPr>
                <w:rFonts w:ascii="Arial" w:cs="Arial" w:eastAsia="Arial" w:hAnsi="Arial"/>
                <w:sz w:val="17"/>
                <w:szCs w:val="17"/>
                <w:b w:val="1"/>
                <w:bCs w:val="1"/>
                <w:color w:val="auto"/>
                <w:vertAlign w:val="superscript"/>
              </w:rPr>
              <w:t>(1)</w:t>
            </w:r>
          </w:p>
        </w:tc>
        <w:tc>
          <w:tcPr>
            <w:tcW w:w="11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(All amounts expressed in thousands of U.S.</w:t>
            </w:r>
          </w:p>
        </w:tc>
        <w:tc>
          <w:tcPr>
            <w:tcW w:w="1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For the three months ended</w:t>
            </w:r>
          </w:p>
        </w:tc>
        <w:tc>
          <w:tcPr>
            <w:tcW w:w="11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560" w:type="dxa"/>
            <w:vAlign w:val="bottom"/>
            <w:tcBorders>
              <w:bottom w:val="single" w:sz="8" w:color="auto"/>
            </w:tcBorders>
            <w:gridSpan w:val="3"/>
          </w:tcPr>
          <w:p>
            <w:pPr>
              <w:ind w:left="780"/>
              <w:spacing w:after="0" w:line="142" w:lineRule="exact"/>
              <w:rPr>
                <w:sz w:val="20"/>
                <w:szCs w:val="20"/>
                <w:color w:val="auto"/>
              </w:rPr>
            </w:pPr>
            <w:r>
              <w:rPr>
                <w:rFonts w:ascii="Arial" w:cs="Arial" w:eastAsia="Arial" w:hAnsi="Arial"/>
                <w:sz w:val="14"/>
                <w:szCs w:val="14"/>
                <w:b w:val="1"/>
                <w:bCs w:val="1"/>
                <w:color w:val="auto"/>
              </w:rPr>
              <w:t>% Change from</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460" w:type="dxa"/>
            <w:vAlign w:val="bottom"/>
            <w:gridSpan w:val="2"/>
            <w:vMerge w:val="continue"/>
          </w:tcPr>
          <w:p>
            <w:pPr>
              <w:spacing w:after="0"/>
              <w:rPr>
                <w:sz w:val="10"/>
                <w:szCs w:val="10"/>
                <w:color w:val="auto"/>
              </w:rPr>
            </w:pPr>
          </w:p>
        </w:tc>
        <w:tc>
          <w:tcPr>
            <w:tcW w:w="1120" w:type="dxa"/>
            <w:vAlign w:val="bottom"/>
          </w:tcPr>
          <w:p>
            <w:pPr>
              <w:jc w:val="right"/>
              <w:ind w:right="37"/>
              <w:spacing w:after="0" w:line="119" w:lineRule="exact"/>
              <w:rPr>
                <w:sz w:val="20"/>
                <w:szCs w:val="20"/>
                <w:color w:val="auto"/>
              </w:rPr>
            </w:pPr>
            <w:r>
              <w:rPr>
                <w:rFonts w:ascii="Arial" w:cs="Arial" w:eastAsia="Arial" w:hAnsi="Arial"/>
                <w:sz w:val="13"/>
                <w:szCs w:val="13"/>
                <w:b w:val="1"/>
                <w:bCs w:val="1"/>
                <w:color w:val="auto"/>
              </w:rPr>
              <w:t>September 30,</w:t>
            </w:r>
          </w:p>
        </w:tc>
        <w:tc>
          <w:tcPr>
            <w:tcW w:w="280" w:type="dxa"/>
            <w:vAlign w:val="bottom"/>
          </w:tcPr>
          <w:p>
            <w:pPr>
              <w:spacing w:after="0"/>
              <w:rPr>
                <w:sz w:val="10"/>
                <w:szCs w:val="10"/>
                <w:color w:val="auto"/>
              </w:rPr>
            </w:pPr>
          </w:p>
        </w:tc>
        <w:tc>
          <w:tcPr>
            <w:tcW w:w="14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June 30,</w:t>
            </w:r>
          </w:p>
        </w:tc>
        <w:tc>
          <w:tcPr>
            <w:tcW w:w="1140" w:type="dxa"/>
            <w:vAlign w:val="bottom"/>
          </w:tcPr>
          <w:p>
            <w:pPr>
              <w:jc w:val="right"/>
              <w:ind w:right="37"/>
              <w:spacing w:after="0" w:line="119" w:lineRule="exact"/>
              <w:rPr>
                <w:sz w:val="20"/>
                <w:szCs w:val="20"/>
                <w:color w:val="auto"/>
              </w:rPr>
            </w:pPr>
            <w:r>
              <w:rPr>
                <w:rFonts w:ascii="Arial" w:cs="Arial" w:eastAsia="Arial" w:hAnsi="Arial"/>
                <w:sz w:val="13"/>
                <w:szCs w:val="13"/>
                <w:b w:val="1"/>
                <w:bCs w:val="1"/>
                <w:color w:val="auto"/>
              </w:rPr>
              <w:t>September 30,</w:t>
            </w:r>
          </w:p>
        </w:tc>
        <w:tc>
          <w:tcPr>
            <w:tcW w:w="280" w:type="dxa"/>
            <w:vAlign w:val="bottom"/>
          </w:tcPr>
          <w:p>
            <w:pPr>
              <w:spacing w:after="0"/>
              <w:rPr>
                <w:sz w:val="10"/>
                <w:szCs w:val="10"/>
                <w:color w:val="auto"/>
              </w:rPr>
            </w:pPr>
          </w:p>
        </w:tc>
        <w:tc>
          <w:tcPr>
            <w:tcW w:w="14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June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dollars)</w:t>
            </w:r>
          </w:p>
        </w:tc>
        <w:tc>
          <w:tcPr>
            <w:tcW w:w="3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66,033</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7"/>
              </w:rPr>
              <w:t>72,641</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73,439</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Profit</w:t>
            </w:r>
          </w:p>
        </w:tc>
        <w:tc>
          <w:tcPr>
            <w:tcW w:w="1120" w:type="dxa"/>
            <w:vAlign w:val="bottom"/>
          </w:tcPr>
          <w:p>
            <w:pPr>
              <w:jc w:val="right"/>
              <w:spacing w:after="0"/>
              <w:rPr>
                <w:sz w:val="20"/>
                <w:szCs w:val="20"/>
                <w:color w:val="auto"/>
              </w:rPr>
            </w:pPr>
            <w:r>
              <w:rPr>
                <w:rFonts w:ascii="Arial" w:cs="Arial" w:eastAsia="Arial" w:hAnsi="Arial"/>
                <w:sz w:val="18"/>
                <w:szCs w:val="18"/>
                <w:color w:val="auto"/>
              </w:rPr>
              <w:t>20,038</w:t>
            </w:r>
          </w:p>
        </w:tc>
        <w:tc>
          <w:tcPr>
            <w:tcW w:w="1700" w:type="dxa"/>
            <w:vAlign w:val="bottom"/>
            <w:gridSpan w:val="3"/>
          </w:tcPr>
          <w:p>
            <w:pPr>
              <w:ind w:left="920"/>
              <w:spacing w:after="0"/>
              <w:rPr>
                <w:sz w:val="20"/>
                <w:szCs w:val="20"/>
                <w:color w:val="auto"/>
              </w:rPr>
            </w:pPr>
            <w:r>
              <w:rPr>
                <w:rFonts w:ascii="Arial" w:cs="Arial" w:eastAsia="Arial" w:hAnsi="Arial"/>
                <w:sz w:val="18"/>
                <w:szCs w:val="18"/>
                <w:color w:val="auto"/>
              </w:rPr>
              <w:t>23,619</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25,374</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Adjusted Profit</w:t>
            </w:r>
            <w:r>
              <w:rPr>
                <w:rFonts w:ascii="Arial" w:cs="Arial" w:eastAsia="Arial" w:hAnsi="Arial"/>
                <w:sz w:val="23"/>
                <w:szCs w:val="23"/>
                <w:color w:val="auto"/>
                <w:vertAlign w:val="superscript"/>
              </w:rPr>
              <w:t>(2)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24,627</w:t>
            </w:r>
          </w:p>
        </w:tc>
        <w:tc>
          <w:tcPr>
            <w:tcW w:w="170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25,476</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25,559</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05"/>
        </w:trPr>
        <w:tc>
          <w:tcPr>
            <w:tcW w:w="4460" w:type="dxa"/>
            <w:vAlign w:val="bottom"/>
            <w:gridSpan w:val="2"/>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23"/>
                <w:szCs w:val="23"/>
                <w:color w:val="auto"/>
                <w:vertAlign w:val="superscript"/>
              </w:rPr>
              <w:t>(2)</w:t>
            </w:r>
          </w:p>
        </w:tc>
        <w:tc>
          <w:tcPr>
            <w:tcW w:w="1120" w:type="dxa"/>
            <w:vAlign w:val="bottom"/>
          </w:tcPr>
          <w:p>
            <w:pPr>
              <w:jc w:val="right"/>
              <w:spacing w:after="0"/>
              <w:rPr>
                <w:sz w:val="20"/>
                <w:szCs w:val="20"/>
                <w:color w:val="auto"/>
              </w:rPr>
            </w:pPr>
            <w:r>
              <w:rPr>
                <w:rFonts w:ascii="Arial" w:cs="Arial" w:eastAsia="Arial" w:hAnsi="Arial"/>
                <w:sz w:val="18"/>
                <w:szCs w:val="18"/>
                <w:color w:val="auto"/>
              </w:rPr>
              <w:t>48,518</w:t>
            </w:r>
          </w:p>
        </w:tc>
        <w:tc>
          <w:tcPr>
            <w:tcW w:w="1700" w:type="dxa"/>
            <w:vAlign w:val="bottom"/>
            <w:gridSpan w:val="3"/>
          </w:tcPr>
          <w:p>
            <w:pPr>
              <w:ind w:left="920"/>
              <w:spacing w:after="0"/>
              <w:rPr>
                <w:sz w:val="20"/>
                <w:szCs w:val="20"/>
                <w:color w:val="auto"/>
              </w:rPr>
            </w:pPr>
            <w:r>
              <w:rPr>
                <w:rFonts w:ascii="Arial" w:cs="Arial" w:eastAsia="Arial" w:hAnsi="Arial"/>
                <w:sz w:val="18"/>
                <w:szCs w:val="18"/>
                <w:color w:val="auto"/>
              </w:rPr>
              <w:t>53,391</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53,665</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18268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3" w:lineRule="exact"/>
        <w:rPr>
          <w:sz w:val="20"/>
          <w:szCs w:val="20"/>
          <w:color w:val="auto"/>
        </w:rPr>
      </w:pPr>
    </w:p>
    <w:p>
      <w:pPr>
        <w:ind w:left="660" w:right="160" w:hanging="328"/>
        <w:spacing w:after="0" w:line="273" w:lineRule="auto"/>
        <w:tabs>
          <w:tab w:leader="none" w:pos="648"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“IFRS Common Control Reported Results” represent the results of GasLog Partners in accordance with IFRS. Such results include amounts related to vessels currently owned by the Partnership for the periods prior to their respective transfer to GasLog Partners from GasLog, as the transfers of such vessels was accounted for as a reorganization of entities under common control for IFRS accounting purposes. The unaudited condensed consolidated financial statements of the Partnership accompanying this press release are prepared under IFRS on this basis.</w:t>
      </w:r>
    </w:p>
    <w:p>
      <w:pPr>
        <w:spacing w:after="0" w:line="177" w:lineRule="exact"/>
        <w:rPr>
          <w:rFonts w:ascii="Arial" w:cs="Arial" w:eastAsia="Arial" w:hAnsi="Arial"/>
          <w:sz w:val="21"/>
          <w:szCs w:val="21"/>
          <w:color w:val="auto"/>
          <w:vertAlign w:val="superscript"/>
        </w:rPr>
      </w:pPr>
    </w:p>
    <w:p>
      <w:pPr>
        <w:ind w:left="660" w:right="60" w:hanging="328"/>
        <w:spacing w:after="0" w:line="227" w:lineRule="auto"/>
        <w:tabs>
          <w:tab w:leader="none" w:pos="648"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Adjusted Profit and EBITDA are non-GAAP financial measures. For definition and reconciliation of these measures to the most directly comparable financial measure presented in accordance with IFRS, please refer to Exhibit III at the end of this press release.</w:t>
      </w:r>
    </w:p>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increase in profit in the third quarter of 2017 as compared to the second quarter of 2017 is mainly attributable to a decrease of $1.7 million in loss on interest rate swaps.</w:t>
      </w:r>
    </w:p>
    <w:p>
      <w:pPr>
        <w:spacing w:after="0" w:line="17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 xml:space="preserve">The increase in profit in the third quarter of 2017 as compared to the same period in 2016 is mainly attributable to an increase in profit from operations of $3.6 million, mainly due to the delivery of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on September 30, 2016 and a decrease of $1.6 million in loss on interest rate swaps.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26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4"/>
                <w:szCs w:val="14"/>
                <w:b w:val="1"/>
                <w:bCs w:val="1"/>
                <w:color w:val="auto"/>
                <w:w w:val="91"/>
              </w:rPr>
              <w:t>Partnership Performance Results</w:t>
            </w:r>
            <w:r>
              <w:rPr>
                <w:rFonts w:ascii="Arial" w:cs="Arial" w:eastAsia="Arial" w:hAnsi="Arial"/>
                <w:sz w:val="17"/>
                <w:szCs w:val="17"/>
                <w:b w:val="1"/>
                <w:bCs w:val="1"/>
                <w:color w:val="auto"/>
                <w:w w:val="91"/>
                <w:vertAlign w:val="superscript"/>
              </w:rPr>
              <w:t>(1)</w:t>
            </w:r>
          </w:p>
        </w:tc>
        <w:tc>
          <w:tcPr>
            <w:tcW w:w="11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(All amounts expressed in thousands of U.S.</w:t>
            </w:r>
          </w:p>
        </w:tc>
        <w:tc>
          <w:tcPr>
            <w:tcW w:w="1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For the three months ended</w:t>
            </w:r>
          </w:p>
        </w:tc>
        <w:tc>
          <w:tcPr>
            <w:tcW w:w="11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560" w:type="dxa"/>
            <w:vAlign w:val="bottom"/>
            <w:tcBorders>
              <w:bottom w:val="single" w:sz="8" w:color="auto"/>
            </w:tcBorders>
            <w:gridSpan w:val="3"/>
          </w:tcPr>
          <w:p>
            <w:pPr>
              <w:ind w:left="780"/>
              <w:spacing w:after="0" w:line="142" w:lineRule="exact"/>
              <w:rPr>
                <w:sz w:val="20"/>
                <w:szCs w:val="20"/>
                <w:color w:val="auto"/>
              </w:rPr>
            </w:pPr>
            <w:r>
              <w:rPr>
                <w:rFonts w:ascii="Arial" w:cs="Arial" w:eastAsia="Arial" w:hAnsi="Arial"/>
                <w:sz w:val="14"/>
                <w:szCs w:val="14"/>
                <w:b w:val="1"/>
                <w:bCs w:val="1"/>
                <w:color w:val="auto"/>
              </w:rPr>
              <w:t>% Change from</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460" w:type="dxa"/>
            <w:vAlign w:val="bottom"/>
            <w:gridSpan w:val="2"/>
            <w:vMerge w:val="continue"/>
          </w:tcPr>
          <w:p>
            <w:pPr>
              <w:spacing w:after="0"/>
              <w:rPr>
                <w:sz w:val="10"/>
                <w:szCs w:val="10"/>
                <w:color w:val="auto"/>
              </w:rPr>
            </w:pPr>
          </w:p>
        </w:tc>
        <w:tc>
          <w:tcPr>
            <w:tcW w:w="1120" w:type="dxa"/>
            <w:vAlign w:val="bottom"/>
          </w:tcPr>
          <w:p>
            <w:pPr>
              <w:jc w:val="right"/>
              <w:ind w:right="37"/>
              <w:spacing w:after="0" w:line="119" w:lineRule="exact"/>
              <w:rPr>
                <w:sz w:val="20"/>
                <w:szCs w:val="20"/>
                <w:color w:val="auto"/>
              </w:rPr>
            </w:pPr>
            <w:r>
              <w:rPr>
                <w:rFonts w:ascii="Arial" w:cs="Arial" w:eastAsia="Arial" w:hAnsi="Arial"/>
                <w:sz w:val="13"/>
                <w:szCs w:val="13"/>
                <w:b w:val="1"/>
                <w:bCs w:val="1"/>
                <w:color w:val="auto"/>
              </w:rPr>
              <w:t>September 30,</w:t>
            </w:r>
          </w:p>
        </w:tc>
        <w:tc>
          <w:tcPr>
            <w:tcW w:w="280" w:type="dxa"/>
            <w:vAlign w:val="bottom"/>
          </w:tcPr>
          <w:p>
            <w:pPr>
              <w:spacing w:after="0"/>
              <w:rPr>
                <w:sz w:val="10"/>
                <w:szCs w:val="10"/>
                <w:color w:val="auto"/>
              </w:rPr>
            </w:pPr>
          </w:p>
        </w:tc>
        <w:tc>
          <w:tcPr>
            <w:tcW w:w="14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June 30,</w:t>
            </w:r>
          </w:p>
        </w:tc>
        <w:tc>
          <w:tcPr>
            <w:tcW w:w="1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280" w:type="dxa"/>
            <w:vAlign w:val="bottom"/>
          </w:tcPr>
          <w:p>
            <w:pPr>
              <w:spacing w:after="0"/>
              <w:rPr>
                <w:sz w:val="10"/>
                <w:szCs w:val="10"/>
                <w:color w:val="auto"/>
              </w:rPr>
            </w:pPr>
          </w:p>
        </w:tc>
        <w:tc>
          <w:tcPr>
            <w:tcW w:w="14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June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dollars)</w:t>
            </w:r>
          </w:p>
        </w:tc>
        <w:tc>
          <w:tcPr>
            <w:tcW w:w="3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51,452</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62,582</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73,277</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Profit</w:t>
            </w:r>
          </w:p>
        </w:tc>
        <w:tc>
          <w:tcPr>
            <w:tcW w:w="1120" w:type="dxa"/>
            <w:vAlign w:val="bottom"/>
          </w:tcPr>
          <w:p>
            <w:pPr>
              <w:jc w:val="right"/>
              <w:spacing w:after="0"/>
              <w:rPr>
                <w:sz w:val="20"/>
                <w:szCs w:val="20"/>
                <w:color w:val="auto"/>
              </w:rPr>
            </w:pPr>
            <w:r>
              <w:rPr>
                <w:rFonts w:ascii="Arial" w:cs="Arial" w:eastAsia="Arial" w:hAnsi="Arial"/>
                <w:sz w:val="18"/>
                <w:szCs w:val="18"/>
                <w:color w:val="auto"/>
              </w:rPr>
              <w:t>18,869</w:t>
            </w:r>
          </w:p>
        </w:tc>
        <w:tc>
          <w:tcPr>
            <w:tcW w:w="1700" w:type="dxa"/>
            <w:vAlign w:val="bottom"/>
            <w:gridSpan w:val="3"/>
          </w:tcPr>
          <w:p>
            <w:pPr>
              <w:jc w:val="right"/>
              <w:ind w:right="280"/>
              <w:spacing w:after="0"/>
              <w:rPr>
                <w:sz w:val="20"/>
                <w:szCs w:val="20"/>
                <w:color w:val="auto"/>
              </w:rPr>
            </w:pPr>
            <w:r>
              <w:rPr>
                <w:rFonts w:ascii="Arial" w:cs="Arial" w:eastAsia="Arial" w:hAnsi="Arial"/>
                <w:sz w:val="18"/>
                <w:szCs w:val="18"/>
                <w:color w:val="auto"/>
              </w:rPr>
              <w:t>19,358</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25,299</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Adjusted Profit</w:t>
            </w:r>
            <w:r>
              <w:rPr>
                <w:rFonts w:ascii="Arial" w:cs="Arial" w:eastAsia="Arial" w:hAnsi="Arial"/>
                <w:sz w:val="23"/>
                <w:szCs w:val="23"/>
                <w:color w:val="auto"/>
                <w:vertAlign w:val="superscript"/>
              </w:rPr>
              <w:t>(2)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18,869</w:t>
            </w:r>
          </w:p>
        </w:tc>
        <w:tc>
          <w:tcPr>
            <w:tcW w:w="1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21,215</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25,484</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line="216" w:lineRule="exact"/>
              <w:rPr>
                <w:sz w:val="20"/>
                <w:szCs w:val="20"/>
                <w:color w:val="auto"/>
              </w:rPr>
            </w:pPr>
            <w:r>
              <w:rPr>
                <w:rFonts w:ascii="Arial" w:cs="Arial" w:eastAsia="Arial" w:hAnsi="Arial"/>
                <w:sz w:val="18"/>
                <w:szCs w:val="18"/>
                <w:color w:val="auto"/>
              </w:rPr>
              <w:t>EBITDA</w:t>
            </w:r>
            <w:r>
              <w:rPr>
                <w:rFonts w:ascii="Arial" w:cs="Arial" w:eastAsia="Arial" w:hAnsi="Arial"/>
                <w:sz w:val="23"/>
                <w:szCs w:val="23"/>
                <w:color w:val="auto"/>
                <w:vertAlign w:val="superscript"/>
              </w:rPr>
              <w:t>(2)</w:t>
            </w:r>
          </w:p>
        </w:tc>
        <w:tc>
          <w:tcPr>
            <w:tcW w:w="1120" w:type="dxa"/>
            <w:vAlign w:val="bottom"/>
          </w:tcPr>
          <w:p>
            <w:pPr>
              <w:jc w:val="right"/>
              <w:spacing w:after="0"/>
              <w:rPr>
                <w:sz w:val="20"/>
                <w:szCs w:val="20"/>
                <w:color w:val="auto"/>
              </w:rPr>
            </w:pPr>
            <w:r>
              <w:rPr>
                <w:rFonts w:ascii="Arial" w:cs="Arial" w:eastAsia="Arial" w:hAnsi="Arial"/>
                <w:sz w:val="18"/>
                <w:szCs w:val="18"/>
                <w:color w:val="auto"/>
              </w:rPr>
              <w:t>37,234</w:t>
            </w:r>
          </w:p>
        </w:tc>
        <w:tc>
          <w:tcPr>
            <w:tcW w:w="1700" w:type="dxa"/>
            <w:vAlign w:val="bottom"/>
            <w:gridSpan w:val="3"/>
          </w:tcPr>
          <w:p>
            <w:pPr>
              <w:jc w:val="right"/>
              <w:ind w:right="280"/>
              <w:spacing w:after="0"/>
              <w:rPr>
                <w:sz w:val="20"/>
                <w:szCs w:val="20"/>
                <w:color w:val="auto"/>
              </w:rPr>
            </w:pPr>
            <w:r>
              <w:rPr>
                <w:rFonts w:ascii="Arial" w:cs="Arial" w:eastAsia="Arial" w:hAnsi="Arial"/>
                <w:sz w:val="18"/>
                <w:szCs w:val="18"/>
                <w:color w:val="auto"/>
              </w:rPr>
              <w:t>45,220</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53,529</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84"/>
        </w:trPr>
        <w:tc>
          <w:tcPr>
            <w:tcW w:w="41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Distributable cash flow</w:t>
            </w:r>
            <w:r>
              <w:rPr>
                <w:rFonts w:ascii="Arial" w:cs="Arial" w:eastAsia="Arial" w:hAnsi="Arial"/>
                <w:sz w:val="23"/>
                <w:szCs w:val="23"/>
                <w:color w:val="auto"/>
                <w:vertAlign w:val="superscript"/>
              </w:rPr>
              <w:t>(2)</w:t>
            </w:r>
          </w:p>
        </w:tc>
        <w:tc>
          <w:tcPr>
            <w:tcW w:w="25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21,413</w:t>
            </w:r>
          </w:p>
        </w:tc>
        <w:tc>
          <w:tcPr>
            <w:tcW w:w="14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23,255</w:t>
            </w:r>
          </w:p>
        </w:tc>
        <w:tc>
          <w:tcPr>
            <w:tcW w:w="15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26,867</w:t>
            </w:r>
          </w:p>
        </w:tc>
        <w:tc>
          <w:tcPr>
            <w:tcW w:w="15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Cash distributions declared</w:t>
            </w:r>
          </w:p>
        </w:tc>
        <w:tc>
          <w:tcPr>
            <w:tcW w:w="2520" w:type="dxa"/>
            <w:vAlign w:val="bottom"/>
          </w:tcPr>
          <w:p>
            <w:pPr>
              <w:jc w:val="right"/>
              <w:ind w:right="370"/>
              <w:spacing w:after="0"/>
              <w:rPr>
                <w:sz w:val="20"/>
                <w:szCs w:val="20"/>
                <w:color w:val="auto"/>
              </w:rPr>
            </w:pPr>
            <w:r>
              <w:rPr>
                <w:rFonts w:ascii="Arial" w:cs="Arial" w:eastAsia="Arial" w:hAnsi="Arial"/>
                <w:sz w:val="18"/>
                <w:szCs w:val="18"/>
                <w:color w:val="auto"/>
              </w:rPr>
              <w:t>17,077</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21,001</w:t>
            </w:r>
          </w:p>
        </w:tc>
        <w:tc>
          <w:tcPr>
            <w:tcW w:w="1580" w:type="dxa"/>
            <w:vAlign w:val="bottom"/>
          </w:tcPr>
          <w:p>
            <w:pPr>
              <w:jc w:val="right"/>
              <w:ind w:right="530"/>
              <w:spacing w:after="0"/>
              <w:rPr>
                <w:sz w:val="20"/>
                <w:szCs w:val="20"/>
                <w:color w:val="auto"/>
              </w:rPr>
            </w:pPr>
            <w:r>
              <w:rPr>
                <w:rFonts w:ascii="Arial" w:cs="Arial" w:eastAsia="Arial" w:hAnsi="Arial"/>
                <w:sz w:val="18"/>
                <w:szCs w:val="18"/>
                <w:color w:val="auto"/>
              </w:rPr>
              <w:t>22,305</w:t>
            </w:r>
          </w:p>
        </w:tc>
        <w:tc>
          <w:tcPr>
            <w:tcW w:w="1500" w:type="dxa"/>
            <w:vAlign w:val="bottom"/>
          </w:tcPr>
          <w:p>
            <w:pPr>
              <w:jc w:val="right"/>
              <w:ind w:right="470"/>
              <w:spacing w:after="0"/>
              <w:rPr>
                <w:sz w:val="20"/>
                <w:szCs w:val="20"/>
                <w:color w:val="auto"/>
              </w:rPr>
            </w:pPr>
            <w:r>
              <w:rPr>
                <w:rFonts w:ascii="Arial" w:cs="Arial" w:eastAsia="Arial" w:hAnsi="Arial"/>
                <w:sz w:val="18"/>
                <w:szCs w:val="18"/>
                <w:color w:val="auto"/>
              </w:rPr>
              <w:t>31%</w:t>
            </w: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hanging="328"/>
        <w:spacing w:after="0" w:line="279" w:lineRule="auto"/>
        <w:tabs>
          <w:tab w:leader="none" w:pos="648"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“Partnership Performance Results” represent the results attributable to GasLog Partners. Such results are non-GAAP measures and exclude amounts related to vessels currently owned by the Partnership for the periods prior to their respective transfers to GasLog Partners from GasLog, as the Partnership is not entitled to the cash or results generated in the periods prior to such transfers. Such results are included in the GasLog Partners’ results in accordance with IFRS because the transfer of the vessel owning entities by GasLog to the Partnership represents a reorganization of entities under common control and the Partnership reflects such transfers retroactively under IFRS. GasLog Partners believes that these non-GAAP financial measures provide meaningful supplemental information to both management and investors regarding the financial and operating performance of the Partnership necessary to understand the underlying basis for the calculations of the quarterly distribution and earnings per unit, which similarly exclude the results of vessels prior to their transfer to the Partnership. These non-GAAP financial measures should not be viewed in isolation or as substitutes to the equivalent GAAP measures presented in accordance with IFRS, but should be used in conjunction with the most directly comparable IFRS Common Control Reported Results. For definitions and reconciliations of these measurements to the most directly comparable financial measures presented in accordance with IFRS, please refer to Exhibit II at the end of this press release.</w:t>
      </w:r>
    </w:p>
    <w:p>
      <w:pPr>
        <w:spacing w:after="0" w:line="173" w:lineRule="exact"/>
        <w:rPr>
          <w:rFonts w:ascii="Arial" w:cs="Arial" w:eastAsia="Arial" w:hAnsi="Arial"/>
          <w:sz w:val="21"/>
          <w:szCs w:val="21"/>
          <w:color w:val="auto"/>
          <w:vertAlign w:val="superscript"/>
        </w:rPr>
      </w:pPr>
    </w:p>
    <w:p>
      <w:pPr>
        <w:ind w:left="660" w:right="280" w:hanging="328"/>
        <w:spacing w:after="0" w:line="269" w:lineRule="auto"/>
        <w:tabs>
          <w:tab w:leader="none" w:pos="648"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Adjusted Profit, EBITDA and Distributable cash flow are non-GAAP financial measures, and should not be used in isolation or as a substitute for GasLog Partners’ financial results presented in accordance with IFRS. For definition and reconciliation of these measures to the most directly comparable financial measures calculated and presented in accordance with IFRS, please refer to Exhibit III at the end of this press release.</w:t>
      </w:r>
    </w:p>
    <w:p>
      <w:pPr>
        <w:spacing w:after="0" w:line="18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 xml:space="preserve">The increase in profit in the third quarter of 2017 as compared to the second quarter of 2017 is mainly attributable to an increase of $6.0 million in profit from operations of the </w:t>
      </w:r>
      <w:r>
        <w:rPr>
          <w:rFonts w:ascii="Arial" w:cs="Arial" w:eastAsia="Arial" w:hAnsi="Arial"/>
          <w:sz w:val="17"/>
          <w:szCs w:val="17"/>
          <w:i w:val="1"/>
          <w:iCs w:val="1"/>
          <w:color w:val="auto"/>
        </w:rPr>
        <w:t>GasLog Greece</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Geneva</w:t>
      </w:r>
      <w:r>
        <w:rPr>
          <w:rFonts w:ascii="Arial" w:cs="Arial" w:eastAsia="Arial" w:hAnsi="Arial"/>
          <w:sz w:val="17"/>
          <w:szCs w:val="17"/>
          <w:color w:val="auto"/>
        </w:rPr>
        <w:t>, acquired by the Partnership on May 3, 2017 and July 3, 2017, respectively.</w:t>
      </w:r>
    </w:p>
    <w:p>
      <w:pPr>
        <w:spacing w:after="0" w:line="14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The increase in profit for the third quarter of 2017 as compared to the same period in 2016 is attributable to the $12.9 million profit from operations of the </w:t>
      </w:r>
      <w:r>
        <w:rPr>
          <w:rFonts w:ascii="Arial" w:cs="Arial" w:eastAsia="Arial" w:hAnsi="Arial"/>
          <w:sz w:val="16"/>
          <w:szCs w:val="16"/>
          <w:i w:val="1"/>
          <w:iCs w:val="1"/>
          <w:color w:val="auto"/>
        </w:rPr>
        <w:t xml:space="preserve">GasLog Seattle, </w:t>
      </w:r>
      <w:r>
        <w:rPr>
          <w:rFonts w:ascii="Arial" w:cs="Arial" w:eastAsia="Arial" w:hAnsi="Arial"/>
          <w:sz w:val="16"/>
          <w:szCs w:val="16"/>
          <w:color w:val="auto"/>
        </w:rPr>
        <w:t>the</w:t>
      </w:r>
      <w:r>
        <w:rPr>
          <w:rFonts w:ascii="Arial" w:cs="Arial" w:eastAsia="Arial" w:hAnsi="Arial"/>
          <w:sz w:val="16"/>
          <w:szCs w:val="16"/>
          <w:i w:val="1"/>
          <w:iCs w:val="1"/>
          <w:color w:val="auto"/>
        </w:rPr>
        <w:t xml:space="preserve"> GasLog Greece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Geneva</w:t>
      </w:r>
      <w:r>
        <w:rPr>
          <w:rFonts w:ascii="Arial" w:cs="Arial" w:eastAsia="Arial" w:hAnsi="Arial"/>
          <w:sz w:val="16"/>
          <w:szCs w:val="16"/>
          <w:color w:val="auto"/>
        </w:rPr>
        <w:t>, acquired by the Partnership on November 1, 2016, May 3, 2017 and July 3, 2017,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which was partially offset by an increase of $5.4 million in net financial costs (comprising financial costs and loss on interest rate swaps, net of financial income), mainly resulting from the valuation of the interest rate swaps and the increased weighted average outstanding debt, and an increase of $0.7 million in general and administrative expenses, mainly resulting from the acquisitions of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Geneva</w:t>
      </w:r>
      <w:r>
        <w:rPr>
          <w:rFonts w:ascii="Arial" w:cs="Arial" w:eastAsia="Arial" w:hAnsi="Arial"/>
          <w:sz w:val="16"/>
          <w:szCs w:val="16"/>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Distribution</w:t>
      </w:r>
    </w:p>
    <w:p>
      <w:pPr>
        <w:spacing w:after="0" w:line="229"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On September 15, 2017, the board of directors of GasLog Partners approved and declared a dividend on the Series A Preference Units of $0.71875 per preference unit. The cash distribution was paid on September 15, 2017, to all unitholders of record as of September 8, 2017.</w:t>
      </w:r>
    </w:p>
    <w:p>
      <w:pPr>
        <w:spacing w:after="0" w:line="147"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On October 25, 2017, the board of directors of GasLog Partners approved and declared a quarterly cash distribution of $0.5175 per common unit for the quarter ended September 30, 2017. The cash distribution is payable on November 10, 2017 to all unitholders of record as of November 6,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Financing</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September 30, 2017, we had $192.6 million of cash and cash equivalents, of which $78.0 million was held in current accounts and $114.6 million was held in time deposits.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September 30, 2017, we had an aggregate of $1,049.1 million of indebtedness outstanding under our credit facilities of which $96.1 million is repayable within one year. In addition, we had unused availability under our revolving credit facilities of $42.9 million.</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On July 3, 2017, in connection with the acquisition of GAS-thirteen Ltd., the entity that owns the </w:t>
      </w:r>
      <w:r>
        <w:rPr>
          <w:rFonts w:ascii="Arial" w:cs="Arial" w:eastAsia="Arial" w:hAnsi="Arial"/>
          <w:sz w:val="18"/>
          <w:szCs w:val="18"/>
          <w:i w:val="1"/>
          <w:iCs w:val="1"/>
          <w:color w:val="auto"/>
        </w:rPr>
        <w:t>GasLog Geneva</w:t>
      </w:r>
      <w:r>
        <w:rPr>
          <w:rFonts w:ascii="Arial" w:cs="Arial" w:eastAsia="Arial" w:hAnsi="Arial"/>
          <w:sz w:val="18"/>
          <w:szCs w:val="18"/>
          <w:color w:val="auto"/>
        </w:rPr>
        <w:t>, the Partnership paid GasLog $54.9 million representing the difference between the $211.0 million aggregate purchase price and the $155.0 million of outstanding indebtedness of the acquired entity assumed by GasLog Partners, less an adjustment of $1.1 million in order to maintain the agreed working capital position in the acquired entity of $1.0 million.</w:t>
      </w:r>
    </w:p>
    <w:p>
      <w:pPr>
        <w:spacing w:after="0" w:line="18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 xml:space="preserve">On October 20, 2017, in connection with the acquisition of GAS-eight Ltd., the entity that owns the </w:t>
      </w:r>
      <w:r>
        <w:rPr>
          <w:rFonts w:ascii="Arial" w:cs="Arial" w:eastAsia="Arial" w:hAnsi="Arial"/>
          <w:sz w:val="16"/>
          <w:szCs w:val="16"/>
          <w:i w:val="1"/>
          <w:iCs w:val="1"/>
          <w:color w:val="auto"/>
        </w:rPr>
        <w:t>Solaris</w:t>
      </w:r>
      <w:r>
        <w:rPr>
          <w:rFonts w:ascii="Arial" w:cs="Arial" w:eastAsia="Arial" w:hAnsi="Arial"/>
          <w:sz w:val="16"/>
          <w:szCs w:val="16"/>
          <w:color w:val="auto"/>
        </w:rPr>
        <w:t>, the Partnership paid GasLog $70.6 million representing the difference between the $185.9 million aggregate purchase price and the $116.5 million of outstanding indebtedness of the acquired entity assumed by GasLog Partners less an adjustment of $1.2 million in order to maintain the agreed working capital position in the acquired entity of $1.0 million.</w:t>
      </w:r>
    </w:p>
    <w:p>
      <w:pPr>
        <w:spacing w:after="0" w:line="14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Partnership has entered into four interest rate swap agreements with GasLog at a notional value of $470.0 million in aggregate, maturing between 2020 and 2022. As of September 30, 2017, the Partnership has hedged 44.1% of its floating interest rate exposure on its outstanding debt at a weighted average interest rate of approximately 1.8% (excluding margin).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September 30, 2017, our current assets totaled $199.9 million and current liabilities totaled $134.5 million, resulting in a positive working capital position of $65.4 million.</w:t>
      </w:r>
    </w:p>
    <w:p>
      <w:pPr>
        <w:spacing w:after="0" w:line="17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is expected to carry out a scheduled dry-docking during the fourth quarter of 2017. Furthermore, 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Sydney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GasLog Seattle </w:t>
      </w:r>
      <w:r>
        <w:rPr>
          <w:rFonts w:ascii="Arial" w:cs="Arial" w:eastAsia="Arial" w:hAnsi="Arial"/>
          <w:sz w:val="18"/>
          <w:szCs w:val="18"/>
          <w:color w:val="auto"/>
        </w:rPr>
        <w:t>are expected to carry out scheduled dry-dockings during the first, second and fourth quarters of 2018, respectively. In addition</w:t>
      </w:r>
      <w:r>
        <w:rPr>
          <w:rFonts w:ascii="Arial" w:cs="Arial" w:eastAsia="Arial" w:hAnsi="Arial"/>
          <w:sz w:val="18"/>
          <w:szCs w:val="18"/>
          <w:i w:val="1"/>
          <w:iCs w:val="1"/>
          <w:color w:val="auto"/>
        </w:rPr>
        <w:t xml:space="preserve"> </w:t>
      </w:r>
      <w:r>
        <w:rPr>
          <w:rFonts w:ascii="Arial" w:cs="Arial" w:eastAsia="Arial" w:hAnsi="Arial"/>
          <w:sz w:val="18"/>
          <w:szCs w:val="18"/>
          <w:color w:val="auto"/>
        </w:rPr>
        <w:t>to the normal cost of the scheduled dry-dockings for which provisions are made through our dry-docking reserves in our Distributable cash flow calculations, we plan to make certain investments in two of the vessels with scheduled dry-dockings in 2018 with the aim of enhancing their operational performance at a total cost of approximately $28 million, which is expected to be capitalized as part of the respective vessel’s cost. Of the total cost of approximately $28 million, approximately $2 million has already been paid. As a result of the additional work required, we expect the dry-dockings for these two vessels to last somewhat longer than would normally be the case. The additional time required for such work is expected to be around 10 days but this is yet to be finally verified.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LNG Market Update and Outlook</w:t>
      </w:r>
    </w:p>
    <w:p>
      <w:pPr>
        <w:sectPr>
          <w:pgSz w:w="11900" w:h="16838" w:orient="portrait"/>
          <w:cols w:equalWidth="0" w:num="1">
            <w:col w:w="11420"/>
          </w:cols>
          <w:pgMar w:left="240" w:top="91" w:right="239" w:bottom="0" w:gutter="0" w:footer="0" w:header="0"/>
        </w:sectPr>
      </w:pPr>
    </w:p>
    <w:bookmarkStart w:id="5" w:name="page6"/>
    <w:bookmarkEnd w:id="5"/>
    <w:p>
      <w:pPr>
        <w:ind w:right="60"/>
        <w:spacing w:after="0" w:line="273" w:lineRule="auto"/>
        <w:rPr>
          <w:sz w:val="20"/>
          <w:szCs w:val="20"/>
          <w:color w:val="auto"/>
        </w:rPr>
      </w:pPr>
      <w:r>
        <w:rPr>
          <w:rFonts w:ascii="Arial" w:cs="Arial" w:eastAsia="Arial" w:hAnsi="Arial"/>
          <w:sz w:val="17"/>
          <w:szCs w:val="17"/>
          <w:color w:val="auto"/>
        </w:rPr>
        <w:t>During the quarter and post quarter end, there has been continued momentum in the start-up of new LNG liquefaction capacity with the fourth train at Sabine Pass in the U.S. shipping its first commissioning cargoes in August 2017. Sabine Pass has now shipped approximately 200 cargoes since start up in early 2016. Post quarter end, Chevron’s Wheatstone LNG project in Australia started production with the first LNG shipment expected in the coming weeks. Dominion’s Cove Point project in the U.S. and Novatek’s Yamal LNG project in Russia are both expected to start LNG production by the end of 2017 and ramp up exports into 2018. With the addition of these two projects, over 30 million tonnes per annum (“mtpa”) of new nameplate capacity will have been added in 2017, an increase of 11% over 2016, with the majority coming online in the second half of the year.</w:t>
      </w:r>
    </w:p>
    <w:p>
      <w:pPr>
        <w:spacing w:after="0" w:line="17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Looking longer term, final investment decisions (“FIDs”) for new liquefaction projects continue to be limited in the current environment, although a number of projects are making further progress towards FID in the U.S. and other regions. Tellurian has acquired natural gas reserves in northern Louisiana as future feedstock for their Driftwood LNG project and has also chartered an LNG vessel to trade short term LNG cargoes. In July 2017, Magnolia LNG secured $1.5 billion of conditional funding from Stonepeak, which is expected to fund a significant portion of the project’s future equity requirement. Also during the quarter, Next Decade merged with Harmony Merger Corp. to achieve a public listing on the Nasdaq and has a current market capitalisation of around $1 billion. In Mozambique, it has been reported that PTT of Thailand has committed to offtake from the Area 1 LNG project.</w:t>
      </w:r>
    </w:p>
    <w:p>
      <w:pPr>
        <w:spacing w:after="0" w:line="16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Demand for LNG in 2017 to date has continued to rise sharply, particularly in Asia and Europe, with material year-on-year increases in the world’s three largest import markets, Japan, South Korea and China, where imports have increased by 5%, 21% and 44% respectively. Rising Asian LNG demand into the Northern Hemisphere winter months has caused Asian LNG prices to rise, resulting in a reopening of both the U.S. - Asia and Europe - Asia gas price arbitrages. The same trend emerged during the 2016-2017 winter period, resulting in a greater number of U.S. cargoes travelling to Asia, which increased tonne mile demand and helped to drive LNG spot shipping rates higher.</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Longer term demand for LNG is also emerging. In August 2017, Petronet announced that it had renegotiated its LNG supply agreement with ExxonMobil with new terms including an increase of 1 mtpa to be supplied from ExxonMobil’s global portfolio. In September 2017, it was reported that PTT had entered into a contract to acquire 2.6 mtpa for 20 years from the Area 1 LNG project in Mozambique. Also in September 2017, Petrobangla, the state-owned oil company of Bangladesh entered into a contract with Qatar to acquire 2.3 mtpa on average for a 15-year period.</w:t>
      </w:r>
    </w:p>
    <w:p>
      <w:pPr>
        <w:spacing w:after="0" w:line="17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 number of offtakers from LNG projects currently under development are yet to secure all of their shipping requirements and we are seeing an increased level of tender activity for both near-term and longer-term shipping requirements. These tenders for multi-month to multi-year periods are for both newbuild vessels and on-the-water vessels, with the latter being positive in terms of absorbing the recent oversupply in the spot market.</w:t>
      </w:r>
    </w:p>
    <w:p>
      <w:pPr>
        <w:spacing w:after="0" w:line="16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the shorter term LNG shipping market, TFDE headline rates have continued to rise as we enter the Northern Hemisphere winter, with Clarksons currently quoting headline rates of $51,000, an increase of 70% from the 2017 low and approximately 55% higher than this time last year. Whilst the recovery in spot rates to mid-cycle levels is taking longer than anticipated, we have seen significantly more fixtures in 2017 compared to the same period in 2016, greater seasonality and consistently higher rates in 2017 than in 2016. This improvement in rates, coupled with no new vessel orders in the quarter and only eight in 2017 to date, gives us confidence in a continuing market recovery.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GasLog Partners will host a conference call to discuss its results at 8:30 a.m. EDT (1:30 p.m. BST) on Thursday, October 26, 2017. Andrew Orekar, Chief Executive Officer, and Alastair Maxwell, Chief Financial Officer, will review the Partnership’s operational and financial performance for the period. Management’s presentation will be followed by a Q&amp;A session.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dial-in numbers for the conference call are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+1 855 253 8928 (USA)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+44 20 3107 0289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 1 70 80 71 53 (France)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Conference ID: 91721710</w:t>
      </w:r>
    </w:p>
    <w:p>
      <w:pPr>
        <w:spacing w:after="0" w:line="225" w:lineRule="exact"/>
        <w:rPr>
          <w:sz w:val="20"/>
          <w:szCs w:val="20"/>
          <w:color w:val="auto"/>
        </w:rPr>
      </w:pPr>
    </w:p>
    <w:p>
      <w:pPr>
        <w:ind w:right="2780"/>
        <w:spacing w:after="0" w:line="277" w:lineRule="auto"/>
        <w:rPr>
          <w:sz w:val="20"/>
          <w:szCs w:val="20"/>
          <w:color w:val="auto"/>
        </w:rPr>
      </w:pPr>
      <w:r>
        <w:rPr>
          <w:rFonts w:ascii="Arial" w:cs="Arial" w:eastAsia="Arial" w:hAnsi="Arial"/>
          <w:sz w:val="18"/>
          <w:szCs w:val="18"/>
          <w:color w:val="auto"/>
        </w:rPr>
        <w:t>A live webcast of the conference call will also be available on the investor relations page of the Partnership’s website at http://www.gaslogmlp.com/investor-relations.</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 those unable to participate in the conference call, a replay will also be available from 2:00 p.m. EDT (7:00 p.m. BST) on Thursday, October 26, 2017 until 11:59 p.m. EDT (3:59 a.m. GMT) on Thursday, November 2,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replay dial-in numbers are as follows: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+1 855 859 2056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 20 3107 0235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 1 70 80 71 79 (France)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Conference ID: 91721710</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replay will also be available via a webcast on the investor relations page of the Partnership’s website at http://www.gaslogmlp.com/investor-relations.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GasLog Partners is a growth-oriented master limited partnership focused on owning, operating and acquiring LNG carriers under multi-year charters. GasLog Partners’ fleet consists of twelve LNG carriers with an average carrying capacity of approximately 154,000 cbm. GasLog Partners’ principal executive offices are located at Gildo Pastor Center, 7 Rue du Gabian, MC 98000, Monaco. Visit GasLog Partners’ website at http://www.gaslogmlp.com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ectPr>
          <w:pgSz w:w="11900" w:h="16838" w:orient="portrait"/>
          <w:cols w:equalWidth="0" w:num="1">
            <w:col w:w="11400"/>
          </w:cols>
          <w:pgMar w:left="240" w:top="125" w:right="259" w:bottom="0" w:gutter="0" w:footer="0" w:header="0"/>
        </w:sectPr>
      </w:pPr>
    </w:p>
    <w:bookmarkStart w:id="6" w:name="page7"/>
    <w:bookmarkEnd w:id="6"/>
    <w:p>
      <w:pPr>
        <w:spacing w:after="0" w:line="5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660" w:right="140" w:hanging="328"/>
        <w:spacing w:after="0" w:line="258"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low prices for crude oil and petroleum products and volatility in gas prices;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leverage GasLog’s relationships and reputation in the shipping industry;</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enter into time charters with new and existing customers;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purchase vessels from GasLog in the future;</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of the revolving credit facility with GasLog entered into on April 3, 2017 and our ability to meet our restrictive covenants and other obligations under our credit facilities;</w:t>
      </w:r>
    </w:p>
    <w:p>
      <w:pPr>
        <w:spacing w:after="0" w:line="1" w:lineRule="exact"/>
        <w:rPr>
          <w:rFonts w:ascii="Arial" w:cs="Arial" w:eastAsia="Arial" w:hAnsi="Arial"/>
          <w:sz w:val="18"/>
          <w:szCs w:val="18"/>
          <w:color w:val="auto"/>
        </w:rPr>
      </w:pPr>
    </w:p>
    <w:p>
      <w:pPr>
        <w:ind w:left="660" w:right="640" w:hanging="328"/>
        <w:spacing w:after="0" w:line="250"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pending or recent acquisitions of ships or other assets, business strategy, areas of possible expansion and expected capital spending or operating expenses;</w:t>
      </w: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about the time that it may take to construct and deliver newbuildings and the useful lives of our ships;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off-hire days, dry-docking requirements and insurance costs;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long-term relationships with major energy companies;</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maximize the use of our ships, including the re-employment or disposal of ships no longer under time charter commitments, including the risk that our vessels may no longer have the latest technology at such time;</w:t>
      </w: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environmental and regulatory conditions, including changes in laws and regulations or actions taken by regulatory authorities;</w:t>
      </w:r>
    </w:p>
    <w:p>
      <w:pPr>
        <w:spacing w:after="0" w:line="9" w:lineRule="exact"/>
        <w:rPr>
          <w:rFonts w:ascii="Arial" w:cs="Arial" w:eastAsia="Arial" w:hAnsi="Arial"/>
          <w:sz w:val="18"/>
          <w:szCs w:val="18"/>
          <w:color w:val="auto"/>
        </w:rPr>
      </w:pPr>
    </w:p>
    <w:p>
      <w:pPr>
        <w:ind w:left="660" w:right="340" w:hanging="328"/>
        <w:spacing w:after="0" w:line="261"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GasLog’s ability to retain key employees and provide services to us, and the availability of skilled labor, ship crews and management;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ind w:left="660" w:right="540" w:hanging="328"/>
        <w:spacing w:after="0" w:line="261"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described in the Partnership’s Annual Report on Form 20-F filed with the SEC on February 13, 2017, available at http://www.sec.gov.</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undertake no obligation to update or revise any forward-looking statements contained in this press release,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declaration and payment of distributions are at all times subject to the discretion of our board of directors and will depend on, amongst other things, risks and uncertainties described above, restrictions in our credit facilities, the provisions of Marshall Islands law and such other factors as our board of directors may deem relevant.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Jamie Buckland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ir@gaslogmlp.com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 — Unaudited Interim Financial Information: IFRS Common Control Reported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financial position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2016 and September 30, 2017</w:t>
      </w:r>
    </w:p>
    <w:p>
      <w:pPr>
        <w:sectPr>
          <w:pgSz w:w="11900" w:h="16888" w:orient="portrait"/>
          <w:cols w:equalWidth="0" w:num="1">
            <w:col w:w="11400"/>
          </w:cols>
          <w:pgMar w:left="240" w:top="125" w:right="259" w:bottom="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(All amounts expressed in thousands of U.S. Dollars, except unit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December 31, 2016</w:t>
            </w:r>
          </w:p>
        </w:tc>
        <w:tc>
          <w:tcPr>
            <w:tcW w:w="16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4"/>
              </w:rPr>
              <w:t>September 30, 2017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Derivative financial instruments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6,008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3,959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Vessels</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1,826,995</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1,782,825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12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1,833,931</w:t>
            </w:r>
          </w:p>
        </w:tc>
        <w:tc>
          <w:tcPr>
            <w:tcW w:w="30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1,786,784</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1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assets</w:t>
            </w: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Trade and other receivables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3,495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2,563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2,491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Due from related parties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3,072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881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Prepayments and other current assets</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Derivative financial instruments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55,819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192,554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70,349</w:t>
            </w:r>
          </w:p>
        </w:tc>
        <w:tc>
          <w:tcPr>
            <w:tcW w:w="3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199,860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assets</w:t>
            </w:r>
          </w:p>
        </w:tc>
        <w:tc>
          <w:tcPr>
            <w:tcW w:w="12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1,904,280</w:t>
            </w:r>
          </w:p>
        </w:tc>
        <w:tc>
          <w:tcPr>
            <w:tcW w:w="30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1,986,644</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514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Partners’ equity and liabilities</w:t>
            </w:r>
          </w:p>
        </w:tc>
        <w:tc>
          <w:tcPr>
            <w:tcW w:w="1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Partners’ equity</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Owners’ capital</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93,270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780" w:type="dxa"/>
            <w:vAlign w:val="bottom"/>
            <w:gridSpan w:val="5"/>
          </w:tcPr>
          <w:p>
            <w:pPr>
              <w:spacing w:after="0" w:line="201" w:lineRule="exact"/>
              <w:rPr>
                <w:sz w:val="20"/>
                <w:szCs w:val="20"/>
                <w:color w:val="auto"/>
              </w:rPr>
            </w:pPr>
            <w:r>
              <w:rPr>
                <w:rFonts w:ascii="Arial" w:cs="Arial" w:eastAsia="Arial" w:hAnsi="Arial"/>
                <w:sz w:val="18"/>
                <w:szCs w:val="18"/>
                <w:color w:val="auto"/>
                <w:w w:val="91"/>
              </w:rPr>
              <w:t>Common unitholders (24,572,358 units issued and outstanding as of December 31, 2016 and</w:t>
            </w: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gridSpan w:val="2"/>
          </w:tcPr>
          <w:p>
            <w:pPr>
              <w:ind w:left="180"/>
              <w:spacing w:after="0"/>
              <w:rPr>
                <w:sz w:val="20"/>
                <w:szCs w:val="20"/>
                <w:color w:val="auto"/>
              </w:rPr>
            </w:pPr>
            <w:r>
              <w:rPr>
                <w:rFonts w:ascii="Arial" w:cs="Arial" w:eastAsia="Arial" w:hAnsi="Arial"/>
                <w:sz w:val="18"/>
                <w:szCs w:val="18"/>
                <w:color w:val="auto"/>
                <w:w w:val="91"/>
              </w:rPr>
              <w:t>40,616,601 units issued and outstanding as of September 30, 2017)</w:t>
            </w: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565,408</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741,803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300" w:type="dxa"/>
            <w:vAlign w:val="bottom"/>
            <w:gridSpan w:val="8"/>
            <w:shd w:val="clear" w:color="auto" w:fill="CCEEFF"/>
          </w:tcPr>
          <w:p>
            <w:pPr>
              <w:spacing w:after="0" w:line="201" w:lineRule="exact"/>
              <w:rPr>
                <w:sz w:val="20"/>
                <w:szCs w:val="20"/>
                <w:color w:val="auto"/>
              </w:rPr>
            </w:pPr>
            <w:r>
              <w:rPr>
                <w:rFonts w:ascii="Arial" w:cs="Arial" w:eastAsia="Arial" w:hAnsi="Arial"/>
                <w:sz w:val="18"/>
                <w:szCs w:val="18"/>
                <w:color w:val="auto"/>
              </w:rPr>
              <w:t>Subordinated unitholders (9,822,358 units issued and outstanding as of December 31, 2016 and nil</w:t>
            </w: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units issued and outstanding as of September 30, 2017)</w:t>
            </w:r>
          </w:p>
        </w:tc>
        <w:tc>
          <w:tcPr>
            <w:tcW w:w="1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60,988</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gridSpan w:val="2"/>
            <w:vMerge w:val="continue"/>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300" w:type="dxa"/>
            <w:vAlign w:val="bottom"/>
            <w:gridSpan w:val="8"/>
          </w:tcPr>
          <w:p>
            <w:pPr>
              <w:spacing w:after="0" w:line="201" w:lineRule="exact"/>
              <w:rPr>
                <w:sz w:val="20"/>
                <w:szCs w:val="20"/>
                <w:color w:val="auto"/>
              </w:rPr>
            </w:pPr>
            <w:r>
              <w:rPr>
                <w:rFonts w:ascii="Arial" w:cs="Arial" w:eastAsia="Arial" w:hAnsi="Arial"/>
                <w:sz w:val="18"/>
                <w:szCs w:val="18"/>
                <w:color w:val="auto"/>
              </w:rPr>
              <w:t>General partner (701,933 units issued and outstanding as of December 31, 2016 and 828,911 units</w:t>
            </w: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gridSpan w:val="2"/>
          </w:tcPr>
          <w:p>
            <w:pPr>
              <w:ind w:left="180"/>
              <w:spacing w:after="0"/>
              <w:rPr>
                <w:sz w:val="20"/>
                <w:szCs w:val="20"/>
                <w:color w:val="auto"/>
              </w:rPr>
            </w:pPr>
            <w:r>
              <w:rPr>
                <w:rFonts w:ascii="Arial" w:cs="Arial" w:eastAsia="Arial" w:hAnsi="Arial"/>
                <w:sz w:val="18"/>
                <w:szCs w:val="18"/>
                <w:color w:val="auto"/>
              </w:rPr>
              <w:t>issued and outstanding as of September 30, 2017)</w:t>
            </w: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10,095</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11,553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Incentive distribution rights</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5,878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00" w:type="dxa"/>
            <w:vAlign w:val="bottom"/>
            <w:gridSpan w:val="8"/>
          </w:tcPr>
          <w:p>
            <w:pPr>
              <w:spacing w:after="0" w:line="201" w:lineRule="exact"/>
              <w:rPr>
                <w:sz w:val="20"/>
                <w:szCs w:val="20"/>
                <w:color w:val="auto"/>
              </w:rPr>
            </w:pPr>
            <w:r>
              <w:rPr>
                <w:rFonts w:ascii="Arial" w:cs="Arial" w:eastAsia="Arial" w:hAnsi="Arial"/>
                <w:sz w:val="18"/>
                <w:szCs w:val="18"/>
                <w:color w:val="auto"/>
              </w:rPr>
              <w:t>Preference unitholders (nil units issued and outstanding as of December 31, 2016 and 5,750,000</w:t>
            </w:r>
          </w:p>
        </w:tc>
        <w:tc>
          <w:tcPr>
            <w:tcW w:w="1500" w:type="dxa"/>
            <w:vAlign w:val="bottom"/>
            <w:gridSpan w:val="4"/>
            <w:vMerge w:val="restart"/>
          </w:tcPr>
          <w:p>
            <w:pPr>
              <w:jc w:val="right"/>
              <w:ind w:right="4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gridSpan w:val="2"/>
          </w:tcPr>
          <w:p>
            <w:pPr>
              <w:ind w:left="180"/>
              <w:spacing w:after="0"/>
              <w:rPr>
                <w:sz w:val="20"/>
                <w:szCs w:val="20"/>
                <w:color w:val="auto"/>
              </w:rPr>
            </w:pPr>
            <w:r>
              <w:rPr>
                <w:rFonts w:ascii="Arial" w:cs="Arial" w:eastAsia="Arial" w:hAnsi="Arial"/>
                <w:sz w:val="18"/>
                <w:szCs w:val="18"/>
                <w:color w:val="auto"/>
              </w:rPr>
              <w:t>units issued and outstanding as of September 30, 2017)</w:t>
            </w: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4"/>
            <w:vMerge w:val="continue"/>
          </w:tcPr>
          <w:p>
            <w:pPr>
              <w:spacing w:after="0"/>
              <w:rPr>
                <w:sz w:val="20"/>
                <w:szCs w:val="20"/>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139,298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partners’ equity</w:t>
            </w:r>
          </w:p>
        </w:tc>
        <w:tc>
          <w:tcPr>
            <w:tcW w:w="1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735,639</w:t>
            </w:r>
          </w:p>
        </w:tc>
        <w:tc>
          <w:tcPr>
            <w:tcW w:w="3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898,558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Current liabilities</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2,247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Due to related parties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3,612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460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1,836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Other payables and accruals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38,294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34,662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Borrowings—current portion</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66,697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96,086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12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112,686</w:t>
            </w:r>
          </w:p>
        </w:tc>
        <w:tc>
          <w:tcPr>
            <w:tcW w:w="30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134,541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1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Non-current liabilities</w:t>
            </w: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Derivative financial instruments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328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Borrowings—non-current portion</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1,055,773</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953,018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182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199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1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1,055,955</w:t>
            </w:r>
          </w:p>
        </w:tc>
        <w:tc>
          <w:tcPr>
            <w:tcW w:w="3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953,545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Total partners’ equity and liabilities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1,904,280</w:t>
            </w:r>
          </w:p>
        </w:tc>
        <w:tc>
          <w:tcPr>
            <w:tcW w:w="3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1,986,644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vMerge w:val="restart"/>
          </w:tcPr>
          <w:p>
            <w:pPr>
              <w:jc w:val="right"/>
              <w:ind w:right="473"/>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0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w w:val="94"/>
              </w:rPr>
              <w:t>Unaudited condensed consolidated statements of profit or loss</w:t>
            </w: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80" w:type="dxa"/>
            <w:vAlign w:val="bottom"/>
            <w:gridSpan w:val="5"/>
          </w:tcPr>
          <w:p>
            <w:pPr>
              <w:spacing w:after="0"/>
              <w:rPr>
                <w:sz w:val="20"/>
                <w:szCs w:val="20"/>
                <w:color w:val="auto"/>
              </w:rPr>
            </w:pPr>
            <w:r>
              <w:rPr>
                <w:rFonts w:ascii="Arial" w:cs="Arial" w:eastAsia="Arial" w:hAnsi="Arial"/>
                <w:sz w:val="18"/>
                <w:szCs w:val="18"/>
                <w:b w:val="1"/>
                <w:bCs w:val="1"/>
                <w:color w:val="auto"/>
                <w:w w:val="96"/>
              </w:rPr>
              <w:t>For the three and nine months ended September 30, 2016 and September 30, 2017</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80" w:type="dxa"/>
            <w:vAlign w:val="bottom"/>
            <w:gridSpan w:val="5"/>
          </w:tcPr>
          <w:p>
            <w:pPr>
              <w:spacing w:after="0"/>
              <w:rPr>
                <w:sz w:val="20"/>
                <w:szCs w:val="20"/>
                <w:color w:val="auto"/>
              </w:rPr>
            </w:pPr>
            <w:r>
              <w:rPr>
                <w:rFonts w:ascii="Arial" w:cs="Arial" w:eastAsia="Arial" w:hAnsi="Arial"/>
                <w:sz w:val="18"/>
                <w:szCs w:val="18"/>
                <w:b w:val="1"/>
                <w:bCs w:val="1"/>
                <w:color w:val="auto"/>
              </w:rPr>
              <w:t>(All amounts expressed in thousands of U.S. Dollars, except per unit data)</w:t>
            </w: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For the three months ended</w:t>
            </w:r>
          </w:p>
        </w:tc>
        <w:tc>
          <w:tcPr>
            <w:tcW w:w="312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rPr>
              <w:t>For the nine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0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gridSpan w:val="3"/>
          </w:tcPr>
          <w:p>
            <w:pPr>
              <w:ind w:left="100"/>
              <w:spacing w:after="0" w:line="119" w:lineRule="exact"/>
              <w:rPr>
                <w:sz w:val="20"/>
                <w:szCs w:val="20"/>
                <w:color w:val="auto"/>
              </w:rPr>
            </w:pPr>
            <w:r>
              <w:rPr>
                <w:rFonts w:ascii="Arial" w:cs="Arial" w:eastAsia="Arial" w:hAnsi="Arial"/>
                <w:sz w:val="13"/>
                <w:szCs w:val="13"/>
                <w:b w:val="1"/>
                <w:bCs w:val="1"/>
                <w:color w:val="auto"/>
              </w:rPr>
              <w:t>September 30,</w:t>
            </w:r>
          </w:p>
        </w:tc>
        <w:tc>
          <w:tcPr>
            <w:tcW w:w="1240" w:type="dxa"/>
            <w:vAlign w:val="bottom"/>
            <w:tcBorders>
              <w:top w:val="single" w:sz="8" w:color="auto"/>
            </w:tcBorders>
            <w:gridSpan w:val="2"/>
          </w:tcPr>
          <w:p>
            <w:pPr>
              <w:jc w:val="right"/>
              <w:ind w:right="159"/>
              <w:spacing w:after="0" w:line="119" w:lineRule="exact"/>
              <w:rPr>
                <w:sz w:val="20"/>
                <w:szCs w:val="20"/>
                <w:color w:val="auto"/>
              </w:rPr>
            </w:pPr>
            <w:r>
              <w:rPr>
                <w:rFonts w:ascii="Arial" w:cs="Arial" w:eastAsia="Arial" w:hAnsi="Arial"/>
                <w:sz w:val="13"/>
                <w:szCs w:val="13"/>
                <w:b w:val="1"/>
                <w:bCs w:val="1"/>
                <w:color w:val="auto"/>
              </w:rPr>
              <w:t>September 30,</w:t>
            </w:r>
          </w:p>
        </w:tc>
        <w:tc>
          <w:tcPr>
            <w:tcW w:w="280" w:type="dxa"/>
            <w:vAlign w:val="bottom"/>
          </w:tcPr>
          <w:p>
            <w:pPr>
              <w:spacing w:after="0"/>
              <w:rPr>
                <w:sz w:val="10"/>
                <w:szCs w:val="10"/>
                <w:color w:val="auto"/>
              </w:rPr>
            </w:pPr>
          </w:p>
        </w:tc>
        <w:tc>
          <w:tcPr>
            <w:tcW w:w="1500" w:type="dxa"/>
            <w:vAlign w:val="bottom"/>
            <w:tcBorders>
              <w:top w:val="single" w:sz="8" w:color="auto"/>
            </w:tcBorders>
            <w:gridSpan w:val="4"/>
          </w:tcPr>
          <w:p>
            <w:pPr>
              <w:jc w:val="right"/>
              <w:ind w:right="380"/>
              <w:spacing w:after="0" w:line="119" w:lineRule="exact"/>
              <w:rPr>
                <w:sz w:val="20"/>
                <w:szCs w:val="20"/>
                <w:color w:val="auto"/>
              </w:rPr>
            </w:pPr>
            <w:r>
              <w:rPr>
                <w:rFonts w:ascii="Arial" w:cs="Arial" w:eastAsia="Arial" w:hAnsi="Arial"/>
                <w:sz w:val="13"/>
                <w:szCs w:val="13"/>
                <w:b w:val="1"/>
                <w:bCs w:val="1"/>
                <w:color w:val="auto"/>
              </w:rPr>
              <w:t>September 30,</w:t>
            </w:r>
          </w:p>
        </w:tc>
        <w:tc>
          <w:tcPr>
            <w:tcW w:w="14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jc w:val="right"/>
              <w:ind w:right="172"/>
              <w:spacing w:after="0" w:line="119" w:lineRule="exact"/>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52"/>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66,033</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73,439</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186,387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217,923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Vessel operating costs</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(13,536)</w:t>
            </w:r>
          </w:p>
        </w:tc>
        <w:tc>
          <w:tcPr>
            <w:tcW w:w="120" w:type="dxa"/>
            <w:vAlign w:val="bottom"/>
          </w:tcPr>
          <w:p>
            <w:pPr>
              <w:spacing w:after="0"/>
              <w:rPr>
                <w:sz w:val="18"/>
                <w:szCs w:val="18"/>
                <w:color w:val="auto"/>
              </w:rPr>
            </w:pP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(15,066)</w:t>
            </w:r>
          </w:p>
        </w:tc>
        <w:tc>
          <w:tcPr>
            <w:tcW w:w="1500" w:type="dxa"/>
            <w:vAlign w:val="bottom"/>
            <w:gridSpan w:val="4"/>
          </w:tcPr>
          <w:p>
            <w:pPr>
              <w:jc w:val="right"/>
              <w:ind w:right="80"/>
              <w:spacing w:after="0"/>
              <w:rPr>
                <w:sz w:val="20"/>
                <w:szCs w:val="20"/>
                <w:color w:val="auto"/>
              </w:rPr>
            </w:pPr>
            <w:r>
              <w:rPr>
                <w:rFonts w:ascii="Arial" w:cs="Arial" w:eastAsia="Arial" w:hAnsi="Arial"/>
                <w:sz w:val="18"/>
                <w:szCs w:val="18"/>
                <w:color w:val="auto"/>
              </w:rPr>
              <w:t>(39,425)</w:t>
            </w:r>
          </w:p>
        </w:tc>
        <w:tc>
          <w:tcPr>
            <w:tcW w:w="1620" w:type="dxa"/>
            <w:vAlign w:val="bottom"/>
            <w:gridSpan w:val="3"/>
          </w:tcPr>
          <w:p>
            <w:pPr>
              <w:jc w:val="right"/>
              <w:ind w:right="40"/>
              <w:spacing w:after="0"/>
              <w:rPr>
                <w:sz w:val="20"/>
                <w:szCs w:val="20"/>
                <w:color w:val="auto"/>
              </w:rPr>
            </w:pPr>
            <w:r>
              <w:rPr>
                <w:rFonts w:ascii="Arial" w:cs="Arial" w:eastAsia="Arial" w:hAnsi="Arial"/>
                <w:sz w:val="18"/>
                <w:szCs w:val="18"/>
                <w:color w:val="auto"/>
              </w:rPr>
              <w:t>(43,568)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Voyage expenses and commissions</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(849)</w:t>
            </w: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(921)</w:t>
            </w:r>
          </w:p>
        </w:tc>
        <w:tc>
          <w:tcPr>
            <w:tcW w:w="15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(2,630)</w:t>
            </w:r>
          </w:p>
        </w:tc>
        <w:tc>
          <w:tcPr>
            <w:tcW w:w="1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(14,076)</w:t>
            </w:r>
          </w:p>
        </w:tc>
        <w:tc>
          <w:tcPr>
            <w:tcW w:w="120" w:type="dxa"/>
            <w:vAlign w:val="bottom"/>
          </w:tcPr>
          <w:p>
            <w:pPr>
              <w:spacing w:after="0"/>
              <w:rPr>
                <w:sz w:val="18"/>
                <w:szCs w:val="18"/>
                <w:color w:val="auto"/>
              </w:rPr>
            </w:pP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(15,611)</w:t>
            </w:r>
          </w:p>
        </w:tc>
        <w:tc>
          <w:tcPr>
            <w:tcW w:w="1500" w:type="dxa"/>
            <w:vAlign w:val="bottom"/>
            <w:gridSpan w:val="4"/>
          </w:tcPr>
          <w:p>
            <w:pPr>
              <w:jc w:val="right"/>
              <w:ind w:right="80"/>
              <w:spacing w:after="0"/>
              <w:rPr>
                <w:sz w:val="20"/>
                <w:szCs w:val="20"/>
                <w:color w:val="auto"/>
              </w:rPr>
            </w:pPr>
            <w:r>
              <w:rPr>
                <w:rFonts w:ascii="Arial" w:cs="Arial" w:eastAsia="Arial" w:hAnsi="Arial"/>
                <w:sz w:val="18"/>
                <w:szCs w:val="18"/>
                <w:color w:val="auto"/>
              </w:rPr>
              <w:t>(40,516)</w:t>
            </w:r>
          </w:p>
        </w:tc>
        <w:tc>
          <w:tcPr>
            <w:tcW w:w="1620" w:type="dxa"/>
            <w:vAlign w:val="bottom"/>
            <w:gridSpan w:val="3"/>
          </w:tcPr>
          <w:p>
            <w:pPr>
              <w:jc w:val="right"/>
              <w:ind w:right="40"/>
              <w:spacing w:after="0"/>
              <w:rPr>
                <w:sz w:val="20"/>
                <w:szCs w:val="20"/>
                <w:color w:val="auto"/>
              </w:rPr>
            </w:pPr>
            <w:r>
              <w:rPr>
                <w:rFonts w:ascii="Arial" w:cs="Arial" w:eastAsia="Arial" w:hAnsi="Arial"/>
                <w:sz w:val="18"/>
                <w:szCs w:val="18"/>
                <w:color w:val="auto"/>
              </w:rPr>
              <w:t>(46,327)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(3,130)</w:t>
            </w: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(3,787)</w:t>
            </w:r>
          </w:p>
        </w:tc>
        <w:tc>
          <w:tcPr>
            <w:tcW w:w="15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(9,227)</w:t>
            </w:r>
          </w:p>
        </w:tc>
        <w:tc>
          <w:tcPr>
            <w:tcW w:w="1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(10,470)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Profit from operations</w:t>
            </w: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34,442</w:t>
            </w:r>
          </w:p>
        </w:tc>
        <w:tc>
          <w:tcPr>
            <w:tcW w:w="3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38,054</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94,589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114,825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(12,319)</w:t>
            </w:r>
          </w:p>
        </w:tc>
        <w:tc>
          <w:tcPr>
            <w:tcW w:w="2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(30,162)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Financial income</w:t>
            </w:r>
          </w:p>
        </w:tc>
        <w:tc>
          <w:tcPr>
            <w:tcW w:w="1220" w:type="dxa"/>
            <w:vAlign w:val="bottom"/>
          </w:tcPr>
          <w:p>
            <w:pPr>
              <w:jc w:val="right"/>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311</w:t>
            </w:r>
          </w:p>
        </w:tc>
        <w:tc>
          <w:tcPr>
            <w:tcW w:w="1500" w:type="dxa"/>
            <w:vAlign w:val="bottom"/>
            <w:gridSpan w:val="4"/>
          </w:tcPr>
          <w:p>
            <w:pPr>
              <w:jc w:val="right"/>
              <w:ind w:right="140"/>
              <w:spacing w:after="0"/>
              <w:rPr>
                <w:sz w:val="20"/>
                <w:szCs w:val="20"/>
                <w:color w:val="auto"/>
              </w:rPr>
            </w:pPr>
            <w:r>
              <w:rPr>
                <w:rFonts w:ascii="Arial" w:cs="Arial" w:eastAsia="Arial" w:hAnsi="Arial"/>
                <w:sz w:val="18"/>
                <w:szCs w:val="18"/>
                <w:color w:val="auto"/>
              </w:rPr>
              <w:t>131</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669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interest rate swaps</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(2,244)</w:t>
            </w: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(672)</w:t>
            </w:r>
          </w:p>
        </w:tc>
        <w:tc>
          <w:tcPr>
            <w:tcW w:w="15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(6,136)</w:t>
            </w:r>
          </w:p>
        </w:tc>
        <w:tc>
          <w:tcPr>
            <w:tcW w:w="1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other expenses, net</w:t>
            </w: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(14,404)</w:t>
            </w:r>
          </w:p>
        </w:tc>
        <w:tc>
          <w:tcPr>
            <w:tcW w:w="3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(12,680</w:t>
            </w:r>
          </w:p>
        </w:tc>
        <w:tc>
          <w:tcPr>
            <w:tcW w:w="280" w:type="dxa"/>
            <w:vAlign w:val="bottom"/>
            <w:tcBorders>
              <w:bottom w:val="single" w:sz="8" w:color="CCEEFF"/>
            </w:tcBorders>
          </w:tcPr>
          <w:p>
            <w:pPr>
              <w:jc w:val="right"/>
              <w:ind w:right="140"/>
              <w:spacing w:after="0"/>
              <w:rPr>
                <w:sz w:val="20"/>
                <w:szCs w:val="20"/>
                <w:color w:val="auto"/>
              </w:rPr>
            </w:pPr>
            <w:r>
              <w:rPr>
                <w:rFonts w:ascii="Arial" w:cs="Arial" w:eastAsia="Arial" w:hAnsi="Arial"/>
                <w:sz w:val="16"/>
                <w:szCs w:val="16"/>
                <w:color w:val="auto"/>
                <w:w w:val="74"/>
              </w:rPr>
              <w:t>)</w:t>
            </w:r>
          </w:p>
        </w:tc>
        <w:tc>
          <w:tcPr>
            <w:tcW w:w="1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(36,167)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(38,414)</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 for the period</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20,038</w:t>
            </w: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25,374</w:t>
            </w: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58,422</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76,411</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Less:</w:t>
            </w: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 attributable to GasLog’s operations</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(1,169)</w:t>
            </w: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15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(5,979)</w:t>
            </w:r>
          </w:p>
        </w:tc>
        <w:tc>
          <w:tcPr>
            <w:tcW w:w="1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(10,732)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Profit attributable to Partnership’s operations</w:t>
            </w:r>
          </w:p>
        </w:tc>
        <w:tc>
          <w:tcPr>
            <w:tcW w:w="1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18,869</w:t>
            </w:r>
          </w:p>
        </w:tc>
        <w:tc>
          <w:tcPr>
            <w:tcW w:w="3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25,299</w:t>
            </w:r>
          </w:p>
        </w:tc>
        <w:tc>
          <w:tcPr>
            <w:tcW w:w="28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52,443</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65,679</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500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Partnership’s profit attributable to:</w:t>
            </w: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Common units</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12,706</w:t>
            </w:r>
          </w:p>
        </w:tc>
        <w:tc>
          <w:tcPr>
            <w:tcW w:w="120" w:type="dxa"/>
            <w:vAlign w:val="bottom"/>
          </w:tcPr>
          <w:p>
            <w:pPr>
              <w:spacing w:after="0"/>
              <w:rPr>
                <w:sz w:val="18"/>
                <w:szCs w:val="18"/>
                <w:color w:val="auto"/>
              </w:rPr>
            </w:pP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20,941</w:t>
            </w:r>
          </w:p>
        </w:tc>
        <w:tc>
          <w:tcPr>
            <w:tcW w:w="1500" w:type="dxa"/>
            <w:vAlign w:val="bottom"/>
            <w:gridSpan w:val="4"/>
          </w:tcPr>
          <w:p>
            <w:pPr>
              <w:jc w:val="right"/>
              <w:ind w:right="140"/>
              <w:spacing w:after="0"/>
              <w:rPr>
                <w:sz w:val="20"/>
                <w:szCs w:val="20"/>
                <w:color w:val="auto"/>
              </w:rPr>
            </w:pPr>
            <w:r>
              <w:rPr>
                <w:rFonts w:ascii="Arial" w:cs="Arial" w:eastAsia="Arial" w:hAnsi="Arial"/>
                <w:sz w:val="18"/>
                <w:szCs w:val="18"/>
                <w:color w:val="auto"/>
              </w:rPr>
              <w:t>34,680</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53,014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units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15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14,970</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General partner units</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8"/>
                <w:szCs w:val="18"/>
                <w:color w:val="auto"/>
              </w:rPr>
            </w:pP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443</w:t>
            </w:r>
          </w:p>
        </w:tc>
        <w:tc>
          <w:tcPr>
            <w:tcW w:w="1500" w:type="dxa"/>
            <w:vAlign w:val="bottom"/>
            <w:gridSpan w:val="4"/>
          </w:tcPr>
          <w:p>
            <w:pPr>
              <w:jc w:val="right"/>
              <w:ind w:right="140"/>
              <w:spacing w:after="0"/>
              <w:rPr>
                <w:sz w:val="20"/>
                <w:szCs w:val="20"/>
                <w:color w:val="auto"/>
              </w:rPr>
            </w:pPr>
            <w:r>
              <w:rPr>
                <w:rFonts w:ascii="Arial" w:cs="Arial" w:eastAsia="Arial" w:hAnsi="Arial"/>
                <w:sz w:val="18"/>
                <w:szCs w:val="18"/>
                <w:color w:val="auto"/>
              </w:rPr>
              <w:t>1,049</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1,220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Incentive distribution rights</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707</w:t>
            </w: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815</w:t>
            </w:r>
          </w:p>
        </w:tc>
        <w:tc>
          <w:tcPr>
            <w:tcW w:w="15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1,744</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-3903345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-3903345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8" w:name="page9"/>
    <w:bookmarkEnd w:id="8"/>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gridSpan w:val="2"/>
          </w:tcPr>
          <w:p>
            <w:pPr>
              <w:spacing w:after="0"/>
              <w:rPr>
                <w:sz w:val="20"/>
                <w:szCs w:val="20"/>
                <w:color w:val="auto"/>
              </w:rPr>
            </w:pPr>
            <w:r>
              <w:rPr>
                <w:rFonts w:ascii="Arial" w:cs="Arial" w:eastAsia="Arial" w:hAnsi="Arial"/>
                <w:sz w:val="18"/>
                <w:szCs w:val="18"/>
                <w:color w:val="auto"/>
              </w:rPr>
              <w:t>Preference units</w:t>
            </w:r>
          </w:p>
        </w:tc>
        <w:tc>
          <w:tcPr>
            <w:tcW w:w="196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c>
          <w:tcPr>
            <w:tcW w:w="1680" w:type="dxa"/>
            <w:vAlign w:val="bottom"/>
          </w:tcPr>
          <w:p>
            <w:pPr>
              <w:jc w:val="right"/>
              <w:ind w:right="570"/>
              <w:spacing w:after="0"/>
              <w:rPr>
                <w:sz w:val="20"/>
                <w:szCs w:val="20"/>
                <w:color w:val="auto"/>
              </w:rPr>
            </w:pPr>
            <w:r>
              <w:rPr>
                <w:rFonts w:ascii="Arial" w:cs="Arial" w:eastAsia="Arial" w:hAnsi="Arial"/>
                <w:sz w:val="18"/>
                <w:szCs w:val="18"/>
                <w:color w:val="auto"/>
              </w:rPr>
              <w:t>3,100</w:t>
            </w: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Earnings per unit for the period (basic and diluted):</w:t>
            </w:r>
          </w:p>
        </w:tc>
        <w:tc>
          <w:tcPr>
            <w:tcW w:w="1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Common unit (basic and diluted)</w:t>
            </w:r>
          </w:p>
        </w:tc>
        <w:tc>
          <w:tcPr>
            <w:tcW w:w="19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0.54</w:t>
            </w:r>
          </w:p>
        </w:tc>
        <w:tc>
          <w:tcPr>
            <w:tcW w:w="16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0.53</w:t>
            </w:r>
          </w:p>
        </w:tc>
        <w:tc>
          <w:tcPr>
            <w:tcW w:w="16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1.55</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Subordinated unit</w:t>
            </w:r>
          </w:p>
        </w:tc>
        <w:tc>
          <w:tcPr>
            <w:tcW w:w="1960" w:type="dxa"/>
            <w:vAlign w:val="bottom"/>
          </w:tcPr>
          <w:p>
            <w:pPr>
              <w:jc w:val="right"/>
              <w:ind w:right="550"/>
              <w:spacing w:after="0"/>
              <w:rPr>
                <w:sz w:val="20"/>
                <w:szCs w:val="20"/>
                <w:color w:val="auto"/>
              </w:rPr>
            </w:pPr>
            <w:r>
              <w:rPr>
                <w:rFonts w:ascii="Arial" w:cs="Arial" w:eastAsia="Arial" w:hAnsi="Arial"/>
                <w:sz w:val="18"/>
                <w:szCs w:val="18"/>
                <w:color w:val="auto"/>
              </w:rPr>
              <w:t>0.52</w:t>
            </w:r>
          </w:p>
        </w:tc>
        <w:tc>
          <w:tcPr>
            <w:tcW w:w="1680" w:type="dxa"/>
            <w:vAlign w:val="bottom"/>
          </w:tcPr>
          <w:p>
            <w:pPr>
              <w:jc w:val="right"/>
              <w:ind w:right="570"/>
              <w:spacing w:after="0"/>
              <w:rPr>
                <w:sz w:val="20"/>
                <w:szCs w:val="20"/>
                <w:color w:val="auto"/>
              </w:rPr>
            </w:pPr>
            <w:r>
              <w:rPr>
                <w:rFonts w:ascii="Arial" w:cs="Arial" w:eastAsia="Arial" w:hAnsi="Arial"/>
                <w:sz w:val="18"/>
                <w:szCs w:val="18"/>
                <w:color w:val="auto"/>
              </w:rPr>
              <w:t>N/A</w:t>
            </w:r>
          </w:p>
        </w:tc>
        <w:tc>
          <w:tcPr>
            <w:tcW w:w="1600" w:type="dxa"/>
            <w:vAlign w:val="bottom"/>
          </w:tcPr>
          <w:p>
            <w:pPr>
              <w:jc w:val="right"/>
              <w:ind w:right="530"/>
              <w:spacing w:after="0"/>
              <w:rPr>
                <w:sz w:val="20"/>
                <w:szCs w:val="20"/>
                <w:color w:val="auto"/>
              </w:rPr>
            </w:pPr>
            <w:r>
              <w:rPr>
                <w:rFonts w:ascii="Arial" w:cs="Arial" w:eastAsia="Arial" w:hAnsi="Arial"/>
                <w:sz w:val="18"/>
                <w:szCs w:val="18"/>
                <w:color w:val="auto"/>
              </w:rPr>
              <w:t>1.52</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 unit</w:t>
            </w:r>
          </w:p>
        </w:tc>
        <w:tc>
          <w:tcPr>
            <w:tcW w:w="19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0.56</w:t>
            </w:r>
          </w:p>
        </w:tc>
        <w:tc>
          <w:tcPr>
            <w:tcW w:w="16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0.56</w:t>
            </w:r>
          </w:p>
        </w:tc>
        <w:tc>
          <w:tcPr>
            <w:tcW w:w="16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1.60</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2016 and September 30,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00" w:type="dxa"/>
            <w:vAlign w:val="bottom"/>
          </w:tcPr>
          <w:p>
            <w:pPr>
              <w:spacing w:after="0"/>
              <w:rPr>
                <w:sz w:val="14"/>
                <w:szCs w:val="14"/>
                <w:color w:val="auto"/>
              </w:rPr>
            </w:pPr>
          </w:p>
        </w:tc>
        <w:tc>
          <w:tcPr>
            <w:tcW w:w="312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For the nine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300" w:type="dxa"/>
            <w:vAlign w:val="bottom"/>
          </w:tcPr>
          <w:p>
            <w:pPr>
              <w:spacing w:after="0"/>
              <w:rPr>
                <w:sz w:val="10"/>
                <w:szCs w:val="10"/>
                <w:color w:val="auto"/>
              </w:rPr>
            </w:pPr>
          </w:p>
        </w:tc>
        <w:tc>
          <w:tcPr>
            <w:tcW w:w="1640" w:type="dxa"/>
            <w:vAlign w:val="bottom"/>
            <w:tcBorders>
              <w:top w:val="single" w:sz="8" w:color="auto"/>
            </w:tcBorders>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September 30,</w:t>
            </w:r>
          </w:p>
        </w:tc>
        <w:tc>
          <w:tcPr>
            <w:tcW w:w="1380" w:type="dxa"/>
            <w:vAlign w:val="bottom"/>
            <w:tcBorders>
              <w:top w:val="single" w:sz="8" w:color="auto"/>
            </w:tcBorders>
          </w:tcPr>
          <w:p>
            <w:pPr>
              <w:jc w:val="right"/>
              <w:ind w:right="171"/>
              <w:spacing w:after="0" w:line="119" w:lineRule="exact"/>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3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Profit for the period</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58,422</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76,411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Depreciation</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40,516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46,327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30,162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Financial income</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(131)</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(669)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interest rate swaps held for trading</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Recycled loss of cash flow hedges reclassified to profit or loss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2,527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134,370</w:t>
            </w:r>
          </w:p>
        </w:tc>
        <w:tc>
          <w:tcPr>
            <w:tcW w:w="2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160,175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Movements in working capital</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19,061</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provided by operations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153,431</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159,757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(21,954)</w:t>
            </w:r>
          </w:p>
        </w:tc>
        <w:tc>
          <w:tcPr>
            <w:tcW w:w="2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(35,600)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131,477</w:t>
            </w:r>
          </w:p>
        </w:tc>
        <w:tc>
          <w:tcPr>
            <w:tcW w:w="2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124,157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Payments for vessels’ additions</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(333,534)</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(1,799)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 received</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Maturity of short-term investments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in)/provided by investing activities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(333,419)</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3,297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0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Borrowings drawdowns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752,696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Borrowings repayments</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(475,664)</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(135,990)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Payment of loan issuance costs</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(10,669)</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Payments to GasLog in exchange for contributions of net assets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(121,554)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Proceeds from public offerings and issuances of common units and general partner units (net of underwriting</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discounts and commissions)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53,826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135,128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300" w:type="dxa"/>
            <w:vAlign w:val="bottom"/>
          </w:tcPr>
          <w:p>
            <w:pPr>
              <w:spacing w:after="0" w:line="201" w:lineRule="exact"/>
              <w:rPr>
                <w:sz w:val="20"/>
                <w:szCs w:val="20"/>
                <w:color w:val="auto"/>
              </w:rPr>
            </w:pPr>
            <w:r>
              <w:rPr>
                <w:rFonts w:ascii="Arial" w:cs="Arial" w:eastAsia="Arial" w:hAnsi="Arial"/>
                <w:sz w:val="18"/>
                <w:szCs w:val="18"/>
                <w:color w:val="auto"/>
              </w:rPr>
              <w:t>Proceeds from public offering and issuance of preference units (net of underwriting discounts and</w:t>
            </w:r>
          </w:p>
        </w:tc>
        <w:tc>
          <w:tcPr>
            <w:tcW w:w="164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180"/>
              <w:spacing w:after="0"/>
              <w:rPr>
                <w:sz w:val="20"/>
                <w:szCs w:val="20"/>
                <w:color w:val="auto"/>
              </w:rPr>
            </w:pPr>
            <w:r>
              <w:rPr>
                <w:rFonts w:ascii="Arial" w:cs="Arial" w:eastAsia="Arial" w:hAnsi="Arial"/>
                <w:sz w:val="18"/>
                <w:szCs w:val="18"/>
                <w:color w:val="auto"/>
              </w:rPr>
              <w:t>commissions)</w:t>
            </w:r>
          </w:p>
        </w:tc>
        <w:tc>
          <w:tcPr>
            <w:tcW w:w="1640" w:type="dxa"/>
            <w:vAlign w:val="bottom"/>
            <w:gridSpan w:val="2"/>
            <w:vMerge w:val="continue"/>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139,222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Payment of offering costs</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Payment for interest rate swaps’ termination</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(4,937)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paid</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(48,500)</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(64,804)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Dividend paid to GasLog before vessel dropdown</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(7,800)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258,680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9,281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Increase in cash and cash equivalents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56,738</w:t>
            </w:r>
          </w:p>
        </w:tc>
        <w:tc>
          <w:tcPr>
            <w:tcW w:w="2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136,735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the period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62,677</w:t>
            </w:r>
          </w:p>
        </w:tc>
        <w:tc>
          <w:tcPr>
            <w:tcW w:w="2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55,819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the period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119,415</w:t>
            </w:r>
          </w:p>
        </w:tc>
        <w:tc>
          <w:tcPr>
            <w:tcW w:w="28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192,554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tcPr>
          <w:p>
            <w:pPr>
              <w:ind w:left="5620"/>
              <w:spacing w:after="0"/>
              <w:rPr>
                <w:sz w:val="20"/>
                <w:szCs w:val="20"/>
                <w:color w:val="auto"/>
              </w:rPr>
            </w:pPr>
            <w:r>
              <w:rPr>
                <w:rFonts w:ascii="Arial" w:cs="Arial" w:eastAsia="Arial" w:hAnsi="Arial"/>
                <w:sz w:val="18"/>
                <w:szCs w:val="18"/>
                <w:color w:val="auto"/>
              </w:rPr>
              <w:t>12</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3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IFRS Common Control Reported Results in our Financial Statements to Partnership Performance Results: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Our Partnership Performance Results presented below are non-GAAP measures and exclude amounts related to GAS-seven Ltd. (the owner of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Seattle</w:t>
      </w:r>
      <w:r>
        <w:rPr>
          <w:rFonts w:ascii="Arial" w:cs="Arial" w:eastAsia="Arial" w:hAnsi="Arial"/>
          <w:sz w:val="18"/>
          <w:szCs w:val="18"/>
          <w:color w:val="auto"/>
        </w:rPr>
        <w:t>), GAS-eleven Ltd. (the owner of the</w:t>
      </w:r>
      <w:r>
        <w:rPr>
          <w:rFonts w:ascii="Arial" w:cs="Arial" w:eastAsia="Arial" w:hAnsi="Arial"/>
          <w:sz w:val="18"/>
          <w:szCs w:val="18"/>
          <w:i w:val="1"/>
          <w:iCs w:val="1"/>
          <w:color w:val="auto"/>
        </w:rPr>
        <w:t xml:space="preserve"> GasLog Greece</w:t>
      </w:r>
      <w:r>
        <w:rPr>
          <w:rFonts w:ascii="Arial" w:cs="Arial" w:eastAsia="Arial" w:hAnsi="Arial"/>
          <w:sz w:val="18"/>
          <w:szCs w:val="18"/>
          <w:color w:val="auto"/>
        </w:rPr>
        <w:t>) and GAS-thirteen Ltd. (the owner of the</w:t>
      </w:r>
      <w:r>
        <w:rPr>
          <w:rFonts w:ascii="Arial" w:cs="Arial" w:eastAsia="Arial" w:hAnsi="Arial"/>
          <w:sz w:val="18"/>
          <w:szCs w:val="18"/>
          <w:i w:val="1"/>
          <w:iCs w:val="1"/>
          <w:color w:val="auto"/>
        </w:rPr>
        <w:t xml:space="preserve"> GasLog Geneva</w:t>
      </w:r>
      <w:r>
        <w:rPr>
          <w:rFonts w:ascii="Arial" w:cs="Arial" w:eastAsia="Arial" w:hAnsi="Arial"/>
          <w:sz w:val="18"/>
          <w:szCs w:val="18"/>
          <w:color w:val="auto"/>
        </w:rPr>
        <w:t>), for the periods prior to their transfers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Partnership on November 1, 2016, May 3, 2017 and July 3, 2017, respectively. While such amounts are reflected in the Partnership’s unaudited condensed consolidated financial statements because the transfers to the Partnership were accounted for as reorganizations of entities under common control under IFRS, GAS-seven Ltd., GAS-eleven Ltd. and GAS-thirteen Ltd. were not owned by the Partnership prior to their respective transfers to the Partnership in November 2016, May 2017 and July 2017, and accordingly the Partnership was not entitled to the cash or results generated in the periods prior to such transfers.</w:t>
      </w:r>
    </w:p>
    <w:p>
      <w:pPr>
        <w:spacing w:after="0" w:line="189" w:lineRule="exact"/>
        <w:rPr>
          <w:sz w:val="20"/>
          <w:szCs w:val="20"/>
          <w:color w:val="auto"/>
        </w:rPr>
      </w:pPr>
    </w:p>
    <w:p>
      <w:pPr>
        <w:ind w:right="260" w:firstLine="41"/>
        <w:spacing w:after="0" w:line="312" w:lineRule="auto"/>
        <w:rPr>
          <w:sz w:val="20"/>
          <w:szCs w:val="20"/>
          <w:color w:val="auto"/>
        </w:rPr>
      </w:pPr>
      <w:r>
        <w:rPr>
          <w:rFonts w:ascii="Arial" w:cs="Arial" w:eastAsia="Arial" w:hAnsi="Arial"/>
          <w:sz w:val="16"/>
          <w:szCs w:val="16"/>
          <w:color w:val="auto"/>
        </w:rPr>
        <w:t>Our IFRS Common Control Reported Results presented below include the accounts of the Partnership and its subsidiaries. Transfers of vessel owning subsidiaries from GasLog are accounted for as reorganizations of entities under common control and the Partnership’s consolidated financial statements are restated to reflect such subsidiaries from the date of their incorporation by GasLog as they were under the common control of GasLog.</w:t>
      </w:r>
    </w:p>
    <w:p>
      <w:pPr>
        <w:sectPr>
          <w:pgSz w:w="11900" w:h="16925" w:orient="portrait"/>
          <w:cols w:equalWidth="0" w:num="1">
            <w:col w:w="11460"/>
          </w:cols>
          <w:pgMar w:left="240" w:top="121" w:right="199" w:bottom="0" w:gutter="0" w:footer="0" w:header="0"/>
        </w:sectPr>
      </w:pPr>
    </w:p>
    <w:bookmarkStart w:id="9" w:name="page10"/>
    <w:bookmarkEnd w:id="9"/>
    <w:p>
      <w:pPr>
        <w:ind w:right="320"/>
        <w:spacing w:after="0" w:line="276" w:lineRule="auto"/>
        <w:rPr>
          <w:sz w:val="20"/>
          <w:szCs w:val="20"/>
          <w:color w:val="auto"/>
        </w:rPr>
      </w:pPr>
      <w:r>
        <w:rPr>
          <w:rFonts w:ascii="Arial" w:cs="Arial" w:eastAsia="Arial" w:hAnsi="Arial"/>
          <w:sz w:val="17"/>
          <w:szCs w:val="17"/>
          <w:color w:val="auto"/>
        </w:rPr>
        <w:t>GasLog Partners believes that these non-GAAP financial measures provide meaningful supplemental information to both management and investors regarding the financial and operating performance of the Partnership which is necessary to understand the underlying basis for the calculations of the quarterly distribution and the earnings per unit, which similarly exclude the results of acquired vessels prior to their transfer to the Partnership. These non-GAAP financial measures should not be viewed in isolation or as substitutes for the equivalent GAAP measures presented in accordance with IFRS, but should be used in conjunction with the most directly comparable IFRS Common Control Reported Results.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20" w:type="dxa"/>
            <w:vAlign w:val="bottom"/>
            <w:gridSpan w:val="9"/>
          </w:tcPr>
          <w:p>
            <w:pPr>
              <w:jc w:val="center"/>
              <w:ind w:right="100"/>
              <w:spacing w:after="0"/>
              <w:rPr>
                <w:sz w:val="20"/>
                <w:szCs w:val="20"/>
                <w:color w:val="auto"/>
              </w:rPr>
            </w:pPr>
            <w:r>
              <w:rPr>
                <w:rFonts w:ascii="Arial" w:cs="Arial" w:eastAsia="Arial" w:hAnsi="Arial"/>
                <w:sz w:val="14"/>
                <w:szCs w:val="14"/>
                <w:b w:val="1"/>
                <w:bCs w:val="1"/>
                <w:color w:val="auto"/>
                <w:w w:val="91"/>
              </w:rPr>
              <w:t>For the three months ended September 30, 2016</w:t>
            </w:r>
          </w:p>
        </w:tc>
        <w:tc>
          <w:tcPr>
            <w:tcW w:w="860" w:type="dxa"/>
            <w:vAlign w:val="bottom"/>
          </w:tcPr>
          <w:p>
            <w:pPr>
              <w:spacing w:after="0"/>
              <w:rPr>
                <w:sz w:val="14"/>
                <w:szCs w:val="14"/>
                <w:color w:val="auto"/>
              </w:rPr>
            </w:pPr>
          </w:p>
        </w:tc>
      </w:tr>
      <w:tr>
        <w:trPr>
          <w:trHeight w:val="119"/>
        </w:trPr>
        <w:tc>
          <w:tcPr>
            <w:tcW w:w="4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6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3"/>
              </w:rPr>
              <w:t>Results</w:t>
            </w:r>
          </w:p>
        </w:tc>
        <w:tc>
          <w:tcPr>
            <w:tcW w:w="20" w:type="dxa"/>
            <w:vAlign w:val="bottom"/>
            <w:tcBorders>
              <w:top w:val="single" w:sz="8" w:color="auto"/>
            </w:tcBorders>
          </w:tcPr>
          <w:p>
            <w:pPr>
              <w:spacing w:after="0"/>
              <w:rPr>
                <w:sz w:val="10"/>
                <w:szCs w:val="10"/>
                <w:color w:val="auto"/>
              </w:rPr>
            </w:pPr>
          </w:p>
        </w:tc>
        <w:tc>
          <w:tcPr>
            <w:tcW w:w="2100" w:type="dxa"/>
            <w:vAlign w:val="bottom"/>
            <w:tcBorders>
              <w:top w:val="single" w:sz="8" w:color="auto"/>
            </w:tcBorders>
            <w:gridSpan w:val="4"/>
          </w:tcPr>
          <w:p>
            <w:pPr>
              <w:jc w:val="center"/>
              <w:ind w:right="540"/>
              <w:spacing w:after="0" w:line="119" w:lineRule="exact"/>
              <w:rPr>
                <w:sz w:val="20"/>
                <w:szCs w:val="20"/>
                <w:color w:val="auto"/>
              </w:rPr>
            </w:pPr>
            <w:r>
              <w:rPr>
                <w:rFonts w:ascii="Arial" w:cs="Arial" w:eastAsia="Arial" w:hAnsi="Arial"/>
                <w:sz w:val="13"/>
                <w:szCs w:val="13"/>
                <w:b w:val="1"/>
                <w:bCs w:val="1"/>
                <w:color w:val="auto"/>
                <w:w w:val="99"/>
              </w:rPr>
              <w:t>Partnership</w:t>
            </w:r>
          </w:p>
        </w:tc>
        <w:tc>
          <w:tcPr>
            <w:tcW w:w="1340" w:type="dxa"/>
            <w:vAlign w:val="bottom"/>
            <w:tcBorders>
              <w:top w:val="single" w:sz="8" w:color="auto"/>
            </w:tcBorders>
          </w:tcPr>
          <w:p>
            <w:pPr>
              <w:jc w:val="center"/>
              <w:ind w:right="154"/>
              <w:spacing w:after="0" w:line="119" w:lineRule="exact"/>
              <w:rPr>
                <w:sz w:val="20"/>
                <w:szCs w:val="20"/>
                <w:color w:val="auto"/>
              </w:rPr>
            </w:pPr>
            <w:r>
              <w:rPr>
                <w:rFonts w:ascii="Arial" w:cs="Arial" w:eastAsia="Arial" w:hAnsi="Arial"/>
                <w:sz w:val="13"/>
                <w:szCs w:val="13"/>
                <w:b w:val="1"/>
                <w:bCs w:val="1"/>
                <w:color w:val="auto"/>
              </w:rPr>
              <w:t>IFRS Common</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49"/>
        </w:trPr>
        <w:tc>
          <w:tcPr>
            <w:tcW w:w="4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attributable to</w:t>
            </w:r>
          </w:p>
        </w:tc>
        <w:tc>
          <w:tcPr>
            <w:tcW w:w="20" w:type="dxa"/>
            <w:vAlign w:val="bottom"/>
          </w:tcPr>
          <w:p>
            <w:pPr>
              <w:spacing w:after="0"/>
              <w:rPr>
                <w:sz w:val="12"/>
                <w:szCs w:val="12"/>
                <w:color w:val="auto"/>
              </w:rPr>
            </w:pPr>
          </w:p>
        </w:tc>
        <w:tc>
          <w:tcPr>
            <w:tcW w:w="210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Control</w:t>
            </w:r>
          </w:p>
        </w:tc>
        <w:tc>
          <w:tcPr>
            <w:tcW w:w="860" w:type="dxa"/>
            <w:vAlign w:val="bottom"/>
          </w:tcPr>
          <w:p>
            <w:pPr>
              <w:spacing w:after="0"/>
              <w:rPr>
                <w:sz w:val="12"/>
                <w:szCs w:val="12"/>
                <w:color w:val="auto"/>
              </w:rPr>
            </w:pPr>
          </w:p>
        </w:tc>
      </w:tr>
      <w:tr>
        <w:trPr>
          <w:trHeight w:val="171"/>
        </w:trPr>
        <w:tc>
          <w:tcPr>
            <w:tcW w:w="518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(All amounts expressed in thousands of U.S. dollars)</w:t>
            </w: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GasLog</w:t>
            </w:r>
          </w:p>
        </w:tc>
        <w:tc>
          <w:tcPr>
            <w:tcW w:w="20" w:type="dxa"/>
            <w:vAlign w:val="bottom"/>
          </w:tcPr>
          <w:p>
            <w:pPr>
              <w:spacing w:after="0"/>
              <w:rPr>
                <w:sz w:val="14"/>
                <w:szCs w:val="14"/>
                <w:color w:val="auto"/>
              </w:rPr>
            </w:pPr>
          </w:p>
        </w:tc>
        <w:tc>
          <w:tcPr>
            <w:tcW w:w="210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6"/>
              </w:rPr>
              <w:t>Results</w:t>
            </w: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Reported Results</w:t>
            </w:r>
          </w:p>
        </w:tc>
        <w:tc>
          <w:tcPr>
            <w:tcW w:w="860" w:type="dxa"/>
            <w:vAlign w:val="bottom"/>
          </w:tcPr>
          <w:p>
            <w:pPr>
              <w:spacing w:after="0"/>
              <w:rPr>
                <w:sz w:val="14"/>
                <w:szCs w:val="14"/>
                <w:color w:val="auto"/>
              </w:rPr>
            </w:pPr>
          </w:p>
        </w:tc>
      </w:tr>
      <w:tr>
        <w:trPr>
          <w:trHeight w:val="210"/>
        </w:trPr>
        <w:tc>
          <w:tcPr>
            <w:tcW w:w="49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14,581</w:t>
            </w:r>
          </w:p>
        </w:tc>
        <w:tc>
          <w:tcPr>
            <w:tcW w:w="26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51,452</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66,033</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180" w:type="dxa"/>
            <w:vAlign w:val="bottom"/>
            <w:gridSpan w:val="5"/>
          </w:tcPr>
          <w:p>
            <w:pPr>
              <w:spacing w:after="0"/>
              <w:rPr>
                <w:sz w:val="20"/>
                <w:szCs w:val="20"/>
                <w:color w:val="auto"/>
              </w:rPr>
            </w:pPr>
            <w:r>
              <w:rPr>
                <w:rFonts w:ascii="Arial" w:cs="Arial" w:eastAsia="Arial" w:hAnsi="Arial"/>
                <w:sz w:val="18"/>
                <w:szCs w:val="18"/>
                <w:color w:val="auto"/>
              </w:rPr>
              <w:t>Vessel operating costs</w:t>
            </w: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(2,714)</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(10,822)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(13,536)</w:t>
            </w:r>
          </w:p>
        </w:tc>
        <w:tc>
          <w:tcPr>
            <w:tcW w:w="860" w:type="dxa"/>
            <w:vAlign w:val="bottom"/>
          </w:tcPr>
          <w:p>
            <w:pPr>
              <w:spacing w:after="0"/>
              <w:rPr>
                <w:sz w:val="18"/>
                <w:szCs w:val="18"/>
                <w:color w:val="auto"/>
              </w:rPr>
            </w:pPr>
          </w:p>
        </w:tc>
      </w:tr>
      <w:tr>
        <w:trPr>
          <w:trHeight w:val="216"/>
        </w:trPr>
        <w:tc>
          <w:tcPr>
            <w:tcW w:w="51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Voyage expenses and commissions</w:t>
            </w: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(644)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(849)</w:t>
            </w:r>
          </w:p>
        </w:tc>
        <w:tc>
          <w:tcPr>
            <w:tcW w:w="860" w:type="dxa"/>
            <w:vAlign w:val="bottom"/>
          </w:tcPr>
          <w:p>
            <w:pPr>
              <w:spacing w:after="0"/>
              <w:rPr>
                <w:sz w:val="18"/>
                <w:szCs w:val="18"/>
                <w:color w:val="auto"/>
              </w:rPr>
            </w:pPr>
          </w:p>
        </w:tc>
      </w:tr>
      <w:tr>
        <w:trPr>
          <w:trHeight w:val="216"/>
        </w:trPr>
        <w:tc>
          <w:tcPr>
            <w:tcW w:w="5180" w:type="dxa"/>
            <w:vAlign w:val="bottom"/>
            <w:gridSpan w:val="5"/>
          </w:tcPr>
          <w:p>
            <w:pPr>
              <w:spacing w:after="0"/>
              <w:rPr>
                <w:sz w:val="20"/>
                <w:szCs w:val="20"/>
                <w:color w:val="auto"/>
              </w:rPr>
            </w:pPr>
            <w:r>
              <w:rPr>
                <w:rFonts w:ascii="Arial" w:cs="Arial" w:eastAsia="Arial" w:hAnsi="Arial"/>
                <w:sz w:val="18"/>
                <w:szCs w:val="18"/>
                <w:color w:val="auto"/>
              </w:rPr>
              <w:t>Depreciation</w:t>
            </w: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(2,960)</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(11,116)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(14,076)</w:t>
            </w:r>
          </w:p>
        </w:tc>
        <w:tc>
          <w:tcPr>
            <w:tcW w:w="860" w:type="dxa"/>
            <w:vAlign w:val="bottom"/>
          </w:tcPr>
          <w:p>
            <w:pPr>
              <w:spacing w:after="0"/>
              <w:rPr>
                <w:sz w:val="18"/>
                <w:szCs w:val="18"/>
                <w:color w:val="auto"/>
              </w:rPr>
            </w:pPr>
          </w:p>
        </w:tc>
      </w:tr>
      <w:tr>
        <w:trPr>
          <w:trHeight w:val="216"/>
        </w:trPr>
        <w:tc>
          <w:tcPr>
            <w:tcW w:w="51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(378)</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(2,752)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(3,130)</w:t>
            </w:r>
          </w:p>
        </w:tc>
        <w:tc>
          <w:tcPr>
            <w:tcW w:w="860" w:type="dxa"/>
            <w:vAlign w:val="bottom"/>
          </w:tcPr>
          <w:p>
            <w:pPr>
              <w:spacing w:after="0"/>
              <w:rPr>
                <w:sz w:val="18"/>
                <w:szCs w:val="18"/>
                <w:color w:val="auto"/>
              </w:rPr>
            </w:pPr>
          </w:p>
        </w:tc>
      </w:tr>
      <w:tr>
        <w:trPr>
          <w:trHeight w:val="210"/>
        </w:trPr>
        <w:tc>
          <w:tcPr>
            <w:tcW w:w="518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b w:val="1"/>
                <w:bCs w:val="1"/>
                <w:color w:val="auto"/>
              </w:rPr>
              <w:t>Profit from operations</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8,324</w:t>
            </w:r>
          </w:p>
        </w:tc>
        <w:tc>
          <w:tcPr>
            <w:tcW w:w="260" w:type="dxa"/>
            <w:vAlign w:val="bottom"/>
            <w:tcBorders>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26,118</w:t>
            </w:r>
          </w:p>
        </w:tc>
        <w:tc>
          <w:tcPr>
            <w:tcW w:w="26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34,442</w:t>
            </w:r>
          </w:p>
        </w:tc>
        <w:tc>
          <w:tcPr>
            <w:tcW w:w="100" w:type="dxa"/>
            <w:vAlign w:val="bottom"/>
            <w:tcBorders>
              <w:bottom w:val="single" w:sz="8" w:color="CCEEFF"/>
            </w:tcBorders>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51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w:t>
            </w: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(7,333)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(12,249)</w:t>
            </w: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180" w:type="dxa"/>
            <w:vAlign w:val="bottom"/>
            <w:gridSpan w:val="5"/>
          </w:tcPr>
          <w:p>
            <w:pPr>
              <w:spacing w:after="0"/>
              <w:rPr>
                <w:sz w:val="20"/>
                <w:szCs w:val="20"/>
                <w:color w:val="auto"/>
              </w:rPr>
            </w:pPr>
            <w:r>
              <w:rPr>
                <w:rFonts w:ascii="Arial" w:cs="Arial" w:eastAsia="Arial" w:hAnsi="Arial"/>
                <w:sz w:val="18"/>
                <w:szCs w:val="18"/>
                <w:color w:val="auto"/>
              </w:rPr>
              <w:t>Financial income</w:t>
            </w:r>
          </w:p>
        </w:tc>
        <w:tc>
          <w:tcPr>
            <w:tcW w:w="186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1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Loss on interest rate swaps</w:t>
            </w: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(2,244)</w:t>
            </w:r>
          </w:p>
        </w:tc>
        <w:tc>
          <w:tcPr>
            <w:tcW w:w="20" w:type="dxa"/>
            <w:vAlign w:val="bottom"/>
            <w:shd w:val="clear" w:color="auto" w:fill="CCEEFF"/>
          </w:tcPr>
          <w:p>
            <w:pPr>
              <w:spacing w:after="0"/>
              <w:rPr>
                <w:sz w:val="18"/>
                <w:szCs w:val="18"/>
                <w:color w:val="auto"/>
              </w:rPr>
            </w:pPr>
          </w:p>
        </w:tc>
        <w:tc>
          <w:tcPr>
            <w:tcW w:w="210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(2,244)</w:t>
            </w:r>
          </w:p>
        </w:tc>
        <w:tc>
          <w:tcPr>
            <w:tcW w:w="860" w:type="dxa"/>
            <w:vAlign w:val="bottom"/>
          </w:tcPr>
          <w:p>
            <w:pPr>
              <w:spacing w:after="0"/>
              <w:rPr>
                <w:sz w:val="18"/>
                <w:szCs w:val="18"/>
                <w:color w:val="auto"/>
              </w:rPr>
            </w:pPr>
          </w:p>
        </w:tc>
      </w:tr>
      <w:tr>
        <w:trPr>
          <w:trHeight w:val="210"/>
        </w:trPr>
        <w:tc>
          <w:tcPr>
            <w:tcW w:w="518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b w:val="1"/>
                <w:bCs w:val="1"/>
                <w:color w:val="auto"/>
              </w:rPr>
              <w:t>Total other expenses, net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(7,155)</w:t>
            </w:r>
          </w:p>
        </w:tc>
        <w:tc>
          <w:tcPr>
            <w:tcW w:w="260" w:type="dxa"/>
            <w:vAlign w:val="bottom"/>
            <w:tcBorders>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(7,249)</w:t>
            </w:r>
          </w:p>
        </w:tc>
        <w:tc>
          <w:tcPr>
            <w:tcW w:w="26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(14,404)</w:t>
            </w:r>
          </w:p>
        </w:tc>
        <w:tc>
          <w:tcPr>
            <w:tcW w:w="100" w:type="dxa"/>
            <w:vAlign w:val="bottom"/>
            <w:tcBorders>
              <w:bottom w:val="single" w:sz="8" w:color="CCEEFF"/>
            </w:tcBorders>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51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b w:val="1"/>
                <w:bCs w:val="1"/>
                <w:color w:val="auto"/>
              </w:rPr>
              <w:t>Profit for the period</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1,169</w:t>
            </w:r>
          </w:p>
        </w:tc>
        <w:tc>
          <w:tcPr>
            <w:tcW w:w="26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18,869</w:t>
            </w: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20,038</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45"/>
        </w:trPr>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80" w:type="dxa"/>
            <w:vAlign w:val="bottom"/>
            <w:tcBorders>
              <w:bottom w:val="single" w:sz="8" w:color="auto"/>
            </w:tcBorders>
            <w:gridSpan w:val="7"/>
          </w:tcPr>
          <w:p>
            <w:pPr>
              <w:jc w:val="center"/>
              <w:ind w:left="1255"/>
              <w:spacing w:after="0"/>
              <w:rPr>
                <w:sz w:val="20"/>
                <w:szCs w:val="20"/>
                <w:color w:val="auto"/>
              </w:rPr>
            </w:pPr>
            <w:r>
              <w:rPr>
                <w:rFonts w:ascii="Arial" w:cs="Arial" w:eastAsia="Arial" w:hAnsi="Arial"/>
                <w:sz w:val="14"/>
                <w:szCs w:val="14"/>
                <w:b w:val="1"/>
                <w:bCs w:val="1"/>
                <w:color w:val="auto"/>
                <w:w w:val="91"/>
              </w:rPr>
              <w:t>For the three months ended June 30, 2017</w:t>
            </w: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9"/>
        </w:trPr>
        <w:tc>
          <w:tcPr>
            <w:tcW w:w="4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3"/>
              </w:rPr>
              <w:t>Results</w:t>
            </w:r>
          </w:p>
        </w:tc>
        <w:tc>
          <w:tcPr>
            <w:tcW w:w="20" w:type="dxa"/>
            <w:vAlign w:val="bottom"/>
          </w:tcPr>
          <w:p>
            <w:pPr>
              <w:spacing w:after="0"/>
              <w:rPr>
                <w:sz w:val="10"/>
                <w:szCs w:val="10"/>
                <w:color w:val="auto"/>
              </w:rPr>
            </w:pPr>
          </w:p>
        </w:tc>
        <w:tc>
          <w:tcPr>
            <w:tcW w:w="2100" w:type="dxa"/>
            <w:vAlign w:val="bottom"/>
            <w:gridSpan w:val="4"/>
          </w:tcPr>
          <w:p>
            <w:pPr>
              <w:jc w:val="center"/>
              <w:ind w:right="520"/>
              <w:spacing w:after="0" w:line="119" w:lineRule="exact"/>
              <w:rPr>
                <w:sz w:val="20"/>
                <w:szCs w:val="20"/>
                <w:color w:val="auto"/>
              </w:rPr>
            </w:pPr>
            <w:r>
              <w:rPr>
                <w:rFonts w:ascii="Arial" w:cs="Arial" w:eastAsia="Arial" w:hAnsi="Arial"/>
                <w:sz w:val="13"/>
                <w:szCs w:val="13"/>
                <w:b w:val="1"/>
                <w:bCs w:val="1"/>
                <w:color w:val="auto"/>
              </w:rPr>
              <w:t>Partnership</w:t>
            </w:r>
          </w:p>
        </w:tc>
        <w:tc>
          <w:tcPr>
            <w:tcW w:w="1340" w:type="dxa"/>
            <w:vAlign w:val="bottom"/>
          </w:tcPr>
          <w:p>
            <w:pPr>
              <w:jc w:val="center"/>
              <w:ind w:right="154"/>
              <w:spacing w:after="0" w:line="119" w:lineRule="exact"/>
              <w:rPr>
                <w:sz w:val="20"/>
                <w:szCs w:val="20"/>
                <w:color w:val="auto"/>
              </w:rPr>
            </w:pPr>
            <w:r>
              <w:rPr>
                <w:rFonts w:ascii="Arial" w:cs="Arial" w:eastAsia="Arial" w:hAnsi="Arial"/>
                <w:sz w:val="13"/>
                <w:szCs w:val="13"/>
                <w:b w:val="1"/>
                <w:bCs w:val="1"/>
                <w:color w:val="auto"/>
              </w:rPr>
              <w:t>IFRS Common</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49"/>
        </w:trPr>
        <w:tc>
          <w:tcPr>
            <w:tcW w:w="4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attributable to</w:t>
            </w:r>
          </w:p>
        </w:tc>
        <w:tc>
          <w:tcPr>
            <w:tcW w:w="20" w:type="dxa"/>
            <w:vAlign w:val="bottom"/>
          </w:tcPr>
          <w:p>
            <w:pPr>
              <w:spacing w:after="0"/>
              <w:rPr>
                <w:sz w:val="12"/>
                <w:szCs w:val="12"/>
                <w:color w:val="auto"/>
              </w:rPr>
            </w:pPr>
          </w:p>
        </w:tc>
        <w:tc>
          <w:tcPr>
            <w:tcW w:w="210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4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Control</w:t>
            </w:r>
          </w:p>
        </w:tc>
        <w:tc>
          <w:tcPr>
            <w:tcW w:w="860" w:type="dxa"/>
            <w:vAlign w:val="bottom"/>
          </w:tcPr>
          <w:p>
            <w:pPr>
              <w:spacing w:after="0"/>
              <w:rPr>
                <w:sz w:val="12"/>
                <w:szCs w:val="12"/>
                <w:color w:val="auto"/>
              </w:rPr>
            </w:pPr>
          </w:p>
        </w:tc>
      </w:tr>
      <w:tr>
        <w:trPr>
          <w:trHeight w:val="171"/>
        </w:trPr>
        <w:tc>
          <w:tcPr>
            <w:tcW w:w="518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(All amounts expressed in thousands of U.S. dollars)</w:t>
            </w: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GasLog</w:t>
            </w:r>
          </w:p>
        </w:tc>
        <w:tc>
          <w:tcPr>
            <w:tcW w:w="20" w:type="dxa"/>
            <w:vAlign w:val="bottom"/>
          </w:tcPr>
          <w:p>
            <w:pPr>
              <w:spacing w:after="0"/>
              <w:rPr>
                <w:sz w:val="14"/>
                <w:szCs w:val="14"/>
                <w:color w:val="auto"/>
              </w:rPr>
            </w:pPr>
          </w:p>
        </w:tc>
        <w:tc>
          <w:tcPr>
            <w:tcW w:w="210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0"/>
              </w:rPr>
              <w:t>Results</w:t>
            </w: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Reported Results</w:t>
            </w:r>
          </w:p>
        </w:tc>
        <w:tc>
          <w:tcPr>
            <w:tcW w:w="860" w:type="dxa"/>
            <w:vAlign w:val="bottom"/>
          </w:tcPr>
          <w:p>
            <w:pPr>
              <w:spacing w:after="0"/>
              <w:rPr>
                <w:sz w:val="14"/>
                <w:szCs w:val="14"/>
                <w:color w:val="auto"/>
              </w:rPr>
            </w:pPr>
          </w:p>
        </w:tc>
      </w:tr>
      <w:tr>
        <w:trPr>
          <w:trHeight w:val="210"/>
        </w:trPr>
        <w:tc>
          <w:tcPr>
            <w:tcW w:w="48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10,059</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62,582</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72,641</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180" w:type="dxa"/>
            <w:vAlign w:val="bottom"/>
            <w:gridSpan w:val="5"/>
          </w:tcPr>
          <w:p>
            <w:pPr>
              <w:spacing w:after="0"/>
              <w:rPr>
                <w:sz w:val="20"/>
                <w:szCs w:val="20"/>
                <w:color w:val="auto"/>
              </w:rPr>
            </w:pPr>
            <w:r>
              <w:rPr>
                <w:rFonts w:ascii="Arial" w:cs="Arial" w:eastAsia="Arial" w:hAnsi="Arial"/>
                <w:sz w:val="18"/>
                <w:szCs w:val="18"/>
                <w:color w:val="auto"/>
              </w:rPr>
              <w:t>Vessel operating costs</w:t>
            </w: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(1,632)</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(13,309)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(14,941)</w:t>
            </w:r>
          </w:p>
        </w:tc>
        <w:tc>
          <w:tcPr>
            <w:tcW w:w="860" w:type="dxa"/>
            <w:vAlign w:val="bottom"/>
          </w:tcPr>
          <w:p>
            <w:pPr>
              <w:spacing w:after="0"/>
              <w:rPr>
                <w:sz w:val="18"/>
                <w:szCs w:val="18"/>
                <w:color w:val="auto"/>
              </w:rPr>
            </w:pPr>
          </w:p>
        </w:tc>
      </w:tr>
      <w:tr>
        <w:trPr>
          <w:trHeight w:val="216"/>
        </w:trPr>
        <w:tc>
          <w:tcPr>
            <w:tcW w:w="51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Voyage expenses and commissions</w:t>
            </w: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(786)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(911)</w:t>
            </w:r>
          </w:p>
        </w:tc>
        <w:tc>
          <w:tcPr>
            <w:tcW w:w="860" w:type="dxa"/>
            <w:vAlign w:val="bottom"/>
          </w:tcPr>
          <w:p>
            <w:pPr>
              <w:spacing w:after="0"/>
              <w:rPr>
                <w:sz w:val="18"/>
                <w:szCs w:val="18"/>
                <w:color w:val="auto"/>
              </w:rPr>
            </w:pPr>
          </w:p>
        </w:tc>
      </w:tr>
      <w:tr>
        <w:trPr>
          <w:trHeight w:val="216"/>
        </w:trPr>
        <w:tc>
          <w:tcPr>
            <w:tcW w:w="5180" w:type="dxa"/>
            <w:vAlign w:val="bottom"/>
            <w:gridSpan w:val="5"/>
          </w:tcPr>
          <w:p>
            <w:pPr>
              <w:spacing w:after="0"/>
              <w:rPr>
                <w:sz w:val="20"/>
                <w:szCs w:val="20"/>
                <w:color w:val="auto"/>
              </w:rPr>
            </w:pPr>
            <w:r>
              <w:rPr>
                <w:rFonts w:ascii="Arial" w:cs="Arial" w:eastAsia="Arial" w:hAnsi="Arial"/>
                <w:sz w:val="18"/>
                <w:szCs w:val="18"/>
                <w:color w:val="auto"/>
              </w:rPr>
              <w:t>Depreciation</w:t>
            </w: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(1,975)</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(13,466)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(15,441)</w:t>
            </w:r>
          </w:p>
        </w:tc>
        <w:tc>
          <w:tcPr>
            <w:tcW w:w="860" w:type="dxa"/>
            <w:vAlign w:val="bottom"/>
          </w:tcPr>
          <w:p>
            <w:pPr>
              <w:spacing w:after="0"/>
              <w:rPr>
                <w:sz w:val="18"/>
                <w:szCs w:val="18"/>
                <w:color w:val="auto"/>
              </w:rPr>
            </w:pPr>
          </w:p>
        </w:tc>
      </w:tr>
      <w:tr>
        <w:trPr>
          <w:trHeight w:val="216"/>
        </w:trPr>
        <w:tc>
          <w:tcPr>
            <w:tcW w:w="51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(3,267)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(3,398)</w:t>
            </w:r>
          </w:p>
        </w:tc>
        <w:tc>
          <w:tcPr>
            <w:tcW w:w="860" w:type="dxa"/>
            <w:vAlign w:val="bottom"/>
          </w:tcPr>
          <w:p>
            <w:pPr>
              <w:spacing w:after="0"/>
              <w:rPr>
                <w:sz w:val="18"/>
                <w:szCs w:val="18"/>
                <w:color w:val="auto"/>
              </w:rPr>
            </w:pPr>
          </w:p>
        </w:tc>
      </w:tr>
      <w:tr>
        <w:trPr>
          <w:trHeight w:val="210"/>
        </w:trPr>
        <w:tc>
          <w:tcPr>
            <w:tcW w:w="518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b w:val="1"/>
                <w:bCs w:val="1"/>
                <w:color w:val="auto"/>
              </w:rPr>
              <w:t>Profit from operations</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6,196</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31,754</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37,950</w:t>
            </w:r>
          </w:p>
        </w:tc>
        <w:tc>
          <w:tcPr>
            <w:tcW w:w="100" w:type="dxa"/>
            <w:vAlign w:val="bottom"/>
            <w:tcBorders>
              <w:bottom w:val="single" w:sz="8" w:color="CCEEFF"/>
            </w:tcBorders>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51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(12,229)</w:t>
            </w: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180" w:type="dxa"/>
            <w:vAlign w:val="bottom"/>
            <w:gridSpan w:val="5"/>
          </w:tcPr>
          <w:p>
            <w:pPr>
              <w:spacing w:after="0"/>
              <w:rPr>
                <w:sz w:val="20"/>
                <w:szCs w:val="20"/>
                <w:color w:val="auto"/>
              </w:rPr>
            </w:pPr>
            <w:r>
              <w:rPr>
                <w:rFonts w:ascii="Arial" w:cs="Arial" w:eastAsia="Arial" w:hAnsi="Arial"/>
                <w:sz w:val="18"/>
                <w:szCs w:val="18"/>
                <w:color w:val="auto"/>
              </w:rPr>
              <w:t>Financial income</w:t>
            </w:r>
          </w:p>
        </w:tc>
        <w:tc>
          <w:tcPr>
            <w:tcW w:w="186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1860" w:type="dxa"/>
            <w:vAlign w:val="bottom"/>
            <w:gridSpan w:val="3"/>
          </w:tcPr>
          <w:p>
            <w:pPr>
              <w:jc w:val="right"/>
              <w:ind w:right="260"/>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860" w:type="dxa"/>
            <w:vAlign w:val="bottom"/>
          </w:tcPr>
          <w:p>
            <w:pPr>
              <w:spacing w:after="0"/>
              <w:rPr>
                <w:sz w:val="18"/>
                <w:szCs w:val="18"/>
                <w:color w:val="auto"/>
              </w:rPr>
            </w:pPr>
          </w:p>
        </w:tc>
      </w:tr>
      <w:tr>
        <w:trPr>
          <w:trHeight w:val="216"/>
        </w:trPr>
        <w:tc>
          <w:tcPr>
            <w:tcW w:w="51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Loss on interest rate swaps</w:t>
            </w:r>
          </w:p>
        </w:tc>
        <w:tc>
          <w:tcPr>
            <w:tcW w:w="1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(2,336)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(2,336)</w:t>
            </w:r>
          </w:p>
        </w:tc>
        <w:tc>
          <w:tcPr>
            <w:tcW w:w="860" w:type="dxa"/>
            <w:vAlign w:val="bottom"/>
          </w:tcPr>
          <w:p>
            <w:pPr>
              <w:spacing w:after="0"/>
              <w:rPr>
                <w:sz w:val="18"/>
                <w:szCs w:val="18"/>
                <w:color w:val="auto"/>
              </w:rPr>
            </w:pPr>
          </w:p>
        </w:tc>
      </w:tr>
      <w:tr>
        <w:trPr>
          <w:trHeight w:val="210"/>
        </w:trPr>
        <w:tc>
          <w:tcPr>
            <w:tcW w:w="518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b w:val="1"/>
                <w:bCs w:val="1"/>
                <w:color w:val="auto"/>
              </w:rPr>
              <w:t>Total other expenses, net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(1,935)</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(12,396)</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(14,331)</w:t>
            </w:r>
          </w:p>
        </w:tc>
        <w:tc>
          <w:tcPr>
            <w:tcW w:w="100" w:type="dxa"/>
            <w:vAlign w:val="bottom"/>
            <w:tcBorders>
              <w:bottom w:val="single" w:sz="8" w:color="CCEEFF"/>
            </w:tcBorders>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51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b w:val="1"/>
                <w:bCs w:val="1"/>
                <w:color w:val="auto"/>
              </w:rPr>
              <w:t>Profit for the period</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4,261</w:t>
            </w: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19,358</w:t>
            </w: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23,619</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13"/>
        </w:trPr>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jc w:val="right"/>
              <w:ind w:right="895"/>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32"/>
        </w:trPr>
        <w:tc>
          <w:tcPr>
            <w:tcW w:w="4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20" w:type="dxa"/>
            <w:vAlign w:val="bottom"/>
            <w:tcBorders>
              <w:bottom w:val="single" w:sz="8" w:color="808080"/>
            </w:tcBorders>
            <w:gridSpan w:val="9"/>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r>
      <w:tr>
        <w:trPr>
          <w:trHeight w:val="713"/>
        </w:trPr>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20" w:type="dxa"/>
            <w:vAlign w:val="bottom"/>
            <w:gridSpan w:val="9"/>
          </w:tcPr>
          <w:p>
            <w:pPr>
              <w:jc w:val="center"/>
              <w:ind w:right="140"/>
              <w:spacing w:after="0"/>
              <w:rPr>
                <w:sz w:val="20"/>
                <w:szCs w:val="20"/>
                <w:color w:val="auto"/>
              </w:rPr>
            </w:pPr>
            <w:r>
              <w:rPr>
                <w:rFonts w:ascii="Arial" w:cs="Arial" w:eastAsia="Arial" w:hAnsi="Arial"/>
                <w:sz w:val="14"/>
                <w:szCs w:val="14"/>
                <w:b w:val="1"/>
                <w:bCs w:val="1"/>
                <w:color w:val="auto"/>
                <w:w w:val="91"/>
              </w:rPr>
              <w:t>For the three months ended September 30, 2017</w:t>
            </w:r>
          </w:p>
        </w:tc>
        <w:tc>
          <w:tcPr>
            <w:tcW w:w="860" w:type="dxa"/>
            <w:vAlign w:val="bottom"/>
          </w:tcPr>
          <w:p>
            <w:pPr>
              <w:spacing w:after="0"/>
              <w:rPr>
                <w:sz w:val="24"/>
                <w:szCs w:val="24"/>
                <w:color w:val="auto"/>
              </w:rPr>
            </w:pPr>
          </w:p>
        </w:tc>
      </w:tr>
      <w:tr>
        <w:trPr>
          <w:trHeight w:val="119"/>
        </w:trPr>
        <w:tc>
          <w:tcPr>
            <w:tcW w:w="4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86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3"/>
              </w:rPr>
              <w:t>Results</w:t>
            </w:r>
          </w:p>
        </w:tc>
        <w:tc>
          <w:tcPr>
            <w:tcW w:w="20" w:type="dxa"/>
            <w:vAlign w:val="bottom"/>
            <w:tcBorders>
              <w:top w:val="single" w:sz="8" w:color="auto"/>
            </w:tcBorders>
          </w:tcPr>
          <w:p>
            <w:pPr>
              <w:spacing w:after="0"/>
              <w:rPr>
                <w:sz w:val="10"/>
                <w:szCs w:val="10"/>
                <w:color w:val="auto"/>
              </w:rPr>
            </w:pPr>
          </w:p>
        </w:tc>
        <w:tc>
          <w:tcPr>
            <w:tcW w:w="2100" w:type="dxa"/>
            <w:vAlign w:val="bottom"/>
            <w:tcBorders>
              <w:top w:val="single" w:sz="8" w:color="auto"/>
            </w:tcBorders>
            <w:gridSpan w:val="4"/>
          </w:tcPr>
          <w:p>
            <w:pPr>
              <w:jc w:val="center"/>
              <w:ind w:right="520"/>
              <w:spacing w:after="0" w:line="119" w:lineRule="exact"/>
              <w:rPr>
                <w:sz w:val="20"/>
                <w:szCs w:val="20"/>
                <w:color w:val="auto"/>
              </w:rPr>
            </w:pPr>
            <w:r>
              <w:rPr>
                <w:rFonts w:ascii="Arial" w:cs="Arial" w:eastAsia="Arial" w:hAnsi="Arial"/>
                <w:sz w:val="13"/>
                <w:szCs w:val="13"/>
                <w:b w:val="1"/>
                <w:bCs w:val="1"/>
                <w:color w:val="auto"/>
              </w:rPr>
              <w:t>Partnership</w:t>
            </w:r>
          </w:p>
        </w:tc>
        <w:tc>
          <w:tcPr>
            <w:tcW w:w="1340" w:type="dxa"/>
            <w:vAlign w:val="bottom"/>
            <w:tcBorders>
              <w:top w:val="single" w:sz="8" w:color="auto"/>
            </w:tcBorders>
          </w:tcPr>
          <w:p>
            <w:pPr>
              <w:jc w:val="center"/>
              <w:ind w:right="154"/>
              <w:spacing w:after="0" w:line="119" w:lineRule="exact"/>
              <w:rPr>
                <w:sz w:val="20"/>
                <w:szCs w:val="20"/>
                <w:color w:val="auto"/>
              </w:rPr>
            </w:pPr>
            <w:r>
              <w:rPr>
                <w:rFonts w:ascii="Arial" w:cs="Arial" w:eastAsia="Arial" w:hAnsi="Arial"/>
                <w:sz w:val="13"/>
                <w:szCs w:val="13"/>
                <w:b w:val="1"/>
                <w:bCs w:val="1"/>
                <w:color w:val="auto"/>
              </w:rPr>
              <w:t>IFRS Common</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49"/>
        </w:trPr>
        <w:tc>
          <w:tcPr>
            <w:tcW w:w="4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attributable to</w:t>
            </w:r>
          </w:p>
        </w:tc>
        <w:tc>
          <w:tcPr>
            <w:tcW w:w="20" w:type="dxa"/>
            <w:vAlign w:val="bottom"/>
          </w:tcPr>
          <w:p>
            <w:pPr>
              <w:spacing w:after="0"/>
              <w:rPr>
                <w:sz w:val="12"/>
                <w:szCs w:val="12"/>
                <w:color w:val="auto"/>
              </w:rPr>
            </w:pPr>
          </w:p>
        </w:tc>
        <w:tc>
          <w:tcPr>
            <w:tcW w:w="210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4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Control</w:t>
            </w:r>
          </w:p>
        </w:tc>
        <w:tc>
          <w:tcPr>
            <w:tcW w:w="860" w:type="dxa"/>
            <w:vAlign w:val="bottom"/>
          </w:tcPr>
          <w:p>
            <w:pPr>
              <w:spacing w:after="0"/>
              <w:rPr>
                <w:sz w:val="12"/>
                <w:szCs w:val="12"/>
                <w:color w:val="auto"/>
              </w:rPr>
            </w:pPr>
          </w:p>
        </w:tc>
      </w:tr>
      <w:tr>
        <w:trPr>
          <w:trHeight w:val="171"/>
        </w:trPr>
        <w:tc>
          <w:tcPr>
            <w:tcW w:w="518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(All amounts expressed in thousands of U.S. dollars)</w:t>
            </w:r>
          </w:p>
        </w:tc>
        <w:tc>
          <w:tcPr>
            <w:tcW w:w="1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GasLog</w:t>
            </w:r>
          </w:p>
        </w:tc>
        <w:tc>
          <w:tcPr>
            <w:tcW w:w="20" w:type="dxa"/>
            <w:vAlign w:val="bottom"/>
          </w:tcPr>
          <w:p>
            <w:pPr>
              <w:spacing w:after="0"/>
              <w:rPr>
                <w:sz w:val="14"/>
                <w:szCs w:val="14"/>
                <w:color w:val="auto"/>
              </w:rPr>
            </w:pPr>
          </w:p>
        </w:tc>
        <w:tc>
          <w:tcPr>
            <w:tcW w:w="210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0"/>
              </w:rPr>
              <w:t>Results</w:t>
            </w: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Reported Results</w:t>
            </w:r>
          </w:p>
        </w:tc>
        <w:tc>
          <w:tcPr>
            <w:tcW w:w="860" w:type="dxa"/>
            <w:vAlign w:val="bottom"/>
          </w:tcPr>
          <w:p>
            <w:pPr>
              <w:spacing w:after="0"/>
              <w:rPr>
                <w:sz w:val="14"/>
                <w:szCs w:val="14"/>
                <w:color w:val="auto"/>
              </w:rPr>
            </w:pPr>
          </w:p>
        </w:tc>
      </w:tr>
      <w:tr>
        <w:trPr>
          <w:trHeight w:val="210"/>
        </w:trPr>
        <w:tc>
          <w:tcPr>
            <w:tcW w:w="4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tcBorders>
              <w:top w:val="single" w:sz="8" w:color="CCEEFF"/>
            </w:tcBorders>
            <w:gridSpan w:val="3"/>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73,277</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73,439</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180" w:type="dxa"/>
            <w:vAlign w:val="bottom"/>
            <w:gridSpan w:val="5"/>
          </w:tcPr>
          <w:p>
            <w:pPr>
              <w:spacing w:after="0"/>
              <w:rPr>
                <w:sz w:val="20"/>
                <w:szCs w:val="20"/>
                <w:color w:val="auto"/>
              </w:rPr>
            </w:pPr>
            <w:r>
              <w:rPr>
                <w:rFonts w:ascii="Arial" w:cs="Arial" w:eastAsia="Arial" w:hAnsi="Arial"/>
                <w:sz w:val="18"/>
                <w:szCs w:val="18"/>
                <w:color w:val="auto"/>
              </w:rPr>
              <w:t>Vessel operating costs</w:t>
            </w: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(15,046)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(15,066)</w:t>
            </w:r>
          </w:p>
        </w:tc>
        <w:tc>
          <w:tcPr>
            <w:tcW w:w="860" w:type="dxa"/>
            <w:vAlign w:val="bottom"/>
          </w:tcPr>
          <w:p>
            <w:pPr>
              <w:spacing w:after="0"/>
              <w:rPr>
                <w:sz w:val="18"/>
                <w:szCs w:val="18"/>
                <w:color w:val="auto"/>
              </w:rPr>
            </w:pPr>
          </w:p>
        </w:tc>
      </w:tr>
      <w:tr>
        <w:trPr>
          <w:trHeight w:val="216"/>
        </w:trPr>
        <w:tc>
          <w:tcPr>
            <w:tcW w:w="51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Voyage expenses and commissions</w:t>
            </w: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(919)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(921)</w:t>
            </w:r>
          </w:p>
        </w:tc>
        <w:tc>
          <w:tcPr>
            <w:tcW w:w="860" w:type="dxa"/>
            <w:vAlign w:val="bottom"/>
          </w:tcPr>
          <w:p>
            <w:pPr>
              <w:spacing w:after="0"/>
              <w:rPr>
                <w:sz w:val="18"/>
                <w:szCs w:val="18"/>
                <w:color w:val="auto"/>
              </w:rPr>
            </w:pPr>
          </w:p>
        </w:tc>
      </w:tr>
      <w:tr>
        <w:trPr>
          <w:trHeight w:val="216"/>
        </w:trPr>
        <w:tc>
          <w:tcPr>
            <w:tcW w:w="5180" w:type="dxa"/>
            <w:vAlign w:val="bottom"/>
            <w:gridSpan w:val="5"/>
          </w:tcPr>
          <w:p>
            <w:pPr>
              <w:spacing w:after="0"/>
              <w:rPr>
                <w:sz w:val="20"/>
                <w:szCs w:val="20"/>
                <w:color w:val="auto"/>
              </w:rPr>
            </w:pPr>
            <w:r>
              <w:rPr>
                <w:rFonts w:ascii="Arial" w:cs="Arial" w:eastAsia="Arial" w:hAnsi="Arial"/>
                <w:sz w:val="18"/>
                <w:szCs w:val="18"/>
                <w:color w:val="auto"/>
              </w:rPr>
              <w:t>Depreciation</w:t>
            </w: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(15,580)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(15,611)</w:t>
            </w:r>
          </w:p>
        </w:tc>
        <w:tc>
          <w:tcPr>
            <w:tcW w:w="860" w:type="dxa"/>
            <w:vAlign w:val="bottom"/>
          </w:tcPr>
          <w:p>
            <w:pPr>
              <w:spacing w:after="0"/>
              <w:rPr>
                <w:sz w:val="18"/>
                <w:szCs w:val="18"/>
                <w:color w:val="auto"/>
              </w:rPr>
            </w:pPr>
          </w:p>
        </w:tc>
      </w:tr>
      <w:tr>
        <w:trPr>
          <w:trHeight w:val="216"/>
        </w:trPr>
        <w:tc>
          <w:tcPr>
            <w:tcW w:w="51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(3,783)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(3,787)</w:t>
            </w:r>
          </w:p>
        </w:tc>
        <w:tc>
          <w:tcPr>
            <w:tcW w:w="860" w:type="dxa"/>
            <w:vAlign w:val="bottom"/>
          </w:tcPr>
          <w:p>
            <w:pPr>
              <w:spacing w:after="0"/>
              <w:rPr>
                <w:sz w:val="18"/>
                <w:szCs w:val="18"/>
                <w:color w:val="auto"/>
              </w:rPr>
            </w:pPr>
          </w:p>
        </w:tc>
      </w:tr>
      <w:tr>
        <w:trPr>
          <w:trHeight w:val="210"/>
        </w:trPr>
        <w:tc>
          <w:tcPr>
            <w:tcW w:w="514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b w:val="1"/>
                <w:bCs w:val="1"/>
                <w:color w:val="auto"/>
              </w:rPr>
              <w:t>Profit from operations</w:t>
            </w:r>
          </w:p>
        </w:tc>
        <w:tc>
          <w:tcPr>
            <w:tcW w:w="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37,949</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38,054</w:t>
            </w:r>
          </w:p>
        </w:tc>
        <w:tc>
          <w:tcPr>
            <w:tcW w:w="100" w:type="dxa"/>
            <w:vAlign w:val="bottom"/>
            <w:tcBorders>
              <w:bottom w:val="single" w:sz="8" w:color="CCEEFF"/>
            </w:tcBorders>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5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(12,319)</w:t>
            </w: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180" w:type="dxa"/>
            <w:vAlign w:val="bottom"/>
            <w:gridSpan w:val="5"/>
          </w:tcPr>
          <w:p>
            <w:pPr>
              <w:spacing w:after="0"/>
              <w:rPr>
                <w:sz w:val="20"/>
                <w:szCs w:val="20"/>
                <w:color w:val="auto"/>
              </w:rPr>
            </w:pPr>
            <w:r>
              <w:rPr>
                <w:rFonts w:ascii="Arial" w:cs="Arial" w:eastAsia="Arial" w:hAnsi="Arial"/>
                <w:sz w:val="18"/>
                <w:szCs w:val="18"/>
                <w:color w:val="auto"/>
              </w:rPr>
              <w:t>Financial income</w:t>
            </w:r>
          </w:p>
        </w:tc>
        <w:tc>
          <w:tcPr>
            <w:tcW w:w="1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60" w:type="dxa"/>
            <w:vAlign w:val="bottom"/>
            <w:gridSpan w:val="3"/>
          </w:tcPr>
          <w:p>
            <w:pPr>
              <w:jc w:val="right"/>
              <w:ind w:right="260"/>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860" w:type="dxa"/>
            <w:vAlign w:val="bottom"/>
          </w:tcPr>
          <w:p>
            <w:pPr>
              <w:spacing w:after="0"/>
              <w:rPr>
                <w:sz w:val="18"/>
                <w:szCs w:val="18"/>
                <w:color w:val="auto"/>
              </w:rPr>
            </w:pPr>
          </w:p>
        </w:tc>
      </w:tr>
      <w:tr>
        <w:trPr>
          <w:trHeight w:val="216"/>
        </w:trPr>
        <w:tc>
          <w:tcPr>
            <w:tcW w:w="51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Loss on interest rate swaps</w:t>
            </w:r>
          </w:p>
        </w:tc>
        <w:tc>
          <w:tcPr>
            <w:tcW w:w="1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(672)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(672)</w:t>
            </w:r>
          </w:p>
        </w:tc>
        <w:tc>
          <w:tcPr>
            <w:tcW w:w="860" w:type="dxa"/>
            <w:vAlign w:val="bottom"/>
          </w:tcPr>
          <w:p>
            <w:pPr>
              <w:spacing w:after="0"/>
              <w:rPr>
                <w:sz w:val="18"/>
                <w:szCs w:val="18"/>
                <w:color w:val="auto"/>
              </w:rPr>
            </w:pPr>
          </w:p>
        </w:tc>
      </w:tr>
      <w:tr>
        <w:trPr>
          <w:trHeight w:val="210"/>
        </w:trPr>
        <w:tc>
          <w:tcPr>
            <w:tcW w:w="514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b w:val="1"/>
                <w:bCs w:val="1"/>
                <w:color w:val="auto"/>
              </w:rPr>
              <w:t>Total other expenses, net</w:t>
            </w:r>
          </w:p>
        </w:tc>
        <w:tc>
          <w:tcPr>
            <w:tcW w:w="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(12,650)</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(12,680)</w:t>
            </w:r>
          </w:p>
        </w:tc>
        <w:tc>
          <w:tcPr>
            <w:tcW w:w="100" w:type="dxa"/>
            <w:vAlign w:val="bottom"/>
            <w:tcBorders>
              <w:bottom w:val="single" w:sz="8" w:color="CCEEFF"/>
            </w:tcBorders>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51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Profit for the period</w:t>
            </w:r>
          </w:p>
        </w:tc>
        <w:tc>
          <w:tcPr>
            <w:tcW w:w="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25,299</w:t>
            </w: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25,374</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13"/>
        </w:trPr>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jc w:val="right"/>
              <w:ind w:right="895"/>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32"/>
        </w:trPr>
        <w:tc>
          <w:tcPr>
            <w:tcW w:w="4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5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-2722245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-2722245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EBITDA is defined as earnings before interest income and expense, gain/loss on interest rate swaps, taxes, depreciation and amortization. Adjusted Profit represents earnings before (a) non-cash gain/loss on interest rate swaps that includes unrealized gain/loss on interest rate swaps held for trading and recycled loss of cash flow hedges reclassified to profit or loss and (b) write-off of unamortized loan fees. EBITDA and Adjusted Profit, which are non-GAAP financial measures, are used as supplemental financial measures by management and external users of financial statements, such as investors, to assess our financial and operating performance. The Partnership believes that these non-GAAP financial measures assist our management and investors by increasing the comparability of our performance from period to period. The Partnership believes that including EBITDA and Adjusted Profit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units. This increased comparability is achieved by excluding the potentially disparate effects between periods of, in the case of EBITDA, financial costs, gain/loss on interest rate swaps, taxes, depreciation and amortization; and in the case of Adjusted Profit, non-cash gain/loss on interest rate swaps and write-off of</w:t>
      </w:r>
    </w:p>
    <w:p>
      <w:pPr>
        <w:sectPr>
          <w:pgSz w:w="11900" w:h="16838" w:orient="portrait"/>
          <w:cols w:equalWidth="0" w:num="1">
            <w:col w:w="11460"/>
          </w:cols>
          <w:pgMar w:left="240" w:top="341" w:right="199" w:bottom="0" w:gutter="0" w:footer="0" w:header="0"/>
        </w:sectPr>
      </w:pPr>
    </w:p>
    <w:bookmarkStart w:id="10" w:name="page11"/>
    <w:bookmarkEnd w:id="10"/>
    <w:p>
      <w:pPr>
        <w:ind w:right="560"/>
        <w:spacing w:after="0" w:line="277" w:lineRule="auto"/>
        <w:rPr>
          <w:sz w:val="20"/>
          <w:szCs w:val="20"/>
          <w:color w:val="auto"/>
        </w:rPr>
      </w:pPr>
      <w:r>
        <w:rPr>
          <w:rFonts w:ascii="Arial" w:cs="Arial" w:eastAsia="Arial" w:hAnsi="Arial"/>
          <w:sz w:val="18"/>
          <w:szCs w:val="18"/>
          <w:color w:val="auto"/>
        </w:rPr>
        <w:t>unamortized loan fees, which items are affected by various and possibly changing financing methods, financial market conditions, capital structure and historical cost basis and which items may significantly affect results of operations between periods.</w:t>
      </w:r>
    </w:p>
    <w:p>
      <w:pPr>
        <w:spacing w:after="0" w:line="17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EBITDA and Adjusted Profit have limitations as analytical tools and should not be considered as alternatives to, or as substitutes for, or superior to, profit, profit from operations, earnings per unit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often have to be replaced in the future and EBITDA does not reflect any cash requirements for such replacements. It is not adjusted for all non-cash income or expense items that are reflected in our statement of cash flows and other companies in our industry may calculate this measure differently to how we do, limiting its usefulness as a comparative measure. EBITDA excludes some, but not all, items that affect profit or loss and these measures may vary among other companies. Therefore, EBITDA as presented herein may not be comparable to similarly titled measures of other companies. The following table reconciles EBITDA to profit, the most directly comparable IFRS financial measure, for the periods presented.</w:t>
      </w:r>
    </w:p>
    <w:p>
      <w:pPr>
        <w:spacing w:after="0" w:line="17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EBITDA and Adjusted Profit are presented on the basis of IFRS Common Control Reported Results and Partnership Performance Results. Partnership Performance Results are non-GAAP measures. The difference between IFRS Common Control Reported Results and Partnership Performance Results are results attributable to GasLog, as set out in the reconciliations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Profit to EBITDA: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(Amounts expressed in thousands of U.S. Dollars)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4160" w:type="dxa"/>
            <w:vAlign w:val="bottom"/>
            <w:tcBorders>
              <w:bottom w:val="single" w:sz="8" w:color="auto"/>
            </w:tcBorders>
            <w:gridSpan w:val="6"/>
          </w:tcPr>
          <w:p>
            <w:pPr>
              <w:jc w:val="center"/>
              <w:ind w:left="1414"/>
              <w:spacing w:after="0"/>
              <w:rPr>
                <w:sz w:val="20"/>
                <w:szCs w:val="20"/>
                <w:color w:val="auto"/>
              </w:rPr>
            </w:pPr>
            <w:r>
              <w:rPr>
                <w:rFonts w:ascii="Arial" w:cs="Arial" w:eastAsia="Arial" w:hAnsi="Arial"/>
                <w:sz w:val="14"/>
                <w:szCs w:val="14"/>
                <w:b w:val="1"/>
                <w:bCs w:val="1"/>
                <w:color w:val="auto"/>
                <w:w w:val="94"/>
              </w:rPr>
              <w:t>IFRS Common Control Reported Results</w:t>
            </w:r>
          </w:p>
        </w:tc>
        <w:tc>
          <w:tcPr>
            <w:tcW w:w="1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42"/>
        </w:trPr>
        <w:tc>
          <w:tcPr>
            <w:tcW w:w="520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4"/>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For the three months ended</w:t>
            </w:r>
          </w:p>
        </w:tc>
        <w:tc>
          <w:tcPr>
            <w:tcW w:w="1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2"/>
        </w:trPr>
        <w:tc>
          <w:tcPr>
            <w:tcW w:w="5200" w:type="dxa"/>
            <w:vAlign w:val="bottom"/>
          </w:tcPr>
          <w:p>
            <w:pPr>
              <w:spacing w:after="0"/>
              <w:rPr>
                <w:sz w:val="12"/>
                <w:szCs w:val="12"/>
                <w:color w:val="auto"/>
              </w:rPr>
            </w:pPr>
          </w:p>
        </w:tc>
        <w:tc>
          <w:tcPr>
            <w:tcW w:w="178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September 30, 2016</w:t>
            </w:r>
          </w:p>
        </w:tc>
        <w:tc>
          <w:tcPr>
            <w:tcW w:w="200" w:type="dxa"/>
            <w:vAlign w:val="bottom"/>
          </w:tcPr>
          <w:p>
            <w:pPr>
              <w:spacing w:after="0"/>
              <w:rPr>
                <w:sz w:val="12"/>
                <w:szCs w:val="12"/>
                <w:color w:val="auto"/>
              </w:rPr>
            </w:pPr>
          </w:p>
        </w:tc>
        <w:tc>
          <w:tcPr>
            <w:tcW w:w="2180" w:type="dxa"/>
            <w:vAlign w:val="bottom"/>
            <w:gridSpan w:val="3"/>
          </w:tcPr>
          <w:p>
            <w:pPr>
              <w:jc w:val="center"/>
              <w:ind w:right="480"/>
              <w:spacing w:after="0" w:line="142" w:lineRule="exact"/>
              <w:rPr>
                <w:sz w:val="20"/>
                <w:szCs w:val="20"/>
                <w:color w:val="auto"/>
              </w:rPr>
            </w:pPr>
            <w:r>
              <w:rPr>
                <w:rFonts w:ascii="Arial" w:cs="Arial" w:eastAsia="Arial" w:hAnsi="Arial"/>
                <w:sz w:val="14"/>
                <w:szCs w:val="14"/>
                <w:b w:val="1"/>
                <w:bCs w:val="1"/>
                <w:color w:val="auto"/>
                <w:w w:val="90"/>
              </w:rPr>
              <w:t>June 30, 2017</w:t>
            </w:r>
          </w:p>
        </w:tc>
        <w:tc>
          <w:tcPr>
            <w:tcW w:w="150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w w:val="93"/>
              </w:rPr>
              <w:t>September 30, 2017</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Profit for the period</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23,619</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25,374</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Depreciation</w:t>
            </w: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14,076</w:t>
            </w:r>
          </w:p>
        </w:tc>
        <w:tc>
          <w:tcPr>
            <w:tcW w:w="2180" w:type="dxa"/>
            <w:vAlign w:val="bottom"/>
            <w:gridSpan w:val="3"/>
          </w:tcPr>
          <w:p>
            <w:pPr>
              <w:jc w:val="right"/>
              <w:ind w:right="280"/>
              <w:spacing w:after="0"/>
              <w:rPr>
                <w:sz w:val="20"/>
                <w:szCs w:val="20"/>
                <w:color w:val="auto"/>
              </w:rPr>
            </w:pPr>
            <w:r>
              <w:rPr>
                <w:rFonts w:ascii="Arial" w:cs="Arial" w:eastAsia="Arial" w:hAnsi="Arial"/>
                <w:sz w:val="18"/>
                <w:szCs w:val="18"/>
                <w:color w:val="auto"/>
              </w:rPr>
              <w:t>15,441</w:t>
            </w: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15,611</w:t>
            </w:r>
          </w:p>
        </w:tc>
        <w:tc>
          <w:tcPr>
            <w:tcW w:w="5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12,249</w:t>
            </w:r>
          </w:p>
        </w:tc>
        <w:tc>
          <w:tcPr>
            <w:tcW w:w="2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12,229</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12,319</w:t>
            </w:r>
          </w:p>
        </w:tc>
        <w:tc>
          <w:tcPr>
            <w:tcW w:w="500" w:type="dxa"/>
            <w:vAlign w:val="bottom"/>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Financial income</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2180" w:type="dxa"/>
            <w:vAlign w:val="bottom"/>
            <w:gridSpan w:val="3"/>
          </w:tcPr>
          <w:p>
            <w:pPr>
              <w:jc w:val="right"/>
              <w:ind w:right="220"/>
              <w:spacing w:after="0"/>
              <w:rPr>
                <w:sz w:val="20"/>
                <w:szCs w:val="20"/>
                <w:color w:val="auto"/>
              </w:rPr>
            </w:pPr>
            <w:r>
              <w:rPr>
                <w:rFonts w:ascii="Arial" w:cs="Arial" w:eastAsia="Arial" w:hAnsi="Arial"/>
                <w:sz w:val="18"/>
                <w:szCs w:val="18"/>
                <w:color w:val="auto"/>
              </w:rPr>
              <w:t>(234)</w:t>
            </w:r>
          </w:p>
        </w:tc>
        <w:tc>
          <w:tcPr>
            <w:tcW w:w="20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(311)</w:t>
            </w:r>
          </w:p>
        </w:tc>
        <w:tc>
          <w:tcPr>
            <w:tcW w:w="5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Loss on interest rate swaps</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2,244</w:t>
            </w:r>
          </w:p>
        </w:tc>
        <w:tc>
          <w:tcPr>
            <w:tcW w:w="2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2,336</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c>
          <w:tcPr>
            <w:tcW w:w="500" w:type="dxa"/>
            <w:vAlign w:val="bottom"/>
          </w:tcPr>
          <w:p>
            <w:pPr>
              <w:spacing w:after="0"/>
              <w:rPr>
                <w:sz w:val="18"/>
                <w:szCs w:val="18"/>
                <w:color w:val="auto"/>
              </w:rPr>
            </w:pPr>
          </w:p>
        </w:tc>
      </w:tr>
      <w:tr>
        <w:trPr>
          <w:trHeight w:val="210"/>
        </w:trPr>
        <w:tc>
          <w:tcPr>
            <w:tcW w:w="520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48,518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53,391</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53,665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45"/>
        </w:trPr>
        <w:tc>
          <w:tcPr>
            <w:tcW w:w="520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w w:val="92"/>
              </w:rPr>
              <w:t>Partnership Performance Results</w:t>
            </w:r>
          </w:p>
        </w:tc>
        <w:tc>
          <w:tcPr>
            <w:tcW w:w="1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42"/>
        </w:trPr>
        <w:tc>
          <w:tcPr>
            <w:tcW w:w="520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4"/>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For the three months ended</w:t>
            </w:r>
          </w:p>
        </w:tc>
        <w:tc>
          <w:tcPr>
            <w:tcW w:w="1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2"/>
        </w:trPr>
        <w:tc>
          <w:tcPr>
            <w:tcW w:w="5200" w:type="dxa"/>
            <w:vAlign w:val="bottom"/>
          </w:tcPr>
          <w:p>
            <w:pPr>
              <w:spacing w:after="0"/>
              <w:rPr>
                <w:sz w:val="12"/>
                <w:szCs w:val="12"/>
                <w:color w:val="auto"/>
              </w:rPr>
            </w:pPr>
          </w:p>
        </w:tc>
        <w:tc>
          <w:tcPr>
            <w:tcW w:w="178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September 30, 2016</w:t>
            </w:r>
          </w:p>
        </w:tc>
        <w:tc>
          <w:tcPr>
            <w:tcW w:w="200" w:type="dxa"/>
            <w:vAlign w:val="bottom"/>
          </w:tcPr>
          <w:p>
            <w:pPr>
              <w:spacing w:after="0"/>
              <w:rPr>
                <w:sz w:val="12"/>
                <w:szCs w:val="12"/>
                <w:color w:val="auto"/>
              </w:rPr>
            </w:pPr>
          </w:p>
        </w:tc>
        <w:tc>
          <w:tcPr>
            <w:tcW w:w="2180" w:type="dxa"/>
            <w:vAlign w:val="bottom"/>
            <w:gridSpan w:val="3"/>
          </w:tcPr>
          <w:p>
            <w:pPr>
              <w:jc w:val="center"/>
              <w:ind w:right="480"/>
              <w:spacing w:after="0" w:line="142" w:lineRule="exact"/>
              <w:rPr>
                <w:sz w:val="20"/>
                <w:szCs w:val="20"/>
                <w:color w:val="auto"/>
              </w:rPr>
            </w:pPr>
            <w:r>
              <w:rPr>
                <w:rFonts w:ascii="Arial" w:cs="Arial" w:eastAsia="Arial" w:hAnsi="Arial"/>
                <w:sz w:val="14"/>
                <w:szCs w:val="14"/>
                <w:b w:val="1"/>
                <w:bCs w:val="1"/>
                <w:color w:val="auto"/>
                <w:w w:val="90"/>
              </w:rPr>
              <w:t>June 30, 2017</w:t>
            </w:r>
          </w:p>
        </w:tc>
        <w:tc>
          <w:tcPr>
            <w:tcW w:w="150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w w:val="93"/>
              </w:rPr>
              <w:t>September 30, 2017</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Profit for the period</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19,358</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25,299</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Depreciation</w:t>
            </w: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11,116</w:t>
            </w:r>
          </w:p>
        </w:tc>
        <w:tc>
          <w:tcPr>
            <w:tcW w:w="2180" w:type="dxa"/>
            <w:vAlign w:val="bottom"/>
            <w:gridSpan w:val="3"/>
          </w:tcPr>
          <w:p>
            <w:pPr>
              <w:jc w:val="right"/>
              <w:ind w:right="280"/>
              <w:spacing w:after="0"/>
              <w:rPr>
                <w:sz w:val="20"/>
                <w:szCs w:val="20"/>
                <w:color w:val="auto"/>
              </w:rPr>
            </w:pPr>
            <w:r>
              <w:rPr>
                <w:rFonts w:ascii="Arial" w:cs="Arial" w:eastAsia="Arial" w:hAnsi="Arial"/>
                <w:sz w:val="18"/>
                <w:szCs w:val="18"/>
                <w:color w:val="auto"/>
              </w:rPr>
              <w:t>13,466</w:t>
            </w: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15,580</w:t>
            </w:r>
          </w:p>
        </w:tc>
        <w:tc>
          <w:tcPr>
            <w:tcW w:w="5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7,333</w:t>
            </w:r>
          </w:p>
        </w:tc>
        <w:tc>
          <w:tcPr>
            <w:tcW w:w="2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10,288</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12,289</w:t>
            </w:r>
          </w:p>
        </w:tc>
        <w:tc>
          <w:tcPr>
            <w:tcW w:w="500" w:type="dxa"/>
            <w:vAlign w:val="bottom"/>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Financial income</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2180" w:type="dxa"/>
            <w:vAlign w:val="bottom"/>
            <w:gridSpan w:val="3"/>
          </w:tcPr>
          <w:p>
            <w:pPr>
              <w:jc w:val="right"/>
              <w:ind w:right="220"/>
              <w:spacing w:after="0"/>
              <w:rPr>
                <w:sz w:val="20"/>
                <w:szCs w:val="20"/>
                <w:color w:val="auto"/>
              </w:rPr>
            </w:pPr>
            <w:r>
              <w:rPr>
                <w:rFonts w:ascii="Arial" w:cs="Arial" w:eastAsia="Arial" w:hAnsi="Arial"/>
                <w:sz w:val="18"/>
                <w:szCs w:val="18"/>
                <w:color w:val="auto"/>
              </w:rPr>
              <w:t>(228)</w:t>
            </w:r>
          </w:p>
        </w:tc>
        <w:tc>
          <w:tcPr>
            <w:tcW w:w="20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(311)</w:t>
            </w:r>
          </w:p>
        </w:tc>
        <w:tc>
          <w:tcPr>
            <w:tcW w:w="5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Loss on interest rate swaps</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2,336</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c>
          <w:tcPr>
            <w:tcW w:w="500" w:type="dxa"/>
            <w:vAlign w:val="bottom"/>
          </w:tcPr>
          <w:p>
            <w:pPr>
              <w:spacing w:after="0"/>
              <w:rPr>
                <w:sz w:val="18"/>
                <w:szCs w:val="18"/>
                <w:color w:val="auto"/>
              </w:rPr>
            </w:pPr>
          </w:p>
        </w:tc>
      </w:tr>
      <w:tr>
        <w:trPr>
          <w:trHeight w:val="210"/>
        </w:trPr>
        <w:tc>
          <w:tcPr>
            <w:tcW w:w="520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37,234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45,220</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53,529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3"/>
        </w:trPr>
        <w:tc>
          <w:tcPr>
            <w:tcW w:w="5200" w:type="dxa"/>
            <w:vAlign w:val="bottom"/>
          </w:tcPr>
          <w:p>
            <w:pPr>
              <w:spacing w:after="0"/>
              <w:rPr>
                <w:sz w:val="24"/>
                <w:szCs w:val="24"/>
                <w:color w:val="auto"/>
              </w:rPr>
            </w:pPr>
          </w:p>
        </w:tc>
        <w:tc>
          <w:tcPr>
            <w:tcW w:w="1700" w:type="dxa"/>
            <w:vAlign w:val="bottom"/>
          </w:tcPr>
          <w:p>
            <w:pPr>
              <w:jc w:val="right"/>
              <w:ind w:right="1014"/>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32"/>
        </w:trPr>
        <w:tc>
          <w:tcPr>
            <w:tcW w:w="520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r>
      <w:tr>
        <w:trPr>
          <w:trHeight w:val="780"/>
        </w:trPr>
        <w:tc>
          <w:tcPr>
            <w:tcW w:w="5200" w:type="dxa"/>
            <w:vAlign w:val="bottom"/>
          </w:tcPr>
          <w:p>
            <w:pPr>
              <w:spacing w:after="0"/>
              <w:rPr>
                <w:sz w:val="20"/>
                <w:szCs w:val="20"/>
                <w:color w:val="auto"/>
              </w:rPr>
            </w:pPr>
            <w:r>
              <w:rPr>
                <w:rFonts w:ascii="Arial" w:cs="Arial" w:eastAsia="Arial" w:hAnsi="Arial"/>
                <w:sz w:val="18"/>
                <w:szCs w:val="18"/>
                <w:b w:val="1"/>
                <w:bCs w:val="1"/>
                <w:color w:val="auto"/>
              </w:rPr>
              <w:t>Reconciliation of Profit to Adjusted Profit:</w:t>
            </w: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32"/>
        </w:trPr>
        <w:tc>
          <w:tcPr>
            <w:tcW w:w="5200" w:type="dxa"/>
            <w:vAlign w:val="bottom"/>
          </w:tcPr>
          <w:p>
            <w:pPr>
              <w:spacing w:after="0"/>
              <w:rPr>
                <w:sz w:val="20"/>
                <w:szCs w:val="20"/>
                <w:color w:val="auto"/>
              </w:rPr>
            </w:pPr>
            <w:r>
              <w:rPr>
                <w:rFonts w:ascii="Arial" w:cs="Arial" w:eastAsia="Arial" w:hAnsi="Arial"/>
                <w:sz w:val="18"/>
                <w:szCs w:val="18"/>
                <w:b w:val="1"/>
                <w:bCs w:val="1"/>
                <w:i w:val="1"/>
                <w:iCs w:val="1"/>
                <w:color w:val="auto"/>
              </w:rPr>
              <w:t>(Amounts expressed in thousands of U.S. Dollars)</w:t>
            </w: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65"/>
        </w:trPr>
        <w:tc>
          <w:tcPr>
            <w:tcW w:w="5200" w:type="dxa"/>
            <w:vAlign w:val="bottom"/>
          </w:tcPr>
          <w:p>
            <w:pPr>
              <w:spacing w:after="0"/>
              <w:rPr>
                <w:sz w:val="24"/>
                <w:szCs w:val="24"/>
                <w:color w:val="auto"/>
              </w:rPr>
            </w:pPr>
          </w:p>
        </w:tc>
        <w:tc>
          <w:tcPr>
            <w:tcW w:w="4160" w:type="dxa"/>
            <w:vAlign w:val="bottom"/>
            <w:tcBorders>
              <w:bottom w:val="single" w:sz="8" w:color="auto"/>
            </w:tcBorders>
            <w:gridSpan w:val="6"/>
          </w:tcPr>
          <w:p>
            <w:pPr>
              <w:jc w:val="center"/>
              <w:ind w:left="1414"/>
              <w:spacing w:after="0"/>
              <w:rPr>
                <w:sz w:val="20"/>
                <w:szCs w:val="20"/>
                <w:color w:val="auto"/>
              </w:rPr>
            </w:pPr>
            <w:r>
              <w:rPr>
                <w:rFonts w:ascii="Arial" w:cs="Arial" w:eastAsia="Arial" w:hAnsi="Arial"/>
                <w:sz w:val="14"/>
                <w:szCs w:val="14"/>
                <w:b w:val="1"/>
                <w:bCs w:val="1"/>
                <w:color w:val="auto"/>
                <w:w w:val="94"/>
              </w:rPr>
              <w:t>IFRS Common Control Reported Results</w:t>
            </w:r>
          </w:p>
        </w:tc>
        <w:tc>
          <w:tcPr>
            <w:tcW w:w="1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42"/>
        </w:trPr>
        <w:tc>
          <w:tcPr>
            <w:tcW w:w="520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4"/>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For the three months ended</w:t>
            </w:r>
          </w:p>
        </w:tc>
        <w:tc>
          <w:tcPr>
            <w:tcW w:w="1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2"/>
        </w:trPr>
        <w:tc>
          <w:tcPr>
            <w:tcW w:w="5200" w:type="dxa"/>
            <w:vAlign w:val="bottom"/>
          </w:tcPr>
          <w:p>
            <w:pPr>
              <w:spacing w:after="0"/>
              <w:rPr>
                <w:sz w:val="12"/>
                <w:szCs w:val="12"/>
                <w:color w:val="auto"/>
              </w:rPr>
            </w:pPr>
          </w:p>
        </w:tc>
        <w:tc>
          <w:tcPr>
            <w:tcW w:w="178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September 30, 2016</w:t>
            </w:r>
          </w:p>
        </w:tc>
        <w:tc>
          <w:tcPr>
            <w:tcW w:w="200" w:type="dxa"/>
            <w:vAlign w:val="bottom"/>
          </w:tcPr>
          <w:p>
            <w:pPr>
              <w:spacing w:after="0"/>
              <w:rPr>
                <w:sz w:val="12"/>
                <w:szCs w:val="12"/>
                <w:color w:val="auto"/>
              </w:rPr>
            </w:pPr>
          </w:p>
        </w:tc>
        <w:tc>
          <w:tcPr>
            <w:tcW w:w="2180" w:type="dxa"/>
            <w:vAlign w:val="bottom"/>
            <w:gridSpan w:val="3"/>
          </w:tcPr>
          <w:p>
            <w:pPr>
              <w:jc w:val="center"/>
              <w:ind w:right="480"/>
              <w:spacing w:after="0" w:line="142" w:lineRule="exact"/>
              <w:rPr>
                <w:sz w:val="20"/>
                <w:szCs w:val="20"/>
                <w:color w:val="auto"/>
              </w:rPr>
            </w:pPr>
            <w:r>
              <w:rPr>
                <w:rFonts w:ascii="Arial" w:cs="Arial" w:eastAsia="Arial" w:hAnsi="Arial"/>
                <w:sz w:val="14"/>
                <w:szCs w:val="14"/>
                <w:b w:val="1"/>
                <w:bCs w:val="1"/>
                <w:color w:val="auto"/>
                <w:w w:val="90"/>
              </w:rPr>
              <w:t>June 30, 2017</w:t>
            </w:r>
          </w:p>
        </w:tc>
        <w:tc>
          <w:tcPr>
            <w:tcW w:w="150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w w:val="93"/>
              </w:rPr>
              <w:t>September 30, 2017</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Profit for the period</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23,619</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25,374</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Non-cash loss on interest rate swaps</w:t>
            </w: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2,155</w:t>
            </w:r>
          </w:p>
        </w:tc>
        <w:tc>
          <w:tcPr>
            <w:tcW w:w="2180" w:type="dxa"/>
            <w:vAlign w:val="bottom"/>
            <w:gridSpan w:val="3"/>
          </w:tcPr>
          <w:p>
            <w:pPr>
              <w:jc w:val="right"/>
              <w:ind w:right="280"/>
              <w:spacing w:after="0"/>
              <w:rPr>
                <w:sz w:val="20"/>
                <w:szCs w:val="20"/>
                <w:color w:val="auto"/>
              </w:rPr>
            </w:pPr>
            <w:r>
              <w:rPr>
                <w:rFonts w:ascii="Arial" w:cs="Arial" w:eastAsia="Arial" w:hAnsi="Arial"/>
                <w:sz w:val="18"/>
                <w:szCs w:val="18"/>
                <w:color w:val="auto"/>
              </w:rPr>
              <w:t>1,857</w:t>
            </w: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5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Write-off of unamortized loan fees</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2,434</w:t>
            </w:r>
          </w:p>
        </w:tc>
        <w:tc>
          <w:tcPr>
            <w:tcW w:w="200" w:type="dxa"/>
            <w:vAlign w:val="bottom"/>
            <w:shd w:val="clear" w:color="auto" w:fill="CCEEFF"/>
          </w:tcPr>
          <w:p>
            <w:pPr>
              <w:spacing w:after="0"/>
              <w:rPr>
                <w:sz w:val="18"/>
                <w:szCs w:val="18"/>
                <w:color w:val="auto"/>
              </w:rPr>
            </w:pPr>
          </w:p>
        </w:tc>
        <w:tc>
          <w:tcPr>
            <w:tcW w:w="2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r>
      <w:tr>
        <w:trPr>
          <w:trHeight w:val="210"/>
        </w:trPr>
        <w:tc>
          <w:tcPr>
            <w:tcW w:w="5200" w:type="dxa"/>
            <w:vAlign w:val="bottom"/>
          </w:tcPr>
          <w:p>
            <w:pPr>
              <w:spacing w:after="0"/>
              <w:rPr>
                <w:sz w:val="20"/>
                <w:szCs w:val="20"/>
                <w:color w:val="auto"/>
              </w:rPr>
            </w:pPr>
            <w:r>
              <w:rPr>
                <w:rFonts w:ascii="Arial" w:cs="Arial" w:eastAsia="Arial" w:hAnsi="Arial"/>
                <w:sz w:val="18"/>
                <w:szCs w:val="18"/>
                <w:b w:val="1"/>
                <w:bCs w:val="1"/>
                <w:color w:val="auto"/>
              </w:rPr>
              <w:t>Adjusted Profit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25,476</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25,559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45"/>
        </w:trPr>
        <w:tc>
          <w:tcPr>
            <w:tcW w:w="520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w w:val="92"/>
              </w:rPr>
              <w:t>Partnership Performance Results</w:t>
            </w:r>
          </w:p>
        </w:tc>
        <w:tc>
          <w:tcPr>
            <w:tcW w:w="1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42"/>
        </w:trPr>
        <w:tc>
          <w:tcPr>
            <w:tcW w:w="520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4"/>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For the three months ended</w:t>
            </w:r>
          </w:p>
        </w:tc>
        <w:tc>
          <w:tcPr>
            <w:tcW w:w="1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2"/>
        </w:trPr>
        <w:tc>
          <w:tcPr>
            <w:tcW w:w="5200" w:type="dxa"/>
            <w:vAlign w:val="bottom"/>
          </w:tcPr>
          <w:p>
            <w:pPr>
              <w:spacing w:after="0"/>
              <w:rPr>
                <w:sz w:val="12"/>
                <w:szCs w:val="12"/>
                <w:color w:val="auto"/>
              </w:rPr>
            </w:pPr>
          </w:p>
        </w:tc>
        <w:tc>
          <w:tcPr>
            <w:tcW w:w="178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September 30, 2016</w:t>
            </w:r>
          </w:p>
        </w:tc>
        <w:tc>
          <w:tcPr>
            <w:tcW w:w="200" w:type="dxa"/>
            <w:vAlign w:val="bottom"/>
          </w:tcPr>
          <w:p>
            <w:pPr>
              <w:spacing w:after="0"/>
              <w:rPr>
                <w:sz w:val="12"/>
                <w:szCs w:val="12"/>
                <w:color w:val="auto"/>
              </w:rPr>
            </w:pPr>
          </w:p>
        </w:tc>
        <w:tc>
          <w:tcPr>
            <w:tcW w:w="2180" w:type="dxa"/>
            <w:vAlign w:val="bottom"/>
            <w:gridSpan w:val="3"/>
          </w:tcPr>
          <w:p>
            <w:pPr>
              <w:jc w:val="center"/>
              <w:ind w:right="480"/>
              <w:spacing w:after="0" w:line="142" w:lineRule="exact"/>
              <w:rPr>
                <w:sz w:val="20"/>
                <w:szCs w:val="20"/>
                <w:color w:val="auto"/>
              </w:rPr>
            </w:pPr>
            <w:r>
              <w:rPr>
                <w:rFonts w:ascii="Arial" w:cs="Arial" w:eastAsia="Arial" w:hAnsi="Arial"/>
                <w:sz w:val="14"/>
                <w:szCs w:val="14"/>
                <w:b w:val="1"/>
                <w:bCs w:val="1"/>
                <w:color w:val="auto"/>
                <w:w w:val="90"/>
              </w:rPr>
              <w:t>June 30, 2017</w:t>
            </w:r>
          </w:p>
        </w:tc>
        <w:tc>
          <w:tcPr>
            <w:tcW w:w="150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w w:val="93"/>
              </w:rPr>
              <w:t>September 30, 2017</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Profit for the period</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19,358</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25,299</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Non-cash loss on interest rate swaps</w:t>
            </w: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180" w:type="dxa"/>
            <w:vAlign w:val="bottom"/>
            <w:gridSpan w:val="3"/>
          </w:tcPr>
          <w:p>
            <w:pPr>
              <w:jc w:val="right"/>
              <w:ind w:right="280"/>
              <w:spacing w:after="0"/>
              <w:rPr>
                <w:sz w:val="20"/>
                <w:szCs w:val="20"/>
                <w:color w:val="auto"/>
              </w:rPr>
            </w:pPr>
            <w:r>
              <w:rPr>
                <w:rFonts w:ascii="Arial" w:cs="Arial" w:eastAsia="Arial" w:hAnsi="Arial"/>
                <w:sz w:val="18"/>
                <w:szCs w:val="18"/>
                <w:color w:val="auto"/>
              </w:rPr>
              <w:t>1,857</w:t>
            </w: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500" w:type="dxa"/>
            <w:vAlign w:val="bottom"/>
          </w:tcPr>
          <w:p>
            <w:pPr>
              <w:spacing w:after="0"/>
              <w:rPr>
                <w:sz w:val="18"/>
                <w:szCs w:val="18"/>
                <w:color w:val="auto"/>
              </w:rPr>
            </w:pPr>
          </w:p>
        </w:tc>
      </w:tr>
      <w:tr>
        <w:trPr>
          <w:trHeight w:val="210"/>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Profit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18,869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21,215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-2719705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-2719705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Distributable Cash Flow</w:t>
      </w:r>
    </w:p>
    <w:p>
      <w:pPr>
        <w:spacing w:after="0" w:line="229"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Distributable cash flow means EBITDA, on the basis of the Partnership Performance Results, after considering financial costs for the period, including realized loss on interest rate swaps and excluding amortization of loan fees, estimated dry-docking and replacement capital reserves established by the Partnership and accrued dividends on preference units, whether or not declared. Estimated dry-docking and replacement capital reserves represent capital expenditures required to renew and maintain over the long-term the operating capacity of, or the revenue generated by, our capital assets. Distributable cash flow, which is a non-GAAP financial measure, is a quantitative standard used by investors in publicly-traded partnerships to assess their ability to make quarterly cash distributions. Our calculation of Distributable cash flow may not be comparable to that reported by other companies. Distributable cash flow has limitations as an analytical tool and should not be considered as an alternative to, or substitute for, or superior to profit or loss, profit or loss from operations, earnings per unit or any other measure of operating performance presented in accordance with IFRS. The table below reconciles Distributable cash flow to Profit for the period attributable to the Partnership.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Distributable Cash Flow to Partnership’s Profit:</w:t>
      </w:r>
    </w:p>
    <w:p>
      <w:pPr>
        <w:sectPr>
          <w:pgSz w:w="11900" w:h="16838" w:orient="portrait"/>
          <w:cols w:equalWidth="0" w:num="1">
            <w:col w:w="11460"/>
          </w:cols>
          <w:pgMar w:left="240" w:top="125" w:right="199" w:bottom="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(Amounts expressed in thousands of U.S. Dollars)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97"/>
              </w:rPr>
              <w:t>For the three months ended</w:t>
            </w:r>
          </w:p>
        </w:tc>
        <w:tc>
          <w:tcPr>
            <w:tcW w:w="1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200" w:type="dxa"/>
            <w:vAlign w:val="bottom"/>
          </w:tcPr>
          <w:p>
            <w:pPr>
              <w:spacing w:after="0"/>
              <w:rPr>
                <w:sz w:val="12"/>
                <w:szCs w:val="12"/>
                <w:color w:val="auto"/>
              </w:rPr>
            </w:pPr>
          </w:p>
        </w:tc>
        <w:tc>
          <w:tcPr>
            <w:tcW w:w="186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 xml:space="preserve">September 30, 2016 </w:t>
            </w:r>
            <w:r>
              <w:rPr>
                <w:rFonts w:ascii="Arial" w:cs="Arial" w:eastAsia="Arial" w:hAnsi="Arial"/>
                <w:sz w:val="16"/>
                <w:szCs w:val="16"/>
                <w:b w:val="1"/>
                <w:bCs w:val="1"/>
                <w:color w:val="auto"/>
                <w:vertAlign w:val="superscript"/>
              </w:rPr>
              <w:t>(1)</w:t>
            </w:r>
          </w:p>
        </w:tc>
        <w:tc>
          <w:tcPr>
            <w:tcW w:w="120" w:type="dxa"/>
            <w:vAlign w:val="bottom"/>
          </w:tcPr>
          <w:p>
            <w:pPr>
              <w:spacing w:after="0"/>
              <w:rPr>
                <w:sz w:val="12"/>
                <w:szCs w:val="12"/>
                <w:color w:val="auto"/>
              </w:rPr>
            </w:pPr>
          </w:p>
        </w:tc>
        <w:tc>
          <w:tcPr>
            <w:tcW w:w="198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 xml:space="preserve">June 30, 2017 </w:t>
            </w:r>
            <w:r>
              <w:rPr>
                <w:rFonts w:ascii="Arial" w:cs="Arial" w:eastAsia="Arial" w:hAnsi="Arial"/>
                <w:sz w:val="16"/>
                <w:szCs w:val="16"/>
                <w:b w:val="1"/>
                <w:bCs w:val="1"/>
                <w:color w:val="auto"/>
                <w:vertAlign w:val="superscript"/>
              </w:rPr>
              <w:t>(1)</w:t>
            </w:r>
          </w:p>
        </w:tc>
        <w:tc>
          <w:tcPr>
            <w:tcW w:w="170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 xml:space="preserve">September 30, 2017 </w:t>
            </w:r>
            <w:r>
              <w:rPr>
                <w:rFonts w:ascii="Arial" w:cs="Arial" w:eastAsia="Arial" w:hAnsi="Arial"/>
                <w:sz w:val="16"/>
                <w:szCs w:val="16"/>
                <w:b w:val="1"/>
                <w:bCs w:val="1"/>
                <w:color w:val="auto"/>
                <w:vertAlign w:val="superscript"/>
              </w:rPr>
              <w:t>(1)</w:t>
            </w:r>
          </w:p>
        </w:tc>
        <w:tc>
          <w:tcPr>
            <w:tcW w:w="100" w:type="dxa"/>
            <w:vAlign w:val="bottom"/>
          </w:tcPr>
          <w:p>
            <w:pPr>
              <w:spacing w:after="0"/>
              <w:rPr>
                <w:sz w:val="12"/>
                <w:szCs w:val="12"/>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Partnership’s profit for the period</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19,358</w:t>
            </w: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Depreciation</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11,116</w:t>
            </w:r>
          </w:p>
        </w:tc>
        <w:tc>
          <w:tcPr>
            <w:tcW w:w="2100" w:type="dxa"/>
            <w:vAlign w:val="bottom"/>
            <w:gridSpan w:val="3"/>
          </w:tcPr>
          <w:p>
            <w:pPr>
              <w:jc w:val="right"/>
              <w:ind w:right="280"/>
              <w:spacing w:after="0"/>
              <w:rPr>
                <w:sz w:val="20"/>
                <w:szCs w:val="20"/>
                <w:color w:val="auto"/>
              </w:rPr>
            </w:pPr>
            <w:r>
              <w:rPr>
                <w:rFonts w:ascii="Arial" w:cs="Arial" w:eastAsia="Arial" w:hAnsi="Arial"/>
                <w:sz w:val="18"/>
                <w:szCs w:val="18"/>
                <w:color w:val="auto"/>
              </w:rPr>
              <w:t>13,466</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15,580</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7,333</w:t>
            </w:r>
          </w:p>
        </w:tc>
        <w:tc>
          <w:tcPr>
            <w:tcW w:w="2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10,288</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12,289</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Financial income</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2100" w:type="dxa"/>
            <w:vAlign w:val="bottom"/>
            <w:gridSpan w:val="3"/>
          </w:tcPr>
          <w:p>
            <w:pPr>
              <w:jc w:val="right"/>
              <w:ind w:right="220"/>
              <w:spacing w:after="0"/>
              <w:rPr>
                <w:sz w:val="20"/>
                <w:szCs w:val="20"/>
                <w:color w:val="auto"/>
              </w:rPr>
            </w:pPr>
            <w:r>
              <w:rPr>
                <w:rFonts w:ascii="Arial" w:cs="Arial" w:eastAsia="Arial" w:hAnsi="Arial"/>
                <w:sz w:val="18"/>
                <w:szCs w:val="18"/>
                <w:color w:val="auto"/>
              </w:rPr>
              <w:t>(228)</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(311)</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Loss on interest rate swaps</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2,336</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r>
      <w:tr>
        <w:trPr>
          <w:trHeight w:val="210"/>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EBITDA</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37,234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45,220</w:t>
            </w:r>
          </w:p>
        </w:tc>
        <w:tc>
          <w:tcPr>
            <w:tcW w:w="280" w:type="dxa"/>
            <w:vAlign w:val="bottom"/>
            <w:tcBorders>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53,529</w:t>
            </w:r>
          </w:p>
        </w:tc>
        <w:tc>
          <w:tcPr>
            <w:tcW w:w="100" w:type="dxa"/>
            <w:vAlign w:val="bottom"/>
            <w:tcBorders>
              <w:bottom w:val="single" w:sz="8" w:color="CCEEFF"/>
            </w:tcBorders>
          </w:tcPr>
          <w:p>
            <w:pPr>
              <w:spacing w:after="0"/>
              <w:rPr>
                <w:sz w:val="18"/>
                <w:szCs w:val="18"/>
                <w:color w:val="auto"/>
              </w:rPr>
            </w:pPr>
          </w:p>
        </w:tc>
      </w:tr>
      <w:tr>
        <w:trPr>
          <w:trHeight w:val="182"/>
        </w:trPr>
        <w:tc>
          <w:tcPr>
            <w:tcW w:w="52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Financial costs (excluding amortization of loan fees) and realized</w:t>
            </w:r>
          </w:p>
        </w:tc>
        <w:tc>
          <w:tcPr>
            <w:tcW w:w="1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interest rate swaps</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(6,425)</w:t>
            </w:r>
          </w:p>
        </w:tc>
        <w:tc>
          <w:tcPr>
            <w:tcW w:w="2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(9,591)</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(11,380)</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Dry-docking capital reserve</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(2,168)</w:t>
            </w:r>
          </w:p>
        </w:tc>
        <w:tc>
          <w:tcPr>
            <w:tcW w:w="2100" w:type="dxa"/>
            <w:vAlign w:val="bottom"/>
            <w:gridSpan w:val="3"/>
          </w:tcPr>
          <w:p>
            <w:pPr>
              <w:jc w:val="right"/>
              <w:ind w:right="220"/>
              <w:spacing w:after="0"/>
              <w:rPr>
                <w:sz w:val="20"/>
                <w:szCs w:val="20"/>
                <w:color w:val="auto"/>
              </w:rPr>
            </w:pPr>
            <w:r>
              <w:rPr>
                <w:rFonts w:ascii="Arial" w:cs="Arial" w:eastAsia="Arial" w:hAnsi="Arial"/>
                <w:sz w:val="18"/>
                <w:szCs w:val="18"/>
                <w:color w:val="auto"/>
              </w:rPr>
              <w:t>(2,871)</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(3,240)</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Replacement capital reserve</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(7,228)</w:t>
            </w:r>
          </w:p>
        </w:tc>
        <w:tc>
          <w:tcPr>
            <w:tcW w:w="2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(7,954)</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(8,942)</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Accrued preferred equity distribution</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100" w:type="dxa"/>
            <w:vAlign w:val="bottom"/>
            <w:gridSpan w:val="3"/>
          </w:tcPr>
          <w:p>
            <w:pPr>
              <w:jc w:val="right"/>
              <w:ind w:right="220"/>
              <w:spacing w:after="0"/>
              <w:rPr>
                <w:sz w:val="20"/>
                <w:szCs w:val="20"/>
                <w:color w:val="auto"/>
              </w:rPr>
            </w:pPr>
            <w:r>
              <w:rPr>
                <w:rFonts w:ascii="Arial" w:cs="Arial" w:eastAsia="Arial" w:hAnsi="Arial"/>
                <w:sz w:val="18"/>
                <w:szCs w:val="18"/>
                <w:color w:val="auto"/>
              </w:rPr>
              <w:t>(1,549)</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(3,100)</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Distributable cash flow</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21,413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23,255</w:t>
            </w: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200" w:type="dxa"/>
            <w:vAlign w:val="bottom"/>
            <w:tcBorders>
              <w:bottom w:val="single" w:sz="8" w:color="CCEEFF"/>
            </w:tcBorders>
          </w:tcPr>
          <w:p>
            <w:pPr>
              <w:spacing w:after="0" w:line="210" w:lineRule="exact"/>
              <w:rPr>
                <w:sz w:val="20"/>
                <w:szCs w:val="20"/>
                <w:color w:val="auto"/>
              </w:rPr>
            </w:pPr>
            <w:r>
              <w:rPr>
                <w:rFonts w:ascii="Arial" w:cs="Arial" w:eastAsia="Arial" w:hAnsi="Arial"/>
                <w:sz w:val="18"/>
                <w:szCs w:val="18"/>
                <w:color w:val="auto"/>
              </w:rPr>
              <w:t>Other reserves</w:t>
            </w:r>
            <w:r>
              <w:rPr>
                <w:rFonts w:ascii="Arial" w:cs="Arial" w:eastAsia="Arial" w:hAnsi="Arial"/>
                <w:sz w:val="23"/>
                <w:szCs w:val="23"/>
                <w:color w:val="auto"/>
                <w:vertAlign w:val="superscript"/>
              </w:rPr>
              <w:t>(2) (3) (4)</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w:t>
            </w:r>
          </w:p>
        </w:tc>
        <w:tc>
          <w:tcPr>
            <w:tcW w:w="28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(4,562)</w:t>
            </w:r>
          </w:p>
        </w:tc>
        <w:tc>
          <w:tcPr>
            <w:tcW w:w="100" w:type="dxa"/>
            <w:vAlign w:val="bottom"/>
            <w:tcBorders>
              <w:bottom w:val="single" w:sz="8" w:color="CCEEFF"/>
            </w:tcBorders>
          </w:tcPr>
          <w:p>
            <w:pPr>
              <w:spacing w:after="0"/>
              <w:rPr>
                <w:sz w:val="18"/>
                <w:szCs w:val="18"/>
                <w:color w:val="auto"/>
              </w:rPr>
            </w:pPr>
          </w:p>
        </w:tc>
      </w:tr>
      <w:tr>
        <w:trPr>
          <w:trHeight w:val="210"/>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distribution declared</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17,077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21,001</w:t>
            </w:r>
          </w:p>
        </w:tc>
        <w:tc>
          <w:tcPr>
            <w:tcW w:w="28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22,305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60" w:hanging="252"/>
        <w:spacing w:after="0" w:line="275" w:lineRule="auto"/>
        <w:tabs>
          <w:tab w:leader="none" w:pos="272"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 xml:space="preserve">Excludes amounts related to GAS-seven Ltd., the owner of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and GAS-eleven Ltd., the owner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and GAS-thirteen Ltd., the owner of the </w:t>
      </w:r>
      <w:r>
        <w:rPr>
          <w:rFonts w:ascii="Arial" w:cs="Arial" w:eastAsia="Arial" w:hAnsi="Arial"/>
          <w:sz w:val="16"/>
          <w:szCs w:val="16"/>
          <w:i w:val="1"/>
          <w:iCs w:val="1"/>
          <w:color w:val="auto"/>
        </w:rPr>
        <w:t>GasLog Geneva</w:t>
      </w:r>
      <w:r>
        <w:rPr>
          <w:rFonts w:ascii="Arial" w:cs="Arial" w:eastAsia="Arial" w:hAnsi="Arial"/>
          <w:sz w:val="16"/>
          <w:szCs w:val="16"/>
          <w:color w:val="auto"/>
        </w:rPr>
        <w:t>, for the periods prior to their transfers to the Partnership on November 1, 2016, May 3, 2017 and July 3, 2017, respectively. While such amounts are reflected in the Partnership’s unaudited condensed consolidated financial statements because the transfers to the Partnership were accounted for as reorganizations of entities under common control under IFRS, GAS-seven Ltd., GAS-eleven Ltd. and GAS-thirteen Ltd. were not owned by the Partnership prior to their respective transfers to the Partnership in November 2016, May 2017 and July 2017 and</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accordingly the Partnership was not entitled to the cash or results generated in the period prior to such transfers.</w:t>
      </w:r>
    </w:p>
    <w:p>
      <w:pPr>
        <w:spacing w:after="0" w:line="225" w:lineRule="exact"/>
        <w:rPr>
          <w:sz w:val="20"/>
          <w:szCs w:val="20"/>
          <w:color w:val="auto"/>
        </w:rPr>
      </w:pPr>
    </w:p>
    <w:p>
      <w:pPr>
        <w:ind w:left="260" w:right="720" w:hanging="252"/>
        <w:spacing w:after="0" w:line="267" w:lineRule="auto"/>
        <w:tabs>
          <w:tab w:leader="none" w:pos="272"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Refers to reserves (other than the dry-docking and replacement capital reserves) for the proper conduct of the business of the Partnership and its subsidiaries (including reserves for future capital expenditures and for anticipated future credit needs of the Partnership and its subsidiaries).</w:t>
      </w:r>
    </w:p>
    <w:p>
      <w:pPr>
        <w:spacing w:after="0" w:line="174" w:lineRule="exact"/>
        <w:rPr>
          <w:rFonts w:ascii="Arial" w:cs="Arial" w:eastAsia="Arial" w:hAnsi="Arial"/>
          <w:sz w:val="21"/>
          <w:szCs w:val="21"/>
          <w:color w:val="auto"/>
          <w:vertAlign w:val="superscript"/>
        </w:rPr>
      </w:pPr>
    </w:p>
    <w:p>
      <w:pPr>
        <w:ind w:left="260" w:right="600" w:hanging="252"/>
        <w:spacing w:after="0" w:line="238" w:lineRule="auto"/>
        <w:tabs>
          <w:tab w:leader="none" w:pos="272"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For the three months ended June 30, 2017, the cash distributions declared and the other reserves have been affected by $148 paid in respect of the common units issued through the Partnership’s ATM Programme until the distribution record date in the third quarter of 2017.</w:t>
      </w:r>
    </w:p>
    <w:p>
      <w:pPr>
        <w:spacing w:after="0" w:line="203" w:lineRule="exact"/>
        <w:rPr>
          <w:rFonts w:ascii="Arial" w:cs="Arial" w:eastAsia="Arial" w:hAnsi="Arial"/>
          <w:sz w:val="22"/>
          <w:szCs w:val="22"/>
          <w:color w:val="auto"/>
          <w:vertAlign w:val="superscript"/>
        </w:rPr>
      </w:pPr>
    </w:p>
    <w:p>
      <w:pPr>
        <w:ind w:left="260" w:right="60" w:hanging="252"/>
        <w:spacing w:after="0" w:line="227" w:lineRule="auto"/>
        <w:tabs>
          <w:tab w:leader="none" w:pos="272"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For the three months ended September 30, 2017, the cash distributions declared and the other reserves have been calculated based on the number of units issued and outstanding as of September 30, 2017.</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99.2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Financial Report for the Three and Nine Months Ended September 30, 2017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w:t>
      </w:r>
    </w:p>
    <w:p>
      <w:pPr>
        <w:spacing w:after="0" w:line="229"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The following is a discussion of our financial condition and results of operations for the three- and nine-month periods ended September 30, 2017 and September 30, 2016. References to “GasLog Partners”, “we”, “our”, “us” and “the Partnership” or similar terms refer to GasLog Partners LP and its subsidiaries. You should read this section in conjunction with our unaudited condensed consolidated financial statements and related notes included elsewhere in this report. For additional information relating to our management’s discussion and analysis of financial condition and results of operations, please see our Current Report on Form 6-K filed with the United States Securities Exchange Commission (the “SEC”) on September 29, 2017. This discussion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 See also discussion in the section entitled “Forward-Looking Statements” below.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00" w:firstLine="383"/>
        <w:spacing w:after="0" w:line="271" w:lineRule="auto"/>
        <w:rPr>
          <w:sz w:val="20"/>
          <w:szCs w:val="20"/>
          <w:color w:val="auto"/>
        </w:rPr>
      </w:pPr>
      <w:r>
        <w:rPr>
          <w:rFonts w:ascii="Arial" w:cs="Arial" w:eastAsia="Arial" w:hAnsi="Arial"/>
          <w:sz w:val="17"/>
          <w:szCs w:val="17"/>
          <w:color w:val="auto"/>
        </w:rPr>
        <w:t>All statements in this report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report,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660" w:hanging="328"/>
        <w:spacing w:after="0" w:line="291" w:lineRule="auto"/>
        <w:tabs>
          <w:tab w:leader="none" w:pos="624" w:val="left"/>
        </w:tabs>
        <w:numPr>
          <w:ilvl w:val="0"/>
          <w:numId w:val="9"/>
        </w:numPr>
        <w:rPr>
          <w:rFonts w:ascii="Arial" w:cs="Arial" w:eastAsia="Arial" w:hAnsi="Arial"/>
          <w:sz w:val="16"/>
          <w:szCs w:val="16"/>
          <w:color w:val="auto"/>
        </w:rPr>
      </w:pPr>
      <w:r>
        <w:rPr>
          <w:rFonts w:ascii="Arial" w:cs="Arial" w:eastAsia="Arial" w:hAnsi="Arial"/>
          <w:sz w:val="16"/>
          <w:szCs w:val="16"/>
          <w:color w:val="auto"/>
        </w:rPr>
        <w:t>general liquefied natural gas (“LNG”) shipping market conditions and trends, including spot and long-term charter rates, ship values, factors affecting supply and demand of LNG and LNG shipping, technological advancements and opportunities for the profitable operations of LNG carriers;</w:t>
      </w: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continued low prices for crude oil and petroleum products and volatility in gas prices;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leverage GasLog Ltd. (“GasLog”)’s relationships and reputation in the shipping industry;</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enter into time charters with new and existing customers;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purchase vessels from GasLog in the future;</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of the revolving credit facility with GasLog entered into on April 3, 2017 and our ability to meet our restrictive covenants and other obligations under our credit facilities;</w:t>
      </w:r>
    </w:p>
    <w:p>
      <w:pPr>
        <w:spacing w:after="0" w:line="1" w:lineRule="exact"/>
        <w:rPr>
          <w:rFonts w:ascii="Arial" w:cs="Arial" w:eastAsia="Arial" w:hAnsi="Arial"/>
          <w:sz w:val="18"/>
          <w:szCs w:val="18"/>
          <w:color w:val="auto"/>
        </w:rPr>
      </w:pPr>
    </w:p>
    <w:p>
      <w:pPr>
        <w:ind w:left="660" w:right="660" w:hanging="328"/>
        <w:spacing w:after="0" w:line="250"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pending or recent acquisitions of ships or other assets, business strategy, areas of possible expansion and expected capital spending or operating expenses;</w:t>
      </w: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expectations about the time that it may take to construct and deliver newbuildings and the useful lives of our ships;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off-hire days, dry-docking requirements and insurance costs;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long-term relationships with major energy companies;</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maximize the use of our ships, including the re-employment or disposal of ships no longer under time charter commitments, including the risk that our vessels may no longer have the latest technology at such time;</w:t>
      </w: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environmental and regulatory conditions, including changes in laws and regulations or actions taken by regulatory authorities;</w:t>
      </w:r>
    </w:p>
    <w:p>
      <w:pPr>
        <w:spacing w:after="0" w:line="9" w:lineRule="exact"/>
        <w:rPr>
          <w:rFonts w:ascii="Arial" w:cs="Arial" w:eastAsia="Arial" w:hAnsi="Arial"/>
          <w:sz w:val="18"/>
          <w:szCs w:val="18"/>
          <w:color w:val="auto"/>
        </w:rPr>
      </w:pPr>
    </w:p>
    <w:p>
      <w:pPr>
        <w:ind w:left="660" w:right="360" w:hanging="328"/>
        <w:spacing w:after="0" w:line="250"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GasLog’s ability to retain key employees and provide services to us, and the availability of skilled labor, ship crews and management;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ind w:left="660" w:right="560" w:hanging="328"/>
        <w:spacing w:after="0" w:line="261"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risks and uncertainties described in the Partnership’s Annual Report on Form 20-F filed with the SEC on February 13, 2017, available at http://www.sec.gov.</w:t>
      </w:r>
    </w:p>
    <w:p>
      <w:pPr>
        <w:spacing w:after="0" w:line="184"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We undertake no obligation to update or revise any forward-looking statements contained in this report, whether as a result of new information, future events, a change in our views or expectations or otherwise. New factors emerge from time to time, and it is not possible for us to predict all of these factors.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Further, we cannot assess the impact of each such factor on our business or the extent to which any factor, or combination of factors, may cause actual results to be materially different from those contained in any forward-looking statement.</w:t>
      </w:r>
    </w:p>
    <w:p>
      <w:pPr>
        <w:spacing w:after="0" w:line="170"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declaration and payment of distributions are at all times subject to the discretion of our board of directors and will depend on, amongst other things, the risks and uncertainties described above, restrictions in our credit facilities, the provisions of Marshall Islands law and such other factors as our board of directors may deem relevant.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w:t>
      </w:r>
    </w:p>
    <w:p>
      <w:pPr>
        <w:sectPr>
          <w:pgSz w:w="11900" w:h="16838" w:orient="portrait"/>
          <w:cols w:equalWidth="0" w:num="1">
            <w:col w:w="11420"/>
          </w:cols>
          <w:pgMar w:left="240" w:top="121" w:right="239" w:bottom="0" w:gutter="0" w:footer="0" w:header="0"/>
        </w:sectPr>
      </w:pPr>
    </w:p>
    <w:bookmarkStart w:id="13" w:name="page14"/>
    <w:bookmarkEnd w:id="13"/>
    <w:p>
      <w:pPr>
        <w:ind w:right="60" w:firstLine="383"/>
        <w:spacing w:after="0" w:line="312" w:lineRule="auto"/>
        <w:rPr>
          <w:sz w:val="20"/>
          <w:szCs w:val="20"/>
          <w:color w:val="auto"/>
        </w:rPr>
      </w:pPr>
      <w:r>
        <w:rPr>
          <w:rFonts w:ascii="Arial" w:cs="Arial" w:eastAsia="Arial" w:hAnsi="Arial"/>
          <w:sz w:val="16"/>
          <w:szCs w:val="16"/>
          <w:color w:val="auto"/>
        </w:rPr>
        <w:t>On October 25, 2017, the board of directors of GasLog Partners approved and declared a quarterly cash distribution of $0.5175 per common unit for the quarter ended September 30, 2017. The cash distribution is payable on November 10, 2017 to all unitholders of record as of November 6, 2017. The aggregate amount of the declared distribution will be $22.3 million based on the number of units issued and outstanding as of September 30,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260" w:firstLine="383"/>
        <w:spacing w:after="0" w:line="259" w:lineRule="auto"/>
        <w:rPr>
          <w:sz w:val="20"/>
          <w:szCs w:val="20"/>
          <w:color w:val="auto"/>
        </w:rPr>
      </w:pPr>
      <w:r>
        <w:rPr>
          <w:rFonts w:ascii="Arial" w:cs="Arial" w:eastAsia="Arial" w:hAnsi="Arial"/>
          <w:sz w:val="18"/>
          <w:szCs w:val="18"/>
          <w:color w:val="auto"/>
        </w:rPr>
        <w:t xml:space="preserve">On July 3, 2017, GasLog Partners acquired 100% of the shares in the entity that owns and charters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from GasLog.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Geneva </w:t>
      </w:r>
      <w:r>
        <w:rPr>
          <w:rFonts w:ascii="Arial" w:cs="Arial" w:eastAsia="Arial" w:hAnsi="Arial"/>
          <w:sz w:val="18"/>
          <w:szCs w:val="18"/>
          <w:color w:val="auto"/>
        </w:rPr>
        <w:t>is a 174,000 cubic meter (“cbm”) tri-fuel diesel electric (“TFDE”) LNG carrier built in 2016 which is chartered to Royal Dutch Shell plc (“Shell”)</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September 2023. The aggregate purchase price for the acquisition was $211.0 million which included $1.0 million for positive net working capital balances transferred with the vessel.</w:t>
      </w:r>
    </w:p>
    <w:p>
      <w:pPr>
        <w:spacing w:after="0" w:line="187" w:lineRule="exact"/>
        <w:rPr>
          <w:sz w:val="20"/>
          <w:szCs w:val="20"/>
          <w:color w:val="auto"/>
        </w:rPr>
      </w:pPr>
    </w:p>
    <w:p>
      <w:pPr>
        <w:ind w:right="80" w:firstLine="383"/>
        <w:spacing w:after="0" w:line="259" w:lineRule="auto"/>
        <w:rPr>
          <w:sz w:val="20"/>
          <w:szCs w:val="20"/>
          <w:color w:val="auto"/>
        </w:rPr>
      </w:pPr>
      <w:r>
        <w:rPr>
          <w:rFonts w:ascii="Arial" w:cs="Arial" w:eastAsia="Arial" w:hAnsi="Arial"/>
          <w:sz w:val="18"/>
          <w:szCs w:val="18"/>
          <w:color w:val="auto"/>
        </w:rPr>
        <w:t xml:space="preserve">On September 19, 2017, GasLog Partners entered into an agreement to acquire from GasLog 100% of the shares in the entity that owns and charters the </w:t>
      </w:r>
      <w:r>
        <w:rPr>
          <w:rFonts w:ascii="Arial" w:cs="Arial" w:eastAsia="Arial" w:hAnsi="Arial"/>
          <w:sz w:val="18"/>
          <w:szCs w:val="18"/>
          <w:i w:val="1"/>
          <w:iCs w:val="1"/>
          <w:color w:val="auto"/>
        </w:rPr>
        <w:t xml:space="preserve">Solaris. </w:t>
      </w:r>
      <w:r>
        <w:rPr>
          <w:rFonts w:ascii="Arial" w:cs="Arial" w:eastAsia="Arial" w:hAnsi="Arial"/>
          <w:sz w:val="18"/>
          <w:szCs w:val="18"/>
          <w:color w:val="auto"/>
        </w:rPr>
        <w:t>The</w:t>
      </w:r>
      <w:r>
        <w:rPr>
          <w:rFonts w:ascii="Arial" w:cs="Arial" w:eastAsia="Arial" w:hAnsi="Arial"/>
          <w:sz w:val="18"/>
          <w:szCs w:val="18"/>
          <w:i w:val="1"/>
          <w:iCs w:val="1"/>
          <w:color w:val="auto"/>
        </w:rPr>
        <w:t xml:space="preserve"> Solaris </w:t>
      </w:r>
      <w:r>
        <w:rPr>
          <w:rFonts w:ascii="Arial" w:cs="Arial" w:eastAsia="Arial" w:hAnsi="Arial"/>
          <w:sz w:val="18"/>
          <w:szCs w:val="18"/>
          <w:color w:val="auto"/>
        </w:rPr>
        <w:t>is a 155,000 cbm TFDE LNG carrier built in 2014 which is chartered to Shell through June 2021. The aggregate purchase price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was $185.9 million, which included $1.0 million for positive net working capital balances transferred with the vessel. The acquisition closed on October 20, 2017.</w:t>
      </w:r>
    </w:p>
    <w:p>
      <w:pPr>
        <w:spacing w:after="0" w:line="187" w:lineRule="exact"/>
        <w:rPr>
          <w:sz w:val="20"/>
          <w:szCs w:val="20"/>
          <w:color w:val="auto"/>
        </w:rPr>
      </w:pPr>
    </w:p>
    <w:p>
      <w:pPr>
        <w:ind w:right="100" w:firstLine="383"/>
        <w:spacing w:after="0" w:line="257" w:lineRule="auto"/>
        <w:rPr>
          <w:sz w:val="20"/>
          <w:szCs w:val="20"/>
          <w:color w:val="auto"/>
        </w:rPr>
      </w:pPr>
      <w:r>
        <w:rPr>
          <w:rFonts w:ascii="Arial" w:cs="Arial" w:eastAsia="Arial" w:hAnsi="Arial"/>
          <w:sz w:val="18"/>
          <w:szCs w:val="18"/>
          <w:color w:val="auto"/>
        </w:rPr>
        <w:t>On May 16, 2017, GasLog Partners commenced an “at-the-market” common equity offering programme (“ATM Programme”) under which the Partnership may, from time to time, raise equity through the issuance and sale of new common units having an aggregate offering price of up to $100.0 million in accordance with the terms of an equity distribution agreement (the “Equity Distribution Agreement”) entered into on the same date. Citigroup Global Markets Inc., Merrill Lynch, Pierce, Fenner &amp; Smith Incorporated, Credit Suisse Securities (USA) LLC and Morgan Stanley &amp; Co. LLC have agreed to act as sales agents.</w:t>
      </w:r>
    </w:p>
    <w:p>
      <w:pPr>
        <w:spacing w:after="0" w:line="188" w:lineRule="exact"/>
        <w:rPr>
          <w:sz w:val="20"/>
          <w:szCs w:val="20"/>
          <w:color w:val="auto"/>
        </w:rPr>
      </w:pPr>
    </w:p>
    <w:p>
      <w:pPr>
        <w:ind w:right="200" w:firstLine="383"/>
        <w:spacing w:after="0" w:line="257" w:lineRule="auto"/>
        <w:rPr>
          <w:sz w:val="20"/>
          <w:szCs w:val="20"/>
          <w:color w:val="auto"/>
        </w:rPr>
      </w:pPr>
      <w:r>
        <w:rPr>
          <w:rFonts w:ascii="Arial" w:cs="Arial" w:eastAsia="Arial" w:hAnsi="Arial"/>
          <w:sz w:val="18"/>
          <w:szCs w:val="18"/>
          <w:color w:val="auto"/>
        </w:rPr>
        <w:t>From establishment of the ATM Programme through September 30, 2017, GasLog Partners had issued and received payment for 2,351,885 units at a weighted average price of $22.91 per common unit for total gross proceeds of $53.9 million and net proceeds of $52.7 million, after broker commissions of $0.7 million and other expenses of $0.4 million. In connection with the issuance of common units under the ATM Programme during this period, the Partnership also issued 47,998 general partner units to its general partner in order for GasLog to retain its 2.0% general partner interest. The net proceeds from the issuance of the general partner units were $1.1 million.</w:t>
      </w:r>
    </w:p>
    <w:p>
      <w:pPr>
        <w:spacing w:after="0" w:line="188" w:lineRule="exact"/>
        <w:rPr>
          <w:sz w:val="20"/>
          <w:szCs w:val="20"/>
          <w:color w:val="auto"/>
        </w:rPr>
      </w:pPr>
    </w:p>
    <w:p>
      <w:pPr>
        <w:jc w:val="both"/>
        <w:ind w:right="220" w:firstLine="383"/>
        <w:spacing w:after="0" w:line="302" w:lineRule="auto"/>
        <w:rPr>
          <w:sz w:val="20"/>
          <w:szCs w:val="20"/>
          <w:color w:val="auto"/>
        </w:rPr>
      </w:pPr>
      <w:r>
        <w:rPr>
          <w:rFonts w:ascii="Arial" w:cs="Arial" w:eastAsia="Arial" w:hAnsi="Arial"/>
          <w:sz w:val="16"/>
          <w:szCs w:val="16"/>
          <w:color w:val="auto"/>
        </w:rPr>
        <w:t>During the quarter ended September 30, 2017, GasLog Partners had issued and received payment for 1,941,008 common units at a weighted average price of $22.96 per common unit for total gross proceeds of $44.6 million and net proceeds of $43.9 million, after broker commissions of $0.6 million and other expenses of $0.1 million. In connection with the issuance of common units under the ATM Programme during this period, the Partnership also issued 39,613 general partner units to its general partner in order for GasLog to retain its 2.0% general partner interest and received net proceeds $0.9 million.</w:t>
      </w:r>
    </w:p>
    <w:p>
      <w:pPr>
        <w:spacing w:after="0" w:line="154" w:lineRule="exact"/>
        <w:rPr>
          <w:sz w:val="20"/>
          <w:szCs w:val="20"/>
          <w:color w:val="auto"/>
        </w:rPr>
      </w:pPr>
    </w:p>
    <w:p>
      <w:pPr>
        <w:ind w:right="20" w:firstLine="383"/>
        <w:spacing w:after="0" w:line="257" w:lineRule="auto"/>
        <w:rPr>
          <w:sz w:val="20"/>
          <w:szCs w:val="20"/>
          <w:color w:val="auto"/>
        </w:rPr>
      </w:pPr>
      <w:r>
        <w:rPr>
          <w:rFonts w:ascii="Arial" w:cs="Arial" w:eastAsia="Arial" w:hAnsi="Arial"/>
          <w:sz w:val="18"/>
          <w:szCs w:val="18"/>
          <w:color w:val="auto"/>
        </w:rPr>
        <w:t>In the period from October 1, 2017 and up to October 3, 2017, GasLog Partners issued and received payment for an additional 130,220 common units at a weighted average price of $23.26 per unit for gross proceeds of $3.03 million and net proceeds of $2.99 million, after broker commissions of $0.04 million. The issuance of these units fulfilled contractual commitments entered into on or before September 30, 2017. In connection with the issuance of common units during this subsequent period, the Partnership also issued 2,658 general partner units to its general partner in order for GasLog to retain its 2.0% general partner interest, the net proceeds of which were $0.1 million.</w:t>
      </w:r>
    </w:p>
    <w:p>
      <w:pPr>
        <w:spacing w:after="0" w:line="188" w:lineRule="exact"/>
        <w:rPr>
          <w:sz w:val="20"/>
          <w:szCs w:val="20"/>
          <w:color w:val="auto"/>
        </w:rPr>
      </w:pPr>
    </w:p>
    <w:p>
      <w:pPr>
        <w:ind w:right="400" w:firstLine="383"/>
        <w:spacing w:after="0" w:line="264" w:lineRule="auto"/>
        <w:rPr>
          <w:sz w:val="20"/>
          <w:szCs w:val="20"/>
          <w:color w:val="auto"/>
        </w:rPr>
      </w:pPr>
      <w:r>
        <w:rPr>
          <w:rFonts w:ascii="Arial" w:cs="Arial" w:eastAsia="Arial" w:hAnsi="Arial"/>
          <w:sz w:val="18"/>
          <w:szCs w:val="18"/>
          <w:color w:val="auto"/>
        </w:rPr>
        <w:t>As of September 30, 2017, GasLog holds a 26.1% interest in the Partnership (including 2% through general partner units). As a result of its 100% ownership of the general partner, and the fact that the general partner elects the majority of the Partnership’s directors in accordance with the Partnership Agreement, GasLog has the ability to control the Partnership’s affairs and policies.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428"/>
        <w:spacing w:after="0" w:line="277" w:lineRule="auto"/>
        <w:rPr>
          <w:sz w:val="20"/>
          <w:szCs w:val="20"/>
          <w:color w:val="auto"/>
        </w:rPr>
      </w:pPr>
      <w:r>
        <w:rPr>
          <w:rFonts w:ascii="Arial" w:cs="Arial" w:eastAsia="Arial" w:hAnsi="Arial"/>
          <w:sz w:val="18"/>
          <w:szCs w:val="18"/>
          <w:color w:val="auto"/>
        </w:rPr>
        <w:t>We are a growth-oriented limited partnership focused on owning, operating and acquiring LNG carriers engaged in LNG transportation under long-term charters, which we define as charters with an initial duration of five full years or more.</w:t>
      </w:r>
    </w:p>
    <w:p>
      <w:pPr>
        <w:spacing w:after="0" w:line="170" w:lineRule="exact"/>
        <w:rPr>
          <w:sz w:val="20"/>
          <w:szCs w:val="20"/>
          <w:color w:val="auto"/>
        </w:rPr>
      </w:pPr>
    </w:p>
    <w:p>
      <w:pPr>
        <w:ind w:firstLine="428"/>
        <w:spacing w:after="0" w:line="276" w:lineRule="auto"/>
        <w:rPr>
          <w:sz w:val="20"/>
          <w:szCs w:val="20"/>
          <w:color w:val="auto"/>
        </w:rPr>
      </w:pPr>
      <w:r>
        <w:rPr>
          <w:rFonts w:ascii="Arial" w:cs="Arial" w:eastAsia="Arial" w:hAnsi="Arial"/>
          <w:sz w:val="17"/>
          <w:szCs w:val="17"/>
          <w:color w:val="auto"/>
        </w:rPr>
        <w:t xml:space="preserve">As of September 30, 2017, our fleet consisted of eleven LNG carriers, including six vessels with modern TFDE propulsion and five modern steam propulsion vessels (“Steam”) that operate under long-term charters with wholly owned subsidiaries of Shell. On October 20, 2017, our fleet increased to twelve LNG carriers upon completion of the acquisition of the </w:t>
      </w:r>
      <w:r>
        <w:rPr>
          <w:rFonts w:ascii="Arial" w:cs="Arial" w:eastAsia="Arial" w:hAnsi="Arial"/>
          <w:sz w:val="17"/>
          <w:szCs w:val="17"/>
          <w:i w:val="1"/>
          <w:iCs w:val="1"/>
          <w:color w:val="auto"/>
        </w:rPr>
        <w:t>Solaris</w:t>
      </w:r>
      <w:r>
        <w:rPr>
          <w:rFonts w:ascii="Arial" w:cs="Arial" w:eastAsia="Arial" w:hAnsi="Arial"/>
          <w:sz w:val="17"/>
          <w:szCs w:val="17"/>
          <w:color w:val="auto"/>
        </w:rPr>
        <w:t>, a 155,000 cbm TFDE LNG carrier built in 2014. We also have options and other rights under which we may acquire additional LNG carriers from GasLog, as described below. We believe that such options and rights provide us with significant built-in growth opportunities. We may also acquire vessels from shipyards or other owners.</w:t>
      </w:r>
    </w:p>
    <w:p>
      <w:pPr>
        <w:spacing w:after="0" w:line="173" w:lineRule="exact"/>
        <w:rPr>
          <w:sz w:val="20"/>
          <w:szCs w:val="20"/>
          <w:color w:val="auto"/>
        </w:rPr>
      </w:pPr>
    </w:p>
    <w:p>
      <w:pPr>
        <w:ind w:right="220" w:firstLine="428"/>
        <w:spacing w:after="0" w:line="279" w:lineRule="auto"/>
        <w:rPr>
          <w:sz w:val="20"/>
          <w:szCs w:val="20"/>
          <w:color w:val="auto"/>
        </w:rPr>
      </w:pPr>
      <w:r>
        <w:rPr>
          <w:rFonts w:ascii="Arial" w:cs="Arial" w:eastAsia="Arial" w:hAnsi="Arial"/>
          <w:sz w:val="17"/>
          <w:szCs w:val="17"/>
          <w:color w:val="auto"/>
        </w:rPr>
        <w:t>We operate our vessels under multi-year charters with fixed-fee contracts that generate predictable cash flows during the life of these charters. We intend to grow our fleet through further acquisitions of LNG carriers from GasLog and third parties. However, we cannot assure you that we will make any particular acquisition or that as a consequence we will successfully grow our distributions per common unit. Among other things, our ability to acquire additional LNG carriers will be dependent upon our ability to raise additional equity and debt financing.</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Fleet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Owned Fleet</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fleet currently consists of the following vessels: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Cargo</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Charter</w:t>
            </w: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LNG Carrier</w:t>
            </w: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Year Built</w:t>
            </w: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Capacity</w:t>
            </w: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Charterer</w:t>
            </w: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Propulsion</w:t>
            </w:r>
          </w:p>
        </w:tc>
        <w:tc>
          <w:tcPr>
            <w:tcW w:w="1920" w:type="dxa"/>
            <w:vAlign w:val="bottom"/>
            <w:gridSpan w:val="2"/>
            <w:vMerge w:val="continue"/>
          </w:tcPr>
          <w:p>
            <w:pPr>
              <w:spacing w:after="0"/>
              <w:rPr>
                <w:sz w:val="12"/>
                <w:szCs w:val="12"/>
                <w:color w:val="auto"/>
              </w:rPr>
            </w:pPr>
          </w:p>
        </w:tc>
        <w:tc>
          <w:tcPr>
            <w:tcW w:w="17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Optional Period</w:t>
            </w:r>
          </w:p>
        </w:tc>
        <w:tc>
          <w:tcPr>
            <w:tcW w:w="0" w:type="dxa"/>
            <w:vAlign w:val="bottom"/>
          </w:tcPr>
          <w:p>
            <w:pPr>
              <w:spacing w:after="0"/>
              <w:rPr>
                <w:sz w:val="1"/>
                <w:szCs w:val="1"/>
                <w:color w:val="auto"/>
              </w:rPr>
            </w:pPr>
          </w:p>
        </w:tc>
      </w:tr>
      <w:tr>
        <w:trPr>
          <w:trHeight w:val="171"/>
        </w:trPr>
        <w:tc>
          <w:tcPr>
            <w:tcW w:w="262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(cbm)</w:t>
            </w:r>
          </w:p>
        </w:tc>
        <w:tc>
          <w:tcPr>
            <w:tcW w:w="11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Expiration</w:t>
            </w:r>
          </w:p>
        </w:tc>
        <w:tc>
          <w:tcPr>
            <w:tcW w:w="1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GasLog Shanghai</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155,000</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May 2018</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i w:val="1"/>
                <w:iCs w:val="1"/>
                <w:color w:val="auto"/>
              </w:rPr>
              <w:t>GasLog Santiago</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155,000</w:t>
            </w:r>
          </w:p>
        </w:tc>
        <w:tc>
          <w:tcPr>
            <w:tcW w:w="2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TFDE</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July 2018</w:t>
            </w: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Sydney</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155,000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TFDE</w:t>
            </w:r>
          </w:p>
        </w:tc>
        <w:tc>
          <w:tcPr>
            <w:tcW w:w="19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September 2018</w:t>
            </w:r>
          </w:p>
        </w:tc>
        <w:tc>
          <w:tcPr>
            <w:tcW w:w="17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i w:val="1"/>
                <w:iCs w:val="1"/>
                <w:color w:val="auto"/>
              </w:rPr>
              <w:t>GasLog Seattle</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155,000</w:t>
            </w:r>
          </w:p>
        </w:tc>
        <w:tc>
          <w:tcPr>
            <w:tcW w:w="2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TFDE</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December 2020</w:t>
            </w:r>
          </w:p>
        </w:tc>
        <w:tc>
          <w:tcPr>
            <w:tcW w:w="1720" w:type="dxa"/>
            <w:vAlign w:val="bottom"/>
            <w:gridSpan w:val="2"/>
          </w:tcPr>
          <w:p>
            <w:pPr>
              <w:jc w:val="center"/>
              <w:ind w:right="320"/>
              <w:spacing w:after="0" w:line="216" w:lineRule="exact"/>
              <w:rPr>
                <w:sz w:val="20"/>
                <w:szCs w:val="20"/>
                <w:color w:val="auto"/>
              </w:rPr>
            </w:pPr>
            <w:r>
              <w:rPr>
                <w:rFonts w:ascii="Arial" w:cs="Arial" w:eastAsia="Arial" w:hAnsi="Arial"/>
                <w:sz w:val="18"/>
                <w:szCs w:val="18"/>
                <w:color w:val="auto"/>
                <w:w w:val="87"/>
              </w:rPr>
              <w:t xml:space="preserve">2025–2030 </w:t>
            </w:r>
            <w:r>
              <w:rPr>
                <w:rFonts w:ascii="Arial" w:cs="Arial" w:eastAsia="Arial" w:hAnsi="Arial"/>
                <w:sz w:val="23"/>
                <w:szCs w:val="23"/>
                <w:color w:val="auto"/>
                <w:w w:val="87"/>
                <w:vertAlign w:val="superscript"/>
              </w:rPr>
              <w:t>(1)</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i w:val="1"/>
                <w:iCs w:val="1"/>
                <w:color w:val="auto"/>
              </w:rPr>
              <w:t xml:space="preserve">Solaris </w:t>
            </w:r>
            <w:r>
              <w:rPr>
                <w:rFonts w:ascii="Arial" w:cs="Arial" w:eastAsia="Arial" w:hAnsi="Arial"/>
                <w:sz w:val="23"/>
                <w:szCs w:val="23"/>
                <w:color w:val="auto"/>
                <w:vertAlign w:val="superscript"/>
              </w:rPr>
              <w:t>(2)</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155,000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TFDE</w:t>
            </w:r>
          </w:p>
        </w:tc>
        <w:tc>
          <w:tcPr>
            <w:tcW w:w="19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June 2021</w:t>
            </w:r>
          </w:p>
        </w:tc>
        <w:tc>
          <w:tcPr>
            <w:tcW w:w="1720" w:type="dxa"/>
            <w:vAlign w:val="bottom"/>
            <w:gridSpan w:val="2"/>
            <w:shd w:val="clear" w:color="auto" w:fill="CCEEFF"/>
          </w:tcPr>
          <w:p>
            <w:pPr>
              <w:jc w:val="center"/>
              <w:ind w:right="320"/>
              <w:spacing w:after="0" w:line="216" w:lineRule="exact"/>
              <w:rPr>
                <w:sz w:val="20"/>
                <w:szCs w:val="20"/>
                <w:color w:val="auto"/>
              </w:rPr>
            </w:pPr>
            <w:r>
              <w:rPr>
                <w:rFonts w:ascii="Arial" w:cs="Arial" w:eastAsia="Arial" w:hAnsi="Arial"/>
                <w:sz w:val="18"/>
                <w:szCs w:val="18"/>
                <w:color w:val="auto"/>
                <w:w w:val="87"/>
              </w:rPr>
              <w:t xml:space="preserve">2026–2031 </w:t>
            </w:r>
            <w:r>
              <w:rPr>
                <w:rFonts w:ascii="Arial" w:cs="Arial" w:eastAsia="Arial" w:hAnsi="Arial"/>
                <w:sz w:val="23"/>
                <w:szCs w:val="23"/>
                <w:color w:val="auto"/>
                <w:w w:val="87"/>
                <w:vertAlign w:val="superscript"/>
              </w:rPr>
              <w:t>(1)</w:t>
            </w:r>
          </w:p>
        </w:tc>
        <w:tc>
          <w:tcPr>
            <w:tcW w:w="0" w:type="dxa"/>
            <w:vAlign w:val="bottom"/>
          </w:tcPr>
          <w:p>
            <w:pPr>
              <w:spacing w:after="0"/>
              <w:rPr>
                <w:sz w:val="1"/>
                <w:szCs w:val="1"/>
                <w:color w:val="auto"/>
              </w:rPr>
            </w:pPr>
          </w:p>
        </w:tc>
      </w:tr>
    </w:tbl>
    <w:p>
      <w:pPr>
        <w:sectPr>
          <w:pgSz w:w="11900" w:h="16838" w:orient="portrait"/>
          <w:cols w:equalWidth="0" w:num="1">
            <w:col w:w="11400"/>
          </w:cols>
          <w:pgMar w:left="240" w:top="341" w:right="25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00" w:type="dxa"/>
            <w:vAlign w:val="bottom"/>
          </w:tcPr>
          <w:p>
            <w:pPr>
              <w:spacing w:after="0"/>
              <w:rPr>
                <w:sz w:val="20"/>
                <w:szCs w:val="20"/>
                <w:color w:val="auto"/>
              </w:rPr>
            </w:pPr>
            <w:r>
              <w:rPr>
                <w:rFonts w:ascii="Arial" w:cs="Arial" w:eastAsia="Arial" w:hAnsi="Arial"/>
                <w:sz w:val="18"/>
                <w:szCs w:val="18"/>
                <w:i w:val="1"/>
                <w:iCs w:val="1"/>
                <w:color w:val="auto"/>
              </w:rPr>
              <w:t>GasLog Greece</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174,000</w:t>
            </w:r>
          </w:p>
        </w:tc>
        <w:tc>
          <w:tcPr>
            <w:tcW w:w="1120" w:type="dxa"/>
            <w:vAlign w:val="bottom"/>
          </w:tcPr>
          <w:p>
            <w:pPr>
              <w:ind w:left="380"/>
              <w:spacing w:after="0"/>
              <w:rPr>
                <w:sz w:val="20"/>
                <w:szCs w:val="20"/>
                <w:color w:val="auto"/>
              </w:rPr>
            </w:pPr>
            <w:r>
              <w:rPr>
                <w:rFonts w:ascii="Arial" w:cs="Arial" w:eastAsia="Arial" w:hAnsi="Arial"/>
                <w:sz w:val="18"/>
                <w:szCs w:val="18"/>
                <w:color w:val="auto"/>
              </w:rPr>
              <w:t>Shell</w:t>
            </w:r>
          </w:p>
        </w:tc>
        <w:tc>
          <w:tcPr>
            <w:tcW w:w="1160" w:type="dxa"/>
            <w:vAlign w:val="bottom"/>
          </w:tcPr>
          <w:p>
            <w:pPr>
              <w:ind w:left="360"/>
              <w:spacing w:after="0"/>
              <w:rPr>
                <w:sz w:val="20"/>
                <w:szCs w:val="20"/>
                <w:color w:val="auto"/>
              </w:rPr>
            </w:pPr>
            <w:r>
              <w:rPr>
                <w:rFonts w:ascii="Arial" w:cs="Arial" w:eastAsia="Arial" w:hAnsi="Arial"/>
                <w:sz w:val="18"/>
                <w:szCs w:val="18"/>
                <w:color w:val="auto"/>
              </w:rPr>
              <w:t>TFDE</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March 2026</w:t>
            </w:r>
          </w:p>
        </w:tc>
        <w:tc>
          <w:tcPr>
            <w:tcW w:w="1860" w:type="dxa"/>
            <w:vAlign w:val="bottom"/>
          </w:tcPr>
          <w:p>
            <w:pPr>
              <w:jc w:val="center"/>
              <w:ind w:right="110"/>
              <w:spacing w:after="0"/>
              <w:rPr>
                <w:sz w:val="20"/>
                <w:szCs w:val="20"/>
                <w:color w:val="auto"/>
              </w:rPr>
            </w:pPr>
            <w:r>
              <w:rPr>
                <w:rFonts w:ascii="Arial" w:cs="Arial" w:eastAsia="Arial" w:hAnsi="Arial"/>
                <w:sz w:val="18"/>
                <w:szCs w:val="18"/>
                <w:color w:val="auto"/>
                <w:w w:val="84"/>
              </w:rPr>
              <w:t xml:space="preserve">2031 </w:t>
            </w:r>
            <w:r>
              <w:rPr>
                <w:rFonts w:ascii="Arial" w:cs="Arial" w:eastAsia="Arial" w:hAnsi="Arial"/>
                <w:sz w:val="23"/>
                <w:szCs w:val="23"/>
                <w:color w:val="auto"/>
                <w:w w:val="84"/>
                <w:vertAlign w:val="superscript"/>
              </w:rPr>
              <w:t>(3)</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GasLog Geneva</w:t>
            </w:r>
          </w:p>
        </w:tc>
        <w:tc>
          <w:tcPr>
            <w:tcW w:w="12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2016</w:t>
            </w:r>
          </w:p>
        </w:tc>
        <w:tc>
          <w:tcPr>
            <w:tcW w:w="13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174,000</w:t>
            </w:r>
          </w:p>
        </w:tc>
        <w:tc>
          <w:tcPr>
            <w:tcW w:w="1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Shell</w:t>
            </w:r>
          </w:p>
        </w:tc>
        <w:tc>
          <w:tcPr>
            <w:tcW w:w="1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TFDE</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2023</w:t>
            </w:r>
          </w:p>
        </w:tc>
        <w:tc>
          <w:tcPr>
            <w:tcW w:w="1860" w:type="dxa"/>
            <w:vAlign w:val="bottom"/>
            <w:shd w:val="clear" w:color="auto" w:fill="CCEEFF"/>
          </w:tcPr>
          <w:p>
            <w:pPr>
              <w:jc w:val="center"/>
              <w:ind w:right="90"/>
              <w:spacing w:after="0" w:line="216" w:lineRule="exact"/>
              <w:rPr>
                <w:sz w:val="20"/>
                <w:szCs w:val="20"/>
                <w:color w:val="auto"/>
              </w:rPr>
            </w:pPr>
            <w:r>
              <w:rPr>
                <w:rFonts w:ascii="Arial" w:cs="Arial" w:eastAsia="Arial" w:hAnsi="Arial"/>
                <w:sz w:val="18"/>
                <w:szCs w:val="18"/>
                <w:color w:val="auto"/>
                <w:w w:val="87"/>
              </w:rPr>
              <w:t xml:space="preserve">2028–2031 </w:t>
            </w:r>
            <w:r>
              <w:rPr>
                <w:rFonts w:ascii="Arial" w:cs="Arial" w:eastAsia="Arial" w:hAnsi="Arial"/>
                <w:sz w:val="23"/>
                <w:szCs w:val="23"/>
                <w:color w:val="auto"/>
                <w:w w:val="87"/>
                <w:vertAlign w:val="superscript"/>
              </w:rPr>
              <w:t>(4)</w:t>
            </w:r>
          </w:p>
        </w:tc>
      </w:tr>
      <w:tr>
        <w:trPr>
          <w:trHeight w:val="216"/>
        </w:trPr>
        <w:tc>
          <w:tcPr>
            <w:tcW w:w="2400" w:type="dxa"/>
            <w:vAlign w:val="bottom"/>
          </w:tcPr>
          <w:p>
            <w:pPr>
              <w:spacing w:after="0"/>
              <w:rPr>
                <w:sz w:val="20"/>
                <w:szCs w:val="20"/>
                <w:color w:val="auto"/>
              </w:rPr>
            </w:pPr>
            <w:r>
              <w:rPr>
                <w:rFonts w:ascii="Arial" w:cs="Arial" w:eastAsia="Arial" w:hAnsi="Arial"/>
                <w:sz w:val="18"/>
                <w:szCs w:val="18"/>
                <w:i w:val="1"/>
                <w:iCs w:val="1"/>
                <w:color w:val="auto"/>
              </w:rPr>
              <w:t>Methane Rita Andrea</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2006</w:t>
            </w: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145,000</w:t>
            </w:r>
          </w:p>
        </w:tc>
        <w:tc>
          <w:tcPr>
            <w:tcW w:w="1120" w:type="dxa"/>
            <w:vAlign w:val="bottom"/>
          </w:tcPr>
          <w:p>
            <w:pPr>
              <w:ind w:left="380"/>
              <w:spacing w:after="0"/>
              <w:rPr>
                <w:sz w:val="20"/>
                <w:szCs w:val="20"/>
                <w:color w:val="auto"/>
              </w:rPr>
            </w:pPr>
            <w:r>
              <w:rPr>
                <w:rFonts w:ascii="Arial" w:cs="Arial" w:eastAsia="Arial" w:hAnsi="Arial"/>
                <w:sz w:val="18"/>
                <w:szCs w:val="18"/>
                <w:color w:val="auto"/>
              </w:rPr>
              <w:t>Shell</w:t>
            </w:r>
          </w:p>
        </w:tc>
        <w:tc>
          <w:tcPr>
            <w:tcW w:w="1160" w:type="dxa"/>
            <w:vAlign w:val="bottom"/>
          </w:tcPr>
          <w:p>
            <w:pPr>
              <w:ind w:left="360"/>
              <w:spacing w:after="0"/>
              <w:rPr>
                <w:sz w:val="20"/>
                <w:szCs w:val="20"/>
                <w:color w:val="auto"/>
              </w:rPr>
            </w:pPr>
            <w:r>
              <w:rPr>
                <w:rFonts w:ascii="Arial" w:cs="Arial" w:eastAsia="Arial" w:hAnsi="Arial"/>
                <w:sz w:val="18"/>
                <w:szCs w:val="18"/>
                <w:color w:val="auto"/>
              </w:rPr>
              <w:t>Steam</w:t>
            </w:r>
          </w:p>
        </w:tc>
        <w:tc>
          <w:tcPr>
            <w:tcW w:w="1880" w:type="dxa"/>
            <w:vAlign w:val="bottom"/>
          </w:tcPr>
          <w:p>
            <w:pPr>
              <w:jc w:val="center"/>
              <w:spacing w:after="0"/>
              <w:rPr>
                <w:sz w:val="20"/>
                <w:szCs w:val="20"/>
                <w:color w:val="auto"/>
              </w:rPr>
            </w:pPr>
            <w:r>
              <w:rPr>
                <w:rFonts w:ascii="Arial" w:cs="Arial" w:eastAsia="Arial" w:hAnsi="Arial"/>
                <w:sz w:val="18"/>
                <w:szCs w:val="18"/>
                <w:color w:val="auto"/>
                <w:w w:val="96"/>
              </w:rPr>
              <w:t>April 2020</w:t>
            </w:r>
          </w:p>
        </w:tc>
        <w:tc>
          <w:tcPr>
            <w:tcW w:w="1860" w:type="dxa"/>
            <w:vAlign w:val="bottom"/>
          </w:tcPr>
          <w:p>
            <w:pPr>
              <w:jc w:val="center"/>
              <w:ind w:right="90"/>
              <w:spacing w:after="0" w:line="216" w:lineRule="exact"/>
              <w:rPr>
                <w:sz w:val="20"/>
                <w:szCs w:val="20"/>
                <w:color w:val="auto"/>
              </w:rPr>
            </w:pPr>
            <w:r>
              <w:rPr>
                <w:rFonts w:ascii="Arial" w:cs="Arial" w:eastAsia="Arial" w:hAnsi="Arial"/>
                <w:sz w:val="18"/>
                <w:szCs w:val="18"/>
                <w:color w:val="auto"/>
                <w:w w:val="87"/>
              </w:rPr>
              <w:t xml:space="preserve">2023–2025 </w:t>
            </w:r>
            <w:r>
              <w:rPr>
                <w:rFonts w:ascii="Arial" w:cs="Arial" w:eastAsia="Arial" w:hAnsi="Arial"/>
                <w:sz w:val="23"/>
                <w:szCs w:val="23"/>
                <w:color w:val="auto"/>
                <w:w w:val="87"/>
                <w:vertAlign w:val="superscript"/>
              </w:rPr>
              <w:t>(5)</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Methane Jane Elizabeth</w:t>
            </w:r>
          </w:p>
        </w:tc>
        <w:tc>
          <w:tcPr>
            <w:tcW w:w="12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2006</w:t>
            </w:r>
          </w:p>
        </w:tc>
        <w:tc>
          <w:tcPr>
            <w:tcW w:w="13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145,000</w:t>
            </w:r>
          </w:p>
        </w:tc>
        <w:tc>
          <w:tcPr>
            <w:tcW w:w="1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Shell</w:t>
            </w:r>
          </w:p>
        </w:tc>
        <w:tc>
          <w:tcPr>
            <w:tcW w:w="1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Steam</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2019</w:t>
            </w:r>
          </w:p>
        </w:tc>
        <w:tc>
          <w:tcPr>
            <w:tcW w:w="18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r>
      <w:tr>
        <w:trPr>
          <w:trHeight w:val="216"/>
        </w:trPr>
        <w:tc>
          <w:tcPr>
            <w:tcW w:w="2400" w:type="dxa"/>
            <w:vAlign w:val="bottom"/>
          </w:tcPr>
          <w:p>
            <w:pPr>
              <w:spacing w:after="0"/>
              <w:rPr>
                <w:sz w:val="20"/>
                <w:szCs w:val="20"/>
                <w:color w:val="auto"/>
              </w:rPr>
            </w:pPr>
            <w:r>
              <w:rPr>
                <w:rFonts w:ascii="Arial" w:cs="Arial" w:eastAsia="Arial" w:hAnsi="Arial"/>
                <w:sz w:val="18"/>
                <w:szCs w:val="18"/>
                <w:i w:val="1"/>
                <w:iCs w:val="1"/>
                <w:color w:val="auto"/>
              </w:rPr>
              <w:t>Methane Alison Victoria</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2007</w:t>
            </w: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145,000</w:t>
            </w:r>
          </w:p>
        </w:tc>
        <w:tc>
          <w:tcPr>
            <w:tcW w:w="1120" w:type="dxa"/>
            <w:vAlign w:val="bottom"/>
          </w:tcPr>
          <w:p>
            <w:pPr>
              <w:ind w:left="380"/>
              <w:spacing w:after="0"/>
              <w:rPr>
                <w:sz w:val="20"/>
                <w:szCs w:val="20"/>
                <w:color w:val="auto"/>
              </w:rPr>
            </w:pPr>
            <w:r>
              <w:rPr>
                <w:rFonts w:ascii="Arial" w:cs="Arial" w:eastAsia="Arial" w:hAnsi="Arial"/>
                <w:sz w:val="18"/>
                <w:szCs w:val="18"/>
                <w:color w:val="auto"/>
              </w:rPr>
              <w:t>Shell</w:t>
            </w:r>
          </w:p>
        </w:tc>
        <w:tc>
          <w:tcPr>
            <w:tcW w:w="1160" w:type="dxa"/>
            <w:vAlign w:val="bottom"/>
          </w:tcPr>
          <w:p>
            <w:pPr>
              <w:ind w:left="360"/>
              <w:spacing w:after="0"/>
              <w:rPr>
                <w:sz w:val="20"/>
                <w:szCs w:val="20"/>
                <w:color w:val="auto"/>
              </w:rPr>
            </w:pPr>
            <w:r>
              <w:rPr>
                <w:rFonts w:ascii="Arial" w:cs="Arial" w:eastAsia="Arial" w:hAnsi="Arial"/>
                <w:sz w:val="18"/>
                <w:szCs w:val="18"/>
                <w:color w:val="auto"/>
              </w:rPr>
              <w:t>Steam</w:t>
            </w: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December 2019</w:t>
            </w:r>
          </w:p>
        </w:tc>
        <w:tc>
          <w:tcPr>
            <w:tcW w:w="1860" w:type="dxa"/>
            <w:vAlign w:val="bottom"/>
          </w:tcPr>
          <w:p>
            <w:pPr>
              <w:jc w:val="center"/>
              <w:ind w:right="90"/>
              <w:spacing w:after="0" w:line="216" w:lineRule="exact"/>
              <w:rPr>
                <w:sz w:val="20"/>
                <w:szCs w:val="20"/>
                <w:color w:val="auto"/>
              </w:rPr>
            </w:pPr>
            <w:r>
              <w:rPr>
                <w:rFonts w:ascii="Arial" w:cs="Arial" w:eastAsia="Arial" w:hAnsi="Arial"/>
                <w:sz w:val="18"/>
                <w:szCs w:val="18"/>
                <w:color w:val="auto"/>
                <w:w w:val="87"/>
              </w:rPr>
              <w:t xml:space="preserve">2022–2024 </w:t>
            </w:r>
            <w:r>
              <w:rPr>
                <w:rFonts w:ascii="Arial" w:cs="Arial" w:eastAsia="Arial" w:hAnsi="Arial"/>
                <w:sz w:val="23"/>
                <w:szCs w:val="23"/>
                <w:color w:val="auto"/>
                <w:w w:val="87"/>
                <w:vertAlign w:val="superscript"/>
              </w:rPr>
              <w:t>(6)</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Methane Shirley Elisabeth</w:t>
            </w:r>
          </w:p>
        </w:tc>
        <w:tc>
          <w:tcPr>
            <w:tcW w:w="12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2007</w:t>
            </w:r>
          </w:p>
        </w:tc>
        <w:tc>
          <w:tcPr>
            <w:tcW w:w="13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145,000</w:t>
            </w:r>
          </w:p>
        </w:tc>
        <w:tc>
          <w:tcPr>
            <w:tcW w:w="1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Shell</w:t>
            </w:r>
          </w:p>
        </w:tc>
        <w:tc>
          <w:tcPr>
            <w:tcW w:w="1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Steam</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2020</w:t>
            </w:r>
          </w:p>
        </w:tc>
        <w:tc>
          <w:tcPr>
            <w:tcW w:w="1860" w:type="dxa"/>
            <w:vAlign w:val="bottom"/>
            <w:shd w:val="clear" w:color="auto" w:fill="CCEEFF"/>
          </w:tcPr>
          <w:p>
            <w:pPr>
              <w:jc w:val="center"/>
              <w:ind w:right="90"/>
              <w:spacing w:after="0" w:line="216" w:lineRule="exact"/>
              <w:rPr>
                <w:sz w:val="20"/>
                <w:szCs w:val="20"/>
                <w:color w:val="auto"/>
              </w:rPr>
            </w:pPr>
            <w:r>
              <w:rPr>
                <w:rFonts w:ascii="Arial" w:cs="Arial" w:eastAsia="Arial" w:hAnsi="Arial"/>
                <w:sz w:val="18"/>
                <w:szCs w:val="18"/>
                <w:color w:val="auto"/>
                <w:w w:val="87"/>
              </w:rPr>
              <w:t xml:space="preserve">2023–2025 </w:t>
            </w:r>
            <w:r>
              <w:rPr>
                <w:rFonts w:ascii="Arial" w:cs="Arial" w:eastAsia="Arial" w:hAnsi="Arial"/>
                <w:sz w:val="23"/>
                <w:szCs w:val="23"/>
                <w:color w:val="auto"/>
                <w:w w:val="87"/>
                <w:vertAlign w:val="superscript"/>
              </w:rPr>
              <w:t>(6)</w:t>
            </w:r>
          </w:p>
        </w:tc>
      </w:tr>
      <w:tr>
        <w:trPr>
          <w:trHeight w:val="305"/>
        </w:trPr>
        <w:tc>
          <w:tcPr>
            <w:tcW w:w="2400" w:type="dxa"/>
            <w:vAlign w:val="bottom"/>
          </w:tcPr>
          <w:p>
            <w:pPr>
              <w:spacing w:after="0"/>
              <w:rPr>
                <w:sz w:val="20"/>
                <w:szCs w:val="20"/>
                <w:color w:val="auto"/>
              </w:rPr>
            </w:pPr>
            <w:r>
              <w:rPr>
                <w:rFonts w:ascii="Arial" w:cs="Arial" w:eastAsia="Arial" w:hAnsi="Arial"/>
                <w:sz w:val="18"/>
                <w:szCs w:val="18"/>
                <w:i w:val="1"/>
                <w:iCs w:val="1"/>
                <w:color w:val="auto"/>
              </w:rPr>
              <w:t>Methane Heather Sally</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2007</w:t>
            </w: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145,000</w:t>
            </w:r>
          </w:p>
        </w:tc>
        <w:tc>
          <w:tcPr>
            <w:tcW w:w="1120" w:type="dxa"/>
            <w:vAlign w:val="bottom"/>
          </w:tcPr>
          <w:p>
            <w:pPr>
              <w:ind w:left="380"/>
              <w:spacing w:after="0"/>
              <w:rPr>
                <w:sz w:val="20"/>
                <w:szCs w:val="20"/>
                <w:color w:val="auto"/>
              </w:rPr>
            </w:pPr>
            <w:r>
              <w:rPr>
                <w:rFonts w:ascii="Arial" w:cs="Arial" w:eastAsia="Arial" w:hAnsi="Arial"/>
                <w:sz w:val="18"/>
                <w:szCs w:val="18"/>
                <w:color w:val="auto"/>
              </w:rPr>
              <w:t>Shell</w:t>
            </w:r>
          </w:p>
        </w:tc>
        <w:tc>
          <w:tcPr>
            <w:tcW w:w="1160" w:type="dxa"/>
            <w:vAlign w:val="bottom"/>
          </w:tcPr>
          <w:p>
            <w:pPr>
              <w:ind w:left="360"/>
              <w:spacing w:after="0"/>
              <w:rPr>
                <w:sz w:val="20"/>
                <w:szCs w:val="20"/>
                <w:color w:val="auto"/>
              </w:rPr>
            </w:pPr>
            <w:r>
              <w:rPr>
                <w:rFonts w:ascii="Arial" w:cs="Arial" w:eastAsia="Arial" w:hAnsi="Arial"/>
                <w:sz w:val="18"/>
                <w:szCs w:val="18"/>
                <w:color w:val="auto"/>
              </w:rPr>
              <w:t>Steam</w:t>
            </w: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December 2020</w:t>
            </w:r>
          </w:p>
        </w:tc>
        <w:tc>
          <w:tcPr>
            <w:tcW w:w="1860" w:type="dxa"/>
            <w:vAlign w:val="bottom"/>
          </w:tcPr>
          <w:p>
            <w:pPr>
              <w:jc w:val="center"/>
              <w:ind w:right="90"/>
              <w:spacing w:after="0"/>
              <w:rPr>
                <w:sz w:val="20"/>
                <w:szCs w:val="20"/>
                <w:color w:val="auto"/>
              </w:rPr>
            </w:pPr>
            <w:r>
              <w:rPr>
                <w:rFonts w:ascii="Arial" w:cs="Arial" w:eastAsia="Arial" w:hAnsi="Arial"/>
                <w:sz w:val="18"/>
                <w:szCs w:val="18"/>
                <w:color w:val="auto"/>
                <w:w w:val="87"/>
              </w:rPr>
              <w:t xml:space="preserve">2023–2025 </w:t>
            </w:r>
            <w:r>
              <w:rPr>
                <w:rFonts w:ascii="Arial" w:cs="Arial" w:eastAsia="Arial" w:hAnsi="Arial"/>
                <w:sz w:val="23"/>
                <w:szCs w:val="23"/>
                <w:color w:val="auto"/>
                <w:w w:val="87"/>
                <w:vertAlign w:val="superscript"/>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8268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55" w:lineRule="exact"/>
        <w:rPr>
          <w:sz w:val="20"/>
          <w:szCs w:val="20"/>
          <w:color w:val="auto"/>
        </w:rPr>
      </w:pPr>
    </w:p>
    <w:p>
      <w:pPr>
        <w:ind w:left="260" w:right="100" w:hanging="252"/>
        <w:spacing w:after="0" w:line="234" w:lineRule="auto"/>
        <w:tabs>
          <w:tab w:leader="none" w:pos="272"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Charterer may extend the term of these time charters for a period ranging from five to ten years, and the charters require that the charterer provide us with advance notice of its exercise of any extension option. The period shown reflects the expiration of the minimum optional period and the maximum optional period.</w:t>
      </w:r>
    </w:p>
    <w:p>
      <w:pPr>
        <w:spacing w:after="0" w:line="101" w:lineRule="exact"/>
        <w:rPr>
          <w:rFonts w:ascii="Arial" w:cs="Arial" w:eastAsia="Arial" w:hAnsi="Arial"/>
          <w:sz w:val="23"/>
          <w:szCs w:val="23"/>
          <w:color w:val="auto"/>
          <w:vertAlign w:val="superscript"/>
        </w:rPr>
      </w:pPr>
    </w:p>
    <w:p>
      <w:pPr>
        <w:ind w:left="260" w:hanging="252"/>
        <w:spacing w:after="0"/>
        <w:tabs>
          <w:tab w:leader="none" w:pos="26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 xml:space="preserve">On October 20, 2017, GasLog Partners acquired from GasLog 100% of the shares in the entity that owns and charters the </w:t>
      </w:r>
      <w:r>
        <w:rPr>
          <w:rFonts w:ascii="Arial" w:cs="Arial" w:eastAsia="Arial" w:hAnsi="Arial"/>
          <w:sz w:val="18"/>
          <w:szCs w:val="18"/>
          <w:i w:val="1"/>
          <w:iCs w:val="1"/>
          <w:color w:val="auto"/>
        </w:rPr>
        <w:t>Solaris</w:t>
      </w:r>
      <w:r>
        <w:rPr>
          <w:rFonts w:ascii="Arial" w:cs="Arial" w:eastAsia="Arial" w:hAnsi="Arial"/>
          <w:sz w:val="18"/>
          <w:szCs w:val="18"/>
          <w:color w:val="auto"/>
        </w:rPr>
        <w:t>.</w:t>
      </w:r>
    </w:p>
    <w:p>
      <w:pPr>
        <w:spacing w:after="0" w:line="123" w:lineRule="exact"/>
        <w:rPr>
          <w:rFonts w:ascii="Arial" w:cs="Arial" w:eastAsia="Arial" w:hAnsi="Arial"/>
          <w:sz w:val="23"/>
          <w:szCs w:val="23"/>
          <w:color w:val="auto"/>
          <w:vertAlign w:val="superscript"/>
        </w:rPr>
      </w:pPr>
    </w:p>
    <w:p>
      <w:pPr>
        <w:ind w:left="260" w:hanging="252"/>
        <w:spacing w:after="0"/>
        <w:tabs>
          <w:tab w:leader="none" w:pos="26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Charterer may extend the term of the time charter for a period of five years, provided that the charterer provides us with advance notice of declaration.</w:t>
      </w:r>
    </w:p>
    <w:p>
      <w:pPr>
        <w:spacing w:after="0" w:line="134" w:lineRule="exact"/>
        <w:rPr>
          <w:rFonts w:ascii="Arial" w:cs="Arial" w:eastAsia="Arial" w:hAnsi="Arial"/>
          <w:sz w:val="21"/>
          <w:szCs w:val="21"/>
          <w:color w:val="auto"/>
          <w:vertAlign w:val="superscript"/>
        </w:rPr>
      </w:pPr>
    </w:p>
    <w:p>
      <w:pPr>
        <w:ind w:left="260" w:right="260" w:hanging="252"/>
        <w:spacing w:after="0" w:line="267" w:lineRule="auto"/>
        <w:tabs>
          <w:tab w:leader="none" w:pos="272"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Charterer may extend the term of the time charter by two additional periods of five and three years, respectively, provided that the charterer provides us with advance notice of declaration. The period shown reflects the expiration of the minimum optional period and the maximum optional period.</w:t>
      </w:r>
    </w:p>
    <w:p>
      <w:pPr>
        <w:spacing w:after="0" w:line="107" w:lineRule="exact"/>
        <w:rPr>
          <w:rFonts w:ascii="Arial" w:cs="Arial" w:eastAsia="Arial" w:hAnsi="Arial"/>
          <w:sz w:val="21"/>
          <w:szCs w:val="21"/>
          <w:color w:val="auto"/>
          <w:vertAlign w:val="superscript"/>
        </w:rPr>
      </w:pPr>
    </w:p>
    <w:p>
      <w:pPr>
        <w:ind w:left="260" w:right="120" w:hanging="252"/>
        <w:spacing w:after="0" w:line="267" w:lineRule="auto"/>
        <w:tabs>
          <w:tab w:leader="none" w:pos="245"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Charterer may extend this charter for one extension period of three or five years, and the charter requires that the charterer provide us with advance notice of its exercise of any extension option. The period shown reflects the expiration of the minimum optional period and the maximum optional period.</w:t>
      </w:r>
    </w:p>
    <w:p>
      <w:pPr>
        <w:spacing w:after="0" w:line="107" w:lineRule="exact"/>
        <w:rPr>
          <w:rFonts w:ascii="Arial" w:cs="Arial" w:eastAsia="Arial" w:hAnsi="Arial"/>
          <w:sz w:val="21"/>
          <w:szCs w:val="21"/>
          <w:color w:val="auto"/>
          <w:vertAlign w:val="superscript"/>
        </w:rPr>
      </w:pPr>
    </w:p>
    <w:p>
      <w:pPr>
        <w:ind w:left="260" w:right="260" w:hanging="252"/>
        <w:spacing w:after="0" w:line="234" w:lineRule="auto"/>
        <w:tabs>
          <w:tab w:leader="none" w:pos="245"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Charterer may extend the term of two of the related charters for one extension period of three or five years, and each charter requires that the charterer provide us with advance notice of its exercise of any extension option. The period shown reflects the expiration of the minimum optional period and the maximum optional period.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Expirations</w:t>
      </w:r>
    </w:p>
    <w:p>
      <w:pPr>
        <w:spacing w:after="0" w:line="158" w:lineRule="exact"/>
        <w:rPr>
          <w:sz w:val="20"/>
          <w:szCs w:val="20"/>
          <w:color w:val="auto"/>
        </w:rPr>
      </w:pPr>
    </w:p>
    <w:p>
      <w:pPr>
        <w:ind w:right="60" w:firstLine="383"/>
        <w:spacing w:after="0" w:line="288" w:lineRule="auto"/>
        <w:rPr>
          <w:sz w:val="20"/>
          <w:szCs w:val="20"/>
          <w:color w:val="auto"/>
        </w:rPr>
      </w:pPr>
      <w:r>
        <w:rPr>
          <w:rFonts w:ascii="Arial" w:cs="Arial" w:eastAsia="Arial" w:hAnsi="Arial"/>
          <w:sz w:val="16"/>
          <w:szCs w:val="16"/>
          <w:color w:val="auto"/>
        </w:rPr>
        <w:t xml:space="preserve">In April 2015, the charter expirations for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were amended. The initial terms of the time charters for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were each extended by four months to May 2018 and July 2018, respectively, whilst the initial term for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was shortened by eight months to September 2018. The options to extend the initial terms have not been exercised and as such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are due to come off charter in May 2018, July 2018 and September 2018, respectively, each plus or minus 30 days. In October 2017, the charterer of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notified us of its intention not to exercise the charter extension option. As such,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is due to come off charter in October 2019. GasLog Partners continues to pursue opportunities for new multi-year charters with third parties for the vessels and, on an interim basis, may consider trading the vessels in the spot market, pursuing the most advantageous redeployment depending on evolving market conditions. It should be noted, that for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GasLog Partners has the option to enter into a bareboat charter or time charter arrangement with GasLog designed to guarantee the total cash available for distribution from the vessel for one year, such option being agreed to at the time the amendments to the initial charter terms, referenced above, were accepted.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Vessels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Vessel Interests Purchase Options</w:t>
      </w:r>
    </w:p>
    <w:p>
      <w:pPr>
        <w:spacing w:after="0" w:line="158" w:lineRule="exact"/>
        <w:rPr>
          <w:sz w:val="20"/>
          <w:szCs w:val="20"/>
          <w:color w:val="auto"/>
        </w:rPr>
      </w:pPr>
    </w:p>
    <w:p>
      <w:pPr>
        <w:ind w:right="140" w:firstLine="428"/>
        <w:spacing w:after="0" w:line="276" w:lineRule="auto"/>
        <w:rPr>
          <w:sz w:val="20"/>
          <w:szCs w:val="20"/>
          <w:color w:val="auto"/>
        </w:rPr>
      </w:pPr>
      <w:r>
        <w:rPr>
          <w:rFonts w:ascii="Arial" w:cs="Arial" w:eastAsia="Arial" w:hAnsi="Arial"/>
          <w:sz w:val="17"/>
          <w:szCs w:val="17"/>
          <w:color w:val="auto"/>
        </w:rPr>
        <w:t xml:space="preserve">We currently have the option to purchase from GasLog: (i) the </w:t>
      </w:r>
      <w:r>
        <w:rPr>
          <w:rFonts w:ascii="Arial" w:cs="Arial" w:eastAsia="Arial" w:hAnsi="Arial"/>
          <w:sz w:val="17"/>
          <w:szCs w:val="17"/>
          <w:i w:val="1"/>
          <w:iCs w:val="1"/>
          <w:color w:val="auto"/>
        </w:rPr>
        <w:t>GasLog Glasgow</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Gibraltar</w:t>
      </w:r>
      <w:r>
        <w:rPr>
          <w:rFonts w:ascii="Arial" w:cs="Arial" w:eastAsia="Arial" w:hAnsi="Arial"/>
          <w:sz w:val="17"/>
          <w:szCs w:val="17"/>
          <w:color w:val="auto"/>
        </w:rPr>
        <w:t xml:space="preserve"> within 36 months after GasLog notifies our board of directors of their acceptance by their charterers and (ii) as provided for under the addendum to the omnibus agreement dated April 21, 2015 among GasLog, GasLog Partners, our general partner and GasLog Partners Holdings, the </w:t>
      </w:r>
      <w:r>
        <w:rPr>
          <w:rFonts w:ascii="Arial" w:cs="Arial" w:eastAsia="Arial" w:hAnsi="Arial"/>
          <w:sz w:val="17"/>
          <w:szCs w:val="17"/>
          <w:i w:val="1"/>
          <w:iCs w:val="1"/>
          <w:color w:val="auto"/>
        </w:rPr>
        <w:t>Methane Becki Anne</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Methane Julia Louise</w:t>
      </w:r>
      <w:r>
        <w:rPr>
          <w:rFonts w:ascii="Arial" w:cs="Arial" w:eastAsia="Arial" w:hAnsi="Arial"/>
          <w:sz w:val="17"/>
          <w:szCs w:val="17"/>
          <w:color w:val="auto"/>
        </w:rPr>
        <w:t xml:space="preserve"> (which is subject to a multi-year charter to Methane Services Limited, or “MSL”), within 36 months after the completion of their acquisition by GasLog on March 31, 2015. In each case, our option to purchase is at fair market value as determined pursuant to the omnibus agreement.</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Cargo</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LNG Carrier</w:t>
            </w: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Year Built</w:t>
            </w: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Capacity</w:t>
            </w: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Charterer</w:t>
            </w: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Propulsion</w:t>
            </w:r>
          </w:p>
        </w:tc>
        <w:tc>
          <w:tcPr>
            <w:tcW w:w="1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Charter Expiration</w:t>
            </w:r>
            <w:r>
              <w:rPr>
                <w:rFonts w:ascii="Arial" w:cs="Arial" w:eastAsia="Arial" w:hAnsi="Arial"/>
                <w:sz w:val="17"/>
                <w:szCs w:val="17"/>
                <w:b w:val="1"/>
                <w:bCs w:val="1"/>
                <w:color w:val="auto"/>
                <w:w w:val="95"/>
                <w:vertAlign w:val="superscript"/>
              </w:rPr>
              <w:t>(1)</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2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(cbm)</w:t>
            </w:r>
          </w:p>
        </w:tc>
        <w:tc>
          <w:tcPr>
            <w:tcW w:w="136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GasLog Glasgow</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174,000</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Shell</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2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June 2026</w:t>
            </w: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i w:val="1"/>
                <w:iCs w:val="1"/>
                <w:color w:val="auto"/>
              </w:rPr>
              <w:t>GasLog Gibraltar</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174,000</w:t>
            </w: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Shell</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TFDE</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October 2023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Becki Anne</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170,000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Shell</w:t>
            </w:r>
          </w:p>
        </w:tc>
        <w:tc>
          <w:tcPr>
            <w:tcW w:w="13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TFDE</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March 2024</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372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Methane Julia Louise </w:t>
            </w:r>
            <w:r>
              <w:rPr>
                <w:rFonts w:ascii="Arial" w:cs="Arial" w:eastAsia="Arial" w:hAnsi="Arial"/>
                <w:sz w:val="23"/>
                <w:szCs w:val="23"/>
                <w:color w:val="auto"/>
                <w:vertAlign w:val="superscript"/>
              </w:rPr>
              <w:t>(2)</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170,000</w:t>
            </w:r>
          </w:p>
        </w:tc>
        <w:tc>
          <w:tcPr>
            <w:tcW w:w="2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Shell</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TFDE</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March 2026</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317"/>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5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18268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Indicates the expiration of the initial fixed term.</w:t>
      </w:r>
    </w:p>
    <w:p>
      <w:pPr>
        <w:spacing w:after="0" w:line="201" w:lineRule="exact"/>
        <w:rPr>
          <w:rFonts w:ascii="Arial" w:cs="Arial" w:eastAsia="Arial" w:hAnsi="Arial"/>
          <w:sz w:val="23"/>
          <w:szCs w:val="23"/>
          <w:color w:val="auto"/>
          <w:vertAlign w:val="superscript"/>
        </w:rPr>
      </w:pPr>
    </w:p>
    <w:p>
      <w:pPr>
        <w:ind w:left="260" w:right="140" w:hanging="252"/>
        <w:spacing w:after="0" w:line="275" w:lineRule="auto"/>
        <w:tabs>
          <w:tab w:leader="none" w:pos="245"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 xml:space="preserve">On February 24, 2016, GasLog’s subsidiary, GAS-twenty six Ltd., completed the sale and leaseback of the </w:t>
      </w:r>
      <w:r>
        <w:rPr>
          <w:rFonts w:ascii="Arial" w:cs="Arial" w:eastAsia="Arial" w:hAnsi="Arial"/>
          <w:sz w:val="16"/>
          <w:szCs w:val="16"/>
          <w:i w:val="1"/>
          <w:iCs w:val="1"/>
          <w:color w:val="auto"/>
        </w:rPr>
        <w:t>Methane Julia Louise</w:t>
      </w:r>
      <w:r>
        <w:rPr>
          <w:rFonts w:ascii="Arial" w:cs="Arial" w:eastAsia="Arial" w:hAnsi="Arial"/>
          <w:sz w:val="16"/>
          <w:szCs w:val="16"/>
          <w:color w:val="auto"/>
        </w:rPr>
        <w:t xml:space="preserve"> with Lepta Shipping Co., Ltd. (“Lepta Shipping”), a subsidiary of Mitsui Co., Ltd. Lepta Shipping has the right to on-sell and lease back the vessel. The vessel was sold to Lepta Shipping for a total consideration approximately equivalent to its then current book value. GasLog has leased back the vessel under a bareboat charter from Lepta Shipping for a period of up to 20 years. GasLog has the option to re-purchase the vessel on pre-agreed terms no earlier than the end of year ten and no later than the end of year 17 of the bareboat charter. The vessel remains on its eleven year charter with MSL.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Five-Year Vessel Business Opportunities</w:t>
      </w:r>
    </w:p>
    <w:p>
      <w:pPr>
        <w:spacing w:after="0" w:line="225" w:lineRule="exact"/>
        <w:rPr>
          <w:sz w:val="20"/>
          <w:szCs w:val="20"/>
          <w:color w:val="auto"/>
        </w:rPr>
      </w:pPr>
    </w:p>
    <w:p>
      <w:pPr>
        <w:ind w:right="80" w:firstLine="383"/>
        <w:spacing w:after="0" w:line="291" w:lineRule="auto"/>
        <w:rPr>
          <w:sz w:val="20"/>
          <w:szCs w:val="20"/>
          <w:color w:val="auto"/>
        </w:rPr>
      </w:pPr>
      <w:r>
        <w:rPr>
          <w:rFonts w:ascii="Arial" w:cs="Arial" w:eastAsia="Arial" w:hAnsi="Arial"/>
          <w:sz w:val="16"/>
          <w:szCs w:val="16"/>
          <w:color w:val="auto"/>
        </w:rPr>
        <w:t>GasLog has agreed, and has caused its controlled affiliates (other than us, our general partner and our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us and offering us the opportunity to purchase such vessel at fair market value. We refer to these vessels, together with any related charters, as “Five-Year Vessels”. The five newbuildings listed below will each qualify as a Five-Year Vessel upon commencement of their respective charters, and GasLog will be required to offer to us an opportunity to purchase each vessel at fair market value within 30 days of the commencement of its charter. Generally, we must exercise this right of first offer within 30 days following the notice from GasLog that the vessel has been acquired or has become a Five-Year Vessel.</w:t>
      </w:r>
    </w:p>
    <w:p>
      <w:pPr>
        <w:sectPr>
          <w:pgSz w:w="11900" w:h="16838" w:orient="portrait"/>
          <w:cols w:equalWidth="0" w:num="1">
            <w:col w:w="11460"/>
          </w:cols>
          <w:pgMar w:left="240" w:top="91" w:right="199" w:bottom="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5"/>
        </w:trPr>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LNG Carrier</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Year Built</w:t>
            </w:r>
            <w:r>
              <w:rPr>
                <w:rFonts w:ascii="Arial" w:cs="Arial" w:eastAsia="Arial" w:hAnsi="Arial"/>
                <w:sz w:val="17"/>
                <w:szCs w:val="17"/>
                <w:b w:val="1"/>
                <w:bCs w:val="1"/>
                <w:color w:val="auto"/>
                <w:w w:val="93"/>
                <w:vertAlign w:val="superscript"/>
              </w:rPr>
              <w:t>(1)</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Cargo</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Charterer</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Propulsion</w:t>
            </w:r>
            <w:r>
              <w:rPr>
                <w:rFonts w:ascii="Arial" w:cs="Arial" w:eastAsia="Arial" w:hAnsi="Arial"/>
                <w:sz w:val="17"/>
                <w:szCs w:val="17"/>
                <w:b w:val="1"/>
                <w:bCs w:val="1"/>
                <w:color w:val="auto"/>
                <w:w w:val="87"/>
                <w:vertAlign w:val="superscript"/>
              </w:rPr>
              <w:t>(4)</w:t>
            </w: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Estimated Charter</w:t>
            </w:r>
          </w:p>
        </w:tc>
      </w:tr>
      <w:tr>
        <w:trPr>
          <w:trHeight w:val="149"/>
        </w:trPr>
        <w:tc>
          <w:tcPr>
            <w:tcW w:w="3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Capacity</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Expiration</w:t>
            </w:r>
            <w:r>
              <w:rPr>
                <w:rFonts w:ascii="Arial" w:cs="Arial" w:eastAsia="Arial" w:hAnsi="Arial"/>
                <w:sz w:val="17"/>
                <w:szCs w:val="17"/>
                <w:b w:val="1"/>
                <w:bCs w:val="1"/>
                <w:color w:val="auto"/>
                <w:w w:val="92"/>
                <w:vertAlign w:val="superscript"/>
              </w:rPr>
              <w:t>(5)</w:t>
            </w:r>
          </w:p>
        </w:tc>
      </w:tr>
      <w:tr>
        <w:trPr>
          <w:trHeight w:val="171"/>
        </w:trPr>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(cbm)</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Hull No. 2130</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Q1 2018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174,000</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Shell</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LP-2S</w:t>
            </w:r>
          </w:p>
        </w:tc>
        <w:tc>
          <w:tcPr>
            <w:tcW w:w="2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Hull No. 2800</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Q1 2018</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174,000</w:t>
            </w: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Shell</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LP-2S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2028</w:t>
            </w:r>
          </w:p>
        </w:tc>
        <w:tc>
          <w:tcPr>
            <w:tcW w:w="120" w:type="dxa"/>
            <w:vAlign w:val="bottom"/>
          </w:tcPr>
          <w:p>
            <w:pPr>
              <w:spacing w:after="0"/>
              <w:rPr>
                <w:sz w:val="18"/>
                <w:szCs w:val="18"/>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Hull No. 2801</w:t>
            </w:r>
          </w:p>
        </w:tc>
        <w:tc>
          <w:tcPr>
            <w:tcW w:w="13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Q1 2018</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174,000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20"/>
              <w:spacing w:after="0" w:line="216" w:lineRule="exact"/>
              <w:rPr>
                <w:sz w:val="20"/>
                <w:szCs w:val="20"/>
                <w:color w:val="auto"/>
              </w:rPr>
            </w:pPr>
            <w:r>
              <w:rPr>
                <w:rFonts w:ascii="Arial" w:cs="Arial" w:eastAsia="Arial" w:hAnsi="Arial"/>
                <w:sz w:val="18"/>
                <w:szCs w:val="18"/>
                <w:color w:val="auto"/>
                <w:w w:val="85"/>
              </w:rPr>
              <w:t>Total</w:t>
            </w:r>
            <w:r>
              <w:rPr>
                <w:rFonts w:ascii="Arial" w:cs="Arial" w:eastAsia="Arial" w:hAnsi="Arial"/>
                <w:sz w:val="23"/>
                <w:szCs w:val="23"/>
                <w:color w:val="auto"/>
                <w:w w:val="85"/>
                <w:vertAlign w:val="superscript"/>
              </w:rPr>
              <w:t>(2)</w:t>
            </w:r>
          </w:p>
        </w:tc>
        <w:tc>
          <w:tcPr>
            <w:tcW w:w="13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LP-2S</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shd w:val="clear" w:color="auto" w:fill="CCEEFF"/>
          </w:tcPr>
          <w:p>
            <w:pPr>
              <w:spacing w:after="0"/>
              <w:rPr>
                <w:sz w:val="18"/>
                <w:szCs w:val="18"/>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Hull No. 2131</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Q1 2019</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174,000</w:t>
            </w: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Shell</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LP-2S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2029</w:t>
            </w:r>
          </w:p>
        </w:tc>
        <w:tc>
          <w:tcPr>
            <w:tcW w:w="120" w:type="dxa"/>
            <w:vAlign w:val="bottom"/>
          </w:tcPr>
          <w:p>
            <w:pPr>
              <w:spacing w:after="0"/>
              <w:rPr>
                <w:sz w:val="18"/>
                <w:szCs w:val="18"/>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Hull No. 2212</w:t>
            </w:r>
          </w:p>
        </w:tc>
        <w:tc>
          <w:tcPr>
            <w:tcW w:w="13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Q2 2019</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180,000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20"/>
              <w:spacing w:after="0" w:line="216" w:lineRule="exact"/>
              <w:rPr>
                <w:sz w:val="20"/>
                <w:szCs w:val="20"/>
                <w:color w:val="auto"/>
              </w:rPr>
            </w:pPr>
            <w:r>
              <w:rPr>
                <w:rFonts w:ascii="Arial" w:cs="Arial" w:eastAsia="Arial" w:hAnsi="Arial"/>
                <w:sz w:val="18"/>
                <w:szCs w:val="18"/>
                <w:color w:val="auto"/>
                <w:w w:val="85"/>
              </w:rPr>
              <w:t xml:space="preserve">Centrica </w:t>
            </w:r>
            <w:r>
              <w:rPr>
                <w:rFonts w:ascii="Arial" w:cs="Arial" w:eastAsia="Arial" w:hAnsi="Arial"/>
                <w:sz w:val="23"/>
                <w:szCs w:val="23"/>
                <w:color w:val="auto"/>
                <w:w w:val="85"/>
                <w:vertAlign w:val="superscript"/>
              </w:rPr>
              <w:t>(3)</w:t>
            </w:r>
          </w:p>
        </w:tc>
        <w:tc>
          <w:tcPr>
            <w:tcW w:w="13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LP-2S</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2026</w:t>
            </w:r>
          </w:p>
        </w:tc>
        <w:tc>
          <w:tcPr>
            <w:tcW w:w="12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Expected delivery quarters are presented.</w:t>
      </w:r>
    </w:p>
    <w:p>
      <w:pPr>
        <w:spacing w:after="0" w:line="167" w:lineRule="exact"/>
        <w:rPr>
          <w:rFonts w:ascii="Arial" w:cs="Arial" w:eastAsia="Arial" w:hAnsi="Arial"/>
          <w:sz w:val="23"/>
          <w:szCs w:val="23"/>
          <w:color w:val="auto"/>
          <w:vertAlign w:val="superscript"/>
        </w:rPr>
      </w:pPr>
    </w:p>
    <w:p>
      <w:pPr>
        <w:ind w:left="280" w:hanging="272"/>
        <w:spacing w:after="0"/>
        <w:tabs>
          <w:tab w:leader="none" w:pos="28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The vessel is chartered to Total Gas &amp; Power Chartering Limited (“Total”).</w:t>
      </w:r>
    </w:p>
    <w:p>
      <w:pPr>
        <w:spacing w:after="0" w:line="190" w:lineRule="exact"/>
        <w:rPr>
          <w:rFonts w:ascii="Arial" w:cs="Arial" w:eastAsia="Arial" w:hAnsi="Arial"/>
          <w:sz w:val="23"/>
          <w:szCs w:val="23"/>
          <w:color w:val="auto"/>
          <w:vertAlign w:val="superscript"/>
        </w:rPr>
      </w:pPr>
    </w:p>
    <w:p>
      <w:pPr>
        <w:ind w:left="180" w:hanging="172"/>
        <w:spacing w:after="0"/>
        <w:tabs>
          <w:tab w:leader="none" w:pos="18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The vessel is chartered to Pioneer Shipping Limited, a wholly owned subsidiary of Centrica plc (“Centrica”).</w:t>
      </w:r>
    </w:p>
    <w:p>
      <w:pPr>
        <w:spacing w:after="0" w:line="167" w:lineRule="exact"/>
        <w:rPr>
          <w:rFonts w:ascii="Arial" w:cs="Arial" w:eastAsia="Arial" w:hAnsi="Arial"/>
          <w:sz w:val="21"/>
          <w:szCs w:val="21"/>
          <w:color w:val="auto"/>
          <w:vertAlign w:val="superscript"/>
        </w:rPr>
      </w:pPr>
    </w:p>
    <w:p>
      <w:pPr>
        <w:ind w:left="280" w:hanging="272"/>
        <w:spacing w:after="0"/>
        <w:tabs>
          <w:tab w:leader="none" w:pos="28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References to “LP-2S” refer to low pressure dual-fuel two-stroke engine propulsion.</w:t>
      </w:r>
    </w:p>
    <w:p>
      <w:pPr>
        <w:spacing w:after="0" w:line="167" w:lineRule="exact"/>
        <w:rPr>
          <w:rFonts w:ascii="Arial" w:cs="Arial" w:eastAsia="Arial" w:hAnsi="Arial"/>
          <w:sz w:val="23"/>
          <w:szCs w:val="23"/>
          <w:color w:val="auto"/>
          <w:vertAlign w:val="superscript"/>
        </w:rPr>
      </w:pPr>
    </w:p>
    <w:p>
      <w:pPr>
        <w:ind w:left="260" w:hanging="252"/>
        <w:spacing w:after="0"/>
        <w:tabs>
          <w:tab w:leader="none" w:pos="26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Charter expiration to be determined based upon actual date of delivery.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60" w:firstLine="383"/>
        <w:spacing w:after="0" w:line="255" w:lineRule="auto"/>
        <w:rPr>
          <w:sz w:val="20"/>
          <w:szCs w:val="20"/>
          <w:color w:val="auto"/>
        </w:rPr>
      </w:pPr>
      <w:r>
        <w:rPr>
          <w:rFonts w:ascii="Arial" w:cs="Arial" w:eastAsia="Arial" w:hAnsi="Arial"/>
          <w:sz w:val="18"/>
          <w:szCs w:val="18"/>
          <w:color w:val="auto"/>
        </w:rPr>
        <w:t xml:space="preserve">Our results set forth below are derived from the unaudited condensed consolidated financial statements of the Partnership. The transfers of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Seattle</w:t>
      </w:r>
      <w:r>
        <w:rPr>
          <w:rFonts w:ascii="Arial" w:cs="Arial" w:eastAsia="Arial" w:hAnsi="Arial"/>
          <w:sz w:val="18"/>
          <w:szCs w:val="18"/>
          <w:color w:val="auto"/>
        </w:rPr>
        <w:t>, the</w:t>
      </w:r>
      <w:r>
        <w:rPr>
          <w:rFonts w:ascii="Arial" w:cs="Arial" w:eastAsia="Arial" w:hAnsi="Arial"/>
          <w:sz w:val="18"/>
          <w:szCs w:val="18"/>
          <w:i w:val="1"/>
          <w:iCs w:val="1"/>
          <w:color w:val="auto"/>
        </w:rPr>
        <w:t xml:space="preserve"> GasLog Greece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GasLog Geneva </w:t>
      </w:r>
      <w:r>
        <w:rPr>
          <w:rFonts w:ascii="Arial" w:cs="Arial" w:eastAsia="Arial" w:hAnsi="Arial"/>
          <w:sz w:val="18"/>
          <w:szCs w:val="18"/>
          <w:color w:val="auto"/>
        </w:rPr>
        <w:t>from GasLog to the Partnership on November 1, 2016, May 3, 2017 and July 3, 2017, respectively, were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accounted for as reorganizations of entities under common control under IFRS. The unaudited condensed consolidated financial statements include the accounts of the Partnership and its subsidiaries assuming that they are consolidated from the dates of their incorporation by GasLog as they were under the common control of GasLog. Our results set forth below do not include results attributable to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because the Partnership’s acquisition of the entity that owns and charters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closed on October 20, 2017.</w:t>
      </w:r>
    </w:p>
    <w:p>
      <w:pPr>
        <w:spacing w:after="0" w:line="193" w:lineRule="exact"/>
        <w:rPr>
          <w:sz w:val="20"/>
          <w:szCs w:val="20"/>
          <w:color w:val="auto"/>
        </w:rPr>
      </w:pPr>
    </w:p>
    <w:p>
      <w:pPr>
        <w:ind w:right="500" w:firstLine="383"/>
        <w:spacing w:after="0" w:line="277" w:lineRule="auto"/>
        <w:rPr>
          <w:sz w:val="20"/>
          <w:szCs w:val="20"/>
          <w:color w:val="auto"/>
        </w:rPr>
      </w:pPr>
      <w:r>
        <w:rPr>
          <w:rFonts w:ascii="Arial" w:cs="Arial" w:eastAsia="Arial" w:hAnsi="Arial"/>
          <w:sz w:val="18"/>
          <w:szCs w:val="18"/>
          <w:color w:val="auto"/>
        </w:rPr>
        <w:t>The Partnership’s historical results were retroactively restated to reflect the historical results of these acquired entities during the periods they were owned by GasLog.</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Three-month period ended September 30, 2016 compared to the three-month period ended September 30,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 of U.S. dollars)</w:t>
            </w:r>
          </w:p>
        </w:tc>
        <w:tc>
          <w:tcPr>
            <w:tcW w:w="1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80" w:type="dxa"/>
            <w:vAlign w:val="bottom"/>
            <w:tcBorders>
              <w:bottom w:val="single" w:sz="8" w:color="auto"/>
            </w:tcBorders>
            <w:gridSpan w:val="5"/>
          </w:tcPr>
          <w:p>
            <w:pPr>
              <w:ind w:left="1060"/>
              <w:spacing w:after="0"/>
              <w:rPr>
                <w:sz w:val="20"/>
                <w:szCs w:val="20"/>
                <w:color w:val="auto"/>
              </w:rPr>
            </w:pPr>
            <w:r>
              <w:rPr>
                <w:rFonts w:ascii="Arial" w:cs="Arial" w:eastAsia="Arial" w:hAnsi="Arial"/>
                <w:sz w:val="14"/>
                <w:szCs w:val="14"/>
                <w:b w:val="1"/>
                <w:bCs w:val="1"/>
                <w:color w:val="auto"/>
                <w:w w:val="96"/>
              </w:rPr>
              <w:t>IFRS Reported Common Control Results</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0" w:type="dxa"/>
            <w:vAlign w:val="bottom"/>
            <w:gridSpan w:val="2"/>
            <w:vMerge w:val="continue"/>
          </w:tcPr>
          <w:p>
            <w:pPr>
              <w:spacing w:after="0"/>
              <w:rPr>
                <w:sz w:val="12"/>
                <w:szCs w:val="12"/>
                <w:color w:val="auto"/>
              </w:rPr>
            </w:pPr>
          </w:p>
        </w:tc>
        <w:tc>
          <w:tcPr>
            <w:tcW w:w="2040" w:type="dxa"/>
            <w:vAlign w:val="bottom"/>
            <w:gridSpan w:val="2"/>
          </w:tcPr>
          <w:p>
            <w:pPr>
              <w:spacing w:after="0"/>
              <w:rPr>
                <w:sz w:val="12"/>
                <w:szCs w:val="12"/>
                <w:color w:val="auto"/>
              </w:rPr>
            </w:pPr>
          </w:p>
        </w:tc>
        <w:tc>
          <w:tcPr>
            <w:tcW w:w="138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1360" w:type="dxa"/>
            <w:vAlign w:val="bottom"/>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jc w:val="right"/>
              <w:ind w:right="371"/>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58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profit or loss</w:t>
            </w:r>
          </w:p>
        </w:tc>
        <w:tc>
          <w:tcPr>
            <w:tcW w:w="1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Revenues</w:t>
            </w:r>
          </w:p>
        </w:tc>
        <w:tc>
          <w:tcPr>
            <w:tcW w:w="3700" w:type="dxa"/>
            <w:vAlign w:val="bottom"/>
            <w:gridSpan w:val="4"/>
          </w:tcPr>
          <w:p>
            <w:pPr>
              <w:jc w:val="right"/>
              <w:ind w:right="280"/>
              <w:spacing w:after="0"/>
              <w:rPr>
                <w:sz w:val="20"/>
                <w:szCs w:val="20"/>
                <w:color w:val="auto"/>
              </w:rPr>
            </w:pPr>
            <w:r>
              <w:rPr>
                <w:rFonts w:ascii="Arial" w:cs="Arial" w:eastAsia="Arial" w:hAnsi="Arial"/>
                <w:sz w:val="18"/>
                <w:szCs w:val="18"/>
                <w:color w:val="auto"/>
              </w:rPr>
              <w:t>66,033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73,439</w:t>
            </w:r>
          </w:p>
        </w:tc>
        <w:tc>
          <w:tcPr>
            <w:tcW w:w="3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7,406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costs</w:t>
            </w:r>
          </w:p>
        </w:tc>
        <w:tc>
          <w:tcPr>
            <w:tcW w:w="37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(13,536)</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(15,066)</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Voyage expenses and commissions</w:t>
            </w:r>
          </w:p>
        </w:tc>
        <w:tc>
          <w:tcPr>
            <w:tcW w:w="3700" w:type="dxa"/>
            <w:vAlign w:val="bottom"/>
            <w:gridSpan w:val="4"/>
          </w:tcPr>
          <w:p>
            <w:pPr>
              <w:jc w:val="right"/>
              <w:ind w:right="220"/>
              <w:spacing w:after="0"/>
              <w:rPr>
                <w:sz w:val="20"/>
                <w:szCs w:val="20"/>
                <w:color w:val="auto"/>
              </w:rPr>
            </w:pPr>
            <w:r>
              <w:rPr>
                <w:rFonts w:ascii="Arial" w:cs="Arial" w:eastAsia="Arial" w:hAnsi="Arial"/>
                <w:sz w:val="18"/>
                <w:szCs w:val="18"/>
                <w:color w:val="auto"/>
              </w:rPr>
              <w:t>(849)</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(921)</w:t>
            </w:r>
          </w:p>
        </w:tc>
        <w:tc>
          <w:tcPr>
            <w:tcW w:w="3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37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(14,076)</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(15,611)</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700" w:type="dxa"/>
            <w:vAlign w:val="bottom"/>
            <w:gridSpan w:val="4"/>
          </w:tcPr>
          <w:p>
            <w:pPr>
              <w:jc w:val="right"/>
              <w:ind w:right="220"/>
              <w:spacing w:after="0"/>
              <w:rPr>
                <w:sz w:val="20"/>
                <w:szCs w:val="20"/>
                <w:color w:val="auto"/>
              </w:rPr>
            </w:pPr>
            <w:r>
              <w:rPr>
                <w:rFonts w:ascii="Arial" w:cs="Arial" w:eastAsia="Arial" w:hAnsi="Arial"/>
                <w:sz w:val="18"/>
                <w:szCs w:val="18"/>
                <w:color w:val="auto"/>
              </w:rPr>
              <w:t>(3,130)</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(3,787)</w:t>
            </w:r>
          </w:p>
        </w:tc>
        <w:tc>
          <w:tcPr>
            <w:tcW w:w="3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 from operations</w:t>
            </w:r>
          </w:p>
        </w:tc>
        <w:tc>
          <w:tcPr>
            <w:tcW w:w="17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34,442</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38,054</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3,612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Financial costs</w:t>
            </w: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(12,249)</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(12,319)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3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311</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Loss on interest rate swaps</w:t>
            </w:r>
          </w:p>
        </w:tc>
        <w:tc>
          <w:tcPr>
            <w:tcW w:w="3700" w:type="dxa"/>
            <w:vAlign w:val="bottom"/>
            <w:gridSpan w:val="4"/>
          </w:tcPr>
          <w:p>
            <w:pPr>
              <w:jc w:val="right"/>
              <w:ind w:right="220"/>
              <w:spacing w:after="0"/>
              <w:rPr>
                <w:sz w:val="20"/>
                <w:szCs w:val="20"/>
                <w:color w:val="auto"/>
              </w:rPr>
            </w:pPr>
            <w:r>
              <w:rPr>
                <w:rFonts w:ascii="Arial" w:cs="Arial" w:eastAsia="Arial" w:hAnsi="Arial"/>
                <w:sz w:val="18"/>
                <w:szCs w:val="18"/>
                <w:color w:val="auto"/>
              </w:rPr>
              <w:t>(2,244)</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(672)</w:t>
            </w:r>
          </w:p>
        </w:tc>
        <w:tc>
          <w:tcPr>
            <w:tcW w:w="3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 for the period</w:t>
            </w: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20,038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25,374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Profit attributable to Partnership’s operations</w:t>
            </w:r>
          </w:p>
        </w:tc>
        <w:tc>
          <w:tcPr>
            <w:tcW w:w="174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80" w:type="dxa"/>
            <w:vAlign w:val="bottom"/>
            <w:vMerge w:val="continue"/>
          </w:tcPr>
          <w:p>
            <w:pPr>
              <w:spacing w:after="0"/>
              <w:rPr>
                <w:sz w:val="17"/>
                <w:szCs w:val="17"/>
                <w:color w:val="auto"/>
              </w:rPr>
            </w:pPr>
          </w:p>
        </w:tc>
        <w:tc>
          <w:tcPr>
            <w:tcW w:w="174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18,869</w:t>
            </w:r>
          </w:p>
        </w:tc>
        <w:tc>
          <w:tcPr>
            <w:tcW w:w="280" w:type="dxa"/>
            <w:vAlign w:val="bottom"/>
            <w:vMerge w:val="continue"/>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25,299</w:t>
            </w:r>
          </w:p>
        </w:tc>
        <w:tc>
          <w:tcPr>
            <w:tcW w:w="280" w:type="dxa"/>
            <w:vAlign w:val="bottom"/>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6,430</w:t>
            </w:r>
          </w:p>
        </w:tc>
        <w:tc>
          <w:tcPr>
            <w:tcW w:w="1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740" w:type="dxa"/>
            <w:vAlign w:val="bottom"/>
            <w:vMerge w:val="restart"/>
          </w:tcPr>
          <w:p>
            <w:pPr>
              <w:jc w:val="right"/>
              <w:ind w:right="45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580" w:type="dxa"/>
            <w:vAlign w:val="bottom"/>
            <w:tcBorders>
              <w:bottom w:val="single" w:sz="8" w:color="808080"/>
            </w:tcBorders>
          </w:tcPr>
          <w:p>
            <w:pPr>
              <w:spacing w:after="0"/>
              <w:rPr>
                <w:sz w:val="11"/>
                <w:szCs w:val="11"/>
                <w:color w:val="auto"/>
              </w:rPr>
            </w:pPr>
          </w:p>
        </w:tc>
        <w:tc>
          <w:tcPr>
            <w:tcW w:w="17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both"/>
        <w:ind w:right="80" w:firstLine="405"/>
        <w:spacing w:after="0" w:line="342" w:lineRule="auto"/>
        <w:rPr>
          <w:sz w:val="20"/>
          <w:szCs w:val="20"/>
          <w:color w:val="auto"/>
        </w:rPr>
      </w:pPr>
      <w:r>
        <w:rPr>
          <w:rFonts w:ascii="Arial" w:cs="Arial" w:eastAsia="Arial" w:hAnsi="Arial"/>
          <w:sz w:val="16"/>
          <w:szCs w:val="16"/>
          <w:color w:val="auto"/>
        </w:rPr>
        <w:t>For the three-month period ended September 30, 2016, we had an average of 10.0 vessels operating in our owned fleet having 920 operating days, while during the three-month period ended September 30, 2017, we had an average of 11.0 vessels operating in our owned fleet having 1,012 operating days.</w:t>
      </w:r>
    </w:p>
    <w:p>
      <w:pPr>
        <w:spacing w:after="0" w:line="124" w:lineRule="exact"/>
        <w:rPr>
          <w:sz w:val="20"/>
          <w:szCs w:val="20"/>
          <w:color w:val="auto"/>
        </w:rPr>
      </w:pPr>
    </w:p>
    <w:p>
      <w:pPr>
        <w:ind w:right="180" w:firstLine="428"/>
        <w:spacing w:after="0" w:line="259" w:lineRule="auto"/>
        <w:rPr>
          <w:sz w:val="20"/>
          <w:szCs w:val="20"/>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Revenues increased by $7.4 million, or 11.2%, from $66.0 million for the three-month period ended September 30, 2016, to $73.4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for the same period in 2017. The increase in revenues is almost entirely attributable to an increase of $7.4 million pursuant to the delivery of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Geneva </w:t>
      </w:r>
      <w:r>
        <w:rPr>
          <w:rFonts w:ascii="Arial" w:cs="Arial" w:eastAsia="Arial" w:hAnsi="Arial"/>
          <w:sz w:val="18"/>
          <w:szCs w:val="18"/>
          <w:color w:val="auto"/>
        </w:rPr>
        <w:t>on September 30, 2016. The average daily hire rate increased from $71,776 for the three-month period ended September 30, 2016 to $72,568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three-month period ended September 30, 2017.</w:t>
      </w:r>
    </w:p>
    <w:p>
      <w:pPr>
        <w:spacing w:after="0" w:line="187" w:lineRule="exact"/>
        <w:rPr>
          <w:sz w:val="20"/>
          <w:szCs w:val="20"/>
          <w:color w:val="auto"/>
        </w:rPr>
      </w:pPr>
    </w:p>
    <w:p>
      <w:pPr>
        <w:ind w:right="40" w:firstLine="428"/>
        <w:spacing w:after="0" w:line="302" w:lineRule="auto"/>
        <w:rPr>
          <w:sz w:val="20"/>
          <w:szCs w:val="20"/>
          <w:color w:val="auto"/>
        </w:rPr>
      </w:pPr>
      <w:r>
        <w:rPr>
          <w:rFonts w:ascii="Arial" w:cs="Arial" w:eastAsia="Arial" w:hAnsi="Arial"/>
          <w:sz w:val="16"/>
          <w:szCs w:val="16"/>
          <w:b w:val="1"/>
          <w:bCs w:val="1"/>
          <w:i w:val="1"/>
          <w:iCs w:val="1"/>
          <w:color w:val="auto"/>
        </w:rPr>
        <w:t xml:space="preserve">Vessel Operating Costs: </w:t>
      </w:r>
      <w:r>
        <w:rPr>
          <w:rFonts w:ascii="Arial" w:cs="Arial" w:eastAsia="Arial" w:hAnsi="Arial"/>
          <w:sz w:val="16"/>
          <w:szCs w:val="16"/>
          <w:color w:val="auto"/>
        </w:rPr>
        <w:t>Vessel operating costs increased by $1.6 million, or 11.9%, from $13.5 million for the three-month period ended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2016, to $15.1 million for the same period in 2017. The increase is mainly attributable to an increase of $1.3 million in crew wages expenses and management fees, primarily attributable to the delivery of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on September 30, 2016. As a result, daily operating cost per vessel increased from $14,713 per day for the three-month period ended September 30, 2016 to $14,888 per day for the three-month period ended September 30, 2017.</w:t>
      </w:r>
    </w:p>
    <w:p>
      <w:pPr>
        <w:spacing w:after="0" w:line="154" w:lineRule="exact"/>
        <w:rPr>
          <w:sz w:val="20"/>
          <w:szCs w:val="20"/>
          <w:color w:val="auto"/>
        </w:rPr>
      </w:pPr>
    </w:p>
    <w:p>
      <w:pPr>
        <w:ind w:right="400" w:firstLine="428"/>
        <w:spacing w:after="0" w:line="264" w:lineRule="auto"/>
        <w:rPr>
          <w:sz w:val="20"/>
          <w:szCs w:val="20"/>
          <w:color w:val="auto"/>
        </w:rPr>
      </w:pPr>
      <w:r>
        <w:rPr>
          <w:rFonts w:ascii="Arial" w:cs="Arial" w:eastAsia="Arial" w:hAnsi="Arial"/>
          <w:sz w:val="18"/>
          <w:szCs w:val="18"/>
          <w:b w:val="1"/>
          <w:bCs w:val="1"/>
          <w:i w:val="1"/>
          <w:iCs w:val="1"/>
          <w:color w:val="auto"/>
        </w:rPr>
        <w:t xml:space="preserve">Depreciation: </w:t>
      </w:r>
      <w:r>
        <w:rPr>
          <w:rFonts w:ascii="Arial" w:cs="Arial" w:eastAsia="Arial" w:hAnsi="Arial"/>
          <w:sz w:val="18"/>
          <w:szCs w:val="18"/>
          <w:color w:val="auto"/>
        </w:rPr>
        <w:t>Depreciation increased by $1.5 million, or 10.6%, from $14.1 million for the three-month period ended September 30, 2016 to $15.6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million for the same period in 2017. The increase is attributable to the increase in the average number of vessels pursuant to the delivery of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Geneva </w:t>
      </w:r>
      <w:r>
        <w:rPr>
          <w:rFonts w:ascii="Arial" w:cs="Arial" w:eastAsia="Arial" w:hAnsi="Arial"/>
          <w:sz w:val="18"/>
          <w:szCs w:val="18"/>
          <w:color w:val="auto"/>
        </w:rPr>
        <w:t>on September 30, 2016.</w:t>
      </w:r>
    </w:p>
    <w:p>
      <w:pPr>
        <w:spacing w:after="0" w:line="181" w:lineRule="exact"/>
        <w:rPr>
          <w:sz w:val="20"/>
          <w:szCs w:val="20"/>
          <w:color w:val="auto"/>
        </w:rPr>
      </w:pPr>
    </w:p>
    <w:p>
      <w:pPr>
        <w:ind w:right="120" w:firstLine="428"/>
        <w:spacing w:after="0" w:line="302"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 xml:space="preserve">General and administrative expenses increased by $0.7 million, or 22.6%, from $3.1 million for the three-month period ended September 30, 2016, to $3.8 million for the same period in 2017. The increase is mainly attributable to an increase in administrative expenses of $0.6 million for services provided under the administrative services agreement with GasLog related to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acquired from GasLog in November 2016,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acquired from GasLog in May 2017 and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acquired from GasLog in July 2017.</w:t>
      </w:r>
    </w:p>
    <w:p>
      <w:pPr>
        <w:sectPr>
          <w:pgSz w:w="11900" w:h="16838" w:orient="portrait"/>
          <w:cols w:equalWidth="0" w:num="1">
            <w:col w:w="11460"/>
          </w:cols>
          <w:pgMar w:left="240" w:top="70" w:right="199" w:bottom="42" w:gutter="0" w:footer="0" w:header="0"/>
        </w:sectPr>
      </w:pPr>
    </w:p>
    <w:bookmarkStart w:id="16" w:name="page17"/>
    <w:bookmarkEnd w:id="16"/>
    <w:p>
      <w:pPr>
        <w:ind w:right="240" w:firstLine="428"/>
        <w:spacing w:after="0" w:line="273" w:lineRule="auto"/>
        <w:rPr>
          <w:sz w:val="20"/>
          <w:szCs w:val="20"/>
          <w:color w:val="auto"/>
        </w:rPr>
      </w:pPr>
      <w:r>
        <w:rPr>
          <w:rFonts w:ascii="Arial" w:cs="Arial" w:eastAsia="Arial" w:hAnsi="Arial"/>
          <w:sz w:val="17"/>
          <w:szCs w:val="17"/>
          <w:b w:val="1"/>
          <w:bCs w:val="1"/>
          <w:i w:val="1"/>
          <w:iCs w:val="1"/>
          <w:color w:val="auto"/>
        </w:rPr>
        <w:t xml:space="preserve">Financial Costs: </w:t>
      </w:r>
      <w:r>
        <w:rPr>
          <w:rFonts w:ascii="Arial" w:cs="Arial" w:eastAsia="Arial" w:hAnsi="Arial"/>
          <w:sz w:val="17"/>
          <w:szCs w:val="17"/>
          <w:color w:val="auto"/>
        </w:rPr>
        <w:t>Financial costs increased marginally by $0.1 million, or 0.8%, from $12.2 million for the three-month period ended September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2016 to $12.3 million for the same period in 2017. The increase is mainly attributable to an increase of $2.4 million in interest expense on loans, partially offset by a decrease in amortization of loan fees of $2.2 million, mainly driven by a write-off of $2.4 million of unamortized loan fees associated with the </w:t>
      </w:r>
      <w:r>
        <w:rPr>
          <w:rFonts w:ascii="Arial" w:cs="Arial" w:eastAsia="Arial" w:hAnsi="Arial"/>
          <w:sz w:val="17"/>
          <w:szCs w:val="17"/>
          <w:i w:val="1"/>
          <w:iCs w:val="1"/>
          <w:color w:val="auto"/>
        </w:rPr>
        <w:t xml:space="preserve">GasLog Seattle </w:t>
      </w:r>
      <w:r>
        <w:rPr>
          <w:rFonts w:ascii="Arial" w:cs="Arial" w:eastAsia="Arial" w:hAnsi="Arial"/>
          <w:sz w:val="17"/>
          <w:szCs w:val="17"/>
          <w:color w:val="auto"/>
        </w:rPr>
        <w:t>credit facility that was refinanced in July 2016. During the three-month period ended September 30, 2016, we had an average of $1,010.5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of outstanding indebtedness with a weighted average interest rate of 3.2%, compared to an average of $1,080.9 million of outstanding indebtedness with a weighted average interest rate of 3.9% during the three-month period ended September 30, 2017.</w:t>
      </w:r>
    </w:p>
    <w:p>
      <w:pPr>
        <w:spacing w:after="0" w:line="178" w:lineRule="exact"/>
        <w:rPr>
          <w:sz w:val="20"/>
          <w:szCs w:val="20"/>
          <w:color w:val="auto"/>
        </w:rPr>
      </w:pPr>
    </w:p>
    <w:p>
      <w:pPr>
        <w:ind w:firstLine="428"/>
        <w:spacing w:after="0" w:line="257" w:lineRule="auto"/>
        <w:rPr>
          <w:sz w:val="20"/>
          <w:szCs w:val="20"/>
          <w:color w:val="auto"/>
        </w:rPr>
      </w:pPr>
      <w:r>
        <w:rPr>
          <w:rFonts w:ascii="Arial" w:cs="Arial" w:eastAsia="Arial" w:hAnsi="Arial"/>
          <w:sz w:val="18"/>
          <w:szCs w:val="18"/>
          <w:b w:val="1"/>
          <w:bCs w:val="1"/>
          <w:i w:val="1"/>
          <w:iCs w:val="1"/>
          <w:color w:val="auto"/>
        </w:rPr>
        <w:t xml:space="preserve">Loss on Interest Rate Swaps: </w:t>
      </w:r>
      <w:r>
        <w:rPr>
          <w:rFonts w:ascii="Arial" w:cs="Arial" w:eastAsia="Arial" w:hAnsi="Arial"/>
          <w:sz w:val="18"/>
          <w:szCs w:val="18"/>
          <w:color w:val="auto"/>
        </w:rPr>
        <w:t>Loss on interest rate swaps decreased by $1.5 million, or 68.2%, from $2.2 million for the three-month period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2016 to $0.7 million for the same period in 2017. The decrease is attributable to a decrease of $2.2 million in recycled loss that was reclassified from equity to the statement of profit or loss related to the interest rate swaps terminated in July 2016, partially offset by an increase in realized loss from interest rate swaps held for trading of $0.4 million and an increase in loss of $0.3 million from mark-to-market valuation of our interest rate swaps carried at fair value through profit or loss.</w:t>
      </w:r>
    </w:p>
    <w:p>
      <w:pPr>
        <w:spacing w:after="0" w:line="188" w:lineRule="exact"/>
        <w:rPr>
          <w:sz w:val="20"/>
          <w:szCs w:val="20"/>
          <w:color w:val="auto"/>
        </w:rPr>
      </w:pPr>
    </w:p>
    <w:p>
      <w:pPr>
        <w:ind w:right="360" w:firstLine="428"/>
        <w:spacing w:after="0" w:line="277" w:lineRule="auto"/>
        <w:rPr>
          <w:sz w:val="20"/>
          <w:szCs w:val="20"/>
          <w:color w:val="auto"/>
        </w:rPr>
      </w:pPr>
      <w:r>
        <w:rPr>
          <w:rFonts w:ascii="Arial" w:cs="Arial" w:eastAsia="Arial" w:hAnsi="Arial"/>
          <w:sz w:val="18"/>
          <w:szCs w:val="18"/>
          <w:b w:val="1"/>
          <w:bCs w:val="1"/>
          <w:i w:val="1"/>
          <w:iCs w:val="1"/>
          <w:color w:val="auto"/>
        </w:rPr>
        <w:t xml:space="preserve">Profit for the Period: </w:t>
      </w:r>
      <w:r>
        <w:rPr>
          <w:rFonts w:ascii="Arial" w:cs="Arial" w:eastAsia="Arial" w:hAnsi="Arial"/>
          <w:sz w:val="18"/>
          <w:szCs w:val="18"/>
          <w:color w:val="auto"/>
        </w:rPr>
        <w:t>Profit for the period increased by $5.4 million, or 27.0%, from $20.0 million for the three-month period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to $25.4 million for the same period in 2017, as a result of the aforementioned factors.</w:t>
      </w:r>
    </w:p>
    <w:p>
      <w:pPr>
        <w:spacing w:after="0" w:line="170" w:lineRule="exact"/>
        <w:rPr>
          <w:sz w:val="20"/>
          <w:szCs w:val="20"/>
          <w:color w:val="auto"/>
        </w:rPr>
      </w:pPr>
    </w:p>
    <w:p>
      <w:pPr>
        <w:ind w:firstLine="428"/>
        <w:spacing w:after="0" w:line="302" w:lineRule="auto"/>
        <w:rPr>
          <w:sz w:val="20"/>
          <w:szCs w:val="20"/>
          <w:color w:val="auto"/>
        </w:rPr>
      </w:pPr>
      <w:r>
        <w:rPr>
          <w:rFonts w:ascii="Arial" w:cs="Arial" w:eastAsia="Arial" w:hAnsi="Arial"/>
          <w:sz w:val="16"/>
          <w:szCs w:val="16"/>
          <w:b w:val="1"/>
          <w:bCs w:val="1"/>
          <w:i w:val="1"/>
          <w:iCs w:val="1"/>
          <w:color w:val="auto"/>
        </w:rPr>
        <w:t xml:space="preserve">Profit attributable to the Partnership: </w:t>
      </w:r>
      <w:r>
        <w:rPr>
          <w:rFonts w:ascii="Arial" w:cs="Arial" w:eastAsia="Arial" w:hAnsi="Arial"/>
          <w:sz w:val="16"/>
          <w:szCs w:val="16"/>
          <w:color w:val="auto"/>
        </w:rPr>
        <w:t>Profit attributable to the Partnership increased by $6.4 million, or 33.9%, from $18.9 million for the three-month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period ended September 30, 2016 to $25.3 million for the three-month period ended September 30, 2017. The increase is mainly attributable to the profit from operations of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Geneva</w:t>
      </w:r>
      <w:r>
        <w:rPr>
          <w:rFonts w:ascii="Arial" w:cs="Arial" w:eastAsia="Arial" w:hAnsi="Arial"/>
          <w:sz w:val="16"/>
          <w:szCs w:val="16"/>
          <w:color w:val="auto"/>
        </w:rPr>
        <w:t>, acquired by the Partnership on November 1, 2016, May 3, 2017 and July 3, 2017, respectively, which was partially offset by the interest expense with respect to the aggregate outstanding debt of the respective vessels.</w:t>
      </w:r>
    </w:p>
    <w:p>
      <w:pPr>
        <w:spacing w:after="0" w:line="154" w:lineRule="exact"/>
        <w:rPr>
          <w:sz w:val="20"/>
          <w:szCs w:val="20"/>
          <w:color w:val="auto"/>
        </w:rPr>
      </w:pPr>
    </w:p>
    <w:p>
      <w:pPr>
        <w:ind w:right="40" w:firstLine="428"/>
        <w:spacing w:after="0" w:line="259" w:lineRule="auto"/>
        <w:rPr>
          <w:sz w:val="20"/>
          <w:szCs w:val="20"/>
          <w:color w:val="auto"/>
        </w:rPr>
      </w:pPr>
      <w:r>
        <w:rPr>
          <w:rFonts w:ascii="Arial" w:cs="Arial" w:eastAsia="Arial" w:hAnsi="Arial"/>
          <w:sz w:val="18"/>
          <w:szCs w:val="18"/>
          <w:color w:val="auto"/>
        </w:rPr>
        <w:t xml:space="preserve">Specifically, the profit attributable to the Partnership was affected by (a) an increase in revenues of $21.8 million contributed by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the </w:t>
      </w:r>
      <w:r>
        <w:rPr>
          <w:rFonts w:ascii="Arial" w:cs="Arial" w:eastAsia="Arial" w:hAnsi="Arial"/>
          <w:sz w:val="18"/>
          <w:szCs w:val="18"/>
          <w:i w:val="1"/>
          <w:iCs w:val="1"/>
          <w:color w:val="auto"/>
        </w:rPr>
        <w:t xml:space="preserve">GasLog Greece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GasLog Geneva</w:t>
      </w:r>
      <w:r>
        <w:rPr>
          <w:rFonts w:ascii="Arial" w:cs="Arial" w:eastAsia="Arial" w:hAnsi="Arial"/>
          <w:sz w:val="18"/>
          <w:szCs w:val="18"/>
          <w:color w:val="auto"/>
        </w:rPr>
        <w:t>, (b) an increase in operating expenses attributable to the Partnership of $4.2 million mainly attributable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 of the acquired vessels and (c) an increase in depreciation expense attributable to the Partnership of $4.5 million, resulting primarily from the acquisition of the aforementioned vessels.</w:t>
      </w:r>
    </w:p>
    <w:p>
      <w:pPr>
        <w:spacing w:after="0" w:line="187" w:lineRule="exact"/>
        <w:rPr>
          <w:sz w:val="20"/>
          <w:szCs w:val="20"/>
          <w:color w:val="auto"/>
        </w:rPr>
      </w:pPr>
    </w:p>
    <w:p>
      <w:pPr>
        <w:ind w:right="140" w:firstLine="428"/>
        <w:spacing w:after="0" w:line="271" w:lineRule="auto"/>
        <w:rPr>
          <w:sz w:val="20"/>
          <w:szCs w:val="20"/>
          <w:color w:val="auto"/>
        </w:rPr>
      </w:pPr>
      <w:r>
        <w:rPr>
          <w:rFonts w:ascii="Arial" w:cs="Arial" w:eastAsia="Arial" w:hAnsi="Arial"/>
          <w:sz w:val="17"/>
          <w:szCs w:val="17"/>
          <w:color w:val="auto"/>
        </w:rPr>
        <w:t xml:space="preserve">In addition, the profit attributable to the Partnership was further affected by (a) an increase in general and administrative expenses attributable to the Partnership of $1.0 million, from $2.8 million for the three-month period ended September 30, 2016, to $3.8 million for the three-month period ended September 30, 2017, which is primarily attributable to an increase in administrative fees and share-based compensation, (b) an increase in financial costs attributable to the Partnership of $5.0 million, from $7.3 million for the three-month period ended September 30, 2016, to $12.3 million for the three-month period ended September 30, 2017, due to increased interest expense of $4.1 million with respect to the aggregate outstanding debt of the </w:t>
      </w:r>
      <w:r>
        <w:rPr>
          <w:rFonts w:ascii="Arial" w:cs="Arial" w:eastAsia="Arial" w:hAnsi="Arial"/>
          <w:sz w:val="17"/>
          <w:szCs w:val="17"/>
          <w:i w:val="1"/>
          <w:iCs w:val="1"/>
          <w:color w:val="auto"/>
        </w:rPr>
        <w:t>GasLog Seattle</w:t>
      </w:r>
      <w:r>
        <w:rPr>
          <w:rFonts w:ascii="Arial" w:cs="Arial" w:eastAsia="Arial" w:hAnsi="Arial"/>
          <w:sz w:val="17"/>
          <w:szCs w:val="17"/>
          <w:color w:val="auto"/>
        </w:rPr>
        <w:t xml:space="preserve">, the </w:t>
      </w:r>
      <w:r>
        <w:rPr>
          <w:rFonts w:ascii="Arial" w:cs="Arial" w:eastAsia="Arial" w:hAnsi="Arial"/>
          <w:sz w:val="17"/>
          <w:szCs w:val="17"/>
          <w:i w:val="1"/>
          <w:iCs w:val="1"/>
          <w:color w:val="auto"/>
        </w:rPr>
        <w:t xml:space="preserve">GasLog Greece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GasLog Geneva </w:t>
      </w:r>
      <w:r>
        <w:rPr>
          <w:rFonts w:ascii="Arial" w:cs="Arial" w:eastAsia="Arial" w:hAnsi="Arial"/>
          <w:sz w:val="17"/>
          <w:szCs w:val="17"/>
          <w:color w:val="auto"/>
        </w:rPr>
        <w:t>after their respective dropdowns to the Partnership, and a further increase of $0.9 million attributable to the credit</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with GasLog and (c) an increase in loss on interest rate swaps attributable to the Partnership of $0.7 million, pursuant to the interest rate swap agreements entered into with GasLog in November 2016 and July 2017.</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above discussion of revenues, operating expenses, depreciation expense, general and administrative expenses and net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financial costs attributable to the Partnership for the three-month period ended September 30, 2016, are non-GAAP measures that exclude amounts related to vessels currently owned by the Partnership for the periods prior to their respective transfer to GasLog Partners from GasLog. For a reconciliation of the results attributable to the Partnership to the most directly comparable IFRS reported results, refer to Appendix A included elsewhere in this report.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Nine-month period ended September 30, 2016 compared to the nine-month period ended September 30,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 thousands of U.S. dollars)</w:t>
            </w:r>
          </w:p>
        </w:tc>
        <w:tc>
          <w:tcPr>
            <w:tcW w:w="3680" w:type="dxa"/>
            <w:vAlign w:val="bottom"/>
            <w:tcBorders>
              <w:bottom w:val="single" w:sz="8" w:color="auto"/>
            </w:tcBorders>
            <w:gridSpan w:val="5"/>
          </w:tcPr>
          <w:p>
            <w:pPr>
              <w:ind w:left="1060"/>
              <w:spacing w:after="0"/>
              <w:rPr>
                <w:sz w:val="20"/>
                <w:szCs w:val="20"/>
                <w:color w:val="auto"/>
              </w:rPr>
            </w:pPr>
            <w:r>
              <w:rPr>
                <w:rFonts w:ascii="Arial" w:cs="Arial" w:eastAsia="Arial" w:hAnsi="Arial"/>
                <w:sz w:val="14"/>
                <w:szCs w:val="14"/>
                <w:b w:val="1"/>
                <w:bCs w:val="1"/>
                <w:color w:val="auto"/>
                <w:w w:val="96"/>
              </w:rPr>
              <w:t>IFRS Reported Common Control Results</w:t>
            </w: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40" w:type="dxa"/>
            <w:vAlign w:val="bottom"/>
            <w:gridSpan w:val="3"/>
            <w:vMerge w:val="continue"/>
          </w:tcPr>
          <w:p>
            <w:pPr>
              <w:spacing w:after="0"/>
              <w:rPr>
                <w:sz w:val="12"/>
                <w:szCs w:val="12"/>
                <w:color w:val="auto"/>
              </w:rPr>
            </w:pPr>
          </w:p>
        </w:tc>
        <w:tc>
          <w:tcPr>
            <w:tcW w:w="138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1360" w:type="dxa"/>
            <w:vAlign w:val="bottom"/>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jc w:val="right"/>
              <w:ind w:right="371"/>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3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profit or loss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186,387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217,923</w:t>
            </w:r>
          </w:p>
        </w:tc>
        <w:tc>
          <w:tcPr>
            <w:tcW w:w="3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31,536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Vessel operating costs</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(39,425)</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(43,568)</w:t>
            </w:r>
          </w:p>
        </w:tc>
        <w:tc>
          <w:tcPr>
            <w:tcW w:w="3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Voyage expenses and commissions</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(2,630)</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(2,733)</w:t>
            </w:r>
          </w:p>
        </w:tc>
        <w:tc>
          <w:tcPr>
            <w:tcW w:w="38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(40,516)</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(46,327)</w:t>
            </w:r>
          </w:p>
        </w:tc>
        <w:tc>
          <w:tcPr>
            <w:tcW w:w="3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(9,227)</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(10,470)</w:t>
            </w:r>
          </w:p>
        </w:tc>
        <w:tc>
          <w:tcPr>
            <w:tcW w:w="38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Profit from operations</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94,589</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114,825</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20,236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Financial costs</w:t>
            </w:r>
          </w:p>
        </w:tc>
        <w:tc>
          <w:tcPr>
            <w:tcW w:w="1380" w:type="dxa"/>
            <w:vAlign w:val="bottom"/>
          </w:tcPr>
          <w:p>
            <w:pPr>
              <w:jc w:val="right"/>
              <w:spacing w:after="0"/>
              <w:rPr>
                <w:sz w:val="20"/>
                <w:szCs w:val="20"/>
                <w:color w:val="auto"/>
              </w:rPr>
            </w:pPr>
            <w:r>
              <w:rPr>
                <w:rFonts w:ascii="Arial" w:cs="Arial" w:eastAsia="Arial" w:hAnsi="Arial"/>
                <w:sz w:val="18"/>
                <w:szCs w:val="18"/>
                <w:color w:val="auto"/>
              </w:rPr>
              <w:t>(30,162)</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(36,098)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(5,936)</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669</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Loss on interest rate swaps</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(6,136)</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(2,985)</w:t>
            </w:r>
          </w:p>
        </w:tc>
        <w:tc>
          <w:tcPr>
            <w:tcW w:w="3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3,151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Profit for the period</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58,422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76,411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17,989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Profit attributable to Partnership’s operations</w:t>
            </w: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gridSpan w:val="2"/>
            <w:vMerge w:val="continue"/>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52,443</w:t>
            </w:r>
          </w:p>
        </w:tc>
        <w:tc>
          <w:tcPr>
            <w:tcW w:w="280" w:type="dxa"/>
            <w:vAlign w:val="bottom"/>
            <w:vMerge w:val="continue"/>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65,679</w:t>
            </w:r>
          </w:p>
        </w:tc>
        <w:tc>
          <w:tcPr>
            <w:tcW w:w="280" w:type="dxa"/>
            <w:vAlign w:val="bottom"/>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13,236</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firstLine="405"/>
        <w:spacing w:after="0" w:line="342" w:lineRule="auto"/>
        <w:rPr>
          <w:sz w:val="20"/>
          <w:szCs w:val="20"/>
          <w:color w:val="auto"/>
        </w:rPr>
      </w:pPr>
      <w:r>
        <w:rPr>
          <w:rFonts w:ascii="Arial" w:cs="Arial" w:eastAsia="Arial" w:hAnsi="Arial"/>
          <w:sz w:val="16"/>
          <w:szCs w:val="16"/>
          <w:color w:val="auto"/>
        </w:rPr>
        <w:t>For the nine-month period ended September 30, 2016, we had an average of 9.7 vessels operating in our owned fleet having 2,606 operating days, while during the nine-month period ended September 30, 2017, we had an average of 11.0 vessels operating in our owned fleet having 3,003 operating days.</w:t>
      </w:r>
    </w:p>
    <w:p>
      <w:pPr>
        <w:spacing w:after="0" w:line="124" w:lineRule="exact"/>
        <w:rPr>
          <w:sz w:val="20"/>
          <w:szCs w:val="20"/>
          <w:color w:val="auto"/>
        </w:rPr>
      </w:pPr>
    </w:p>
    <w:p>
      <w:pPr>
        <w:ind w:right="20" w:firstLine="428"/>
        <w:spacing w:after="0" w:line="273" w:lineRule="auto"/>
        <w:rPr>
          <w:sz w:val="20"/>
          <w:szCs w:val="20"/>
          <w:color w:val="auto"/>
        </w:rPr>
      </w:pPr>
      <w:r>
        <w:rPr>
          <w:rFonts w:ascii="Arial" w:cs="Arial" w:eastAsia="Arial" w:hAnsi="Arial"/>
          <w:sz w:val="17"/>
          <w:szCs w:val="17"/>
          <w:b w:val="1"/>
          <w:bCs w:val="1"/>
          <w:i w:val="1"/>
          <w:iCs w:val="1"/>
          <w:color w:val="auto"/>
        </w:rPr>
        <w:t xml:space="preserve">Revenues: </w:t>
      </w:r>
      <w:r>
        <w:rPr>
          <w:rFonts w:ascii="Arial" w:cs="Arial" w:eastAsia="Arial" w:hAnsi="Arial"/>
          <w:sz w:val="17"/>
          <w:szCs w:val="17"/>
          <w:color w:val="auto"/>
        </w:rPr>
        <w:t>Revenues increased by $31.5 million, or 16.9%, from $186.4 million for the nine-month period ended September 30, 2016, to $217.9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for the same period in 2017. The increase in revenues is mainly attributable to an increase of $29.5 million pursuant to the deliveries of the </w:t>
      </w:r>
      <w:r>
        <w:rPr>
          <w:rFonts w:ascii="Arial" w:cs="Arial" w:eastAsia="Arial" w:hAnsi="Arial"/>
          <w:sz w:val="17"/>
          <w:szCs w:val="17"/>
          <w:i w:val="1"/>
          <w:iCs w:val="1"/>
          <w:color w:val="auto"/>
        </w:rPr>
        <w:t>GasLog Greece</w:t>
      </w:r>
      <w:r>
        <w:rPr>
          <w:rFonts w:ascii="Arial" w:cs="Arial" w:eastAsia="Arial" w:hAnsi="Arial"/>
          <w:sz w:val="17"/>
          <w:szCs w:val="17"/>
          <w:color w:val="auto"/>
        </w:rPr>
        <w:t xml:space="preserve"> on March 29, 2016 and the </w:t>
      </w:r>
      <w:r>
        <w:rPr>
          <w:rFonts w:ascii="Arial" w:cs="Arial" w:eastAsia="Arial" w:hAnsi="Arial"/>
          <w:sz w:val="17"/>
          <w:szCs w:val="17"/>
          <w:i w:val="1"/>
          <w:iCs w:val="1"/>
          <w:color w:val="auto"/>
        </w:rPr>
        <w:t>GasLog Geneva</w:t>
      </w:r>
      <w:r>
        <w:rPr>
          <w:rFonts w:ascii="Arial" w:cs="Arial" w:eastAsia="Arial" w:hAnsi="Arial"/>
          <w:sz w:val="17"/>
          <w:szCs w:val="17"/>
          <w:color w:val="auto"/>
        </w:rPr>
        <w:t xml:space="preserve"> on September 30, 2016, an increase of $2.8 million due to off-hire days for scheduled dry-dockings in the nine months ended September 30, 2016, partially offset by a decrease of $0.7 million due to decreased calendar days in the nine months ended September 30, 2017 as compared to the same period in 2016. The average daily hire rate increased from $71,522 for the nine-month period ended September 30, 2016 to $72,568 for the nine-month period ended September 30, 2017.</w:t>
      </w:r>
    </w:p>
    <w:p>
      <w:pPr>
        <w:spacing w:after="0" w:line="178" w:lineRule="exact"/>
        <w:rPr>
          <w:sz w:val="20"/>
          <w:szCs w:val="20"/>
          <w:color w:val="auto"/>
        </w:rPr>
      </w:pPr>
    </w:p>
    <w:p>
      <w:pPr>
        <w:ind w:right="60" w:firstLine="428"/>
        <w:spacing w:after="0" w:line="312" w:lineRule="auto"/>
        <w:rPr>
          <w:sz w:val="20"/>
          <w:szCs w:val="20"/>
          <w:color w:val="auto"/>
        </w:rPr>
      </w:pPr>
      <w:r>
        <w:rPr>
          <w:rFonts w:ascii="Arial" w:cs="Arial" w:eastAsia="Arial" w:hAnsi="Arial"/>
          <w:sz w:val="16"/>
          <w:szCs w:val="16"/>
          <w:b w:val="1"/>
          <w:bCs w:val="1"/>
          <w:i w:val="1"/>
          <w:iCs w:val="1"/>
          <w:color w:val="auto"/>
        </w:rPr>
        <w:t xml:space="preserve">Vessel Operating Costs: </w:t>
      </w:r>
      <w:r>
        <w:rPr>
          <w:rFonts w:ascii="Arial" w:cs="Arial" w:eastAsia="Arial" w:hAnsi="Arial"/>
          <w:sz w:val="16"/>
          <w:szCs w:val="16"/>
          <w:color w:val="auto"/>
        </w:rPr>
        <w:t>Vessel operating costs increased by $4.2 million, or 10.7%, from $39.4 million for the nine-month period ended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2016, to $43.6 million for the same period in 2017. The increase was mainly attributable to an increase of $4.1 million in crew wages expenses and management fees, primarily attributable to the deliveries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on March 29, 2016 and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on September 30, 2016. Daily</w:t>
      </w:r>
    </w:p>
    <w:p>
      <w:pPr>
        <w:sectPr>
          <w:pgSz w:w="11900" w:h="16838" w:orient="portrait"/>
          <w:cols w:equalWidth="0" w:num="1">
            <w:col w:w="11420"/>
          </w:cols>
          <w:pgMar w:left="240" w:top="125" w:right="239" w:bottom="0" w:gutter="0" w:footer="0" w:header="0"/>
        </w:sectPr>
      </w:pPr>
    </w:p>
    <w:bookmarkStart w:id="17" w:name="page18"/>
    <w:bookmarkEnd w:id="17"/>
    <w:p>
      <w:pPr>
        <w:spacing w:after="0" w:line="6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operating cost per vessel decreased from $14,872 per day for the nine-month period ended September 30, 2016 to $14,508 per day for the nine-month period ended September 30, 2017.</w:t>
      </w:r>
    </w:p>
    <w:p>
      <w:pPr>
        <w:spacing w:after="0" w:line="170" w:lineRule="exact"/>
        <w:rPr>
          <w:sz w:val="20"/>
          <w:szCs w:val="20"/>
          <w:color w:val="auto"/>
        </w:rPr>
      </w:pPr>
    </w:p>
    <w:p>
      <w:pPr>
        <w:ind w:right="420" w:firstLine="428"/>
        <w:spacing w:after="0" w:line="264" w:lineRule="auto"/>
        <w:rPr>
          <w:sz w:val="20"/>
          <w:szCs w:val="20"/>
          <w:color w:val="auto"/>
        </w:rPr>
      </w:pPr>
      <w:r>
        <w:rPr>
          <w:rFonts w:ascii="Arial" w:cs="Arial" w:eastAsia="Arial" w:hAnsi="Arial"/>
          <w:sz w:val="18"/>
          <w:szCs w:val="18"/>
          <w:b w:val="1"/>
          <w:bCs w:val="1"/>
          <w:i w:val="1"/>
          <w:iCs w:val="1"/>
          <w:color w:val="auto"/>
        </w:rPr>
        <w:t xml:space="preserve">Depreciation: </w:t>
      </w:r>
      <w:r>
        <w:rPr>
          <w:rFonts w:ascii="Arial" w:cs="Arial" w:eastAsia="Arial" w:hAnsi="Arial"/>
          <w:sz w:val="18"/>
          <w:szCs w:val="18"/>
          <w:color w:val="auto"/>
        </w:rPr>
        <w:t>Depreciation increased by $5.8 million, or 14.3%, from $40.5 million for the nine-month period ended September 30, 2016 to $46.3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million for the same period in 2017. The increase is attributable to the increase in the average number of vessels pursuant to the delivery of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Greece </w:t>
      </w:r>
      <w:r>
        <w:rPr>
          <w:rFonts w:ascii="Arial" w:cs="Arial" w:eastAsia="Arial" w:hAnsi="Arial"/>
          <w:sz w:val="18"/>
          <w:szCs w:val="18"/>
          <w:color w:val="auto"/>
        </w:rPr>
        <w:t>on March 29, 2016 and the</w:t>
      </w:r>
      <w:r>
        <w:rPr>
          <w:rFonts w:ascii="Arial" w:cs="Arial" w:eastAsia="Arial" w:hAnsi="Arial"/>
          <w:sz w:val="18"/>
          <w:szCs w:val="18"/>
          <w:i w:val="1"/>
          <w:iCs w:val="1"/>
          <w:color w:val="auto"/>
        </w:rPr>
        <w:t xml:space="preserve"> GasLog Geneva </w:t>
      </w:r>
      <w:r>
        <w:rPr>
          <w:rFonts w:ascii="Arial" w:cs="Arial" w:eastAsia="Arial" w:hAnsi="Arial"/>
          <w:sz w:val="18"/>
          <w:szCs w:val="18"/>
          <w:color w:val="auto"/>
        </w:rPr>
        <w:t>on September 30, 2016.</w:t>
      </w:r>
    </w:p>
    <w:p>
      <w:pPr>
        <w:spacing w:after="0" w:line="181" w:lineRule="exact"/>
        <w:rPr>
          <w:sz w:val="20"/>
          <w:szCs w:val="20"/>
          <w:color w:val="auto"/>
        </w:rPr>
      </w:pPr>
    </w:p>
    <w:p>
      <w:pPr>
        <w:ind w:right="40" w:firstLine="428"/>
        <w:spacing w:after="0" w:line="302"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increased by $1.3 million, or 14.1%, from $9.2 million for the nine-month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period ended September 30, 2016, to $10.5 million for the same period in 2017. The increase is mainly attributable to an increase in administrative expenses of $1.2 million for services provided under the administrative services agreement with GasLog related to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acquired from GasLog in November 2016,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acquired from GasLog in May 2017 and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acquired from GasLog in July 2017.</w:t>
      </w:r>
    </w:p>
    <w:p>
      <w:pPr>
        <w:spacing w:after="0" w:line="154" w:lineRule="exact"/>
        <w:rPr>
          <w:sz w:val="20"/>
          <w:szCs w:val="20"/>
          <w:color w:val="auto"/>
        </w:rPr>
      </w:pPr>
    </w:p>
    <w:p>
      <w:pPr>
        <w:ind w:firstLine="428"/>
        <w:spacing w:after="0" w:line="273" w:lineRule="auto"/>
        <w:rPr>
          <w:sz w:val="20"/>
          <w:szCs w:val="20"/>
          <w:color w:val="auto"/>
        </w:rPr>
      </w:pPr>
      <w:r>
        <w:rPr>
          <w:rFonts w:ascii="Arial" w:cs="Arial" w:eastAsia="Arial" w:hAnsi="Arial"/>
          <w:sz w:val="17"/>
          <w:szCs w:val="17"/>
          <w:b w:val="1"/>
          <w:bCs w:val="1"/>
          <w:i w:val="1"/>
          <w:iCs w:val="1"/>
          <w:color w:val="auto"/>
        </w:rPr>
        <w:t xml:space="preserve">Financial Costs: </w:t>
      </w:r>
      <w:r>
        <w:rPr>
          <w:rFonts w:ascii="Arial" w:cs="Arial" w:eastAsia="Arial" w:hAnsi="Arial"/>
          <w:sz w:val="17"/>
          <w:szCs w:val="17"/>
          <w:color w:val="auto"/>
        </w:rPr>
        <w:t>Financial costs increased by $5.9 million, or 19.5%, from $30.2 million for the nine-month period ended September 30, 2016 to $36.1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million for the same period in 2017. The increase is mainly attributable to an increase of $7.9 million in interest expense on loans, partially offset by a decrease in amortization of loan fees of $1.9 million, mainly driven by a write-off of $2.4 million of unamortized loan fees associated with the </w:t>
      </w:r>
      <w:r>
        <w:rPr>
          <w:rFonts w:ascii="Arial" w:cs="Arial" w:eastAsia="Arial" w:hAnsi="Arial"/>
          <w:sz w:val="17"/>
          <w:szCs w:val="17"/>
          <w:i w:val="1"/>
          <w:iCs w:val="1"/>
          <w:color w:val="auto"/>
        </w:rPr>
        <w:t>GasLog Seattle</w:t>
      </w:r>
      <w:r>
        <w:rPr>
          <w:rFonts w:ascii="Arial" w:cs="Arial" w:eastAsia="Arial" w:hAnsi="Arial"/>
          <w:sz w:val="17"/>
          <w:szCs w:val="17"/>
          <w:color w:val="auto"/>
        </w:rPr>
        <w:t xml:space="preserve"> credit facility that was refinanced in July 2016. During the nine-month period ended September 30, 2016, we had an average of $972.8 million of outstanding indebtedness with a weighted average interest rate of 3.2%, compared to an average of $1,105.2 million of outstanding indebtedness with a weighted average interest rate of 3.7% during the nine-month period ended September 30, 2017.</w:t>
      </w:r>
    </w:p>
    <w:p>
      <w:pPr>
        <w:spacing w:after="0" w:line="178" w:lineRule="exact"/>
        <w:rPr>
          <w:sz w:val="20"/>
          <w:szCs w:val="20"/>
          <w:color w:val="auto"/>
        </w:rPr>
      </w:pPr>
    </w:p>
    <w:p>
      <w:pPr>
        <w:ind w:firstLine="428"/>
        <w:spacing w:after="0" w:line="257" w:lineRule="auto"/>
        <w:rPr>
          <w:sz w:val="20"/>
          <w:szCs w:val="20"/>
          <w:color w:val="auto"/>
        </w:rPr>
      </w:pPr>
      <w:r>
        <w:rPr>
          <w:rFonts w:ascii="Arial" w:cs="Arial" w:eastAsia="Arial" w:hAnsi="Arial"/>
          <w:sz w:val="18"/>
          <w:szCs w:val="18"/>
          <w:b w:val="1"/>
          <w:bCs w:val="1"/>
          <w:i w:val="1"/>
          <w:iCs w:val="1"/>
          <w:color w:val="auto"/>
        </w:rPr>
        <w:t xml:space="preserve">Loss on Interest Rate Swaps: </w:t>
      </w:r>
      <w:r>
        <w:rPr>
          <w:rFonts w:ascii="Arial" w:cs="Arial" w:eastAsia="Arial" w:hAnsi="Arial"/>
          <w:sz w:val="18"/>
          <w:szCs w:val="18"/>
          <w:color w:val="auto"/>
        </w:rPr>
        <w:t>Loss on interest rate swaps decreased by $3.1 million, or 50.8%, from $6.1 million for nine-month period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2016 to $3.0 million for the same period in 2017. The decrease is attributable to a decrease of $2.5 million in recycled loss that was reclassified from equity to the statement of profit or loss related to the interest rate swaps terminated in July 2016 and a decrease in loss of $1.1 million from mark-to-market valuation of our interest rate swaps carried at fair value through profit or loss, partially offset by an increase in realized loss from interest rate swaps held for trading of $0.5 million.</w:t>
      </w:r>
    </w:p>
    <w:p>
      <w:pPr>
        <w:spacing w:after="0" w:line="188" w:lineRule="exact"/>
        <w:rPr>
          <w:sz w:val="20"/>
          <w:szCs w:val="20"/>
          <w:color w:val="auto"/>
        </w:rPr>
      </w:pPr>
    </w:p>
    <w:p>
      <w:pPr>
        <w:ind w:right="320" w:firstLine="428"/>
        <w:spacing w:after="0" w:line="277" w:lineRule="auto"/>
        <w:rPr>
          <w:sz w:val="20"/>
          <w:szCs w:val="20"/>
          <w:color w:val="auto"/>
        </w:rPr>
      </w:pPr>
      <w:r>
        <w:rPr>
          <w:rFonts w:ascii="Arial" w:cs="Arial" w:eastAsia="Arial" w:hAnsi="Arial"/>
          <w:sz w:val="18"/>
          <w:szCs w:val="18"/>
          <w:b w:val="1"/>
          <w:bCs w:val="1"/>
          <w:i w:val="1"/>
          <w:iCs w:val="1"/>
          <w:color w:val="auto"/>
        </w:rPr>
        <w:t xml:space="preserve">Profit for the Period: </w:t>
      </w:r>
      <w:r>
        <w:rPr>
          <w:rFonts w:ascii="Arial" w:cs="Arial" w:eastAsia="Arial" w:hAnsi="Arial"/>
          <w:sz w:val="18"/>
          <w:szCs w:val="18"/>
          <w:color w:val="auto"/>
        </w:rPr>
        <w:t>Profit for the period increased by $18.0 million, or 30.8%, from $58.4 million for the nine-month period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to $76.4 million for the same period in 2017, as a result of the aforementioned factors.</w:t>
      </w:r>
    </w:p>
    <w:p>
      <w:pPr>
        <w:spacing w:after="0" w:line="170" w:lineRule="exact"/>
        <w:rPr>
          <w:sz w:val="20"/>
          <w:szCs w:val="20"/>
          <w:color w:val="auto"/>
        </w:rPr>
      </w:pPr>
    </w:p>
    <w:p>
      <w:pPr>
        <w:ind w:firstLine="428"/>
        <w:spacing w:after="0" w:line="277" w:lineRule="auto"/>
        <w:rPr>
          <w:sz w:val="20"/>
          <w:szCs w:val="20"/>
          <w:color w:val="auto"/>
        </w:rPr>
      </w:pPr>
      <w:r>
        <w:rPr>
          <w:rFonts w:ascii="Arial" w:cs="Arial" w:eastAsia="Arial" w:hAnsi="Arial"/>
          <w:sz w:val="18"/>
          <w:szCs w:val="18"/>
          <w:b w:val="1"/>
          <w:bCs w:val="1"/>
          <w:i w:val="1"/>
          <w:iCs w:val="1"/>
          <w:color w:val="auto"/>
        </w:rPr>
        <w:t xml:space="preserve">Profit attributable to the Partnership: </w:t>
      </w:r>
      <w:r>
        <w:rPr>
          <w:rFonts w:ascii="Arial" w:cs="Arial" w:eastAsia="Arial" w:hAnsi="Arial"/>
          <w:sz w:val="18"/>
          <w:szCs w:val="18"/>
          <w:color w:val="auto"/>
        </w:rPr>
        <w:t>Profit attributable to the Partnership increased by $13.3 million, or 25.4%, from $52.4 million for the nine-month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ended September 30, 2016 to $65.7 million for the nine-month period ended September 30,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 xml:space="preserve">The increase is mainly attributable to the profit from operations of the </w:t>
      </w:r>
      <w:r>
        <w:rPr>
          <w:rFonts w:ascii="Arial" w:cs="Arial" w:eastAsia="Arial" w:hAnsi="Arial"/>
          <w:sz w:val="17"/>
          <w:szCs w:val="17"/>
          <w:i w:val="1"/>
          <w:iCs w:val="1"/>
          <w:color w:val="auto"/>
        </w:rPr>
        <w:t>GasLog Seattle</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Greece</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Geneva</w:t>
      </w:r>
      <w:r>
        <w:rPr>
          <w:rFonts w:ascii="Arial" w:cs="Arial" w:eastAsia="Arial" w:hAnsi="Arial"/>
          <w:sz w:val="17"/>
          <w:szCs w:val="17"/>
          <w:color w:val="auto"/>
        </w:rPr>
        <w:t>, acquired by the Partnership on November 1, 2016, May 3, 2017 and July 3, 2017, respectively, which was partially offset by the interest expense with respect to the aggregate outstanding debt of the specified vessels as well as the loss on interest rate swaps for the nine months ended September 30, 2017.</w:t>
      </w:r>
    </w:p>
    <w:p>
      <w:pPr>
        <w:spacing w:after="0" w:line="166" w:lineRule="exact"/>
        <w:rPr>
          <w:sz w:val="20"/>
          <w:szCs w:val="20"/>
          <w:color w:val="auto"/>
        </w:rPr>
      </w:pPr>
    </w:p>
    <w:p>
      <w:pPr>
        <w:ind w:right="220" w:firstLine="428"/>
        <w:spacing w:after="0" w:line="293" w:lineRule="auto"/>
        <w:rPr>
          <w:sz w:val="20"/>
          <w:szCs w:val="20"/>
          <w:color w:val="auto"/>
        </w:rPr>
      </w:pPr>
      <w:r>
        <w:rPr>
          <w:rFonts w:ascii="Arial" w:cs="Arial" w:eastAsia="Arial" w:hAnsi="Arial"/>
          <w:sz w:val="16"/>
          <w:szCs w:val="16"/>
          <w:color w:val="auto"/>
        </w:rPr>
        <w:t xml:space="preserve">Specifically, the profit attributable to the Partnership was mainly affected by (a) an increase in revenues of $40.2 million contributed by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Seattle</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Greece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Geneva </w:t>
      </w:r>
      <w:r>
        <w:rPr>
          <w:rFonts w:ascii="Arial" w:cs="Arial" w:eastAsia="Arial" w:hAnsi="Arial"/>
          <w:sz w:val="16"/>
          <w:szCs w:val="16"/>
          <w:color w:val="auto"/>
        </w:rPr>
        <w:t>and a $2.2 million increase in revenues from the existing vessels (mainly attributable to the scheduled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dry-dockings in the nine-month period ended September 30, 2016), (b) an increase in operating expenses attributable to the Partnership of $6.9 million (the operating expenses of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in 2017 were partially offset by the decrease in operating expenses from the existing vessels of $0.7 million, mainly attributable to scheduled dry-dockings and planned repairs in 2016) and (c) an increase in depreciation expense attributable to the Partnership of $8.2 million, resulting from the acquisitions of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Geneva</w:t>
      </w:r>
      <w:r>
        <w:rPr>
          <w:rFonts w:ascii="Arial" w:cs="Arial" w:eastAsia="Arial" w:hAnsi="Arial"/>
          <w:sz w:val="16"/>
          <w:szCs w:val="16"/>
          <w:color w:val="auto"/>
        </w:rPr>
        <w: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addition, the profit attributable to the Partnership was further affected by (a) an increase in general and administrative expenses attributable to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Partnership of $1.7 million, from $8.4 million for the nine-month period ended September 30, 2016, to $10.1 million for the nine-month period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2017, which is primarily attributable to an increase in administrative fees, (b) an increase in financial costs attributable to the Partnership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$9.6 million, from $21.8 million for the nine-month period ended September 30, 2016, to $31.4 million for the nine-month period ended September 30, 2017,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mainly attributable to the interest expense of the aggregate outstanding debt of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after their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 dropdowns to the Partnership, and to a further increase of $2.2 million mainly attributable to the credit facility with GasLog and (c) an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loss on interest rate swaps attributable to the Partnership of $3.0 million, pursuant to the interest rate swap agreements entered into with GasLog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November 2016 and July 2017.</w:t>
      </w:r>
    </w:p>
    <w:p>
      <w:pPr>
        <w:spacing w:after="0" w:line="211" w:lineRule="exact"/>
        <w:rPr>
          <w:sz w:val="20"/>
          <w:szCs w:val="20"/>
          <w:color w:val="auto"/>
        </w:rPr>
      </w:pPr>
    </w:p>
    <w:p>
      <w:pPr>
        <w:jc w:val="both"/>
        <w:ind w:right="20" w:firstLine="428"/>
        <w:spacing w:after="0" w:line="279" w:lineRule="auto"/>
        <w:rPr>
          <w:sz w:val="20"/>
          <w:szCs w:val="20"/>
          <w:color w:val="auto"/>
        </w:rPr>
      </w:pPr>
      <w:r>
        <w:rPr>
          <w:rFonts w:ascii="Arial" w:cs="Arial" w:eastAsia="Arial" w:hAnsi="Arial"/>
          <w:sz w:val="17"/>
          <w:szCs w:val="17"/>
          <w:color w:val="auto"/>
        </w:rPr>
        <w:t>The above discussion of revenues, operating expenses, depreciation expense, general and administrative expenses and net financial costs attributable to the Partnership for the nine-month period ended September 30, 2016, are non-GAAP measures that exclude amounts related to vessels currently owned by the Partnership for the periods prior to their respective transfer to GasLog Partners from GasLog. For a reconciliation of the results attributable to the Partnership to the most directly comparable IFRS reported results, refer to Appendix A included elsewhere in this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We operate in a capital-intensive industry and we expect to finance the purchase of additional vessels and other capital expenditures through a combination of borrowings from commercial banks, cash generated from operations and debt and equity financings. In addition to paying distributions, our other liquidity requirements relate to servicing our debt, funding investments, funding working capital and maintaining cash reserves against fluctuations in operating cash flows. Our funding and treasury activities are intended to maximize investment returns while maintaining appropriate liquidity and complying with our financial covenants under our debt facilities.</w:t>
      </w:r>
    </w:p>
    <w:p>
      <w:pPr>
        <w:spacing w:after="0" w:line="188"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As of September 30, 2017, we had $192.6 million of cash and cash equivalents, of which $78.0 million was held in current accounts and $114.6 million was held in time deposits.</w:t>
      </w:r>
    </w:p>
    <w:p>
      <w:pPr>
        <w:spacing w:after="0" w:line="170"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As of September 30, 2017, we had an aggregate of $1,049.1 million of indebtedness outstanding under our credit facilities, of which $96.1 million is repayable within one year. In addition, we had unused availability under our revolving credit facilities of $42.9 million.</w:t>
      </w:r>
    </w:p>
    <w:p>
      <w:pPr>
        <w:spacing w:after="0" w:line="170" w:lineRule="exact"/>
        <w:rPr>
          <w:sz w:val="20"/>
          <w:szCs w:val="20"/>
          <w:color w:val="auto"/>
        </w:rPr>
      </w:pPr>
    </w:p>
    <w:p>
      <w:pPr>
        <w:ind w:right="420" w:firstLine="510"/>
        <w:spacing w:after="0" w:line="342" w:lineRule="auto"/>
        <w:rPr>
          <w:sz w:val="20"/>
          <w:szCs w:val="20"/>
          <w:color w:val="auto"/>
        </w:rPr>
      </w:pPr>
      <w:r>
        <w:rPr>
          <w:rFonts w:ascii="Arial" w:cs="Arial" w:eastAsia="Arial" w:hAnsi="Arial"/>
          <w:sz w:val="16"/>
          <w:szCs w:val="16"/>
          <w:color w:val="auto"/>
        </w:rPr>
        <w:t>On April 3, 2017, the Partnership signed a deed of termination with respect to its revolving credit facility with GasLog. On the same date, the Partnership entered into a new unsecured five-year term loan of $45.0 million and a new five-year revolving credit facility of $30.0 million with GasLog</w:t>
      </w:r>
    </w:p>
    <w:p>
      <w:pPr>
        <w:sectPr>
          <w:pgSz w:w="11900" w:h="16908" w:orient="portrait"/>
          <w:cols w:equalWidth="0" w:num="1">
            <w:col w:w="11420"/>
          </w:cols>
          <w:pgMar w:left="240" w:top="125" w:right="239" w:bottom="0" w:gutter="0" w:footer="0" w:header="0"/>
        </w:sectPr>
      </w:pPr>
    </w:p>
    <w:bookmarkStart w:id="18" w:name="page19"/>
    <w:bookmarkEnd w:id="18"/>
    <w:p>
      <w:pPr>
        <w:ind w:right="280"/>
        <w:spacing w:after="0" w:line="276" w:lineRule="auto"/>
        <w:rPr>
          <w:sz w:val="20"/>
          <w:szCs w:val="20"/>
          <w:color w:val="auto"/>
        </w:rPr>
      </w:pPr>
      <w:r>
        <w:rPr>
          <w:rFonts w:ascii="Arial" w:cs="Arial" w:eastAsia="Arial" w:hAnsi="Arial"/>
          <w:sz w:val="17"/>
          <w:szCs w:val="17"/>
          <w:color w:val="auto"/>
        </w:rPr>
        <w:t>(together, the “New Sponsor Credit Facility”). On April 5, 2017, an amount of $45.0 million under the term loan facility and an amount of $15.0 million under the revolving credit facility were drawn by the Partnership and were used on the same date to prepay $60.1 million of the outstanding debt of GAS-nineteen Ltd., GAS-twenty Ltd. and GAS-twenty one Ltd. under the junior tranche of the credit agreement that subsidiaries of the Partnership and GasLog entered into on February 18, 2016 (the “Five Vessel Refinancing”), which would have been originally due in April 2018. The outstanding amount of $15.0 million under the revolving credit facility was repaid by the Partnership on May 22, 2017.</w:t>
      </w:r>
    </w:p>
    <w:p>
      <w:pPr>
        <w:spacing w:after="0" w:line="173" w:lineRule="exact"/>
        <w:rPr>
          <w:sz w:val="20"/>
          <w:szCs w:val="20"/>
          <w:color w:val="auto"/>
        </w:rPr>
      </w:pPr>
    </w:p>
    <w:p>
      <w:pPr>
        <w:jc w:val="both"/>
        <w:ind w:right="180" w:firstLine="510"/>
        <w:spacing w:after="0" w:line="259" w:lineRule="auto"/>
        <w:rPr>
          <w:sz w:val="20"/>
          <w:szCs w:val="20"/>
          <w:color w:val="auto"/>
        </w:rPr>
      </w:pPr>
      <w:r>
        <w:rPr>
          <w:rFonts w:ascii="Arial" w:cs="Arial" w:eastAsia="Arial" w:hAnsi="Arial"/>
          <w:sz w:val="18"/>
          <w:szCs w:val="18"/>
          <w:color w:val="auto"/>
        </w:rPr>
        <w:t xml:space="preserve">On May 3, 2017, in connection with the acquisition of GAS-eleven Ltd., the entity that owns the </w:t>
      </w:r>
      <w:r>
        <w:rPr>
          <w:rFonts w:ascii="Arial" w:cs="Arial" w:eastAsia="Arial" w:hAnsi="Arial"/>
          <w:sz w:val="18"/>
          <w:szCs w:val="18"/>
          <w:i w:val="1"/>
          <w:iCs w:val="1"/>
          <w:color w:val="auto"/>
        </w:rPr>
        <w:t>GasLog Greece</w:t>
      </w:r>
      <w:r>
        <w:rPr>
          <w:rFonts w:ascii="Arial" w:cs="Arial" w:eastAsia="Arial" w:hAnsi="Arial"/>
          <w:sz w:val="18"/>
          <w:szCs w:val="18"/>
          <w:color w:val="auto"/>
        </w:rPr>
        <w:t>, the Partnership paid GasLog $66.6 million representing the difference between the $219.0 million aggregate purchase price and the $151.4 million of outstanding indebtedness of the acquired entity assumed by GasLog Partners less an adjustment of $1.0 million in order to maintain the agreed working capital position in the acquired entity of $1.0 million.</w:t>
      </w:r>
    </w:p>
    <w:p>
      <w:pPr>
        <w:spacing w:after="0" w:line="187"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 xml:space="preserve">On July 3, 2017, in connection with the acquisition of GAS-thirteen Ltd., the entity that owns the </w:t>
      </w:r>
      <w:r>
        <w:rPr>
          <w:rFonts w:ascii="Arial" w:cs="Arial" w:eastAsia="Arial" w:hAnsi="Arial"/>
          <w:sz w:val="18"/>
          <w:szCs w:val="18"/>
          <w:i w:val="1"/>
          <w:iCs w:val="1"/>
          <w:color w:val="auto"/>
        </w:rPr>
        <w:t>GasLog Geneva</w:t>
      </w:r>
      <w:r>
        <w:rPr>
          <w:rFonts w:ascii="Arial" w:cs="Arial" w:eastAsia="Arial" w:hAnsi="Arial"/>
          <w:sz w:val="18"/>
          <w:szCs w:val="18"/>
          <w:color w:val="auto"/>
        </w:rPr>
        <w:t>, the Partnership paid GasLog $54.9 million representing the difference between the $211.0 million aggregate purchase price and the $155.0 million of outstanding indebtedness of the acquired entity assumed by GasLog Partners less an adjustment of $1.1 million in order to maintain the agreed working capital position in the acquired entity of $1.0 million.</w:t>
      </w:r>
    </w:p>
    <w:p>
      <w:pPr>
        <w:spacing w:after="0" w:line="187" w:lineRule="exact"/>
        <w:rPr>
          <w:sz w:val="20"/>
          <w:szCs w:val="20"/>
          <w:color w:val="auto"/>
        </w:rPr>
      </w:pPr>
    </w:p>
    <w:p>
      <w:pPr>
        <w:ind w:firstLine="510"/>
        <w:spacing w:after="0" w:line="312" w:lineRule="auto"/>
        <w:rPr>
          <w:sz w:val="20"/>
          <w:szCs w:val="20"/>
          <w:color w:val="auto"/>
        </w:rPr>
      </w:pPr>
      <w:r>
        <w:rPr>
          <w:rFonts w:ascii="Arial" w:cs="Arial" w:eastAsia="Arial" w:hAnsi="Arial"/>
          <w:sz w:val="16"/>
          <w:szCs w:val="16"/>
          <w:color w:val="auto"/>
        </w:rPr>
        <w:t xml:space="preserve">On October 20, 2017, in connection with the acquisition of GAS-eight Ltd., the entity that owns the </w:t>
      </w:r>
      <w:r>
        <w:rPr>
          <w:rFonts w:ascii="Arial" w:cs="Arial" w:eastAsia="Arial" w:hAnsi="Arial"/>
          <w:sz w:val="16"/>
          <w:szCs w:val="16"/>
          <w:i w:val="1"/>
          <w:iCs w:val="1"/>
          <w:color w:val="auto"/>
        </w:rPr>
        <w:t>Solaris</w:t>
      </w:r>
      <w:r>
        <w:rPr>
          <w:rFonts w:ascii="Arial" w:cs="Arial" w:eastAsia="Arial" w:hAnsi="Arial"/>
          <w:sz w:val="16"/>
          <w:szCs w:val="16"/>
          <w:color w:val="auto"/>
        </w:rPr>
        <w:t>, the Partnership paid GasLog $70.6 million representing the difference between the $185.9 million aggregate purchase price and the $116.5 million of outstanding indebtedness of the acquired entity assumed by GasLog Partners less an adjustment of $1.2 million in order to maintain the agreed working capital position in the acquired entity of $1.0 million.</w:t>
      </w:r>
    </w:p>
    <w:p>
      <w:pPr>
        <w:spacing w:after="0" w:line="14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In connection with the acquisitions of GAS-eleven Ltd. on May 3, 2017 and GAS-thirteen Ltd. on July 3, 2017, the Partnership assumed $151.4 million and $155.0 million of outstanding indebtedness of the respective acquired entities under a debt financing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agreement dated October 16, 2015 with 14 international banks, with Citibank N.A. London Branch and Nordea Bank AB, London Branch acting as agents on behalf of the other finance parties. The financing was partially backed by the Export Import Bank of Korea (“KEXIM”) and the Korea Trade Insurance Corporation (“K-Sure”), who were either directly lending or providing cover for over 60% of the facility.</w:t>
      </w:r>
    </w:p>
    <w:p>
      <w:pPr>
        <w:spacing w:after="0" w:line="181"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 xml:space="preserve">The loan agreement with respect to the </w:t>
      </w:r>
      <w:r>
        <w:rPr>
          <w:rFonts w:ascii="Arial" w:cs="Arial" w:eastAsia="Arial" w:hAnsi="Arial"/>
          <w:sz w:val="17"/>
          <w:szCs w:val="17"/>
          <w:i w:val="1"/>
          <w:iCs w:val="1"/>
          <w:color w:val="auto"/>
        </w:rPr>
        <w:t>GasLog Greece</w:t>
      </w:r>
      <w:r>
        <w:rPr>
          <w:rFonts w:ascii="Arial" w:cs="Arial" w:eastAsia="Arial" w:hAnsi="Arial"/>
          <w:sz w:val="17"/>
          <w:szCs w:val="17"/>
          <w:color w:val="auto"/>
        </w:rPr>
        <w:t xml:space="preserve"> provided for four tranches of $51.3 million, $25.6 million, $25.0 million and $61.1 million, while the loan agreement with respect to the </w:t>
      </w:r>
      <w:r>
        <w:rPr>
          <w:rFonts w:ascii="Arial" w:cs="Arial" w:eastAsia="Arial" w:hAnsi="Arial"/>
          <w:sz w:val="17"/>
          <w:szCs w:val="17"/>
          <w:i w:val="1"/>
          <w:iCs w:val="1"/>
          <w:color w:val="auto"/>
        </w:rPr>
        <w:t>GasLog Geneva</w:t>
      </w:r>
      <w:r>
        <w:rPr>
          <w:rFonts w:ascii="Arial" w:cs="Arial" w:eastAsia="Arial" w:hAnsi="Arial"/>
          <w:sz w:val="17"/>
          <w:szCs w:val="17"/>
          <w:color w:val="auto"/>
        </w:rPr>
        <w:t xml:space="preserve"> provided for four tranches of $50.5 million, $25.3 million, $24.6 million and $60.3 million. Under the terms of the agreement, each drawing under the first three tranches would be repaid in 24 consecutive semi-annual equal installments commencing six months after the actual deliveries of the </w:t>
      </w:r>
      <w:r>
        <w:rPr>
          <w:rFonts w:ascii="Arial" w:cs="Arial" w:eastAsia="Arial" w:hAnsi="Arial"/>
          <w:sz w:val="17"/>
          <w:szCs w:val="17"/>
          <w:i w:val="1"/>
          <w:iCs w:val="1"/>
          <w:color w:val="auto"/>
        </w:rPr>
        <w:t>GasLog Greece</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Geneva</w:t>
      </w:r>
      <w:r>
        <w:rPr>
          <w:rFonts w:ascii="Arial" w:cs="Arial" w:eastAsia="Arial" w:hAnsi="Arial"/>
          <w:sz w:val="17"/>
          <w:szCs w:val="17"/>
          <w:color w:val="auto"/>
        </w:rPr>
        <w:t xml:space="preserve"> according to a 12-year profile. Each drawing under the fourth tranche would be repaid in 20 consecutive semi-annual equal installments commencing six months after the actual deliveries of the relevant vessels according to a 20-year profile, with a balloon payment together with the final installment. On March 22, 2016, $163.0 million was drawn down to partially finance the delivery of the </w:t>
      </w:r>
      <w:r>
        <w:rPr>
          <w:rFonts w:ascii="Arial" w:cs="Arial" w:eastAsia="Arial" w:hAnsi="Arial"/>
          <w:sz w:val="17"/>
          <w:szCs w:val="17"/>
          <w:i w:val="1"/>
          <w:iCs w:val="1"/>
          <w:color w:val="auto"/>
        </w:rPr>
        <w:t>GasLog Greece</w:t>
      </w:r>
      <w:r>
        <w:rPr>
          <w:rFonts w:ascii="Arial" w:cs="Arial" w:eastAsia="Arial" w:hAnsi="Arial"/>
          <w:sz w:val="17"/>
          <w:szCs w:val="17"/>
          <w:color w:val="auto"/>
        </w:rPr>
        <w:t xml:space="preserve"> and on September 26, 2016, $160.7 million was drawn down to partially finance the delivery of the </w:t>
      </w:r>
      <w:r>
        <w:rPr>
          <w:rFonts w:ascii="Arial" w:cs="Arial" w:eastAsia="Arial" w:hAnsi="Arial"/>
          <w:sz w:val="17"/>
          <w:szCs w:val="17"/>
          <w:i w:val="1"/>
          <w:iCs w:val="1"/>
          <w:color w:val="auto"/>
        </w:rPr>
        <w:t>GasLog Geneva</w:t>
      </w:r>
      <w:r>
        <w:rPr>
          <w:rFonts w:ascii="Arial" w:cs="Arial" w:eastAsia="Arial" w:hAnsi="Arial"/>
          <w:sz w:val="17"/>
          <w:szCs w:val="17"/>
          <w:color w:val="auto"/>
        </w:rPr>
        <w:t>. Amounts drawn under each applicable tranche bear interest at London Interbank Offered Rate (“LIBOR”) plus a margin.</w:t>
      </w:r>
    </w:p>
    <w:p>
      <w:pPr>
        <w:spacing w:after="0" w:line="179"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Post quarter-end, in connection with the acquisition of GAS-eight Ltd. on October 20, 2017, the Partnership assumed $116.5 million of outstanding indebtedness of the acquired entity under a credit agreement dated July 19, 2016 with Nordea Bank AB, London Branch as agent and security agent. Citigroup Global Market Limited, Credit Suisse AG, Nordea Bank AB, London Branch, Skandinaviska Enskilda Banken AB (publ), HSBC Bank plc, ING Bank N.V., London Branch, Danmarks Skibskredit A/S and The Korea Development Bank are mandated lead arrangers to the transaction with DVB Bank America N.V. as arranger. On July 25, 2016, the available amount of $124.1 million under the term loan facility was drawn to refinance the aggregate existing indebtedness of GAS-eight Ltd., repayable in ten semi-annual installments of $3.8 million each and a balloon payment of $86.0 million due together with the last installment in July 2021. The amount available under the revolving credit facility of $13.1 million can be drawn at any time until December 31, 2020. Amounts drawn bear interest at LIBOR plus a margin.</w:t>
      </w:r>
    </w:p>
    <w:p>
      <w:pPr>
        <w:spacing w:after="0" w:line="179"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 xml:space="preserve">The obligations under each of the aforementioned facilities are secured by a first priority mortgage over the respective vessel, a pledge of the share capital of the respective vessel owning company and a first priority assignment of earnings related to the respective vessel, including charter revenue, management revenue and any insurance and requisition compensation. Obligations under the facilities are guaranteed by GasLog, with the Partnership and its subsidiary GasLog Partners Holdings LLC guaranteeing up to the value of the commitments relating to the </w:t>
      </w:r>
      <w:r>
        <w:rPr>
          <w:rFonts w:ascii="Arial" w:cs="Arial" w:eastAsia="Arial" w:hAnsi="Arial"/>
          <w:sz w:val="17"/>
          <w:szCs w:val="17"/>
          <w:i w:val="1"/>
          <w:iCs w:val="1"/>
          <w:color w:val="auto"/>
        </w:rPr>
        <w:t>GasLog Greece</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Geneva</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Solaris</w:t>
      </w:r>
      <w:r>
        <w:rPr>
          <w:rFonts w:ascii="Arial" w:cs="Arial" w:eastAsia="Arial" w:hAnsi="Arial"/>
          <w:sz w:val="17"/>
          <w:szCs w:val="17"/>
          <w:color w:val="auto"/>
        </w:rPr>
        <w:t>. The facilities include customary restrictive covenants and, among other restrictions, the facilities include a fair market value covenant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which an event of default could occur under the relevant facility if the aggregate fair market values of the collateral vessels (without taking into account any charter arrangements) were to fall (i) below 115.0% of the aggregate outstanding principal balances for the first two years after each drawdown and below 120% at any time thereafter, with respect to the GAS-eleven Ltd. and GAS-thirteen Ltd. facility, and (ii) below 120.0% of the aggregate outstanding principal balance with respect to the GAS-eight Ltd. facility.</w:t>
      </w:r>
    </w:p>
    <w:p>
      <w:pPr>
        <w:spacing w:after="0" w:line="182"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GasLog, as corporate guarantor for the aforementioned facilities, is also subject to specified financial covenants on a consolidated basis. The financial covenants include the following:</w:t>
      </w:r>
    </w:p>
    <w:p>
      <w:pPr>
        <w:spacing w:after="0" w:line="170" w:lineRule="exact"/>
        <w:rPr>
          <w:sz w:val="20"/>
          <w:szCs w:val="20"/>
          <w:color w:val="auto"/>
        </w:rPr>
      </w:pPr>
    </w:p>
    <w:p>
      <w:pPr>
        <w:ind w:left="340" w:hanging="289"/>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3" w:lineRule="exact"/>
        <w:rPr>
          <w:rFonts w:ascii="Arial" w:cs="Arial" w:eastAsia="Arial" w:hAnsi="Arial"/>
          <w:sz w:val="18"/>
          <w:szCs w:val="18"/>
          <w:color w:val="auto"/>
        </w:rPr>
      </w:pPr>
    </w:p>
    <w:p>
      <w:pPr>
        <w:ind w:left="340" w:hanging="289"/>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9" w:lineRule="exact"/>
        <w:rPr>
          <w:rFonts w:ascii="Arial" w:cs="Arial" w:eastAsia="Arial" w:hAnsi="Arial"/>
          <w:sz w:val="18"/>
          <w:szCs w:val="18"/>
          <w:color w:val="auto"/>
        </w:rPr>
      </w:pPr>
    </w:p>
    <w:p>
      <w:pPr>
        <w:ind w:left="380" w:right="540" w:hanging="329"/>
        <w:spacing w:after="0" w:line="250" w:lineRule="auto"/>
        <w:tabs>
          <w:tab w:leader="none" w:pos="3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(including interest and debt repayments) on a trailing twelve months basis must be not less than 110.0%;</w:t>
      </w:r>
    </w:p>
    <w:p>
      <w:pPr>
        <w:ind w:left="380" w:right="40" w:hanging="329"/>
        <w:spacing w:after="0" w:line="250" w:lineRule="auto"/>
        <w:tabs>
          <w:tab w:leader="none" w:pos="3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3.0% of total indebtedness or $50.0 million after the first drawdown;</w:t>
      </w:r>
    </w:p>
    <w:p>
      <w:pPr>
        <w:ind w:left="380" w:right="400" w:hanging="329"/>
        <w:spacing w:after="0" w:line="265" w:lineRule="auto"/>
        <w:tabs>
          <w:tab w:leader="none" w:pos="344" w:val="left"/>
        </w:tabs>
        <w:numPr>
          <w:ilvl w:val="0"/>
          <w:numId w:val="13"/>
        </w:numPr>
        <w:rPr>
          <w:rFonts w:ascii="Arial" w:cs="Arial" w:eastAsia="Arial" w:hAnsi="Arial"/>
          <w:sz w:val="17"/>
          <w:szCs w:val="17"/>
          <w:color w:val="auto"/>
        </w:rPr>
      </w:pPr>
      <w:r>
        <w:rPr>
          <w:rFonts w:ascii="Arial" w:cs="Arial" w:eastAsia="Arial" w:hAnsi="Arial"/>
          <w:sz w:val="17"/>
          <w:szCs w:val="17"/>
          <w:color w:val="auto"/>
        </w:rPr>
        <w:t>GasLog is permitted to pay dividends, provided that it holds unencumbered cash and cash equivalents equal to at least 4.0% of its total indebtedness subject to no event of default having occurred or occurring as a consequence of the payment of such dividends; and</w:t>
      </w:r>
    </w:p>
    <w:p>
      <w:pPr>
        <w:ind w:left="340" w:hanging="289"/>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market value adjusted net worth of GasLog must at all times be not less than $350.0 million.</w:t>
      </w:r>
    </w:p>
    <w:p>
      <w:pPr>
        <w:spacing w:after="0" w:line="211" w:lineRule="exact"/>
        <w:rPr>
          <w:sz w:val="20"/>
          <w:szCs w:val="20"/>
          <w:color w:val="auto"/>
        </w:rPr>
      </w:pPr>
    </w:p>
    <w:p>
      <w:pPr>
        <w:ind w:right="440" w:firstLine="405"/>
        <w:spacing w:after="0" w:line="308" w:lineRule="auto"/>
        <w:rPr>
          <w:sz w:val="20"/>
          <w:szCs w:val="20"/>
          <w:color w:val="auto"/>
        </w:rPr>
      </w:pPr>
      <w:r>
        <w:rPr>
          <w:rFonts w:ascii="Arial" w:cs="Arial" w:eastAsia="Arial" w:hAnsi="Arial"/>
          <w:sz w:val="17"/>
          <w:szCs w:val="17"/>
          <w:color w:val="auto"/>
        </w:rPr>
        <w:t xml:space="preserve">Any failure by GasLog to comply with these financial covenants would permit the lenders under this credit facility to exercise remedies as secured creditors which, if such a default was to occur, could include foreclosing on the </w:t>
      </w:r>
      <w:r>
        <w:rPr>
          <w:rFonts w:ascii="Arial" w:cs="Arial" w:eastAsia="Arial" w:hAnsi="Arial"/>
          <w:sz w:val="17"/>
          <w:szCs w:val="17"/>
          <w:i w:val="1"/>
          <w:iCs w:val="1"/>
          <w:color w:val="auto"/>
        </w:rPr>
        <w:t>GasLog Greece,</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Geneva</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Solaris</w:t>
      </w:r>
      <w:r>
        <w:rPr>
          <w:rFonts w:ascii="Arial" w:cs="Arial" w:eastAsia="Arial" w:hAnsi="Arial"/>
          <w:sz w:val="17"/>
          <w:szCs w:val="17"/>
          <w:color w:val="auto"/>
        </w:rPr>
        <w:t>.</w:t>
      </w:r>
    </w:p>
    <w:p>
      <w:pPr>
        <w:sectPr>
          <w:pgSz w:w="11900" w:h="16838" w:orient="portrait"/>
          <w:cols w:equalWidth="0" w:num="1">
            <w:col w:w="11420"/>
          </w:cols>
          <w:pgMar w:left="240" w:top="125" w:right="239" w:bottom="21" w:gutter="0" w:footer="0" w:header="0"/>
        </w:sectPr>
      </w:pPr>
    </w:p>
    <w:bookmarkStart w:id="19" w:name="page20"/>
    <w:bookmarkEnd w:id="19"/>
    <w:p>
      <w:pPr>
        <w:spacing w:after="0" w:line="5"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The credit facilities also impose certain restrictions on GasLog, including restrictions that limit its ability to make any substantial change in the nature of its business or to engage in transactions that would constitute a change of control, as defined in the relevant credit facilities, without repaying all of its indebtedness in full, or to allow its largest shareholders to reduce their shareholding in GasLog below specified thresholds.</w:t>
      </w:r>
    </w:p>
    <w:p>
      <w:pPr>
        <w:spacing w:after="0" w:line="166" w:lineRule="exact"/>
        <w:rPr>
          <w:sz w:val="20"/>
          <w:szCs w:val="20"/>
          <w:color w:val="auto"/>
        </w:rPr>
      </w:pPr>
    </w:p>
    <w:p>
      <w:pPr>
        <w:ind w:right="100" w:firstLine="510"/>
        <w:spacing w:after="0" w:line="264" w:lineRule="auto"/>
        <w:rPr>
          <w:sz w:val="20"/>
          <w:szCs w:val="20"/>
          <w:color w:val="auto"/>
        </w:rPr>
      </w:pPr>
      <w:r>
        <w:rPr>
          <w:rFonts w:ascii="Arial" w:cs="Arial" w:eastAsia="Arial" w:hAnsi="Arial"/>
          <w:sz w:val="18"/>
          <w:szCs w:val="18"/>
          <w:color w:val="auto"/>
        </w:rPr>
        <w:t>The Partnership has entered into four interest rate swap agreements with GasLog at a notional value of $470.0 million in aggregate, maturing between 2020 and 2022. As of September 30, 2017, the Partnership had hedged 44.1% of its floating interest rate exposure on its outstanding debt at a weighted average interest rate of approximately 1.8% (excluding margin).</w:t>
      </w:r>
    </w:p>
    <w:p>
      <w:pPr>
        <w:spacing w:after="0" w:line="181"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is expected to carry out a scheduled dry-docking during the fourth quarter of 2017. Furthermore, 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the </w:t>
      </w:r>
      <w:r>
        <w:rPr>
          <w:rFonts w:ascii="Arial" w:cs="Arial" w:eastAsia="Arial" w:hAnsi="Arial"/>
          <w:sz w:val="18"/>
          <w:szCs w:val="18"/>
          <w:i w:val="1"/>
          <w:iCs w:val="1"/>
          <w:color w:val="auto"/>
        </w:rPr>
        <w:t xml:space="preserve">GasLog Sydney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GasLog Seattle </w:t>
      </w:r>
      <w:r>
        <w:rPr>
          <w:rFonts w:ascii="Arial" w:cs="Arial" w:eastAsia="Arial" w:hAnsi="Arial"/>
          <w:sz w:val="18"/>
          <w:szCs w:val="18"/>
          <w:color w:val="auto"/>
        </w:rPr>
        <w:t>are expected to carry out scheduled dry-dockings during the first, second and fourth quarters of 2018, respectively.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to the normal cost of the scheduled dry-dockings for which provisions are made through our dry-docking reserves in our Distributable cash flow calculations, we plan to make certain investments in two of the vessels (with scheduled dry-dockings in 2018) with the aim of enhancing their operational performance at a total cost of approximately $28 million, which is expected to be capitalized as part of the respective vessel’s cost. Of the total cost of approximately $28 million, approximately $2 million has already been paid. As a result of the additional work required, we expect the dry-dockings for these two vessels to last somewhat longer than would normally be the case. The additional time required for such work is expected to be around 10 days but this is yet to be finally verified.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Position</w:t>
      </w:r>
    </w:p>
    <w:p>
      <w:pPr>
        <w:spacing w:after="0" w:line="229"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As of September 30, 2017, our current assets totaled $199.9 million and current liabilities totaled $134.5 million, resulting in a positive working capital position of $65.4 million.</w:t>
      </w:r>
    </w:p>
    <w:p>
      <w:pPr>
        <w:spacing w:after="0" w:line="170"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Taking into account generally expected market conditions, we anticipate that cash flow generated from operations will be sufficient to fund our operations, including our working capital requirements, and to make the required principal and interest payments on our indebtedness during the next twelve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Nine-month period ended September 30, 2016 compared to the nine-month period ended September 30, 2017</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net cash flows from operating, investing and financing activities for the periods indicated:</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618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 thousands of U.S. dollars)</w:t>
            </w:r>
          </w:p>
        </w:tc>
        <w:tc>
          <w:tcPr>
            <w:tcW w:w="4080" w:type="dxa"/>
            <w:vAlign w:val="bottom"/>
            <w:gridSpan w:val="3"/>
          </w:tcPr>
          <w:p>
            <w:pPr>
              <w:jc w:val="right"/>
              <w:ind w:right="1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6180" w:type="dxa"/>
            <w:vAlign w:val="bottom"/>
            <w:gridSpan w:val="3"/>
            <w:vMerge w:val="continue"/>
          </w:tcPr>
          <w:p>
            <w:pPr>
              <w:spacing w:after="0"/>
              <w:rPr>
                <w:sz w:val="12"/>
                <w:szCs w:val="12"/>
                <w:color w:val="auto"/>
              </w:rPr>
            </w:pPr>
          </w:p>
        </w:tc>
        <w:tc>
          <w:tcPr>
            <w:tcW w:w="2140" w:type="dxa"/>
            <w:vAlign w:val="bottom"/>
            <w:tcBorders>
              <w:top w:val="single" w:sz="8" w:color="auto"/>
            </w:tcBorders>
          </w:tcPr>
          <w:p>
            <w:pPr>
              <w:jc w:val="right"/>
              <w:ind w:right="557"/>
              <w:spacing w:after="0" w:line="142" w:lineRule="exact"/>
              <w:rPr>
                <w:sz w:val="20"/>
                <w:szCs w:val="20"/>
                <w:color w:val="auto"/>
              </w:rPr>
            </w:pPr>
            <w:r>
              <w:rPr>
                <w:rFonts w:ascii="Arial" w:cs="Arial" w:eastAsia="Arial" w:hAnsi="Arial"/>
                <w:sz w:val="14"/>
                <w:szCs w:val="14"/>
                <w:b w:val="1"/>
                <w:bCs w:val="1"/>
                <w:color w:val="auto"/>
              </w:rPr>
              <w:t>September 30, 2016</w:t>
            </w:r>
          </w:p>
        </w:tc>
        <w:tc>
          <w:tcPr>
            <w:tcW w:w="178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September 30, 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14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14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131,477</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Net cash (used in)/provided by investing activities</w:t>
            </w:r>
          </w:p>
        </w:tc>
        <w:tc>
          <w:tcPr>
            <w:tcW w:w="2140" w:type="dxa"/>
            <w:vAlign w:val="bottom"/>
          </w:tcPr>
          <w:p>
            <w:pPr>
              <w:jc w:val="right"/>
              <w:ind w:right="177"/>
              <w:spacing w:after="0"/>
              <w:rPr>
                <w:sz w:val="20"/>
                <w:szCs w:val="20"/>
                <w:color w:val="auto"/>
              </w:rPr>
            </w:pPr>
            <w:r>
              <w:rPr>
                <w:rFonts w:ascii="Arial" w:cs="Arial" w:eastAsia="Arial" w:hAnsi="Arial"/>
                <w:sz w:val="18"/>
                <w:szCs w:val="18"/>
                <w:color w:val="auto"/>
              </w:rPr>
              <w:t>(333,419)</w:t>
            </w: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3,297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14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258,680</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9,281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225" w:lineRule="exact"/>
        <w:rPr>
          <w:sz w:val="20"/>
          <w:szCs w:val="20"/>
          <w:color w:val="auto"/>
        </w:rPr>
      </w:pPr>
    </w:p>
    <w:p>
      <w:pPr>
        <w:ind w:right="60" w:firstLine="428"/>
        <w:spacing w:after="0" w:line="279" w:lineRule="auto"/>
        <w:rPr>
          <w:sz w:val="20"/>
          <w:szCs w:val="20"/>
          <w:color w:val="auto"/>
        </w:rPr>
      </w:pPr>
      <w:r>
        <w:rPr>
          <w:rFonts w:ascii="Arial" w:cs="Arial" w:eastAsia="Arial" w:hAnsi="Arial"/>
          <w:sz w:val="17"/>
          <w:szCs w:val="17"/>
          <w:color w:val="auto"/>
        </w:rPr>
        <w:t>Net cash provided by operating activities decreased by $7.3 million, from $131.5 million in the nine-month period ended September 30, 2016 to $124.2 million in the nine-month period ended September 30, 2017. The decrease of $7.3 million is mainly attributable to a decrease of $19.5 million caused by movements in working capital accounts, an increase of $13.6 million in cash paid for interest, an increase of $4.1 million in vessel operating costs and an increase of $1.2 million in general and administrative expenses, partially offset by an increase of $31.5 million in revenues.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in)/provided by Investing Activities: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Net cash used in investing activities decreased by $336.7 million, from cash used in investing activities of $333.4 million in the nine-month period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ended September 30, 2016 to cash provided by investing activities of $3.3 million in the nine-month period ended September 30, 2017. The decrease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$336.7 million is attributable to a decrease of $331.7 million in payments for vessels (mainly due to the amounts paid in connection with the deliveries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GasLog Greece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Geneva </w:t>
      </w:r>
      <w:r>
        <w:rPr>
          <w:rFonts w:ascii="Arial" w:cs="Arial" w:eastAsia="Arial" w:hAnsi="Arial"/>
          <w:sz w:val="16"/>
          <w:szCs w:val="16"/>
          <w:color w:val="auto"/>
        </w:rPr>
        <w:t>in the nine months ended September 30, 2016), an increase in net cash from short-term investments of $4.5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an increase in financial income of $0.5 million in the nine-month period ended September 30, 2017 compared to the same period in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ind w:right="60" w:firstLine="428"/>
        <w:spacing w:after="0" w:line="293" w:lineRule="auto"/>
        <w:rPr>
          <w:sz w:val="20"/>
          <w:szCs w:val="20"/>
          <w:color w:val="auto"/>
        </w:rPr>
      </w:pPr>
      <w:r>
        <w:rPr>
          <w:rFonts w:ascii="Arial" w:cs="Arial" w:eastAsia="Arial" w:hAnsi="Arial"/>
          <w:sz w:val="16"/>
          <w:szCs w:val="16"/>
          <w:color w:val="auto"/>
        </w:rPr>
        <w:t xml:space="preserve">Net cash provided by financing activities decreased by $249.4 million, from $258.7 million in the nine-month period ended September 30, 2016 to $9.3 million in the nine-month period ended September 30, 2017. The decrease of $249.4 million is attributable to a decrease in bank loan drawdowns of $692.7 million, cash remittances to GasLog in exchange for the acquisition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in 2017 of $121.6 million and an increase in distributions paid of $16.3 million, partially offset by a decrease in bank loan repayments of $339.7 million, net public offering proceeds of $219.6 million in the first nine months of 2017, a decrease of $9.2 million in payments of loan issuance costs, the $7.8 million payment of the dividend paid prior to the </w:t>
      </w:r>
      <w:r>
        <w:rPr>
          <w:rFonts w:ascii="Arial" w:cs="Arial" w:eastAsia="Arial" w:hAnsi="Arial"/>
          <w:sz w:val="16"/>
          <w:szCs w:val="16"/>
          <w:i w:val="1"/>
          <w:iCs w:val="1"/>
          <w:color w:val="auto"/>
        </w:rPr>
        <w:t xml:space="preserve">GasLog Seattle </w:t>
      </w:r>
      <w:r>
        <w:rPr>
          <w:rFonts w:ascii="Arial" w:cs="Arial" w:eastAsia="Arial" w:hAnsi="Arial"/>
          <w:sz w:val="16"/>
          <w:szCs w:val="16"/>
          <w:color w:val="auto"/>
        </w:rPr>
        <w:t>dropdown in 2016 and net payments of $4.9 million related to the termination of our interest rate swap agreements in 2016.</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Contracted Charter Revenue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GasLog Partners’ contracted charter revenues and vessel utilization as of September 30, 2017: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240" w:type="dxa"/>
            <w:vAlign w:val="bottom"/>
          </w:tcPr>
          <w:p>
            <w:pPr>
              <w:jc w:val="center"/>
              <w:ind w:right="139"/>
              <w:spacing w:after="0"/>
              <w:rPr>
                <w:sz w:val="20"/>
                <w:szCs w:val="20"/>
                <w:color w:val="auto"/>
              </w:rPr>
            </w:pPr>
            <w:r>
              <w:rPr>
                <w:rFonts w:ascii="Arial" w:cs="Arial" w:eastAsia="Arial" w:hAnsi="Arial"/>
                <w:sz w:val="14"/>
                <w:szCs w:val="14"/>
                <w:b w:val="1"/>
                <w:bCs w:val="1"/>
                <w:color w:val="auto"/>
                <w:w w:val="94"/>
              </w:rPr>
              <w:t>On and after</w:t>
            </w: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60" w:type="dxa"/>
            <w:vAlign w:val="bottom"/>
            <w:gridSpan w:val="2"/>
            <w:vMerge w:val="restart"/>
          </w:tcPr>
          <w:p>
            <w:pPr>
              <w:jc w:val="right"/>
              <w:ind w:right="34"/>
              <w:spacing w:after="0"/>
              <w:rPr>
                <w:sz w:val="20"/>
                <w:szCs w:val="20"/>
                <w:color w:val="auto"/>
              </w:rPr>
            </w:pPr>
            <w:r>
              <w:rPr>
                <w:rFonts w:ascii="Arial" w:cs="Arial" w:eastAsia="Arial" w:hAnsi="Arial"/>
                <w:sz w:val="14"/>
                <w:szCs w:val="14"/>
                <w:b w:val="1"/>
                <w:bCs w:val="1"/>
                <w:color w:val="auto"/>
                <w:w w:val="95"/>
              </w:rPr>
              <w:t>For the years ending December 31,</w:t>
            </w: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240" w:type="dxa"/>
            <w:vAlign w:val="bottom"/>
          </w:tcPr>
          <w:p>
            <w:pPr>
              <w:jc w:val="center"/>
              <w:ind w:right="139"/>
              <w:spacing w:after="0"/>
              <w:rPr>
                <w:sz w:val="20"/>
                <w:szCs w:val="20"/>
                <w:color w:val="auto"/>
              </w:rPr>
            </w:pPr>
            <w:r>
              <w:rPr>
                <w:rFonts w:ascii="Arial" w:cs="Arial" w:eastAsia="Arial" w:hAnsi="Arial"/>
                <w:sz w:val="14"/>
                <w:szCs w:val="14"/>
                <w:b w:val="1"/>
                <w:bCs w:val="1"/>
                <w:color w:val="auto"/>
                <w:w w:val="95"/>
              </w:rPr>
              <w:t>October 1,</w:t>
            </w:r>
          </w:p>
        </w:tc>
        <w:tc>
          <w:tcPr>
            <w:tcW w:w="8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2"/>
            <w:vMerge w:val="continue"/>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1240" w:type="dxa"/>
            <w:vAlign w:val="bottom"/>
            <w:tcBorders>
              <w:bottom w:val="single" w:sz="8" w:color="auto"/>
            </w:tcBorders>
          </w:tcPr>
          <w:p>
            <w:pPr>
              <w:jc w:val="center"/>
              <w:ind w:right="139"/>
              <w:spacing w:after="0" w:line="142" w:lineRule="exact"/>
              <w:rPr>
                <w:sz w:val="20"/>
                <w:szCs w:val="20"/>
                <w:color w:val="auto"/>
              </w:rPr>
            </w:pPr>
            <w:r>
              <w:rPr>
                <w:rFonts w:ascii="Arial" w:cs="Arial" w:eastAsia="Arial" w:hAnsi="Arial"/>
                <w:sz w:val="14"/>
                <w:szCs w:val="14"/>
                <w:b w:val="1"/>
                <w:bCs w:val="1"/>
                <w:color w:val="auto"/>
                <w:w w:val="96"/>
              </w:rPr>
              <w:t>2017</w:t>
            </w:r>
          </w:p>
        </w:tc>
        <w:tc>
          <w:tcPr>
            <w:tcW w:w="80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2018</w:t>
            </w:r>
          </w:p>
        </w:tc>
        <w:tc>
          <w:tcPr>
            <w:tcW w:w="116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2019</w:t>
            </w:r>
          </w:p>
        </w:tc>
        <w:tc>
          <w:tcPr>
            <w:tcW w:w="1240" w:type="dxa"/>
            <w:vAlign w:val="bottom"/>
            <w:tcBorders>
              <w:bottom w:val="single" w:sz="8" w:color="auto"/>
            </w:tcBorders>
          </w:tcPr>
          <w:p>
            <w:pPr>
              <w:jc w:val="right"/>
              <w:ind w:right="477"/>
              <w:spacing w:after="0" w:line="142" w:lineRule="exact"/>
              <w:rPr>
                <w:sz w:val="20"/>
                <w:szCs w:val="20"/>
                <w:color w:val="auto"/>
              </w:rPr>
            </w:pPr>
            <w:r>
              <w:rPr>
                <w:rFonts w:ascii="Arial" w:cs="Arial" w:eastAsia="Arial" w:hAnsi="Arial"/>
                <w:sz w:val="14"/>
                <w:szCs w:val="14"/>
                <w:b w:val="1"/>
                <w:bCs w:val="1"/>
                <w:color w:val="auto"/>
              </w:rPr>
              <w:t>2020</w:t>
            </w:r>
          </w:p>
        </w:tc>
        <w:tc>
          <w:tcPr>
            <w:tcW w:w="1120" w:type="dxa"/>
            <w:vAlign w:val="bottom"/>
            <w:tcBorders>
              <w:bottom w:val="single" w:sz="8" w:color="auto"/>
            </w:tcBorders>
          </w:tcPr>
          <w:p>
            <w:pPr>
              <w:jc w:val="right"/>
              <w:ind w:right="494"/>
              <w:spacing w:after="0" w:line="142" w:lineRule="exact"/>
              <w:rPr>
                <w:sz w:val="20"/>
                <w:szCs w:val="20"/>
                <w:color w:val="auto"/>
              </w:rPr>
            </w:pPr>
            <w:r>
              <w:rPr>
                <w:rFonts w:ascii="Arial" w:cs="Arial" w:eastAsia="Arial" w:hAnsi="Arial"/>
                <w:sz w:val="14"/>
                <w:szCs w:val="14"/>
                <w:b w:val="1"/>
                <w:bCs w:val="1"/>
                <w:color w:val="auto"/>
              </w:rPr>
              <w:t>2021</w:t>
            </w:r>
          </w:p>
        </w:tc>
        <w:tc>
          <w:tcPr>
            <w:tcW w:w="116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2022-2026</w:t>
            </w:r>
          </w:p>
        </w:tc>
        <w:tc>
          <w:tcPr>
            <w:tcW w:w="8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520" w:type="dxa"/>
            <w:vAlign w:val="bottom"/>
            <w:gridSpan w:val="3"/>
          </w:tcPr>
          <w:p>
            <w:pPr>
              <w:jc w:val="right"/>
              <w:ind w:right="34"/>
              <w:spacing w:after="0" w:line="142" w:lineRule="exact"/>
              <w:rPr>
                <w:sz w:val="20"/>
                <w:szCs w:val="20"/>
                <w:color w:val="auto"/>
              </w:rPr>
            </w:pPr>
            <w:r>
              <w:rPr>
                <w:rFonts w:ascii="Arial" w:cs="Arial" w:eastAsia="Arial" w:hAnsi="Arial"/>
                <w:sz w:val="14"/>
                <w:szCs w:val="14"/>
                <w:b w:val="1"/>
                <w:bCs w:val="1"/>
                <w:i w:val="1"/>
                <w:iCs w:val="1"/>
                <w:color w:val="auto"/>
                <w:w w:val="89"/>
              </w:rPr>
              <w:t>(in millions of U.S. dollars, except days and percentages)</w:t>
            </w:r>
          </w:p>
        </w:tc>
        <w:tc>
          <w:tcPr>
            <w:tcW w:w="1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Contracted time charter revenues</w:t>
            </w:r>
            <w:r>
              <w:rPr>
                <w:rFonts w:ascii="Arial" w:cs="Arial" w:eastAsia="Arial" w:hAnsi="Arial"/>
                <w:sz w:val="23"/>
                <w:szCs w:val="23"/>
                <w:color w:val="auto"/>
                <w:vertAlign w:val="superscript"/>
              </w:rPr>
              <w:t>(1)(2)(3)(4)</w:t>
            </w:r>
          </w:p>
        </w:tc>
        <w:tc>
          <w:tcPr>
            <w:tcW w:w="12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71.36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249.64</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200.17</w:t>
            </w:r>
          </w:p>
        </w:tc>
        <w:tc>
          <w:tcPr>
            <w:tcW w:w="12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123.16</w:t>
            </w:r>
          </w:p>
        </w:tc>
        <w:tc>
          <w:tcPr>
            <w:tcW w:w="11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55.81</w:t>
            </w: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182.29</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882.43</w:t>
            </w:r>
          </w:p>
        </w:tc>
        <w:tc>
          <w:tcPr>
            <w:tcW w:w="0" w:type="dxa"/>
            <w:vAlign w:val="bottom"/>
          </w:tcPr>
          <w:p>
            <w:pPr>
              <w:spacing w:after="0"/>
              <w:rPr>
                <w:sz w:val="1"/>
                <w:szCs w:val="1"/>
                <w:color w:val="auto"/>
              </w:rPr>
            </w:pPr>
          </w:p>
        </w:tc>
      </w:tr>
      <w:tr>
        <w:trPr>
          <w:trHeight w:val="216"/>
        </w:trPr>
        <w:tc>
          <w:tcPr>
            <w:tcW w:w="3740" w:type="dxa"/>
            <w:vAlign w:val="bottom"/>
          </w:tcPr>
          <w:p>
            <w:pPr>
              <w:spacing w:after="0" w:line="216" w:lineRule="exact"/>
              <w:rPr>
                <w:sz w:val="20"/>
                <w:szCs w:val="20"/>
                <w:color w:val="auto"/>
              </w:rPr>
            </w:pPr>
            <w:r>
              <w:rPr>
                <w:rFonts w:ascii="Arial" w:cs="Arial" w:eastAsia="Arial" w:hAnsi="Arial"/>
                <w:sz w:val="18"/>
                <w:szCs w:val="18"/>
                <w:color w:val="auto"/>
              </w:rPr>
              <w:t>Total contracted days</w:t>
            </w:r>
            <w:r>
              <w:rPr>
                <w:rFonts w:ascii="Arial" w:cs="Arial" w:eastAsia="Arial" w:hAnsi="Arial"/>
                <w:sz w:val="23"/>
                <w:szCs w:val="23"/>
                <w:color w:val="auto"/>
                <w:vertAlign w:val="superscript"/>
              </w:rPr>
              <w:t>(1)</w:t>
            </w:r>
          </w:p>
        </w:tc>
        <w:tc>
          <w:tcPr>
            <w:tcW w:w="1240" w:type="dxa"/>
            <w:vAlign w:val="bottom"/>
          </w:tcPr>
          <w:p>
            <w:pPr>
              <w:jc w:val="right"/>
              <w:ind w:right="159"/>
              <w:spacing w:after="0"/>
              <w:rPr>
                <w:sz w:val="20"/>
                <w:szCs w:val="20"/>
                <w:color w:val="auto"/>
              </w:rPr>
            </w:pPr>
            <w:r>
              <w:rPr>
                <w:rFonts w:ascii="Arial" w:cs="Arial" w:eastAsia="Arial" w:hAnsi="Arial"/>
                <w:sz w:val="18"/>
                <w:szCs w:val="18"/>
                <w:color w:val="auto"/>
              </w:rPr>
              <w:t>982</w:t>
            </w:r>
          </w:p>
        </w:tc>
        <w:tc>
          <w:tcPr>
            <w:tcW w:w="800" w:type="dxa"/>
            <w:vAlign w:val="bottom"/>
          </w:tcPr>
          <w:p>
            <w:pPr>
              <w:jc w:val="right"/>
              <w:spacing w:after="0"/>
              <w:rPr>
                <w:sz w:val="20"/>
                <w:szCs w:val="20"/>
                <w:color w:val="auto"/>
              </w:rPr>
            </w:pPr>
            <w:r>
              <w:rPr>
                <w:rFonts w:ascii="Arial" w:cs="Arial" w:eastAsia="Arial" w:hAnsi="Arial"/>
                <w:sz w:val="18"/>
                <w:szCs w:val="18"/>
                <w:color w:val="auto"/>
              </w:rPr>
              <w:t>3,459</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2,811</w:t>
            </w:r>
          </w:p>
        </w:tc>
        <w:tc>
          <w:tcPr>
            <w:tcW w:w="1240" w:type="dxa"/>
            <w:vAlign w:val="bottom"/>
          </w:tcPr>
          <w:p>
            <w:pPr>
              <w:jc w:val="right"/>
              <w:ind w:right="177"/>
              <w:spacing w:after="0"/>
              <w:rPr>
                <w:sz w:val="20"/>
                <w:szCs w:val="20"/>
                <w:color w:val="auto"/>
              </w:rPr>
            </w:pPr>
            <w:r>
              <w:rPr>
                <w:rFonts w:ascii="Arial" w:cs="Arial" w:eastAsia="Arial" w:hAnsi="Arial"/>
                <w:sz w:val="18"/>
                <w:szCs w:val="18"/>
                <w:color w:val="auto"/>
              </w:rPr>
              <w:t>1,641</w:t>
            </w:r>
          </w:p>
        </w:tc>
        <w:tc>
          <w:tcPr>
            <w:tcW w:w="1120" w:type="dxa"/>
            <w:vAlign w:val="bottom"/>
          </w:tcPr>
          <w:p>
            <w:pPr>
              <w:jc w:val="right"/>
              <w:ind w:right="194"/>
              <w:spacing w:after="0"/>
              <w:rPr>
                <w:sz w:val="20"/>
                <w:szCs w:val="20"/>
                <w:color w:val="auto"/>
              </w:rPr>
            </w:pPr>
            <w:r>
              <w:rPr>
                <w:rFonts w:ascii="Arial" w:cs="Arial" w:eastAsia="Arial" w:hAnsi="Arial"/>
                <w:sz w:val="18"/>
                <w:szCs w:val="18"/>
                <w:color w:val="auto"/>
              </w:rPr>
              <w:t>670</w:t>
            </w: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2,158</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11,721</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Total available days</w:t>
            </w:r>
            <w:r>
              <w:rPr>
                <w:rFonts w:ascii="Arial" w:cs="Arial" w:eastAsia="Arial" w:hAnsi="Arial"/>
                <w:sz w:val="23"/>
                <w:szCs w:val="23"/>
                <w:color w:val="auto"/>
                <w:vertAlign w:val="superscript"/>
              </w:rPr>
              <w:t>(5)</w:t>
            </w:r>
          </w:p>
        </w:tc>
        <w:tc>
          <w:tcPr>
            <w:tcW w:w="12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982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4,015</w:t>
            </w:r>
          </w:p>
        </w:tc>
        <w:tc>
          <w:tcPr>
            <w:tcW w:w="12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3,936</w:t>
            </w:r>
          </w:p>
        </w:tc>
        <w:tc>
          <w:tcPr>
            <w:tcW w:w="11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3,895</w:t>
            </w: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19,756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36,509</w:t>
            </w:r>
          </w:p>
        </w:tc>
        <w:tc>
          <w:tcPr>
            <w:tcW w:w="0" w:type="dxa"/>
            <w:vAlign w:val="bottom"/>
          </w:tcPr>
          <w:p>
            <w:pPr>
              <w:spacing w:after="0"/>
              <w:rPr>
                <w:sz w:val="1"/>
                <w:szCs w:val="1"/>
                <w:color w:val="auto"/>
              </w:rPr>
            </w:pPr>
          </w:p>
        </w:tc>
      </w:tr>
    </w:tbl>
    <w:p>
      <w:pPr>
        <w:sectPr>
          <w:pgSz w:w="11900" w:h="16843" w:orient="portrait"/>
          <w:cols w:equalWidth="0" w:num="1">
            <w:col w:w="11420"/>
          </w:cols>
          <w:pgMar w:left="240" w:top="125" w:right="23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620" w:type="dxa"/>
            <w:vAlign w:val="bottom"/>
          </w:tcPr>
          <w:p>
            <w:pPr>
              <w:spacing w:after="0"/>
              <w:rPr>
                <w:sz w:val="20"/>
                <w:szCs w:val="20"/>
                <w:color w:val="auto"/>
              </w:rPr>
            </w:pPr>
            <w:r>
              <w:rPr>
                <w:rFonts w:ascii="Arial" w:cs="Arial" w:eastAsia="Arial" w:hAnsi="Arial"/>
                <w:sz w:val="18"/>
                <w:szCs w:val="18"/>
                <w:color w:val="auto"/>
              </w:rPr>
              <w:t>Total unfixed days</w:t>
            </w:r>
            <w:r>
              <w:rPr>
                <w:rFonts w:ascii="Arial" w:cs="Arial" w:eastAsia="Arial" w:hAnsi="Arial"/>
                <w:sz w:val="23"/>
                <w:szCs w:val="23"/>
                <w:color w:val="auto"/>
                <w:vertAlign w:val="superscript"/>
              </w:rPr>
              <w:t>(6)</w:t>
            </w:r>
          </w:p>
        </w:tc>
        <w:tc>
          <w:tcPr>
            <w:tcW w:w="15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466</w:t>
            </w:r>
          </w:p>
        </w:tc>
        <w:tc>
          <w:tcPr>
            <w:tcW w:w="1080" w:type="dxa"/>
            <w:vAlign w:val="bottom"/>
          </w:tcPr>
          <w:p>
            <w:pPr>
              <w:jc w:val="right"/>
              <w:ind w:right="330"/>
              <w:spacing w:after="0"/>
              <w:rPr>
                <w:sz w:val="20"/>
                <w:szCs w:val="20"/>
                <w:color w:val="auto"/>
              </w:rPr>
            </w:pPr>
            <w:r>
              <w:rPr>
                <w:rFonts w:ascii="Arial" w:cs="Arial" w:eastAsia="Arial" w:hAnsi="Arial"/>
                <w:sz w:val="18"/>
                <w:szCs w:val="18"/>
                <w:color w:val="auto"/>
              </w:rPr>
              <w:t>1,204</w:t>
            </w: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2,295</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3,225</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17,598</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24,788</w:t>
            </w:r>
          </w:p>
        </w:tc>
        <w:tc>
          <w:tcPr>
            <w:tcW w:w="40" w:type="dxa"/>
            <w:vAlign w:val="bottom"/>
          </w:tcPr>
          <w:p>
            <w:pPr>
              <w:spacing w:after="0"/>
              <w:rPr>
                <w:sz w:val="22"/>
                <w:szCs w:val="22"/>
                <w:color w:val="auto"/>
              </w:rPr>
            </w:pPr>
          </w:p>
        </w:tc>
      </w:tr>
      <w:tr>
        <w:trPr>
          <w:trHeight w:val="202"/>
        </w:trPr>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Percentage of total contracted days/total</w:t>
            </w:r>
          </w:p>
        </w:tc>
        <w:tc>
          <w:tcPr>
            <w:tcW w:w="1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available days</w:t>
            </w:r>
          </w:p>
        </w:tc>
        <w:tc>
          <w:tcPr>
            <w:tcW w:w="1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1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88.1%</w:t>
            </w: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70.0%</w:t>
            </w:r>
          </w:p>
        </w:tc>
        <w:tc>
          <w:tcPr>
            <w:tcW w:w="11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41.7%</w:t>
            </w: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17.2%</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40" w:type="dxa"/>
            <w:vAlign w:val="bottom"/>
          </w:tcPr>
          <w:p>
            <w:pPr>
              <w:spacing w:after="0"/>
              <w:rPr>
                <w:sz w:val="20"/>
                <w:szCs w:val="20"/>
                <w:color w:val="auto"/>
              </w:rPr>
            </w:pPr>
          </w:p>
        </w:tc>
      </w:tr>
      <w:tr>
        <w:trPr>
          <w:trHeight w:val="432"/>
        </w:trPr>
        <w:tc>
          <w:tcPr>
            <w:tcW w:w="3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26</w:t>
            </w: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20" w:type="dxa"/>
            <w:vAlign w:val="bottom"/>
            <w:tcBorders>
              <w:bottom w:val="single" w:sz="8" w:color="808080"/>
            </w:tcBorders>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60" w:right="240" w:hanging="252"/>
        <w:spacing w:after="0" w:line="227" w:lineRule="auto"/>
        <w:tabs>
          <w:tab w:leader="none" w:pos="272"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 xml:space="preserve">Reflects time charter revenues and contracted days for the eleven LNG carriers in our fleet as of September 30, 2017. Does not include charter revenues for the </w:t>
      </w:r>
      <w:r>
        <w:rPr>
          <w:rFonts w:ascii="Arial" w:cs="Arial" w:eastAsia="Arial" w:hAnsi="Arial"/>
          <w:sz w:val="18"/>
          <w:szCs w:val="18"/>
          <w:i w:val="1"/>
          <w:iCs w:val="1"/>
          <w:color w:val="auto"/>
        </w:rPr>
        <w:t>Solaris</w:t>
      </w:r>
      <w:r>
        <w:rPr>
          <w:rFonts w:ascii="Arial" w:cs="Arial" w:eastAsia="Arial" w:hAnsi="Arial"/>
          <w:sz w:val="18"/>
          <w:szCs w:val="18"/>
          <w:color w:val="auto"/>
        </w:rPr>
        <w:t>, the acquisition of which was completed on October 20, 2017.</w:t>
      </w:r>
    </w:p>
    <w:p>
      <w:pPr>
        <w:spacing w:after="0" w:line="202" w:lineRule="exact"/>
        <w:rPr>
          <w:rFonts w:ascii="Arial" w:cs="Arial" w:eastAsia="Arial" w:hAnsi="Arial"/>
          <w:sz w:val="23"/>
          <w:szCs w:val="23"/>
          <w:color w:val="auto"/>
          <w:vertAlign w:val="superscript"/>
        </w:rPr>
      </w:pPr>
    </w:p>
    <w:p>
      <w:pPr>
        <w:ind w:left="260" w:right="260" w:hanging="252"/>
        <w:spacing w:after="0" w:line="227" w:lineRule="auto"/>
        <w:tabs>
          <w:tab w:leader="none" w:pos="272"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Our ships are scheduled to undergo dry-docking once every five years. Revenue calculations assume 365 revenue days per ship per annum, with 30 off-hire days when each ship undergoes scheduled dry-docking.</w:t>
      </w:r>
    </w:p>
    <w:p>
      <w:pPr>
        <w:spacing w:after="0" w:line="191" w:lineRule="exact"/>
        <w:rPr>
          <w:rFonts w:ascii="Arial" w:cs="Arial" w:eastAsia="Arial" w:hAnsi="Arial"/>
          <w:sz w:val="23"/>
          <w:szCs w:val="23"/>
          <w:color w:val="auto"/>
          <w:vertAlign w:val="superscript"/>
        </w:rPr>
      </w:pPr>
    </w:p>
    <w:p>
      <w:pPr>
        <w:ind w:left="280" w:hanging="272"/>
        <w:spacing w:after="0"/>
        <w:tabs>
          <w:tab w:leader="none" w:pos="28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For time charters that include a fixed operating cost component subject to annual escalation, revenue calculations include that fixed annual escalation.</w:t>
      </w:r>
    </w:p>
    <w:p>
      <w:pPr>
        <w:spacing w:after="0" w:line="167" w:lineRule="exact"/>
        <w:rPr>
          <w:rFonts w:ascii="Arial" w:cs="Arial" w:eastAsia="Arial" w:hAnsi="Arial"/>
          <w:sz w:val="21"/>
          <w:szCs w:val="21"/>
          <w:color w:val="auto"/>
          <w:vertAlign w:val="superscript"/>
        </w:rPr>
      </w:pPr>
    </w:p>
    <w:p>
      <w:pPr>
        <w:ind w:left="280" w:hanging="272"/>
        <w:spacing w:after="0"/>
        <w:tabs>
          <w:tab w:leader="none" w:pos="28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Revenue calculations assume no exercise of any option to extend the terms of the charters.</w:t>
      </w:r>
    </w:p>
    <w:p>
      <w:pPr>
        <w:spacing w:after="0" w:line="190" w:lineRule="exact"/>
        <w:rPr>
          <w:rFonts w:ascii="Arial" w:cs="Arial" w:eastAsia="Arial" w:hAnsi="Arial"/>
          <w:sz w:val="23"/>
          <w:szCs w:val="23"/>
          <w:color w:val="auto"/>
          <w:vertAlign w:val="superscript"/>
        </w:rPr>
      </w:pPr>
    </w:p>
    <w:p>
      <w:pPr>
        <w:ind w:left="180" w:hanging="172"/>
        <w:spacing w:after="0"/>
        <w:tabs>
          <w:tab w:leader="none" w:pos="18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Available days represent total calendar days after deducting 30 off-hire days when the ship undergoes scheduled dry-docking.</w:t>
      </w:r>
    </w:p>
    <w:p>
      <w:pPr>
        <w:spacing w:after="0" w:line="201" w:lineRule="exact"/>
        <w:rPr>
          <w:rFonts w:ascii="Arial" w:cs="Arial" w:eastAsia="Arial" w:hAnsi="Arial"/>
          <w:sz w:val="21"/>
          <w:szCs w:val="21"/>
          <w:color w:val="auto"/>
          <w:vertAlign w:val="superscript"/>
        </w:rPr>
      </w:pPr>
    </w:p>
    <w:p>
      <w:pPr>
        <w:ind w:left="260" w:right="220" w:hanging="252"/>
        <w:spacing w:after="0" w:line="227" w:lineRule="auto"/>
        <w:tabs>
          <w:tab w:leader="none" w:pos="245"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Represents available days for the ships after the expiration of the existing charters (assuming charterers do not exercise any option to extend the terms of the charters).</w:t>
      </w:r>
    </w:p>
    <w:p>
      <w:pPr>
        <w:spacing w:after="0" w:line="202" w:lineRule="exact"/>
        <w:rPr>
          <w:sz w:val="20"/>
          <w:szCs w:val="20"/>
          <w:color w:val="auto"/>
        </w:rPr>
      </w:pPr>
    </w:p>
    <w:p>
      <w:pPr>
        <w:ind w:right="100" w:firstLine="324"/>
        <w:spacing w:after="0" w:line="267" w:lineRule="auto"/>
        <w:rPr>
          <w:sz w:val="20"/>
          <w:szCs w:val="20"/>
          <w:color w:val="auto"/>
        </w:rPr>
      </w:pPr>
      <w:r>
        <w:rPr>
          <w:rFonts w:ascii="Arial" w:cs="Arial" w:eastAsia="Arial" w:hAnsi="Arial"/>
          <w:sz w:val="17"/>
          <w:szCs w:val="17"/>
          <w:color w:val="auto"/>
        </w:rPr>
        <w:t xml:space="preserve">The table above provides information about our contracted charter revenues and ship utilization based on contracts in effect for the eleven LNG carriers in our fleet as of September 30, 2017. The table reflects only our contracted charter revenues for the ships in our owned fleet for which we have secured time charters, and it does not reflect the costs or expenses we will incur in fulfilling our obligations under the charters. In particular, the table does not reflect any time charter revenues from any additional ships we may acquire in the future, nor does it reflect the options under our time charters that permit our charterers to extend the time charter terms for successive multi-year periods at comparable charter hire rates. If exercised, the options to extend the terms of our existing charters would result in an increase in the number of contracted days and the contracted revenue for our fleet in the future. As already mentioned under the heading “Charter Expirations”, the options to renew the charters for the </w:t>
      </w:r>
      <w:r>
        <w:rPr>
          <w:rFonts w:ascii="Arial" w:cs="Arial" w:eastAsia="Arial" w:hAnsi="Arial"/>
          <w:sz w:val="17"/>
          <w:szCs w:val="17"/>
          <w:i w:val="1"/>
          <w:iCs w:val="1"/>
          <w:color w:val="auto"/>
        </w:rPr>
        <w:t>GasLog Shanghai</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Santiago</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Sydney</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Methane Jane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Elizabeth </w:t>
      </w:r>
      <w:r>
        <w:rPr>
          <w:rFonts w:ascii="Arial" w:cs="Arial" w:eastAsia="Arial" w:hAnsi="Arial"/>
          <w:sz w:val="17"/>
          <w:szCs w:val="17"/>
          <w:color w:val="auto"/>
        </w:rPr>
        <w:t>have not been exercised. Although the contracted charter revenues are based on contracted charter hire rate provisions, they reflect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the disclosure under the heading “Risk Factors” in our Annual Report on Form 20-F filed with the SEC on February 13, 2017. For these reasons, the contracted charter revenue information presented above is not fact and should not be relied upon as being necessarily indicative of future results and readers are cautioned not to place undue reliance on this information. Neither the Partnership’s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GASLOG PARTNERS LP</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INDEX TO UNAUDITED CONDENSED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20" w:type="dxa"/>
            <w:vAlign w:val="bottom"/>
            <w:vMerge w:val="restart"/>
          </w:tcPr>
          <w:p>
            <w:pPr>
              <w:spacing w:after="0"/>
              <w:rPr>
                <w:sz w:val="20"/>
                <w:szCs w:val="20"/>
                <w:color w:val="auto"/>
              </w:rPr>
            </w:pPr>
            <w:r>
              <w:rPr>
                <w:rFonts w:ascii="Arial" w:cs="Arial" w:eastAsia="Arial" w:hAnsi="Arial"/>
                <w:sz w:val="18"/>
                <w:szCs w:val="18"/>
                <w:color w:val="auto"/>
                <w:w w:val="90"/>
              </w:rPr>
              <w:t>Unaudited condensed consolidated statements of financial position as of December 31, 2016 and September 30, 2017</w:t>
            </w: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ind w:left="3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8520" w:type="dxa"/>
            <w:vAlign w:val="bottom"/>
            <w:vMerge w:val="continue"/>
          </w:tcPr>
          <w:p>
            <w:pPr>
              <w:spacing w:after="0"/>
              <w:rPr>
                <w:sz w:val="16"/>
                <w:szCs w:val="16"/>
                <w:color w:val="auto"/>
              </w:rPr>
            </w:pPr>
          </w:p>
        </w:tc>
        <w:tc>
          <w:tcPr>
            <w:tcW w:w="1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Borders>
              <w:top w:val="single" w:sz="8" w:color="auto"/>
            </w:tcBorders>
          </w:tcPr>
          <w:p>
            <w:pPr>
              <w:ind w:left="780"/>
              <w:spacing w:after="0" w:line="195" w:lineRule="exact"/>
              <w:rPr>
                <w:sz w:val="20"/>
                <w:szCs w:val="20"/>
                <w:color w:val="auto"/>
              </w:rPr>
            </w:pPr>
            <w:r>
              <w:rPr>
                <w:rFonts w:ascii="Arial" w:cs="Arial" w:eastAsia="Arial" w:hAnsi="Arial"/>
                <w:sz w:val="18"/>
                <w:szCs w:val="18"/>
                <w:color w:val="auto"/>
                <w:w w:val="81"/>
              </w:rPr>
              <w:t>F-2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w w:val="97"/>
              </w:rPr>
              <w:t>Unaudited condensed consolidated statements of profit or loss for the three and nine months ended September 30, 2016 and 2017</w:t>
            </w:r>
          </w:p>
        </w:tc>
        <w:tc>
          <w:tcPr>
            <w:tcW w:w="280" w:type="dxa"/>
            <w:vAlign w:val="bottom"/>
          </w:tcPr>
          <w:p>
            <w:pPr>
              <w:spacing w:after="0"/>
              <w:rPr>
                <w:sz w:val="18"/>
                <w:szCs w:val="18"/>
                <w:color w:val="auto"/>
              </w:rPr>
            </w:pPr>
          </w:p>
        </w:tc>
        <w:tc>
          <w:tcPr>
            <w:tcW w:w="1060" w:type="dxa"/>
            <w:vAlign w:val="bottom"/>
            <w:gridSpan w:val="2"/>
          </w:tcPr>
          <w:p>
            <w:pPr>
              <w:ind w:left="780"/>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w w:val="89"/>
              </w:rPr>
              <w:t>Unaudited condensed consolidated statements of comprehensive income for the three and nine months ended September 30, 2016 and 2017</w:t>
            </w:r>
          </w:p>
        </w:tc>
        <w:tc>
          <w:tcPr>
            <w:tcW w:w="280" w:type="dxa"/>
            <w:vAlign w:val="bottom"/>
          </w:tcPr>
          <w:p>
            <w:pPr>
              <w:spacing w:after="0"/>
              <w:rPr>
                <w:sz w:val="18"/>
                <w:szCs w:val="18"/>
                <w:color w:val="auto"/>
              </w:rPr>
            </w:pPr>
          </w:p>
        </w:tc>
        <w:tc>
          <w:tcPr>
            <w:tcW w:w="1060" w:type="dxa"/>
            <w:vAlign w:val="bottom"/>
            <w:gridSpan w:val="2"/>
          </w:tcPr>
          <w:p>
            <w:pPr>
              <w:ind w:left="780"/>
              <w:spacing w:after="0"/>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16"/>
        </w:trPr>
        <w:tc>
          <w:tcPr>
            <w:tcW w:w="10400" w:type="dxa"/>
            <w:vAlign w:val="bottom"/>
            <w:gridSpan w:val="3"/>
          </w:tcPr>
          <w:p>
            <w:pPr>
              <w:spacing w:after="0"/>
              <w:rPr>
                <w:sz w:val="20"/>
                <w:szCs w:val="20"/>
                <w:color w:val="auto"/>
              </w:rPr>
            </w:pPr>
            <w:r>
              <w:rPr>
                <w:rFonts w:ascii="Arial" w:cs="Arial" w:eastAsia="Arial" w:hAnsi="Arial"/>
                <w:sz w:val="18"/>
                <w:szCs w:val="18"/>
                <w:color w:val="auto"/>
                <w:w w:val="90"/>
              </w:rPr>
              <w:t>Unaudited condensed consolidated statements of changes in owners’/partners’ equity for the nine months ended September 30, 2016 and 2017</w:t>
            </w:r>
          </w:p>
        </w:tc>
        <w:tc>
          <w:tcPr>
            <w:tcW w:w="1060" w:type="dxa"/>
            <w:vAlign w:val="bottom"/>
            <w:gridSpan w:val="2"/>
          </w:tcPr>
          <w:p>
            <w:pPr>
              <w:ind w:left="780"/>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w w:val="89"/>
              </w:rPr>
              <w:t>Unaudited condensed consolidated statements of cash flows for the nine months ended September 30, 2016 and 2017</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ind w:left="780"/>
              <w:spacing w:after="0"/>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230"/>
        </w:trPr>
        <w:tc>
          <w:tcPr>
            <w:tcW w:w="8520" w:type="dxa"/>
            <w:vAlign w:val="bottom"/>
          </w:tcPr>
          <w:p>
            <w:pPr>
              <w:spacing w:after="0"/>
              <w:rPr>
                <w:sz w:val="20"/>
                <w:szCs w:val="20"/>
                <w:color w:val="auto"/>
              </w:rPr>
            </w:pPr>
            <w:r>
              <w:rPr>
                <w:rFonts w:ascii="Arial" w:cs="Arial" w:eastAsia="Arial" w:hAnsi="Arial"/>
                <w:sz w:val="18"/>
                <w:szCs w:val="18"/>
                <w:color w:val="auto"/>
              </w:rPr>
              <w:t>Notes to the unaudited condensed consolidated financial statements</w:t>
            </w: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ind w:left="780"/>
              <w:spacing w:after="0"/>
              <w:rPr>
                <w:sz w:val="20"/>
                <w:szCs w:val="20"/>
                <w:color w:val="auto"/>
              </w:rPr>
            </w:pPr>
            <w:r>
              <w:rPr>
                <w:rFonts w:ascii="Arial" w:cs="Arial" w:eastAsia="Arial" w:hAnsi="Arial"/>
                <w:sz w:val="18"/>
                <w:szCs w:val="18"/>
                <w:color w:val="auto"/>
                <w:w w:val="96"/>
              </w:rPr>
              <w:t>F-8</w:t>
            </w:r>
          </w:p>
        </w:tc>
        <w:tc>
          <w:tcPr>
            <w:tcW w:w="0" w:type="dxa"/>
            <w:vAlign w:val="bottom"/>
          </w:tcPr>
          <w:p>
            <w:pPr>
              <w:spacing w:after="0"/>
              <w:rPr>
                <w:sz w:val="1"/>
                <w:szCs w:val="1"/>
                <w:color w:val="auto"/>
              </w:rPr>
            </w:pPr>
          </w:p>
        </w:tc>
      </w:tr>
      <w:tr>
        <w:trPr>
          <w:trHeight w:val="432"/>
        </w:trPr>
        <w:tc>
          <w:tcPr>
            <w:tcW w:w="8520" w:type="dxa"/>
            <w:vAlign w:val="bottom"/>
          </w:tcPr>
          <w:p>
            <w:pPr>
              <w:ind w:left="5580"/>
              <w:spacing w:after="0"/>
              <w:rPr>
                <w:sz w:val="20"/>
                <w:szCs w:val="20"/>
                <w:color w:val="auto"/>
              </w:rPr>
            </w:pPr>
            <w:r>
              <w:rPr>
                <w:rFonts w:ascii="Arial" w:cs="Arial" w:eastAsia="Arial" w:hAnsi="Arial"/>
                <w:sz w:val="18"/>
                <w:szCs w:val="18"/>
                <w:color w:val="auto"/>
              </w:rPr>
              <w:t>F-1</w:t>
            </w: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52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8520" w:type="dxa"/>
            <w:vAlign w:val="bottom"/>
          </w:tcPr>
          <w:p>
            <w:pPr>
              <w:spacing w:after="0"/>
              <w:rPr>
                <w:sz w:val="20"/>
                <w:szCs w:val="20"/>
                <w:color w:val="auto"/>
              </w:rPr>
            </w:pPr>
            <w:r>
              <w:rPr>
                <w:rFonts w:ascii="Arial" w:cs="Arial" w:eastAsia="Arial" w:hAnsi="Arial"/>
                <w:sz w:val="18"/>
                <w:szCs w:val="18"/>
                <w:b w:val="1"/>
                <w:bCs w:val="1"/>
                <w:color w:val="auto"/>
              </w:rPr>
              <w:t>GasLog Partners LP</w:t>
            </w: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520" w:type="dxa"/>
            <w:vAlign w:val="bottom"/>
          </w:tcPr>
          <w:p>
            <w:pPr>
              <w:spacing w:after="0"/>
              <w:rPr>
                <w:sz w:val="20"/>
                <w:szCs w:val="20"/>
                <w:color w:val="auto"/>
              </w:rPr>
            </w:pPr>
            <w:r>
              <w:rPr>
                <w:rFonts w:ascii="Arial" w:cs="Arial" w:eastAsia="Arial" w:hAnsi="Arial"/>
                <w:sz w:val="18"/>
                <w:szCs w:val="18"/>
                <w:b w:val="1"/>
                <w:bCs w:val="1"/>
                <w:color w:val="auto"/>
              </w:rPr>
              <w:t>Unaudited condensed consolidated statements of financial position</w:t>
            </w: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b w:val="1"/>
                <w:bCs w:val="1"/>
                <w:color w:val="auto"/>
              </w:rPr>
              <w:t>As of December 31, 2016 and September 30, 2017</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20" w:type="dxa"/>
            <w:vAlign w:val="bottom"/>
          </w:tcPr>
          <w:p>
            <w:pPr>
              <w:spacing w:after="0"/>
              <w:rPr>
                <w:sz w:val="20"/>
                <w:szCs w:val="20"/>
                <w:color w:val="auto"/>
              </w:rPr>
            </w:pPr>
            <w:r>
              <w:rPr>
                <w:rFonts w:ascii="Arial" w:cs="Arial" w:eastAsia="Arial" w:hAnsi="Arial"/>
                <w:sz w:val="18"/>
                <w:szCs w:val="18"/>
                <w:b w:val="1"/>
                <w:bCs w:val="1"/>
                <w:color w:val="auto"/>
              </w:rPr>
              <w:t>(All amounts expressed in thousands of U.S. Dollars, except unit data)</w:t>
            </w: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8520" w:type="dxa"/>
            <w:vAlign w:val="bottom"/>
            <w:vMerge w:val="restart"/>
          </w:tcPr>
          <w:p>
            <w:pPr>
              <w:ind w:left="7420"/>
              <w:spacing w:after="0"/>
              <w:rPr>
                <w:sz w:val="20"/>
                <w:szCs w:val="20"/>
                <w:color w:val="auto"/>
              </w:rPr>
            </w:pPr>
            <w:r>
              <w:rPr>
                <w:rFonts w:ascii="Arial" w:cs="Arial" w:eastAsia="Arial" w:hAnsi="Arial"/>
                <w:sz w:val="14"/>
                <w:szCs w:val="14"/>
                <w:b w:val="1"/>
                <w:bCs w:val="1"/>
                <w:color w:val="auto"/>
              </w:rPr>
              <w:t>Note</w:t>
            </w:r>
          </w:p>
        </w:tc>
        <w:tc>
          <w:tcPr>
            <w:tcW w:w="1600" w:type="dxa"/>
            <w:vAlign w:val="bottom"/>
          </w:tcPr>
          <w:p>
            <w:pPr>
              <w:jc w:val="center"/>
              <w:ind w:right="608"/>
              <w:spacing w:after="0"/>
              <w:rPr>
                <w:sz w:val="20"/>
                <w:szCs w:val="20"/>
                <w:color w:val="auto"/>
              </w:rPr>
            </w:pPr>
            <w:r>
              <w:rPr>
                <w:rFonts w:ascii="Arial" w:cs="Arial" w:eastAsia="Arial" w:hAnsi="Arial"/>
                <w:sz w:val="14"/>
                <w:szCs w:val="14"/>
                <w:b w:val="1"/>
                <w:bCs w:val="1"/>
                <w:color w:val="auto"/>
                <w:w w:val="92"/>
              </w:rPr>
              <w:t>December 31,</w:t>
            </w:r>
          </w:p>
        </w:tc>
        <w:tc>
          <w:tcPr>
            <w:tcW w:w="134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2"/>
        </w:trPr>
        <w:tc>
          <w:tcPr>
            <w:tcW w:w="8520" w:type="dxa"/>
            <w:vAlign w:val="bottom"/>
            <w:vMerge w:val="continue"/>
          </w:tcPr>
          <w:p>
            <w:pPr>
              <w:spacing w:after="0"/>
              <w:rPr>
                <w:sz w:val="14"/>
                <w:szCs w:val="14"/>
                <w:color w:val="auto"/>
              </w:rPr>
            </w:pPr>
          </w:p>
        </w:tc>
        <w:tc>
          <w:tcPr>
            <w:tcW w:w="1600" w:type="dxa"/>
            <w:vAlign w:val="bottom"/>
          </w:tcPr>
          <w:p>
            <w:pPr>
              <w:jc w:val="right"/>
              <w:ind w:right="928"/>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-1399540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-1399540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4507230</wp:posOffset>
            </wp:positionH>
            <wp:positionV relativeFrom="paragraph">
              <wp:posOffset>0</wp:posOffset>
            </wp:positionV>
            <wp:extent cx="26758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ind w:left="8640"/>
        <w:spacing w:after="0" w:line="199" w:lineRule="auto"/>
        <w:rPr>
          <w:sz w:val="20"/>
          <w:szCs w:val="20"/>
          <w:color w:val="auto"/>
        </w:rPr>
      </w:pPr>
      <w:r>
        <w:rPr>
          <w:rFonts w:ascii="Arial" w:cs="Arial" w:eastAsia="Arial" w:hAnsi="Arial"/>
          <w:sz w:val="14"/>
          <w:szCs w:val="14"/>
          <w:b w:val="1"/>
          <w:bCs w:val="1"/>
          <w:i w:val="1"/>
          <w:iCs w:val="1"/>
          <w:color w:val="auto"/>
        </w:rPr>
        <w:t xml:space="preserve">(restated) </w:t>
      </w:r>
      <w:r>
        <w:rPr>
          <w:rFonts w:ascii="Arial" w:cs="Arial" w:eastAsia="Arial" w:hAnsi="Arial"/>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60"/>
          </w:cols>
          <w:pgMar w:left="240" w:top="91" w:right="199" w:bottom="0" w:gutter="0" w:footer="0" w:header="0"/>
        </w:sectPr>
      </w:pPr>
    </w:p>
    <w:tbl>
      <w:tblPr>
        <w:tblLayout w:type="fixed"/>
        <w:tblInd w:w="0" w:type="dxa"/>
        <w:tblCellMar>
          <w:top w:w="0" w:type="dxa"/>
          <w:left w:w="0" w:type="dxa"/>
          <w:bottom w:w="0" w:type="dxa"/>
          <w:right w:w="0" w:type="dxa"/>
        </w:tblCellMar>
      </w:tblPr>
      <w:tr>
        <w:trPr>
          <w:trHeight w:val="197"/>
        </w:trPr>
        <w:tc>
          <w:tcPr>
            <w:tcW w:w="5580" w:type="dxa"/>
            <w:vAlign w:val="bottom"/>
          </w:tcPr>
          <w:p>
            <w:pPr>
              <w:spacing w:after="0" w:line="197" w:lineRule="exact"/>
              <w:rPr>
                <w:sz w:val="20"/>
                <w:szCs w:val="20"/>
                <w:color w:val="auto"/>
              </w:rPr>
            </w:pPr>
            <w:r>
              <w:rPr>
                <w:rFonts w:ascii="Arial" w:cs="Arial" w:eastAsia="Arial" w:hAnsi="Arial"/>
                <w:sz w:val="18"/>
                <w:szCs w:val="18"/>
                <w:b w:val="1"/>
                <w:bCs w:val="1"/>
                <w:color w:val="auto"/>
              </w:rPr>
              <w:t>Assets</w:t>
            </w:r>
          </w:p>
        </w:tc>
        <w:tc>
          <w:tcPr>
            <w:tcW w:w="4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5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4820" w:type="dxa"/>
            <w:vAlign w:val="bottom"/>
          </w:tcPr>
          <w:p>
            <w:pPr>
              <w:spacing w:after="0"/>
              <w:rPr>
                <w:sz w:val="19"/>
                <w:szCs w:val="19"/>
                <w:color w:val="auto"/>
              </w:rPr>
            </w:pPr>
          </w:p>
        </w:tc>
        <w:tc>
          <w:tcPr>
            <w:tcW w:w="920" w:type="dxa"/>
            <w:vAlign w:val="bottom"/>
            <w:vMerge w:val="restart"/>
          </w:tcPr>
          <w:p>
            <w:pPr>
              <w:ind w:left="740"/>
              <w:spacing w:after="0"/>
              <w:rPr>
                <w:sz w:val="20"/>
                <w:szCs w:val="20"/>
                <w:color w:val="auto"/>
              </w:rPr>
            </w:pPr>
            <w:r>
              <w:rPr>
                <w:rFonts w:ascii="Arial" w:cs="Arial" w:eastAsia="Arial" w:hAnsi="Arial"/>
                <w:sz w:val="18"/>
                <w:szCs w:val="18"/>
                <w:b w:val="1"/>
                <w:bCs w:val="1"/>
                <w:color w:val="auto"/>
                <w:w w:val="88"/>
              </w:rPr>
              <w:t>—</w:t>
            </w: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4820" w:type="dxa"/>
            <w:vAlign w:val="bottom"/>
          </w:tcPr>
          <w:p>
            <w:pPr>
              <w:jc w:val="right"/>
              <w:ind w:right="650"/>
              <w:spacing w:after="0"/>
              <w:rPr>
                <w:sz w:val="20"/>
                <w:szCs w:val="20"/>
                <w:color w:val="auto"/>
              </w:rPr>
            </w:pPr>
            <w:r>
              <w:rPr>
                <w:rFonts w:ascii="Arial" w:cs="Arial" w:eastAsia="Arial" w:hAnsi="Arial"/>
                <w:sz w:val="18"/>
                <w:szCs w:val="18"/>
                <w:color w:val="auto"/>
              </w:rPr>
              <w:t>928</w:t>
            </w: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60"/>
          </w:cols>
          <w:pgMar w:left="240" w:top="91" w:right="199" w:bottom="0" w:gutter="0" w:footer="0" w:header="0"/>
          <w:type w:val="continuous"/>
        </w:sectPr>
      </w:pPr>
    </w:p>
    <w:bookmarkStart w:id="21" w:name="page22"/>
    <w:bookmarkEnd w:id="21"/>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1200" w:type="dxa"/>
            <w:vAlign w:val="bottom"/>
          </w:tcPr>
          <w:p>
            <w:pPr>
              <w:jc w:val="right"/>
              <w:ind w:right="610"/>
              <w:spacing w:after="0"/>
              <w:rPr>
                <w:sz w:val="20"/>
                <w:szCs w:val="20"/>
                <w:color w:val="auto"/>
              </w:rPr>
            </w:pPr>
            <w:r>
              <w:rPr>
                <w:rFonts w:ascii="Arial" w:cs="Arial" w:eastAsia="Arial" w:hAnsi="Arial"/>
                <w:sz w:val="18"/>
                <w:szCs w:val="18"/>
                <w:color w:val="auto"/>
              </w:rPr>
              <w:t>9</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6,008</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3,959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Vessels</w:t>
            </w:r>
          </w:p>
        </w:tc>
        <w:tc>
          <w:tcPr>
            <w:tcW w:w="12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1,826,995</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1,782,825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non-current assets</w:t>
            </w:r>
          </w:p>
        </w:tc>
        <w:tc>
          <w:tcPr>
            <w:tcW w:w="120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1,833,931</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1,786,784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assets</w:t>
            </w:r>
          </w:p>
        </w:tc>
        <w:tc>
          <w:tcPr>
            <w:tcW w:w="1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Trade and other receivables</w:t>
            </w:r>
          </w:p>
        </w:tc>
        <w:tc>
          <w:tcPr>
            <w:tcW w:w="12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3,495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2,563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1200" w:type="dxa"/>
            <w:vAlign w:val="bottom"/>
          </w:tcPr>
          <w:p>
            <w:pPr>
              <w:jc w:val="right"/>
              <w:ind w:right="610"/>
              <w:spacing w:after="0"/>
              <w:rPr>
                <w:sz w:val="20"/>
                <w:szCs w:val="20"/>
                <w:color w:val="auto"/>
              </w:rPr>
            </w:pPr>
            <w:r>
              <w:rPr>
                <w:rFonts w:ascii="Arial" w:cs="Arial" w:eastAsia="Arial" w:hAnsi="Arial"/>
                <w:sz w:val="18"/>
                <w:szCs w:val="18"/>
                <w:color w:val="auto"/>
              </w:rPr>
              <w:t>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3,072</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881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current assets</w:t>
            </w:r>
          </w:p>
        </w:tc>
        <w:tc>
          <w:tcPr>
            <w:tcW w:w="1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972</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1200" w:type="dxa"/>
            <w:vAlign w:val="bottom"/>
          </w:tcPr>
          <w:p>
            <w:pPr>
              <w:jc w:val="right"/>
              <w:ind w:right="610"/>
              <w:spacing w:after="0"/>
              <w:rPr>
                <w:sz w:val="20"/>
                <w:szCs w:val="20"/>
                <w:color w:val="auto"/>
              </w:rPr>
            </w:pPr>
            <w:r>
              <w:rPr>
                <w:rFonts w:ascii="Arial" w:cs="Arial" w:eastAsia="Arial" w:hAnsi="Arial"/>
                <w:sz w:val="18"/>
                <w:szCs w:val="18"/>
                <w:color w:val="auto"/>
              </w:rPr>
              <w:t>9</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4,500</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55,819</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192,554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2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70,349</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199,860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12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1,904,280</w:t>
            </w:r>
          </w:p>
        </w:tc>
        <w:tc>
          <w:tcPr>
            <w:tcW w:w="28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1,986,644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710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Partners’ equity and liabilities</w:t>
            </w:r>
          </w:p>
        </w:tc>
        <w:tc>
          <w:tcPr>
            <w:tcW w:w="12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b w:val="1"/>
                <w:bCs w:val="1"/>
                <w:color w:val="auto"/>
              </w:rPr>
              <w:t>Partners’ equity</w:t>
            </w:r>
          </w:p>
        </w:tc>
        <w:tc>
          <w:tcPr>
            <w:tcW w:w="1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Owners’ capital</w:t>
            </w:r>
          </w:p>
        </w:tc>
        <w:tc>
          <w:tcPr>
            <w:tcW w:w="12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93,270</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2"/>
        </w:trPr>
        <w:tc>
          <w:tcPr>
            <w:tcW w:w="7100" w:type="dxa"/>
            <w:vAlign w:val="bottom"/>
          </w:tcPr>
          <w:p>
            <w:pPr>
              <w:spacing w:after="0" w:line="201" w:lineRule="exact"/>
              <w:rPr>
                <w:sz w:val="20"/>
                <w:szCs w:val="20"/>
                <w:color w:val="auto"/>
              </w:rPr>
            </w:pPr>
            <w:r>
              <w:rPr>
                <w:rFonts w:ascii="Arial" w:cs="Arial" w:eastAsia="Arial" w:hAnsi="Arial"/>
                <w:sz w:val="18"/>
                <w:szCs w:val="18"/>
                <w:color w:val="auto"/>
                <w:w w:val="95"/>
              </w:rPr>
              <w:t>Common unitholders (24,572,358 units issued and outstanding as of December 31, 2016 and</w:t>
            </w: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180"/>
              <w:spacing w:after="0"/>
              <w:rPr>
                <w:sz w:val="20"/>
                <w:szCs w:val="20"/>
                <w:color w:val="auto"/>
              </w:rPr>
            </w:pPr>
            <w:r>
              <w:rPr>
                <w:rFonts w:ascii="Arial" w:cs="Arial" w:eastAsia="Arial" w:hAnsi="Arial"/>
                <w:sz w:val="18"/>
                <w:szCs w:val="18"/>
                <w:color w:val="auto"/>
              </w:rPr>
              <w:t>40,616,601 units issued and outstanding as of September 30, 2017)</w:t>
            </w:r>
          </w:p>
        </w:tc>
        <w:tc>
          <w:tcPr>
            <w:tcW w:w="1200" w:type="dxa"/>
            <w:vAlign w:val="bottom"/>
          </w:tcPr>
          <w:p>
            <w:pPr>
              <w:jc w:val="right"/>
              <w:ind w:right="610"/>
              <w:spacing w:after="0"/>
              <w:rPr>
                <w:sz w:val="20"/>
                <w:szCs w:val="20"/>
                <w:color w:val="auto"/>
              </w:rPr>
            </w:pPr>
            <w:r>
              <w:rPr>
                <w:rFonts w:ascii="Arial" w:cs="Arial" w:eastAsia="Arial" w:hAnsi="Arial"/>
                <w:sz w:val="18"/>
                <w:szCs w:val="18"/>
                <w:color w:val="auto"/>
              </w:rPr>
              <w:t>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565,408</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741,803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Subordinated unitholders (9,822,358 units issued and outstanding as of December 31, 2016</w:t>
            </w:r>
          </w:p>
        </w:tc>
        <w:tc>
          <w:tcPr>
            <w:tcW w:w="1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nil units issued and outstanding as of September 30, 2017)</w:t>
            </w:r>
          </w:p>
        </w:tc>
        <w:tc>
          <w:tcPr>
            <w:tcW w:w="12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60,988</w:t>
            </w:r>
          </w:p>
        </w:tc>
        <w:tc>
          <w:tcPr>
            <w:tcW w:w="148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100" w:type="dxa"/>
            <w:vAlign w:val="bottom"/>
          </w:tcPr>
          <w:p>
            <w:pPr>
              <w:spacing w:after="0" w:line="201" w:lineRule="exact"/>
              <w:rPr>
                <w:sz w:val="20"/>
                <w:szCs w:val="20"/>
                <w:color w:val="auto"/>
              </w:rPr>
            </w:pPr>
            <w:r>
              <w:rPr>
                <w:rFonts w:ascii="Arial" w:cs="Arial" w:eastAsia="Arial" w:hAnsi="Arial"/>
                <w:sz w:val="18"/>
                <w:szCs w:val="18"/>
                <w:color w:val="auto"/>
                <w:w w:val="94"/>
              </w:rPr>
              <w:t>General partner (701,933 units issued and outstanding as of December 31, 2016 and 828,911</w:t>
            </w: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180"/>
              <w:spacing w:after="0"/>
              <w:rPr>
                <w:sz w:val="20"/>
                <w:szCs w:val="20"/>
                <w:color w:val="auto"/>
              </w:rPr>
            </w:pPr>
            <w:r>
              <w:rPr>
                <w:rFonts w:ascii="Arial" w:cs="Arial" w:eastAsia="Arial" w:hAnsi="Arial"/>
                <w:sz w:val="18"/>
                <w:szCs w:val="18"/>
                <w:color w:val="auto"/>
              </w:rPr>
              <w:t>units issued and outstanding as of September 30, 2017)</w:t>
            </w:r>
          </w:p>
        </w:tc>
        <w:tc>
          <w:tcPr>
            <w:tcW w:w="1200" w:type="dxa"/>
            <w:vAlign w:val="bottom"/>
          </w:tcPr>
          <w:p>
            <w:pPr>
              <w:jc w:val="right"/>
              <w:ind w:right="610"/>
              <w:spacing w:after="0"/>
              <w:rPr>
                <w:sz w:val="20"/>
                <w:szCs w:val="20"/>
                <w:color w:val="auto"/>
              </w:rPr>
            </w:pPr>
            <w:r>
              <w:rPr>
                <w:rFonts w:ascii="Arial" w:cs="Arial" w:eastAsia="Arial" w:hAnsi="Arial"/>
                <w:sz w:val="18"/>
                <w:szCs w:val="18"/>
                <w:color w:val="auto"/>
              </w:rPr>
              <w:t>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10,095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11,553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Incentive distribution rights (“IDR”)</w:t>
            </w:r>
          </w:p>
        </w:tc>
        <w:tc>
          <w:tcPr>
            <w:tcW w:w="12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5,878</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100" w:type="dxa"/>
            <w:vAlign w:val="bottom"/>
          </w:tcPr>
          <w:p>
            <w:pPr>
              <w:spacing w:after="0" w:line="201" w:lineRule="exact"/>
              <w:rPr>
                <w:sz w:val="20"/>
                <w:szCs w:val="20"/>
                <w:color w:val="auto"/>
              </w:rPr>
            </w:pPr>
            <w:r>
              <w:rPr>
                <w:rFonts w:ascii="Arial" w:cs="Arial" w:eastAsia="Arial" w:hAnsi="Arial"/>
                <w:sz w:val="18"/>
                <w:szCs w:val="18"/>
                <w:color w:val="auto"/>
              </w:rPr>
              <w:t>Preference unitholders (nil units issued and outstanding as of December 31, 2016 and</w:t>
            </w:r>
          </w:p>
        </w:tc>
        <w:tc>
          <w:tcPr>
            <w:tcW w:w="1200" w:type="dxa"/>
            <w:vAlign w:val="bottom"/>
          </w:tcPr>
          <w:p>
            <w:pPr>
              <w:spacing w:after="0"/>
              <w:rPr>
                <w:sz w:val="17"/>
                <w:szCs w:val="17"/>
                <w:color w:val="auto"/>
              </w:rPr>
            </w:pPr>
          </w:p>
        </w:tc>
        <w:tc>
          <w:tcPr>
            <w:tcW w:w="164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180"/>
              <w:spacing w:after="0"/>
              <w:rPr>
                <w:sz w:val="20"/>
                <w:szCs w:val="20"/>
                <w:color w:val="auto"/>
              </w:rPr>
            </w:pPr>
            <w:r>
              <w:rPr>
                <w:rFonts w:ascii="Arial" w:cs="Arial" w:eastAsia="Arial" w:hAnsi="Arial"/>
                <w:sz w:val="18"/>
                <w:szCs w:val="18"/>
                <w:color w:val="auto"/>
              </w:rPr>
              <w:t>5,750,000 units issued and outstanding as of September 30, 2017)</w:t>
            </w:r>
          </w:p>
        </w:tc>
        <w:tc>
          <w:tcPr>
            <w:tcW w:w="1200" w:type="dxa"/>
            <w:vAlign w:val="bottom"/>
          </w:tcPr>
          <w:p>
            <w:pPr>
              <w:jc w:val="right"/>
              <w:ind w:right="610"/>
              <w:spacing w:after="0"/>
              <w:rPr>
                <w:sz w:val="20"/>
                <w:szCs w:val="20"/>
                <w:color w:val="auto"/>
              </w:rPr>
            </w:pPr>
            <w:r>
              <w:rPr>
                <w:rFonts w:ascii="Arial" w:cs="Arial" w:eastAsia="Arial" w:hAnsi="Arial"/>
                <w:sz w:val="18"/>
                <w:szCs w:val="18"/>
                <w:color w:val="auto"/>
              </w:rPr>
              <w:t>5</w:t>
            </w:r>
          </w:p>
        </w:tc>
        <w:tc>
          <w:tcPr>
            <w:tcW w:w="1640" w:type="dxa"/>
            <w:vAlign w:val="bottom"/>
            <w:gridSpan w:val="2"/>
            <w:vMerge w:val="continue"/>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139,298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partners’ equity</w:t>
            </w:r>
          </w:p>
        </w:tc>
        <w:tc>
          <w:tcPr>
            <w:tcW w:w="12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735,639</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898,558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100" w:type="dxa"/>
            <w:vAlign w:val="bottom"/>
          </w:tcPr>
          <w:p>
            <w:pPr>
              <w:spacing w:after="0" w:line="196" w:lineRule="exact"/>
              <w:rPr>
                <w:sz w:val="20"/>
                <w:szCs w:val="20"/>
                <w:color w:val="auto"/>
              </w:rPr>
            </w:pPr>
            <w:r>
              <w:rPr>
                <w:rFonts w:ascii="Arial" w:cs="Arial" w:eastAsia="Arial" w:hAnsi="Arial"/>
                <w:sz w:val="18"/>
                <w:szCs w:val="18"/>
                <w:b w:val="1"/>
                <w:bCs w:val="1"/>
                <w:color w:val="auto"/>
              </w:rPr>
              <w:t>Current liabilities</w:t>
            </w: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1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2,247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Due to related parties</w:t>
            </w:r>
          </w:p>
        </w:tc>
        <w:tc>
          <w:tcPr>
            <w:tcW w:w="1200" w:type="dxa"/>
            <w:vAlign w:val="bottom"/>
          </w:tcPr>
          <w:p>
            <w:pPr>
              <w:jc w:val="right"/>
              <w:ind w:right="610"/>
              <w:spacing w:after="0"/>
              <w:rPr>
                <w:sz w:val="20"/>
                <w:szCs w:val="20"/>
                <w:color w:val="auto"/>
              </w:rPr>
            </w:pPr>
            <w:r>
              <w:rPr>
                <w:rFonts w:ascii="Arial" w:cs="Arial" w:eastAsia="Arial" w:hAnsi="Arial"/>
                <w:sz w:val="18"/>
                <w:szCs w:val="18"/>
                <w:color w:val="auto"/>
              </w:rPr>
              <w:t>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3,612</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12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9</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1,836</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Other payables and accruals</w:t>
            </w:r>
          </w:p>
        </w:tc>
        <w:tc>
          <w:tcPr>
            <w:tcW w:w="1200" w:type="dxa"/>
            <w:vAlign w:val="bottom"/>
          </w:tcPr>
          <w:p>
            <w:pPr>
              <w:jc w:val="right"/>
              <w:ind w:right="610"/>
              <w:spacing w:after="0"/>
              <w:rPr>
                <w:sz w:val="20"/>
                <w:szCs w:val="20"/>
                <w:color w:val="auto"/>
              </w:rPr>
            </w:pPr>
            <w:r>
              <w:rPr>
                <w:rFonts w:ascii="Arial" w:cs="Arial" w:eastAsia="Arial" w:hAnsi="Arial"/>
                <w:sz w:val="18"/>
                <w:szCs w:val="18"/>
                <w:color w:val="auto"/>
              </w:rPr>
              <w:t>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38,294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34,662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Borrowings—current portion</w:t>
            </w:r>
          </w:p>
        </w:tc>
        <w:tc>
          <w:tcPr>
            <w:tcW w:w="12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6</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66,697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96,086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120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112,686</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134,541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Non-current liabilities</w:t>
            </w:r>
          </w:p>
        </w:tc>
        <w:tc>
          <w:tcPr>
            <w:tcW w:w="1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1200" w:type="dxa"/>
            <w:vAlign w:val="bottom"/>
          </w:tcPr>
          <w:p>
            <w:pPr>
              <w:jc w:val="right"/>
              <w:ind w:right="610"/>
              <w:spacing w:after="0"/>
              <w:rPr>
                <w:sz w:val="20"/>
                <w:szCs w:val="20"/>
                <w:color w:val="auto"/>
              </w:rPr>
            </w:pPr>
            <w:r>
              <w:rPr>
                <w:rFonts w:ascii="Arial" w:cs="Arial" w:eastAsia="Arial" w:hAnsi="Arial"/>
                <w:sz w:val="18"/>
                <w:szCs w:val="18"/>
                <w:color w:val="auto"/>
              </w:rPr>
              <w:t>9</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Borrowings—non-current portion</w:t>
            </w:r>
          </w:p>
        </w:tc>
        <w:tc>
          <w:tcPr>
            <w:tcW w:w="12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1,055,773</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953,018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2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182</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12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1,055,955</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953,545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00" w:type="dxa"/>
            <w:vAlign w:val="bottom"/>
          </w:tcPr>
          <w:p>
            <w:pPr>
              <w:spacing w:after="0"/>
              <w:rPr>
                <w:sz w:val="20"/>
                <w:szCs w:val="20"/>
                <w:color w:val="auto"/>
              </w:rPr>
            </w:pPr>
            <w:r>
              <w:rPr>
                <w:rFonts w:ascii="Arial" w:cs="Arial" w:eastAsia="Arial" w:hAnsi="Arial"/>
                <w:sz w:val="18"/>
                <w:szCs w:val="18"/>
                <w:b w:val="1"/>
                <w:bCs w:val="1"/>
                <w:color w:val="auto"/>
              </w:rPr>
              <w:t>Total partners’ equity and liabilities</w:t>
            </w:r>
          </w:p>
        </w:tc>
        <w:tc>
          <w:tcPr>
            <w:tcW w:w="12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1,904,280</w:t>
            </w:r>
          </w:p>
        </w:tc>
        <w:tc>
          <w:tcPr>
            <w:tcW w:w="28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1,986,644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20" w:right="500" w:hanging="384"/>
        <w:spacing w:after="0" w:line="227" w:lineRule="auto"/>
        <w:tabs>
          <w:tab w:leader="none" w:pos="503"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Restated so as to reflect the historical financial statements of GAS-eleven Ltd. and GAS-thirteen Ltd. acquired on May 3, 2017 and July 3, 2017, respectively, from GasLog Ltd. (“GasLog”) (Note 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profit or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nine months ended September 30,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per unit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For the three months ended</w:t>
            </w:r>
          </w:p>
        </w:tc>
        <w:tc>
          <w:tcPr>
            <w:tcW w:w="26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4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Note</w:t>
            </w:r>
          </w:p>
        </w:tc>
        <w:tc>
          <w:tcPr>
            <w:tcW w:w="142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140" w:type="dxa"/>
            <w:vAlign w:val="bottom"/>
            <w:tcBorders>
              <w:top w:val="single" w:sz="8" w:color="auto"/>
            </w:tcBorders>
          </w:tcPr>
          <w:p>
            <w:pPr>
              <w:jc w:val="right"/>
              <w:ind w:right="53"/>
              <w:spacing w:after="0" w:line="119" w:lineRule="exact"/>
              <w:rPr>
                <w:sz w:val="20"/>
                <w:szCs w:val="20"/>
                <w:color w:val="auto"/>
              </w:rPr>
            </w:pPr>
            <w:r>
              <w:rPr>
                <w:rFonts w:ascii="Arial" w:cs="Arial" w:eastAsia="Arial" w:hAnsi="Arial"/>
                <w:sz w:val="13"/>
                <w:szCs w:val="13"/>
                <w:b w:val="1"/>
                <w:bCs w:val="1"/>
                <w:color w:val="auto"/>
              </w:rPr>
              <w:t>September 30,</w:t>
            </w:r>
          </w:p>
        </w:tc>
        <w:tc>
          <w:tcPr>
            <w:tcW w:w="280" w:type="dxa"/>
            <w:vAlign w:val="bottom"/>
          </w:tcPr>
          <w:p>
            <w:pPr>
              <w:spacing w:after="0"/>
              <w:rPr>
                <w:sz w:val="10"/>
                <w:szCs w:val="10"/>
                <w:color w:val="auto"/>
              </w:rPr>
            </w:pPr>
          </w:p>
        </w:tc>
        <w:tc>
          <w:tcPr>
            <w:tcW w:w="142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140" w:type="dxa"/>
            <w:vAlign w:val="bottom"/>
            <w:tcBorders>
              <w:top w:val="single" w:sz="8" w:color="auto"/>
            </w:tcBorders>
          </w:tcPr>
          <w:p>
            <w:pPr>
              <w:jc w:val="right"/>
              <w:ind w:right="53"/>
              <w:spacing w:after="0" w:line="119" w:lineRule="exact"/>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260" w:type="dxa"/>
            <w:vAlign w:val="bottom"/>
          </w:tcPr>
          <w:p>
            <w:pPr>
              <w:spacing w:after="0"/>
              <w:rPr>
                <w:sz w:val="14"/>
                <w:szCs w:val="14"/>
                <w:color w:val="auto"/>
              </w:rPr>
            </w:pPr>
          </w:p>
        </w:tc>
        <w:tc>
          <w:tcPr>
            <w:tcW w:w="1140" w:type="dxa"/>
            <w:vAlign w:val="bottom"/>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280" w:type="dxa"/>
            <w:vAlign w:val="bottom"/>
          </w:tcPr>
          <w:p>
            <w:pPr>
              <w:spacing w:after="0"/>
              <w:rPr>
                <w:sz w:val="14"/>
                <w:szCs w:val="14"/>
                <w:color w:val="auto"/>
              </w:rPr>
            </w:pPr>
          </w:p>
        </w:tc>
        <w:tc>
          <w:tcPr>
            <w:tcW w:w="1140" w:type="dxa"/>
            <w:vAlign w:val="bottom"/>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i w:val="1"/>
                <w:iCs w:val="1"/>
                <w:color w:val="auto"/>
                <w:w w:val="86"/>
              </w:rPr>
              <w:t xml:space="preserve">(restated) </w:t>
            </w:r>
            <w:r>
              <w:rPr>
                <w:rFonts w:ascii="Arial" w:cs="Arial" w:eastAsia="Arial" w:hAnsi="Arial"/>
                <w:sz w:val="16"/>
                <w:szCs w:val="16"/>
                <w:b w:val="1"/>
                <w:bCs w:val="1"/>
                <w:color w:val="auto"/>
                <w:w w:val="86"/>
                <w:vertAlign w:val="superscript"/>
              </w:rPr>
              <w:t>(1)</w:t>
            </w:r>
          </w:p>
        </w:tc>
        <w:tc>
          <w:tcPr>
            <w:tcW w:w="26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i w:val="1"/>
                <w:iCs w:val="1"/>
                <w:color w:val="auto"/>
                <w:w w:val="86"/>
              </w:rPr>
              <w:t xml:space="preserve">(restated) </w:t>
            </w:r>
            <w:r>
              <w:rPr>
                <w:rFonts w:ascii="Arial" w:cs="Arial" w:eastAsia="Arial" w:hAnsi="Arial"/>
                <w:sz w:val="16"/>
                <w:szCs w:val="16"/>
                <w:b w:val="1"/>
                <w:bCs w:val="1"/>
                <w:color w:val="auto"/>
                <w:w w:val="86"/>
                <w:vertAlign w:val="superscript"/>
              </w:rPr>
              <w:t>(1)</w:t>
            </w:r>
          </w:p>
        </w:tc>
        <w:tc>
          <w:tcPr>
            <w:tcW w:w="28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66,033</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73,439</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186,387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Vessel operating costs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(13,536)</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(15,066)</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(39,425)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(43,568)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 and commissions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(849)</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(921)</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Depreciation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(14,076)</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(15,611)</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(40,516)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(46,327)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(3,130)</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(3,787)</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(9,227)</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Profit from operations</w:t>
            </w:r>
          </w:p>
        </w:tc>
        <w:tc>
          <w:tcPr>
            <w:tcW w:w="11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34,442</w:t>
            </w:r>
          </w:p>
        </w:tc>
        <w:tc>
          <w:tcPr>
            <w:tcW w:w="26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38,054</w:t>
            </w:r>
          </w:p>
        </w:tc>
        <w:tc>
          <w:tcPr>
            <w:tcW w:w="2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94,589</w:t>
            </w:r>
          </w:p>
        </w:tc>
        <w:tc>
          <w:tcPr>
            <w:tcW w:w="2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114,825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(12,249)</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(12,319)</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(30,162)</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Financial income</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89</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311</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131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Loss on interest rate swaps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(2,244)</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(6,136)</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other expenses, net</w:t>
            </w:r>
          </w:p>
        </w:tc>
        <w:tc>
          <w:tcPr>
            <w:tcW w:w="11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(14,404)</w:t>
            </w:r>
          </w:p>
        </w:tc>
        <w:tc>
          <w:tcPr>
            <w:tcW w:w="26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(12,680)</w:t>
            </w:r>
          </w:p>
        </w:tc>
        <w:tc>
          <w:tcPr>
            <w:tcW w:w="2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(36,167)</w:t>
            </w:r>
          </w:p>
        </w:tc>
        <w:tc>
          <w:tcPr>
            <w:tcW w:w="2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(38,414)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 for the period</w:t>
            </w:r>
          </w:p>
        </w:tc>
        <w:tc>
          <w:tcPr>
            <w:tcW w:w="1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20,038</w:t>
            </w: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25,374</w:t>
            </w: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58,422</w:t>
            </w: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76,411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4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Earnings per unit attributable to the Partnership,</w:t>
            </w: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basic and diluted:</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Common unit (basic and diluted)</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0.54</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0.53</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1.55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Subordinated unit</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0.52</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bl>
    <w:p>
      <w:pPr>
        <w:sectPr>
          <w:pgSz w:w="11900" w:h="16843" w:orient="portrait"/>
          <w:cols w:equalWidth="0" w:num="1">
            <w:col w:w="11420"/>
          </w:cols>
          <w:pgMar w:left="240" w:top="125" w:right="239"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General partner unit</w:t>
            </w:r>
          </w:p>
        </w:tc>
        <w:tc>
          <w:tcPr>
            <w:tcW w:w="3500" w:type="dxa"/>
            <w:vAlign w:val="bottom"/>
          </w:tcPr>
          <w:p>
            <w:pPr>
              <w:jc w:val="right"/>
              <w:ind w:right="450"/>
              <w:spacing w:after="0"/>
              <w:rPr>
                <w:sz w:val="20"/>
                <w:szCs w:val="20"/>
                <w:color w:val="auto"/>
              </w:rPr>
            </w:pPr>
            <w:r>
              <w:rPr>
                <w:rFonts w:ascii="Arial" w:cs="Arial" w:eastAsia="Arial" w:hAnsi="Arial"/>
                <w:sz w:val="18"/>
                <w:szCs w:val="18"/>
                <w:color w:val="auto"/>
              </w:rPr>
              <w:t>0.56</w:t>
            </w:r>
          </w:p>
        </w:tc>
        <w:tc>
          <w:tcPr>
            <w:tcW w:w="1400" w:type="dxa"/>
            <w:vAlign w:val="bottom"/>
          </w:tcPr>
          <w:p>
            <w:pPr>
              <w:jc w:val="right"/>
              <w:ind w:right="450"/>
              <w:spacing w:after="0"/>
              <w:rPr>
                <w:sz w:val="20"/>
                <w:szCs w:val="20"/>
                <w:color w:val="auto"/>
              </w:rPr>
            </w:pPr>
            <w:r>
              <w:rPr>
                <w:rFonts w:ascii="Arial" w:cs="Arial" w:eastAsia="Arial" w:hAnsi="Arial"/>
                <w:sz w:val="18"/>
                <w:szCs w:val="18"/>
                <w:color w:val="auto"/>
              </w:rPr>
              <w:t>0.56</w:t>
            </w:r>
          </w:p>
        </w:tc>
        <w:tc>
          <w:tcPr>
            <w:tcW w:w="1420" w:type="dxa"/>
            <w:vAlign w:val="bottom"/>
          </w:tcPr>
          <w:p>
            <w:pPr>
              <w:jc w:val="right"/>
              <w:ind w:right="450"/>
              <w:spacing w:after="0"/>
              <w:rPr>
                <w:sz w:val="20"/>
                <w:szCs w:val="20"/>
                <w:color w:val="auto"/>
              </w:rPr>
            </w:pPr>
            <w:r>
              <w:rPr>
                <w:rFonts w:ascii="Arial" w:cs="Arial" w:eastAsia="Arial" w:hAnsi="Arial"/>
                <w:sz w:val="18"/>
                <w:szCs w:val="18"/>
                <w:color w:val="auto"/>
              </w:rPr>
              <w:t>1.60</w:t>
            </w:r>
          </w:p>
        </w:tc>
        <w:tc>
          <w:tcPr>
            <w:tcW w:w="880" w:type="dxa"/>
            <w:vAlign w:val="bottom"/>
          </w:tcPr>
          <w:p>
            <w:pPr>
              <w:jc w:val="right"/>
              <w:spacing w:after="0"/>
              <w:rPr>
                <w:sz w:val="20"/>
                <w:szCs w:val="20"/>
                <w:color w:val="auto"/>
              </w:rPr>
            </w:pPr>
            <w:r>
              <w:rPr>
                <w:rFonts w:ascii="Arial" w:cs="Arial" w:eastAsia="Arial" w:hAnsi="Arial"/>
                <w:sz w:val="18"/>
                <w:szCs w:val="18"/>
                <w:color w:val="auto"/>
              </w:rPr>
              <w:t>1.57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right="100" w:hanging="324"/>
        <w:spacing w:after="0" w:line="227" w:lineRule="auto"/>
        <w:tabs>
          <w:tab w:leader="none" w:pos="44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Restated so as to reflect the historical financial statements of GAS-seven Ltd., GAS-eleven Ltd. and GAS-thirteen Ltd. acquired on November 1, 2016, May 3, 2017 and July 3, 2017, respectively, from GasLog (Note 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25" w:lineRule="exact"/>
        <w:rPr>
          <w:sz w:val="20"/>
          <w:szCs w:val="20"/>
          <w:color w:val="auto"/>
        </w:rPr>
      </w:pPr>
    </w:p>
    <w:p>
      <w:pPr>
        <w:ind w:right="5360"/>
        <w:spacing w:after="0" w:line="266" w:lineRule="auto"/>
        <w:rPr>
          <w:sz w:val="20"/>
          <w:szCs w:val="20"/>
          <w:color w:val="auto"/>
        </w:rPr>
      </w:pPr>
      <w:r>
        <w:rPr>
          <w:rFonts w:ascii="Arial" w:cs="Arial" w:eastAsia="Arial" w:hAnsi="Arial"/>
          <w:sz w:val="18"/>
          <w:szCs w:val="18"/>
          <w:b w:val="1"/>
          <w:bCs w:val="1"/>
          <w:color w:val="auto"/>
        </w:rPr>
        <w:t>Unaudited condensed consolidated statements of comprehensive income or loss For the three and nine months ended September 30, 2016 and 2017 (All amounts expressed in thousands of U.S. Dollars)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For the three months ended</w:t>
            </w:r>
          </w:p>
        </w:tc>
        <w:tc>
          <w:tcPr>
            <w:tcW w:w="2660" w:type="dxa"/>
            <w:vAlign w:val="bottom"/>
            <w:gridSpan w:val="5"/>
          </w:tcPr>
          <w:p>
            <w:pPr>
              <w:ind w:left="46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Note</w:t>
            </w:r>
          </w:p>
        </w:tc>
        <w:tc>
          <w:tcPr>
            <w:tcW w:w="142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140" w:type="dxa"/>
            <w:vAlign w:val="bottom"/>
            <w:tcBorders>
              <w:top w:val="single" w:sz="8" w:color="auto"/>
            </w:tcBorders>
          </w:tcPr>
          <w:p>
            <w:pPr>
              <w:jc w:val="right"/>
              <w:ind w:right="57"/>
              <w:spacing w:after="0" w:line="119" w:lineRule="exact"/>
              <w:rPr>
                <w:sz w:val="20"/>
                <w:szCs w:val="20"/>
                <w:color w:val="auto"/>
              </w:rPr>
            </w:pPr>
            <w:r>
              <w:rPr>
                <w:rFonts w:ascii="Arial" w:cs="Arial" w:eastAsia="Arial" w:hAnsi="Arial"/>
                <w:sz w:val="13"/>
                <w:szCs w:val="13"/>
                <w:b w:val="1"/>
                <w:bCs w:val="1"/>
                <w:color w:val="auto"/>
              </w:rPr>
              <w:t>September 30,</w:t>
            </w:r>
          </w:p>
        </w:tc>
        <w:tc>
          <w:tcPr>
            <w:tcW w:w="280" w:type="dxa"/>
            <w:vAlign w:val="bottom"/>
          </w:tcPr>
          <w:p>
            <w:pPr>
              <w:spacing w:after="0"/>
              <w:rPr>
                <w:sz w:val="10"/>
                <w:szCs w:val="10"/>
                <w:color w:val="auto"/>
              </w:rPr>
            </w:pPr>
          </w:p>
        </w:tc>
        <w:tc>
          <w:tcPr>
            <w:tcW w:w="142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140" w:type="dxa"/>
            <w:vAlign w:val="bottom"/>
            <w:tcBorders>
              <w:top w:val="single" w:sz="8" w:color="auto"/>
            </w:tcBorders>
          </w:tcPr>
          <w:p>
            <w:pPr>
              <w:jc w:val="right"/>
              <w:ind w:right="57"/>
              <w:spacing w:after="0" w:line="119" w:lineRule="exact"/>
              <w:rPr>
                <w:sz w:val="20"/>
                <w:szCs w:val="20"/>
                <w:color w:val="auto"/>
              </w:rPr>
            </w:pPr>
            <w:r>
              <w:rPr>
                <w:rFonts w:ascii="Arial" w:cs="Arial" w:eastAsia="Arial" w:hAnsi="Arial"/>
                <w:sz w:val="13"/>
                <w:szCs w:val="13"/>
                <w:b w:val="1"/>
                <w:bCs w:val="1"/>
                <w:color w:val="auto"/>
              </w:rPr>
              <w:t>September 30,</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280" w:type="dxa"/>
            <w:vAlign w:val="bottom"/>
          </w:tcPr>
          <w:p>
            <w:pPr>
              <w:spacing w:after="0"/>
              <w:rPr>
                <w:sz w:val="14"/>
                <w:szCs w:val="14"/>
                <w:color w:val="auto"/>
              </w:rPr>
            </w:pPr>
          </w:p>
        </w:tc>
        <w:tc>
          <w:tcPr>
            <w:tcW w:w="1140" w:type="dxa"/>
            <w:vAlign w:val="bottom"/>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280" w:type="dxa"/>
            <w:vAlign w:val="bottom"/>
          </w:tcPr>
          <w:p>
            <w:pPr>
              <w:spacing w:after="0"/>
              <w:rPr>
                <w:sz w:val="14"/>
                <w:szCs w:val="14"/>
                <w:color w:val="auto"/>
              </w:rPr>
            </w:pPr>
          </w:p>
        </w:tc>
        <w:tc>
          <w:tcPr>
            <w:tcW w:w="1140" w:type="dxa"/>
            <w:vAlign w:val="bottom"/>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i w:val="1"/>
                <w:iCs w:val="1"/>
                <w:color w:val="auto"/>
                <w:w w:val="86"/>
              </w:rPr>
              <w:t xml:space="preserve">(restated) </w:t>
            </w:r>
            <w:r>
              <w:rPr>
                <w:rFonts w:ascii="Arial" w:cs="Arial" w:eastAsia="Arial" w:hAnsi="Arial"/>
                <w:sz w:val="16"/>
                <w:szCs w:val="16"/>
                <w:b w:val="1"/>
                <w:bCs w:val="1"/>
                <w:color w:val="auto"/>
                <w:w w:val="86"/>
                <w:vertAlign w:val="superscript"/>
              </w:rPr>
              <w:t>(1)</w:t>
            </w:r>
          </w:p>
        </w:tc>
        <w:tc>
          <w:tcPr>
            <w:tcW w:w="28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i w:val="1"/>
                <w:iCs w:val="1"/>
                <w:color w:val="auto"/>
                <w:w w:val="86"/>
              </w:rPr>
              <w:t xml:space="preserve">(restated) </w:t>
            </w:r>
            <w:r>
              <w:rPr>
                <w:rFonts w:ascii="Arial" w:cs="Arial" w:eastAsia="Arial" w:hAnsi="Arial"/>
                <w:sz w:val="16"/>
                <w:szCs w:val="16"/>
                <w:b w:val="1"/>
                <w:bCs w:val="1"/>
                <w:color w:val="auto"/>
                <w:w w:val="86"/>
                <w:vertAlign w:val="superscript"/>
              </w:rPr>
              <w:t>(1)</w:t>
            </w:r>
          </w:p>
        </w:tc>
        <w:tc>
          <w:tcPr>
            <w:tcW w:w="28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for the period</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20,038</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25,374</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58,422</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76,411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Items that may be reclassified subsequently to profit or</w:t>
            </w: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loss:</w:t>
            </w:r>
          </w:p>
        </w:tc>
        <w:tc>
          <w:tcPr>
            <w:tcW w:w="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00" w:type="dxa"/>
            <w:vAlign w:val="bottom"/>
          </w:tcPr>
          <w:p>
            <w:pPr>
              <w:spacing w:after="0" w:line="201" w:lineRule="exact"/>
              <w:rPr>
                <w:sz w:val="20"/>
                <w:szCs w:val="20"/>
                <w:color w:val="auto"/>
              </w:rPr>
            </w:pPr>
            <w:r>
              <w:rPr>
                <w:rFonts w:ascii="Arial" w:cs="Arial" w:eastAsia="Arial" w:hAnsi="Arial"/>
                <w:sz w:val="18"/>
                <w:szCs w:val="18"/>
                <w:color w:val="auto"/>
              </w:rPr>
              <w:t>Recycled loss of cash flow hedges reclassified to profit or</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3"/>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loss</w:t>
            </w:r>
          </w:p>
        </w:tc>
        <w:tc>
          <w:tcPr>
            <w:tcW w:w="920" w:type="dxa"/>
            <w:vAlign w:val="bottom"/>
          </w:tcPr>
          <w:p>
            <w:pPr>
              <w:jc w:val="right"/>
              <w:ind w:right="279"/>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2,240</w:t>
            </w:r>
          </w:p>
        </w:tc>
        <w:tc>
          <w:tcPr>
            <w:tcW w:w="1420" w:type="dxa"/>
            <w:vAlign w:val="bottom"/>
            <w:gridSpan w:val="2"/>
            <w:vMerge w:val="continue"/>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2,527</w:t>
            </w:r>
          </w:p>
        </w:tc>
        <w:tc>
          <w:tcPr>
            <w:tcW w:w="12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for the period</w:t>
            </w:r>
          </w:p>
        </w:tc>
        <w:tc>
          <w:tcPr>
            <w:tcW w:w="9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2,240</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2,527</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Arial" w:cs="Arial" w:eastAsia="Arial" w:hAnsi="Arial"/>
                <w:sz w:val="18"/>
                <w:szCs w:val="18"/>
                <w:b w:val="1"/>
                <w:bCs w:val="1"/>
                <w:color w:val="auto"/>
              </w:rPr>
              <w:t>Total comprehensive income for the period</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22,278</w:t>
            </w:r>
          </w:p>
        </w:tc>
        <w:tc>
          <w:tcPr>
            <w:tcW w:w="2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25,374</w:t>
            </w:r>
          </w:p>
        </w:tc>
        <w:tc>
          <w:tcPr>
            <w:tcW w:w="2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60,949</w:t>
            </w:r>
          </w:p>
        </w:tc>
        <w:tc>
          <w:tcPr>
            <w:tcW w:w="2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76,411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right="100" w:hanging="324"/>
        <w:spacing w:after="0" w:line="227" w:lineRule="auto"/>
        <w:tabs>
          <w:tab w:leader="none" w:pos="448"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Restated so as to reflect the historical financial statements of GAS-seven Ltd., GAS-eleven Ltd. and GAS-thirteen Ltd. acquired on November 1, 2016, May 3, 2017 and July 3, 2017, respectively, from GasLog (Note 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25" w:lineRule="exact"/>
        <w:rPr>
          <w:sz w:val="20"/>
          <w:szCs w:val="20"/>
          <w:color w:val="auto"/>
        </w:rPr>
      </w:pPr>
    </w:p>
    <w:p>
      <w:pPr>
        <w:ind w:right="4900"/>
        <w:spacing w:after="0" w:line="276" w:lineRule="auto"/>
        <w:rPr>
          <w:sz w:val="20"/>
          <w:szCs w:val="20"/>
          <w:color w:val="auto"/>
        </w:rPr>
      </w:pPr>
      <w:r>
        <w:rPr>
          <w:rFonts w:ascii="Arial" w:cs="Arial" w:eastAsia="Arial" w:hAnsi="Arial"/>
          <w:sz w:val="17"/>
          <w:szCs w:val="17"/>
          <w:b w:val="1"/>
          <w:bCs w:val="1"/>
          <w:color w:val="auto"/>
        </w:rPr>
        <w:t>Unaudited condensed consolidated statements of changes in owners’/partners’ equity For the nine months ended September 30, 2016 and 2017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Limited Partners</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36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General partner</w:t>
            </w:r>
          </w:p>
        </w:tc>
        <w:tc>
          <w:tcPr>
            <w:tcW w:w="1460" w:type="dxa"/>
            <w:vAlign w:val="bottom"/>
            <w:gridSpan w:val="4"/>
          </w:tcPr>
          <w:p>
            <w:pPr>
              <w:jc w:val="right"/>
              <w:ind w:right="480"/>
              <w:spacing w:after="0" w:line="119" w:lineRule="exact"/>
              <w:rPr>
                <w:sz w:val="20"/>
                <w:szCs w:val="20"/>
                <w:color w:val="auto"/>
              </w:rPr>
            </w:pPr>
            <w:r>
              <w:rPr>
                <w:rFonts w:ascii="Arial" w:cs="Arial" w:eastAsia="Arial" w:hAnsi="Arial"/>
                <w:sz w:val="13"/>
                <w:szCs w:val="13"/>
                <w:b w:val="1"/>
                <w:bCs w:val="1"/>
                <w:color w:val="auto"/>
              </w:rPr>
              <w:t>Common</w:t>
            </w:r>
          </w:p>
        </w:tc>
        <w:tc>
          <w:tcPr>
            <w:tcW w:w="1320" w:type="dxa"/>
            <w:vAlign w:val="bottom"/>
            <w:gridSpan w:val="3"/>
          </w:tcPr>
          <w:p>
            <w:pPr>
              <w:jc w:val="right"/>
              <w:ind w:right="168"/>
              <w:spacing w:after="0" w:line="119" w:lineRule="exact"/>
              <w:rPr>
                <w:sz w:val="20"/>
                <w:szCs w:val="20"/>
                <w:color w:val="auto"/>
              </w:rPr>
            </w:pPr>
            <w:r>
              <w:rPr>
                <w:rFonts w:ascii="Arial" w:cs="Arial" w:eastAsia="Arial" w:hAnsi="Arial"/>
                <w:sz w:val="13"/>
                <w:szCs w:val="13"/>
                <w:b w:val="1"/>
                <w:bCs w:val="1"/>
                <w:color w:val="auto"/>
              </w:rPr>
              <w:t>Subordinated</w:t>
            </w:r>
          </w:p>
        </w:tc>
        <w:tc>
          <w:tcPr>
            <w:tcW w:w="100" w:type="dxa"/>
            <w:vAlign w:val="bottom"/>
          </w:tcPr>
          <w:p>
            <w:pPr>
              <w:spacing w:after="0"/>
              <w:rPr>
                <w:sz w:val="10"/>
                <w:szCs w:val="10"/>
                <w:color w:val="auto"/>
              </w:rPr>
            </w:pPr>
          </w:p>
        </w:tc>
        <w:tc>
          <w:tcPr>
            <w:tcW w:w="6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IDR</w:t>
            </w:r>
          </w:p>
        </w:tc>
        <w:tc>
          <w:tcPr>
            <w:tcW w:w="1360" w:type="dxa"/>
            <w:vAlign w:val="bottom"/>
            <w:gridSpan w:val="4"/>
          </w:tcPr>
          <w:p>
            <w:pPr>
              <w:jc w:val="right"/>
              <w:ind w:right="400"/>
              <w:spacing w:after="0" w:line="119" w:lineRule="exact"/>
              <w:rPr>
                <w:sz w:val="20"/>
                <w:szCs w:val="20"/>
                <w:color w:val="auto"/>
              </w:rPr>
            </w:pPr>
            <w:r>
              <w:rPr>
                <w:rFonts w:ascii="Arial" w:cs="Arial" w:eastAsia="Arial" w:hAnsi="Arial"/>
                <w:sz w:val="13"/>
                <w:szCs w:val="13"/>
                <w:b w:val="1"/>
                <w:bCs w:val="1"/>
                <w:color w:val="auto"/>
              </w:rPr>
              <w:t>Preference</w:t>
            </w:r>
          </w:p>
        </w:tc>
        <w:tc>
          <w:tcPr>
            <w:tcW w:w="70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Partners’</w:t>
            </w:r>
          </w:p>
        </w:tc>
        <w:tc>
          <w:tcPr>
            <w:tcW w:w="68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Owners’</w:t>
            </w:r>
          </w:p>
        </w:tc>
        <w:tc>
          <w:tcPr>
            <w:tcW w:w="68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360" w:type="dxa"/>
            <w:vAlign w:val="bottom"/>
            <w:gridSpan w:val="4"/>
            <w:vMerge w:val="continue"/>
          </w:tcPr>
          <w:p>
            <w:pPr>
              <w:spacing w:after="0"/>
              <w:rPr>
                <w:sz w:val="14"/>
                <w:szCs w:val="14"/>
                <w:color w:val="auto"/>
              </w:rPr>
            </w:pPr>
          </w:p>
        </w:tc>
        <w:tc>
          <w:tcPr>
            <w:tcW w:w="14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unitholders</w:t>
            </w:r>
          </w:p>
        </w:tc>
        <w:tc>
          <w:tcPr>
            <w:tcW w:w="14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unitholders</w:t>
            </w:r>
          </w:p>
        </w:tc>
        <w:tc>
          <w:tcPr>
            <w:tcW w:w="680" w:type="dxa"/>
            <w:vAlign w:val="bottom"/>
            <w:gridSpan w:val="2"/>
            <w:vMerge w:val="continue"/>
          </w:tcPr>
          <w:p>
            <w:pPr>
              <w:spacing w:after="0"/>
              <w:rPr>
                <w:sz w:val="14"/>
                <w:szCs w:val="14"/>
                <w:color w:val="auto"/>
              </w:rPr>
            </w:pPr>
          </w:p>
        </w:tc>
        <w:tc>
          <w:tcPr>
            <w:tcW w:w="13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unitholders</w:t>
            </w: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equity</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capital</w:t>
            </w:r>
          </w:p>
        </w:tc>
        <w:tc>
          <w:tcPr>
            <w:tcW w:w="6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68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Units</w:t>
            </w: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Units</w:t>
            </w: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Units</w:t>
            </w: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Units</w:t>
            </w: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January 1, 2016 (as restated</w:t>
            </w:r>
            <w:r>
              <w:rPr>
                <w:rFonts w:ascii="Arial" w:cs="Arial" w:eastAsia="Arial" w:hAnsi="Arial"/>
                <w:sz w:val="16"/>
                <w:szCs w:val="16"/>
                <w:b w:val="1"/>
                <w:bCs w:val="1"/>
                <w:color w:val="auto"/>
                <w:vertAlign w:val="superscript"/>
              </w:rPr>
              <w:t>(1)</w:t>
            </w:r>
            <w:r>
              <w:rPr>
                <w:rFonts w:ascii="Arial" w:cs="Arial" w:eastAsia="Arial" w:hAnsi="Arial"/>
                <w:sz w:val="14"/>
                <w:szCs w:val="14"/>
                <w:b w:val="1"/>
                <w:bCs w:val="1"/>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645,811</w:t>
            </w: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8,842</w:t>
            </w:r>
          </w:p>
        </w:tc>
        <w:tc>
          <w:tcPr>
            <w:tcW w:w="1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8"/>
              </w:rPr>
              <w:t>21,822,358</w:t>
            </w: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507,433</w:t>
            </w: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9,822,358</w:t>
            </w: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59,786</w:t>
            </w: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2,117</w:t>
            </w: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578,178</w:t>
            </w: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104,072</w:t>
            </w: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682,250</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Capital contributions</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10,395</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10,395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Profit attributable to GasLog’s operations (see</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Note 13)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5,979</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5,979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tcPr>
          <w:p>
            <w:pPr>
              <w:spacing w:after="0" w:line="130" w:lineRule="exact"/>
              <w:rPr>
                <w:sz w:val="20"/>
                <w:szCs w:val="20"/>
                <w:color w:val="auto"/>
              </w:rPr>
            </w:pPr>
            <w:r>
              <w:rPr>
                <w:rFonts w:ascii="Arial" w:cs="Arial" w:eastAsia="Arial" w:hAnsi="Arial"/>
                <w:sz w:val="14"/>
                <w:szCs w:val="14"/>
                <w:color w:val="auto"/>
              </w:rPr>
              <w:t>Other comprehensive income attributable to</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Arial" w:cs="Arial" w:eastAsia="Arial" w:hAnsi="Arial"/>
                <w:sz w:val="14"/>
                <w:szCs w:val="14"/>
                <w:color w:val="auto"/>
              </w:rPr>
              <w:t>GasLog’s operations</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2,527</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2,527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6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Total comprehensive income attributable to</w:t>
            </w: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8,506</w:t>
            </w:r>
          </w:p>
        </w:tc>
        <w:tc>
          <w:tcPr>
            <w:tcW w:w="6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8,506</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GasLog’s operations</w:t>
            </w:r>
          </w:p>
        </w:tc>
        <w:tc>
          <w:tcPr>
            <w:tcW w:w="68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Distributions declared</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(970)</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(32,608)</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(14,085)</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(837)</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(48,500)</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(48,500)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Net proceeds from public offerings and issuances</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of common units and general partner units</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(Note 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56,122</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1,094</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2,750,000</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52,299</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53,393</w:t>
            </w:r>
          </w:p>
        </w:tc>
        <w:tc>
          <w:tcPr>
            <w:tcW w:w="680" w:type="dxa"/>
            <w:vAlign w:val="bottom"/>
            <w:gridSpan w:val="2"/>
            <w:vMerge w:val="continue"/>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53,393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127</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57</w:t>
            </w:r>
          </w:p>
        </w:tc>
        <w:tc>
          <w:tcPr>
            <w:tcW w:w="1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56</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245</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Partnership’s profit (see Note 13)</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1,049</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34,680</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14,970</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1,744</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52,443</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52,443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Partnership’s total comprehensive income</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1,049</w:t>
            </w:r>
          </w:p>
        </w:tc>
        <w:tc>
          <w:tcPr>
            <w:tcW w:w="1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34,680</w:t>
            </w:r>
          </w:p>
        </w:tc>
        <w:tc>
          <w:tcPr>
            <w:tcW w:w="8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14,970</w:t>
            </w:r>
          </w:p>
        </w:tc>
        <w:tc>
          <w:tcPr>
            <w:tcW w:w="1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1,744</w:t>
            </w:r>
          </w:p>
        </w:tc>
        <w:tc>
          <w:tcPr>
            <w:tcW w:w="1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52,443</w:t>
            </w:r>
          </w:p>
        </w:tc>
        <w:tc>
          <w:tcPr>
            <w:tcW w:w="1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52,443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99"/>
              </w:rPr>
              <w:t>Balance at September 30, 2016 (as restated</w:t>
            </w:r>
            <w:r>
              <w:rPr>
                <w:rFonts w:ascii="Arial" w:cs="Arial" w:eastAsia="Arial" w:hAnsi="Arial"/>
                <w:sz w:val="16"/>
                <w:szCs w:val="16"/>
                <w:b w:val="1"/>
                <w:bCs w:val="1"/>
                <w:color w:val="auto"/>
                <w:w w:val="99"/>
                <w:vertAlign w:val="superscript"/>
              </w:rPr>
              <w:t>(1)</w:t>
            </w:r>
            <w:r>
              <w:rPr>
                <w:rFonts w:ascii="Arial" w:cs="Arial" w:eastAsia="Arial" w:hAnsi="Arial"/>
                <w:sz w:val="14"/>
                <w:szCs w:val="14"/>
                <w:b w:val="1"/>
                <w:bCs w:val="1"/>
                <w:color w:val="auto"/>
                <w:w w:val="99"/>
              </w:rPr>
              <w:t>)</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701,933</w:t>
            </w: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10,020</w:t>
            </w: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8"/>
              </w:rPr>
              <w:t>24,572,358</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561,931</w:t>
            </w: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9,822,358</w:t>
            </w: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60,728</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3,080</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635,759</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122,973</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758,732</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January 1, 2017 (as restated</w:t>
            </w:r>
            <w:r>
              <w:rPr>
                <w:rFonts w:ascii="Arial" w:cs="Arial" w:eastAsia="Arial" w:hAnsi="Arial"/>
                <w:sz w:val="17"/>
                <w:szCs w:val="17"/>
                <w:b w:val="1"/>
                <w:bCs w:val="1"/>
                <w:color w:val="auto"/>
                <w:vertAlign w:val="superscript"/>
              </w:rPr>
              <w:t>(1)</w:t>
            </w:r>
            <w:r>
              <w:rPr>
                <w:rFonts w:ascii="Arial" w:cs="Arial" w:eastAsia="Arial" w:hAnsi="Arial"/>
                <w:sz w:val="14"/>
                <w:szCs w:val="14"/>
                <w:b w:val="1"/>
                <w:bCs w:val="1"/>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701,933</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10,095</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8"/>
              </w:rPr>
              <w:t>24,572,358</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565,408</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w w:val="99"/>
              </w:rPr>
              <w:t>9,822,358</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60,988</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5,878</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642,369</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93,270</w:t>
            </w: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735,639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tcPr>
          <w:p>
            <w:pPr>
              <w:spacing w:after="0" w:line="130" w:lineRule="exact"/>
              <w:rPr>
                <w:sz w:val="20"/>
                <w:szCs w:val="20"/>
                <w:color w:val="auto"/>
              </w:rPr>
            </w:pPr>
            <w:r>
              <w:rPr>
                <w:rFonts w:ascii="Arial" w:cs="Arial" w:eastAsia="Arial" w:hAnsi="Arial"/>
                <w:sz w:val="14"/>
                <w:szCs w:val="14"/>
                <w:color w:val="auto"/>
              </w:rPr>
              <w:t>Profit and total comprehensive income</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160"/>
              <w:spacing w:after="0" w:line="149" w:lineRule="exact"/>
              <w:rPr>
                <w:sz w:val="20"/>
                <w:szCs w:val="20"/>
                <w:color w:val="auto"/>
              </w:rPr>
            </w:pPr>
            <w:r>
              <w:rPr>
                <w:rFonts w:ascii="Arial" w:cs="Arial" w:eastAsia="Arial" w:hAnsi="Arial"/>
                <w:sz w:val="14"/>
                <w:szCs w:val="14"/>
                <w:color w:val="auto"/>
              </w:rPr>
              <w:t>attributable to GasLog’s operations (see Note</w:t>
            </w: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80" w:type="dxa"/>
            <w:vAlign w:val="bottom"/>
            <w:gridSpan w:val="2"/>
          </w:tcPr>
          <w:p>
            <w:pPr>
              <w:ind w:left="180"/>
              <w:spacing w:after="0"/>
              <w:rPr>
                <w:sz w:val="20"/>
                <w:szCs w:val="20"/>
                <w:color w:val="auto"/>
              </w:rPr>
            </w:pPr>
            <w:r>
              <w:rPr>
                <w:rFonts w:ascii="Arial" w:cs="Arial" w:eastAsia="Arial" w:hAnsi="Arial"/>
                <w:sz w:val="14"/>
                <w:szCs w:val="14"/>
                <w:color w:val="auto"/>
              </w:rPr>
              <w:t>13)</w:t>
            </w:r>
          </w:p>
        </w:tc>
        <w:tc>
          <w:tcPr>
            <w:tcW w:w="6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10,732</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10,732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Net proceeds from public offerings and issuances</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of common units and general partner units</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(Note 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126,978</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2,719</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6,221,885</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130,927</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133,646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133,646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tcPr>
          <w:p>
            <w:pPr>
              <w:spacing w:after="0" w:line="130" w:lineRule="exact"/>
              <w:rPr>
                <w:sz w:val="20"/>
                <w:szCs w:val="20"/>
                <w:color w:val="auto"/>
              </w:rPr>
            </w:pPr>
            <w:r>
              <w:rPr>
                <w:rFonts w:ascii="Arial" w:cs="Arial" w:eastAsia="Arial" w:hAnsi="Arial"/>
                <w:sz w:val="14"/>
                <w:szCs w:val="14"/>
                <w:color w:val="auto"/>
                <w:w w:val="98"/>
              </w:rPr>
              <w:t>Net proceeds from public offering and issuance of</w:t>
            </w: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5,750,000</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Arial" w:cs="Arial" w:eastAsia="Arial" w:hAnsi="Arial"/>
                <w:sz w:val="14"/>
                <w:szCs w:val="14"/>
                <w:color w:val="auto"/>
              </w:rPr>
              <w:t>preference units (Note 5)</w:t>
            </w:r>
          </w:p>
        </w:tc>
        <w:tc>
          <w:tcPr>
            <w:tcW w:w="6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380" w:type="dxa"/>
            <w:vAlign w:val="bottom"/>
            <w:gridSpan w:val="4"/>
            <w:vMerge w:val="continue"/>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138,782</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138,782</w:t>
            </w:r>
          </w:p>
        </w:tc>
        <w:tc>
          <w:tcPr>
            <w:tcW w:w="680" w:type="dxa"/>
            <w:vAlign w:val="bottom"/>
            <w:gridSpan w:val="2"/>
            <w:vMerge w:val="continue"/>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138,782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Cash payments to GasLog in exchange for net</w:t>
            </w: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assets contributions to the Partnership</w:t>
            </w:r>
          </w:p>
        </w:tc>
        <w:tc>
          <w:tcPr>
            <w:tcW w:w="68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(121,554)</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(121,554)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tcPr>
          <w:p>
            <w:pPr>
              <w:spacing w:after="0" w:line="130" w:lineRule="exact"/>
              <w:rPr>
                <w:sz w:val="20"/>
                <w:szCs w:val="20"/>
                <w:color w:val="auto"/>
              </w:rPr>
            </w:pPr>
            <w:r>
              <w:rPr>
                <w:rFonts w:ascii="Arial" w:cs="Arial" w:eastAsia="Arial" w:hAnsi="Arial"/>
                <w:sz w:val="14"/>
                <w:szCs w:val="14"/>
                <w:color w:val="auto"/>
              </w:rPr>
              <w:t>Difference between net book values of acquired</w:t>
            </w: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tcPr>
          <w:p>
            <w:pPr>
              <w:ind w:left="160"/>
              <w:spacing w:after="0"/>
              <w:rPr>
                <w:sz w:val="20"/>
                <w:szCs w:val="20"/>
                <w:color w:val="auto"/>
              </w:rPr>
            </w:pPr>
            <w:r>
              <w:rPr>
                <w:rFonts w:ascii="Arial" w:cs="Arial" w:eastAsia="Arial" w:hAnsi="Arial"/>
                <w:sz w:val="14"/>
                <w:szCs w:val="14"/>
                <w:color w:val="auto"/>
              </w:rPr>
              <w:t>subsidiaries and consideration paid</w:t>
            </w:r>
          </w:p>
        </w:tc>
        <w:tc>
          <w:tcPr>
            <w:tcW w:w="680" w:type="dxa"/>
            <w:vAlign w:val="bottom"/>
            <w:gridSpan w:val="2"/>
            <w:vMerge w:val="continue"/>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(1,277)</w:t>
            </w:r>
          </w:p>
        </w:tc>
        <w:tc>
          <w:tcPr>
            <w:tcW w:w="760" w:type="dxa"/>
            <w:vAlign w:val="bottom"/>
            <w:gridSpan w:val="2"/>
            <w:vMerge w:val="continue"/>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(5,954)</w:t>
            </w:r>
          </w:p>
        </w:tc>
        <w:tc>
          <w:tcPr>
            <w:tcW w:w="760" w:type="dxa"/>
            <w:vAlign w:val="bottom"/>
            <w:gridSpan w:val="2"/>
            <w:vMerge w:val="continue"/>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(10,321)</w:t>
            </w:r>
          </w:p>
        </w:tc>
        <w:tc>
          <w:tcPr>
            <w:tcW w:w="6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(17,552)</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17,552</w:t>
            </w:r>
          </w:p>
        </w:tc>
        <w:tc>
          <w:tcPr>
            <w:tcW w:w="6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declared (see Note 12)</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(1,213)</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(47,964)</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(9,724)</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(1,770)</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(4,133)</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(64,804)</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(64,804)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325</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1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85</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438</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438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Conversion of subordinated units to common</w:t>
            </w: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units (Note 5)</w:t>
            </w:r>
          </w:p>
        </w:tc>
        <w:tc>
          <w:tcPr>
            <w:tcW w:w="68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9,822,358</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46,047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4"/>
              </w:rPr>
              <w:t>(9,822,358)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(46,047)</w:t>
            </w:r>
          </w:p>
        </w:tc>
        <w:tc>
          <w:tcPr>
            <w:tcW w:w="68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8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Partnership’s profit (see Note 13)</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1,220</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53,014</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5,085</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1,711</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4,649</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65,679</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65,679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Partnership’s total comprehensive income</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1,220</w:t>
            </w:r>
          </w:p>
        </w:tc>
        <w:tc>
          <w:tcPr>
            <w:tcW w:w="1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53,014</w:t>
            </w: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5,085</w:t>
            </w: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1,711</w:t>
            </w: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4,649</w:t>
            </w:r>
          </w:p>
        </w:tc>
        <w:tc>
          <w:tcPr>
            <w:tcW w:w="1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65,679</w:t>
            </w: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65,679</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line="142" w:lineRule="exact"/>
              <w:rPr>
                <w:sz w:val="20"/>
                <w:szCs w:val="20"/>
                <w:color w:val="auto"/>
              </w:rPr>
            </w:pPr>
            <w:r>
              <w:rPr>
                <w:rFonts w:ascii="Arial" w:cs="Arial" w:eastAsia="Arial" w:hAnsi="Arial"/>
                <w:sz w:val="14"/>
                <w:szCs w:val="14"/>
                <w:b w:val="1"/>
                <w:bCs w:val="1"/>
                <w:color w:val="auto"/>
              </w:rPr>
              <w:t>Balance at September 30, 2017</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828,911</w:t>
            </w:r>
          </w:p>
        </w:tc>
        <w:tc>
          <w:tcPr>
            <w:tcW w:w="10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11,553</w:t>
            </w:r>
          </w:p>
        </w:tc>
        <w:tc>
          <w:tcPr>
            <w:tcW w:w="12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40,616,601</w:t>
            </w:r>
          </w:p>
        </w:tc>
        <w:tc>
          <w:tcPr>
            <w:tcW w:w="12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741,803</w:t>
            </w:r>
          </w:p>
        </w:tc>
        <w:tc>
          <w:tcPr>
            <w:tcW w:w="8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5,904</w:t>
            </w:r>
          </w:p>
        </w:tc>
        <w:tc>
          <w:tcPr>
            <w:tcW w:w="10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5,750,000</w:t>
            </w:r>
          </w:p>
        </w:tc>
        <w:tc>
          <w:tcPr>
            <w:tcW w:w="12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139,298</w:t>
            </w:r>
          </w:p>
        </w:tc>
        <w:tc>
          <w:tcPr>
            <w:tcW w:w="10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898,558</w:t>
            </w:r>
          </w:p>
        </w:tc>
        <w:tc>
          <w:tcPr>
            <w:tcW w:w="10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898,558</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23" w:name="page24"/>
    <w:bookmarkEnd w:id="23"/>
    <w:p>
      <w:pPr>
        <w:ind w:left="340" w:right="600" w:hanging="332"/>
        <w:spacing w:after="0" w:line="215" w:lineRule="auto"/>
        <w:tabs>
          <w:tab w:leader="none" w:pos="337"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826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6895" cy="8890"/>
                    </a:xfrm>
                    <a:prstGeom prst="rect">
                      <a:avLst/>
                    </a:prstGeom>
                    <a:noFill/>
                  </pic:spPr>
                </pic:pic>
              </a:graphicData>
            </a:graphic>
          </wp:anchor>
        </w:drawing>
        <w:t>Restated so as to reflect the historical financial statements of GAS-seven Ltd., GAS-eleven Ltd. and GAS-thirteen Ltd. acquired on November 1, 2016, May 3, 2017 and July 3, 2017, respectively, from GasLog (Note 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12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166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w w:val="96"/>
              </w:rPr>
              <w:t>Note</w:t>
            </w:r>
          </w:p>
        </w:tc>
        <w:tc>
          <w:tcPr>
            <w:tcW w:w="164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380" w:type="dxa"/>
            <w:vAlign w:val="bottom"/>
            <w:tcBorders>
              <w:top w:val="single" w:sz="8" w:color="auto"/>
            </w:tcBorders>
          </w:tcPr>
          <w:p>
            <w:pPr>
              <w:jc w:val="right"/>
              <w:ind w:right="171"/>
              <w:spacing w:after="0" w:line="119" w:lineRule="exact"/>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i w:val="1"/>
                <w:iCs w:val="1"/>
                <w:color w:val="auto"/>
                <w:w w:val="86"/>
              </w:rPr>
              <w:t xml:space="preserve">(restated) </w:t>
            </w:r>
            <w:r>
              <w:rPr>
                <w:rFonts w:ascii="Arial" w:cs="Arial" w:eastAsia="Arial" w:hAnsi="Arial"/>
                <w:sz w:val="16"/>
                <w:szCs w:val="16"/>
                <w:b w:val="1"/>
                <w:bCs w:val="1"/>
                <w:color w:val="auto"/>
                <w:w w:val="86"/>
                <w:vertAlign w:val="superscript"/>
              </w:rPr>
              <w:t>(1)</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Profit for the period</w:t>
            </w:r>
          </w:p>
        </w:tc>
        <w:tc>
          <w:tcPr>
            <w:tcW w:w="166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58,422</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76,411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w:t>
            </w:r>
          </w:p>
        </w:tc>
        <w:tc>
          <w:tcPr>
            <w:tcW w:w="16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Depreciation</w:t>
            </w:r>
          </w:p>
        </w:tc>
        <w:tc>
          <w:tcPr>
            <w:tcW w:w="166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40,516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46,327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16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30,162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Financial income</w:t>
            </w:r>
          </w:p>
        </w:tc>
        <w:tc>
          <w:tcPr>
            <w:tcW w:w="16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(131)</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interest rate swaps held for trading</w:t>
            </w:r>
          </w:p>
        </w:tc>
        <w:tc>
          <w:tcPr>
            <w:tcW w:w="16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Recycled loss of cash flow hedges reclassified to profit or loss</w:t>
            </w:r>
          </w:p>
        </w:tc>
        <w:tc>
          <w:tcPr>
            <w:tcW w:w="166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2,527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6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134,370</w:t>
            </w:r>
          </w:p>
        </w:tc>
        <w:tc>
          <w:tcPr>
            <w:tcW w:w="2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160,175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Movements in working capital</w:t>
            </w:r>
          </w:p>
        </w:tc>
        <w:tc>
          <w:tcPr>
            <w:tcW w:w="16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19,061</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provided by operations</w:t>
            </w:r>
          </w:p>
        </w:tc>
        <w:tc>
          <w:tcPr>
            <w:tcW w:w="166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153,431</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159,757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66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(21,954)</w:t>
            </w:r>
          </w:p>
        </w:tc>
        <w:tc>
          <w:tcPr>
            <w:tcW w:w="2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66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131,477</w:t>
            </w:r>
          </w:p>
        </w:tc>
        <w:tc>
          <w:tcPr>
            <w:tcW w:w="2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124,157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16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Payments for vessels’ additions</w:t>
            </w:r>
          </w:p>
        </w:tc>
        <w:tc>
          <w:tcPr>
            <w:tcW w:w="16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(333,534)</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 received</w:t>
            </w:r>
          </w:p>
        </w:tc>
        <w:tc>
          <w:tcPr>
            <w:tcW w:w="16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Maturity of short-term investments</w:t>
            </w:r>
          </w:p>
        </w:tc>
        <w:tc>
          <w:tcPr>
            <w:tcW w:w="166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in)/provided by investing activities</w:t>
            </w:r>
          </w:p>
        </w:tc>
        <w:tc>
          <w:tcPr>
            <w:tcW w:w="16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(333,419)</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Borrowings drawdowns</w:t>
            </w:r>
          </w:p>
        </w:tc>
        <w:tc>
          <w:tcPr>
            <w:tcW w:w="16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752,696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Borrowings repayments</w:t>
            </w:r>
          </w:p>
        </w:tc>
        <w:tc>
          <w:tcPr>
            <w:tcW w:w="16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(475,664)</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(135,990)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Payment of loan issuance costs</w:t>
            </w:r>
          </w:p>
        </w:tc>
        <w:tc>
          <w:tcPr>
            <w:tcW w:w="16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(10,669)</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Payments to GasLog in exchange for contributions of net assets</w:t>
            </w:r>
          </w:p>
        </w:tc>
        <w:tc>
          <w:tcPr>
            <w:tcW w:w="166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(121,554)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Proceeds from public offerings and issuances of common units and general partner</w:t>
            </w:r>
          </w:p>
        </w:tc>
        <w:tc>
          <w:tcPr>
            <w:tcW w:w="16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units (net of underwriting discounts and commissions)</w:t>
            </w:r>
          </w:p>
        </w:tc>
        <w:tc>
          <w:tcPr>
            <w:tcW w:w="166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53,826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135,128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tcPr>
          <w:p>
            <w:pPr>
              <w:spacing w:after="0" w:line="201" w:lineRule="exact"/>
              <w:rPr>
                <w:sz w:val="20"/>
                <w:szCs w:val="20"/>
                <w:color w:val="auto"/>
              </w:rPr>
            </w:pPr>
            <w:r>
              <w:rPr>
                <w:rFonts w:ascii="Arial" w:cs="Arial" w:eastAsia="Arial" w:hAnsi="Arial"/>
                <w:sz w:val="18"/>
                <w:szCs w:val="18"/>
                <w:color w:val="auto"/>
              </w:rPr>
              <w:t>Proceeds from public offering and issuance of preference units (net of underwriting</w:t>
            </w: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discounts and commissions)</w:t>
            </w:r>
          </w:p>
        </w:tc>
        <w:tc>
          <w:tcPr>
            <w:tcW w:w="166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139,222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Payment of offering costs</w:t>
            </w:r>
          </w:p>
        </w:tc>
        <w:tc>
          <w:tcPr>
            <w:tcW w:w="16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Payment for interest rate swaps’ termination</w:t>
            </w:r>
          </w:p>
        </w:tc>
        <w:tc>
          <w:tcPr>
            <w:tcW w:w="16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(4,937)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paid</w:t>
            </w:r>
          </w:p>
        </w:tc>
        <w:tc>
          <w:tcPr>
            <w:tcW w:w="16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(48,500)</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Dividend paid to GasLog before vessel dropdown</w:t>
            </w:r>
          </w:p>
        </w:tc>
        <w:tc>
          <w:tcPr>
            <w:tcW w:w="16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(7,800)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6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258,680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Increase in cash and cash equivalents</w:t>
            </w:r>
          </w:p>
        </w:tc>
        <w:tc>
          <w:tcPr>
            <w:tcW w:w="166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56,738</w:t>
            </w:r>
          </w:p>
        </w:tc>
        <w:tc>
          <w:tcPr>
            <w:tcW w:w="2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136,735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the period</w:t>
            </w:r>
          </w:p>
        </w:tc>
        <w:tc>
          <w:tcPr>
            <w:tcW w:w="166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62,677</w:t>
            </w:r>
          </w:p>
        </w:tc>
        <w:tc>
          <w:tcPr>
            <w:tcW w:w="2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end of the period</w:t>
            </w:r>
          </w:p>
        </w:tc>
        <w:tc>
          <w:tcPr>
            <w:tcW w:w="166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119,415</w:t>
            </w:r>
          </w:p>
        </w:tc>
        <w:tc>
          <w:tcPr>
            <w:tcW w:w="28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192,554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660" w:type="dxa"/>
            <w:vAlign w:val="bottom"/>
          </w:tcPr>
          <w:p>
            <w:pPr>
              <w:jc w:val="right"/>
              <w:ind w:right="799"/>
              <w:spacing w:after="0"/>
              <w:rPr>
                <w:sz w:val="20"/>
                <w:szCs w:val="20"/>
                <w:color w:val="auto"/>
              </w:rPr>
            </w:pPr>
            <w:r>
              <w:rPr>
                <w:rFonts w:ascii="Arial" w:cs="Arial" w:eastAsia="Arial" w:hAnsi="Arial"/>
                <w:sz w:val="18"/>
                <w:szCs w:val="18"/>
                <w:color w:val="auto"/>
              </w:rPr>
              <w:t>11</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 included in liabilities at the end of the period</w:t>
            </w:r>
          </w:p>
        </w:tc>
        <w:tc>
          <w:tcPr>
            <w:tcW w:w="16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Payments for vessels through capital contributions before dropdown</w:t>
            </w:r>
          </w:p>
        </w:tc>
        <w:tc>
          <w:tcPr>
            <w:tcW w:w="166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10,395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Financing costs included in liabilities at the end of the period</w:t>
            </w:r>
          </w:p>
        </w:tc>
        <w:tc>
          <w:tcPr>
            <w:tcW w:w="16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Financing costs paid through related parties</w:t>
            </w:r>
          </w:p>
        </w:tc>
        <w:tc>
          <w:tcPr>
            <w:tcW w:w="166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2,927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Offering costs included in liabilities at the end of the period</w:t>
            </w:r>
          </w:p>
        </w:tc>
        <w:tc>
          <w:tcPr>
            <w:tcW w:w="16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20" w:hanging="332"/>
        <w:spacing w:after="0" w:line="227" w:lineRule="auto"/>
        <w:tabs>
          <w:tab w:leader="none" w:pos="328"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Restated so as to reflect the historical financial statements of GAS-seven Ltd., GAS-eleven Ltd. and GAS-thirteen Ltd. acquired on November 1, 2016, May 3, 2017 and July 3, 2017, respectively, from GasLog (Note 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ectPr>
          <w:pgSz w:w="11900" w:h="16838" w:orient="portrait"/>
          <w:cols w:equalWidth="0" w:num="1">
            <w:col w:w="11420"/>
          </w:cols>
          <w:pgMar w:left="240" w:top="566" w:right="239" w:bottom="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29" w:lineRule="exact"/>
        <w:rPr>
          <w:sz w:val="20"/>
          <w:szCs w:val="20"/>
          <w:color w:val="auto"/>
        </w:rPr>
      </w:pPr>
    </w:p>
    <w:p>
      <w:pPr>
        <w:ind w:right="60" w:firstLine="396"/>
        <w:spacing w:after="0" w:line="264" w:lineRule="auto"/>
        <w:rPr>
          <w:sz w:val="20"/>
          <w:szCs w:val="20"/>
          <w:color w:val="auto"/>
        </w:rPr>
      </w:pPr>
      <w:r>
        <w:rPr>
          <w:rFonts w:ascii="Arial" w:cs="Arial" w:eastAsia="Arial" w:hAnsi="Arial"/>
          <w:sz w:val="18"/>
          <w:szCs w:val="18"/>
          <w:color w:val="auto"/>
        </w:rPr>
        <w:t>GasLog Partners LP (the “Partnership”) was formed as a limited partnership under the laws of the Marshall Islands on January 23, 2014, as a wholly owned subsidiary of GasLog for the purpose of initially acquiring the interests in three liquefied natural gas (“LNG”) carriers (or the “Initial Fleet”) that were contributed to the Partnership by GasLog in connection with the initial public offering of its common units (the “IPO”).</w:t>
      </w:r>
    </w:p>
    <w:p>
      <w:pPr>
        <w:spacing w:after="0" w:line="181" w:lineRule="exact"/>
        <w:rPr>
          <w:sz w:val="20"/>
          <w:szCs w:val="20"/>
          <w:color w:val="auto"/>
        </w:rPr>
      </w:pPr>
    </w:p>
    <w:p>
      <w:pPr>
        <w:ind w:right="420" w:firstLine="396"/>
        <w:spacing w:after="0" w:line="277" w:lineRule="auto"/>
        <w:rPr>
          <w:sz w:val="20"/>
          <w:szCs w:val="20"/>
          <w:color w:val="auto"/>
        </w:rPr>
      </w:pPr>
      <w:r>
        <w:rPr>
          <w:rFonts w:ascii="Arial" w:cs="Arial" w:eastAsia="Arial" w:hAnsi="Arial"/>
          <w:sz w:val="18"/>
          <w:szCs w:val="18"/>
          <w:color w:val="auto"/>
        </w:rPr>
        <w:t xml:space="preserve">On November 1, 2016, GasLog Partners acquired from GasLog 100% of the ownership interests in GAS-seven Ltd., the entity that owns a 155,000 cubic meter (“cbm”) LNG carrier, the </w:t>
      </w:r>
      <w:r>
        <w:rPr>
          <w:rFonts w:ascii="Arial" w:cs="Arial" w:eastAsia="Arial" w:hAnsi="Arial"/>
          <w:sz w:val="18"/>
          <w:szCs w:val="18"/>
          <w:i w:val="1"/>
          <w:iCs w:val="1"/>
          <w:color w:val="auto"/>
        </w:rPr>
        <w:t>GasLog Seattle</w:t>
      </w:r>
      <w:r>
        <w:rPr>
          <w:rFonts w:ascii="Arial" w:cs="Arial" w:eastAsia="Arial" w:hAnsi="Arial"/>
          <w:sz w:val="18"/>
          <w:szCs w:val="18"/>
          <w:color w:val="auto"/>
        </w:rPr>
        <w:t>, for an aggregate purchase price of $189,000.</w:t>
      </w:r>
    </w:p>
    <w:p>
      <w:pPr>
        <w:spacing w:after="0" w:line="170" w:lineRule="exact"/>
        <w:rPr>
          <w:sz w:val="20"/>
          <w:szCs w:val="20"/>
          <w:color w:val="auto"/>
        </w:rPr>
      </w:pPr>
    </w:p>
    <w:p>
      <w:pPr>
        <w:ind w:right="20" w:firstLine="396"/>
        <w:spacing w:after="0" w:line="277" w:lineRule="auto"/>
        <w:rPr>
          <w:sz w:val="20"/>
          <w:szCs w:val="20"/>
          <w:color w:val="auto"/>
        </w:rPr>
      </w:pPr>
      <w:r>
        <w:rPr>
          <w:rFonts w:ascii="Arial" w:cs="Arial" w:eastAsia="Arial" w:hAnsi="Arial"/>
          <w:sz w:val="18"/>
          <w:szCs w:val="18"/>
          <w:color w:val="auto"/>
        </w:rPr>
        <w:t xml:space="preserve">On May 3, 2017, GasLog Partners acquired from GasLog 100% of the ownership interests in GAS-eleven Ltd., the entity that owns a 174,000 cbm LNG carrier, the </w:t>
      </w:r>
      <w:r>
        <w:rPr>
          <w:rFonts w:ascii="Arial" w:cs="Arial" w:eastAsia="Arial" w:hAnsi="Arial"/>
          <w:sz w:val="18"/>
          <w:szCs w:val="18"/>
          <w:i w:val="1"/>
          <w:iCs w:val="1"/>
          <w:color w:val="auto"/>
        </w:rPr>
        <w:t>GasLog Greece</w:t>
      </w:r>
      <w:r>
        <w:rPr>
          <w:rFonts w:ascii="Arial" w:cs="Arial" w:eastAsia="Arial" w:hAnsi="Arial"/>
          <w:sz w:val="18"/>
          <w:szCs w:val="18"/>
          <w:color w:val="auto"/>
        </w:rPr>
        <w:t>, for an aggregate purchase price of $219,000.</w:t>
      </w:r>
    </w:p>
    <w:p>
      <w:pPr>
        <w:spacing w:after="0" w:line="170" w:lineRule="exact"/>
        <w:rPr>
          <w:sz w:val="20"/>
          <w:szCs w:val="20"/>
          <w:color w:val="auto"/>
        </w:rPr>
      </w:pPr>
    </w:p>
    <w:p>
      <w:pPr>
        <w:ind w:right="380" w:firstLine="396"/>
        <w:spacing w:after="0" w:line="277" w:lineRule="auto"/>
        <w:rPr>
          <w:sz w:val="20"/>
          <w:szCs w:val="20"/>
          <w:color w:val="auto"/>
        </w:rPr>
      </w:pPr>
      <w:r>
        <w:rPr>
          <w:rFonts w:ascii="Arial" w:cs="Arial" w:eastAsia="Arial" w:hAnsi="Arial"/>
          <w:sz w:val="18"/>
          <w:szCs w:val="18"/>
          <w:color w:val="auto"/>
        </w:rPr>
        <w:t xml:space="preserve">On July 3, 2017, GasLog Partners acquired from GasLog 100% of the ownership interests in GAS-thirteen Ltd., the entity that owns a 174,000 cbm LNG carrier, the </w:t>
      </w:r>
      <w:r>
        <w:rPr>
          <w:rFonts w:ascii="Arial" w:cs="Arial" w:eastAsia="Arial" w:hAnsi="Arial"/>
          <w:sz w:val="18"/>
          <w:szCs w:val="18"/>
          <w:i w:val="1"/>
          <w:iCs w:val="1"/>
          <w:color w:val="auto"/>
        </w:rPr>
        <w:t>GasLog Geneva</w:t>
      </w:r>
      <w:r>
        <w:rPr>
          <w:rFonts w:ascii="Arial" w:cs="Arial" w:eastAsia="Arial" w:hAnsi="Arial"/>
          <w:sz w:val="18"/>
          <w:szCs w:val="18"/>
          <w:color w:val="auto"/>
        </w:rPr>
        <w:t>, for an aggregate purchase price of $211,000.</w:t>
      </w:r>
    </w:p>
    <w:p>
      <w:pPr>
        <w:spacing w:after="0" w:line="170" w:lineRule="exact"/>
        <w:rPr>
          <w:sz w:val="20"/>
          <w:szCs w:val="20"/>
          <w:color w:val="auto"/>
        </w:rPr>
      </w:pPr>
    </w:p>
    <w:p>
      <w:pPr>
        <w:ind w:right="140" w:firstLine="383"/>
        <w:spacing w:after="0" w:line="297" w:lineRule="auto"/>
        <w:rPr>
          <w:sz w:val="20"/>
          <w:szCs w:val="20"/>
          <w:color w:val="auto"/>
        </w:rPr>
      </w:pPr>
      <w:r>
        <w:rPr>
          <w:rFonts w:ascii="Arial" w:cs="Arial" w:eastAsia="Arial" w:hAnsi="Arial"/>
          <w:sz w:val="16"/>
          <w:szCs w:val="16"/>
          <w:color w:val="auto"/>
        </w:rPr>
        <w:t xml:space="preserve">The acquisitions of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from GasLog were accounted for as reorganizations of companies under common control. The Partnership’s historical results were retroactively restated to reflect the historical results of GAS-seven Ltd., the entity that owns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a 155,000 cbm LNG carrier, which was acquired by the Partnership on November 1, 2016, GAS-eleven Ltd, the entity that owns the </w:t>
      </w:r>
      <w:r>
        <w:rPr>
          <w:rFonts w:ascii="Arial" w:cs="Arial" w:eastAsia="Arial" w:hAnsi="Arial"/>
          <w:sz w:val="16"/>
          <w:szCs w:val="16"/>
          <w:i w:val="1"/>
          <w:iCs w:val="1"/>
          <w:color w:val="auto"/>
        </w:rPr>
        <w:t xml:space="preserve">GasLog Greece </w:t>
      </w:r>
      <w:r>
        <w:rPr>
          <w:rFonts w:ascii="Arial" w:cs="Arial" w:eastAsia="Arial" w:hAnsi="Arial"/>
          <w:sz w:val="16"/>
          <w:szCs w:val="16"/>
          <w:color w:val="auto"/>
        </w:rPr>
        <w:t>and GAS-thirteen Ltd, the entity that owns the</w:t>
      </w:r>
      <w:r>
        <w:rPr>
          <w:rFonts w:ascii="Arial" w:cs="Arial" w:eastAsia="Arial" w:hAnsi="Arial"/>
          <w:sz w:val="16"/>
          <w:szCs w:val="16"/>
          <w:i w:val="1"/>
          <w:iCs w:val="1"/>
          <w:color w:val="auto"/>
        </w:rPr>
        <w:t xml:space="preserve"> GasLog Geneva</w:t>
      </w:r>
      <w:r>
        <w:rPr>
          <w:rFonts w:ascii="Arial" w:cs="Arial" w:eastAsia="Arial" w:hAnsi="Arial"/>
          <w:sz w:val="16"/>
          <w:szCs w:val="16"/>
          <w:color w:val="auto"/>
        </w:rPr>
        <w:t>, from their respective dates of incorporation by GasLog. The carrying</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of assets and liabilities included are based on the historical carrying amounts of such assets and liabilities recognized by the subsidiaries.</w:t>
      </w:r>
    </w:p>
    <w:p>
      <w:pPr>
        <w:spacing w:after="0" w:line="158" w:lineRule="exact"/>
        <w:rPr>
          <w:sz w:val="20"/>
          <w:szCs w:val="20"/>
          <w:color w:val="auto"/>
        </w:rPr>
      </w:pPr>
    </w:p>
    <w:p>
      <w:pPr>
        <w:ind w:right="160" w:firstLine="383"/>
        <w:spacing w:after="0" w:line="264" w:lineRule="auto"/>
        <w:rPr>
          <w:sz w:val="20"/>
          <w:szCs w:val="20"/>
          <w:color w:val="auto"/>
        </w:rPr>
      </w:pPr>
      <w:r>
        <w:rPr>
          <w:rFonts w:ascii="Arial" w:cs="Arial" w:eastAsia="Arial" w:hAnsi="Arial"/>
          <w:sz w:val="18"/>
          <w:szCs w:val="18"/>
          <w:color w:val="auto"/>
        </w:rPr>
        <w:t>As of September 30, 2017, GasLog holds a 26.1% interest in the Partnership. As a result of its 100% ownership of the general partner, and the fact that the general partner elects the majority of the Partnership’s directors in accordance with the Partnership Agreement, GasLog has the ability to control the Partnership’s affairs and policies.</w:t>
      </w:r>
    </w:p>
    <w:p>
      <w:pPr>
        <w:spacing w:after="0" w:line="181" w:lineRule="exact"/>
        <w:rPr>
          <w:sz w:val="20"/>
          <w:szCs w:val="20"/>
          <w:color w:val="auto"/>
        </w:rPr>
      </w:pPr>
    </w:p>
    <w:p>
      <w:pPr>
        <w:jc w:val="both"/>
        <w:ind w:right="460" w:firstLine="405"/>
        <w:spacing w:after="0" w:line="286" w:lineRule="auto"/>
        <w:rPr>
          <w:sz w:val="20"/>
          <w:szCs w:val="20"/>
          <w:color w:val="auto"/>
        </w:rPr>
      </w:pPr>
      <w:r>
        <w:rPr>
          <w:rFonts w:ascii="Arial" w:cs="Arial" w:eastAsia="Arial" w:hAnsi="Arial"/>
          <w:sz w:val="17"/>
          <w:szCs w:val="17"/>
          <w:color w:val="auto"/>
        </w:rPr>
        <w:t>The Partnership’s principal business is the acquisition and operation of vessels in the LNG market, providing transportation services of LNG on a worldwide basis under long-term charters. GasLog LNG Services Ltd. (“GasLog LNG Services” or the “Manager”), a related party and a wholly owned subsidiary of GasLog, incorporated under the laws of the Bermuda, provides technical services to the Partnership.</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September 30, 2017, the companies listed below were 100% held by the Partnership:</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Place of</w:t>
            </w:r>
          </w:p>
        </w:tc>
        <w:tc>
          <w:tcPr>
            <w:tcW w:w="15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Date of</w:t>
            </w:r>
          </w:p>
        </w:tc>
        <w:tc>
          <w:tcPr>
            <w:tcW w:w="1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Cargo Capacity</w:t>
            </w:r>
          </w:p>
        </w:tc>
        <w:tc>
          <w:tcPr>
            <w:tcW w:w="1260" w:type="dxa"/>
            <w:vAlign w:val="bottom"/>
          </w:tcPr>
          <w:p>
            <w:pPr>
              <w:spacing w:after="0"/>
              <w:rPr>
                <w:sz w:val="12"/>
                <w:szCs w:val="12"/>
                <w:color w:val="auto"/>
              </w:rPr>
            </w:pPr>
          </w:p>
        </w:tc>
      </w:tr>
      <w:tr>
        <w:trPr>
          <w:trHeight w:val="153"/>
        </w:trPr>
        <w:tc>
          <w:tcPr>
            <w:tcW w:w="234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15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incorporation</w:t>
            </w:r>
          </w:p>
        </w:tc>
        <w:tc>
          <w:tcPr>
            <w:tcW w:w="15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incorporation</w:t>
            </w:r>
          </w:p>
        </w:tc>
        <w:tc>
          <w:tcPr>
            <w:tcW w:w="17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Principal activities</w:t>
            </w:r>
          </w:p>
        </w:tc>
        <w:tc>
          <w:tcPr>
            <w:tcW w:w="1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Vessel</w:t>
            </w:r>
          </w:p>
        </w:tc>
        <w:tc>
          <w:tcPr>
            <w:tcW w:w="12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(cbm)</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89"/>
              </w:rPr>
              <w:t>Delivery Date</w:t>
            </w:r>
          </w:p>
        </w:tc>
      </w:tr>
      <w:tr>
        <w:trPr>
          <w:trHeight w:val="129"/>
        </w:trPr>
        <w:tc>
          <w:tcPr>
            <w:tcW w:w="2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GAS-three Ltd.</w:t>
            </w:r>
          </w:p>
        </w:tc>
        <w:tc>
          <w:tcPr>
            <w:tcW w:w="24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7"/>
              </w:rPr>
              <w:t>Bermuda</w:t>
            </w:r>
          </w:p>
        </w:tc>
        <w:tc>
          <w:tcPr>
            <w:tcW w:w="24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95"/>
              </w:rPr>
              <w:t>April 2010</w:t>
            </w:r>
          </w:p>
        </w:tc>
        <w:tc>
          <w:tcPr>
            <w:tcW w:w="240" w:type="dxa"/>
            <w:vAlign w:val="bottom"/>
            <w:tcBorders>
              <w:top w:val="single" w:sz="8" w:color="CCEEFF"/>
            </w:tcBorders>
            <w:shd w:val="clear" w:color="auto" w:fill="CCEEFF"/>
          </w:tcPr>
          <w:p>
            <w:pPr>
              <w:spacing w:after="0"/>
              <w:rPr>
                <w:sz w:val="11"/>
                <w:szCs w:val="11"/>
                <w:color w:val="auto"/>
              </w:rPr>
            </w:pPr>
          </w:p>
        </w:tc>
        <w:tc>
          <w:tcPr>
            <w:tcW w:w="152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7"/>
              </w:rPr>
              <w:t>Vessel-owning company</w:t>
            </w:r>
          </w:p>
        </w:tc>
        <w:tc>
          <w:tcPr>
            <w:tcW w:w="240" w:type="dxa"/>
            <w:vAlign w:val="bottom"/>
            <w:tcBorders>
              <w:top w:val="single" w:sz="8" w:color="CCEEFF"/>
            </w:tcBorders>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i w:val="1"/>
                <w:iCs w:val="1"/>
                <w:color w:val="auto"/>
                <w:w w:val="86"/>
              </w:rPr>
              <w:t>GasLog Shanghai</w:t>
            </w:r>
          </w:p>
        </w:tc>
        <w:tc>
          <w:tcPr>
            <w:tcW w:w="24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155,000</w:t>
            </w:r>
          </w:p>
        </w:tc>
        <w:tc>
          <w:tcPr>
            <w:tcW w:w="26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6"/>
              </w:rPr>
              <w:t>January 2013</w:t>
            </w:r>
          </w:p>
        </w:tc>
      </w:tr>
      <w:tr>
        <w:trPr>
          <w:trHeight w:val="135"/>
        </w:trPr>
        <w:tc>
          <w:tcPr>
            <w:tcW w:w="2340" w:type="dxa"/>
            <w:vAlign w:val="bottom"/>
            <w:gridSpan w:val="2"/>
          </w:tcPr>
          <w:p>
            <w:pPr>
              <w:spacing w:after="0" w:line="135" w:lineRule="exact"/>
              <w:rPr>
                <w:sz w:val="20"/>
                <w:szCs w:val="20"/>
                <w:color w:val="auto"/>
              </w:rPr>
            </w:pPr>
            <w:r>
              <w:rPr>
                <w:rFonts w:ascii="Arial" w:cs="Arial" w:eastAsia="Arial" w:hAnsi="Arial"/>
                <w:sz w:val="13"/>
                <w:szCs w:val="13"/>
                <w:color w:val="auto"/>
              </w:rPr>
              <w:t>GAS-four Ltd.</w:t>
            </w:r>
          </w:p>
        </w:tc>
        <w:tc>
          <w:tcPr>
            <w:tcW w:w="150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87"/>
              </w:rPr>
              <w:t>Bermuda</w:t>
            </w:r>
          </w:p>
        </w:tc>
        <w:tc>
          <w:tcPr>
            <w:tcW w:w="152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95"/>
              </w:rPr>
              <w:t>April 2010</w:t>
            </w:r>
          </w:p>
        </w:tc>
        <w:tc>
          <w:tcPr>
            <w:tcW w:w="176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87"/>
              </w:rPr>
              <w:t>Vessel-owning company</w:t>
            </w:r>
          </w:p>
        </w:tc>
        <w:tc>
          <w:tcPr>
            <w:tcW w:w="1780" w:type="dxa"/>
            <w:vAlign w:val="bottom"/>
            <w:gridSpan w:val="2"/>
          </w:tcPr>
          <w:p>
            <w:pPr>
              <w:jc w:val="center"/>
              <w:ind w:right="260"/>
              <w:spacing w:after="0" w:line="135" w:lineRule="exact"/>
              <w:rPr>
                <w:sz w:val="20"/>
                <w:szCs w:val="20"/>
                <w:color w:val="auto"/>
              </w:rPr>
            </w:pPr>
            <w:r>
              <w:rPr>
                <w:rFonts w:ascii="Arial" w:cs="Arial" w:eastAsia="Arial" w:hAnsi="Arial"/>
                <w:sz w:val="13"/>
                <w:szCs w:val="13"/>
                <w:i w:val="1"/>
                <w:iCs w:val="1"/>
                <w:color w:val="auto"/>
                <w:w w:val="87"/>
              </w:rPr>
              <w:t>GasLog Santiago</w:t>
            </w:r>
          </w:p>
        </w:tc>
        <w:tc>
          <w:tcPr>
            <w:tcW w:w="1000" w:type="dxa"/>
            <w:vAlign w:val="bottom"/>
          </w:tcPr>
          <w:p>
            <w:pPr>
              <w:jc w:val="center"/>
              <w:spacing w:after="0" w:line="135" w:lineRule="exact"/>
              <w:rPr>
                <w:sz w:val="20"/>
                <w:szCs w:val="20"/>
                <w:color w:val="auto"/>
              </w:rPr>
            </w:pPr>
            <w:r>
              <w:rPr>
                <w:rFonts w:ascii="Arial" w:cs="Arial" w:eastAsia="Arial" w:hAnsi="Arial"/>
                <w:sz w:val="13"/>
                <w:szCs w:val="13"/>
                <w:color w:val="auto"/>
                <w:w w:val="85"/>
              </w:rPr>
              <w:t>155,000</w:t>
            </w:r>
          </w:p>
        </w:tc>
        <w:tc>
          <w:tcPr>
            <w:tcW w:w="26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3"/>
                <w:szCs w:val="13"/>
                <w:color w:val="auto"/>
                <w:w w:val="90"/>
              </w:rPr>
              <w:t>March 2013</w:t>
            </w:r>
          </w:p>
        </w:tc>
      </w:tr>
      <w:tr>
        <w:trPr>
          <w:trHeight w:val="135"/>
        </w:trPr>
        <w:tc>
          <w:tcPr>
            <w:tcW w:w="23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GAS-five Ltd.</w:t>
            </w:r>
          </w:p>
        </w:tc>
        <w:tc>
          <w:tcPr>
            <w:tcW w:w="150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color w:val="auto"/>
                <w:w w:val="87"/>
              </w:rPr>
              <w:t>Bermuda</w:t>
            </w:r>
          </w:p>
        </w:tc>
        <w:tc>
          <w:tcPr>
            <w:tcW w:w="152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color w:val="auto"/>
                <w:w w:val="85"/>
              </w:rPr>
              <w:t>February 2011</w:t>
            </w:r>
          </w:p>
        </w:tc>
        <w:tc>
          <w:tcPr>
            <w:tcW w:w="176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color w:val="auto"/>
                <w:w w:val="87"/>
              </w:rPr>
              <w:t>Vessel-owning company</w:t>
            </w:r>
          </w:p>
        </w:tc>
        <w:tc>
          <w:tcPr>
            <w:tcW w:w="178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i w:val="1"/>
                <w:iCs w:val="1"/>
                <w:color w:val="auto"/>
                <w:w w:val="84"/>
              </w:rPr>
              <w:t>GasLog Sydney</w:t>
            </w:r>
          </w:p>
        </w:tc>
        <w:tc>
          <w:tcPr>
            <w:tcW w:w="10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155,000</w:t>
            </w:r>
          </w:p>
        </w:tc>
        <w:tc>
          <w:tcPr>
            <w:tcW w:w="260" w:type="dxa"/>
            <w:vAlign w:val="bottom"/>
            <w:shd w:val="clear" w:color="auto" w:fill="CCEEFF"/>
          </w:tcPr>
          <w:p>
            <w:pPr>
              <w:spacing w:after="0"/>
              <w:rPr>
                <w:sz w:val="11"/>
                <w:szCs w:val="11"/>
                <w:color w:val="auto"/>
              </w:rPr>
            </w:pPr>
          </w:p>
        </w:tc>
        <w:tc>
          <w:tcPr>
            <w:tcW w:w="12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May 2013</w:t>
            </w:r>
          </w:p>
        </w:tc>
      </w:tr>
      <w:tr>
        <w:trPr>
          <w:trHeight w:val="135"/>
        </w:trPr>
        <w:tc>
          <w:tcPr>
            <w:tcW w:w="2340" w:type="dxa"/>
            <w:vAlign w:val="bottom"/>
            <w:gridSpan w:val="2"/>
          </w:tcPr>
          <w:p>
            <w:pPr>
              <w:spacing w:after="0" w:line="135" w:lineRule="exact"/>
              <w:rPr>
                <w:sz w:val="20"/>
                <w:szCs w:val="20"/>
                <w:color w:val="auto"/>
              </w:rPr>
            </w:pPr>
            <w:r>
              <w:rPr>
                <w:rFonts w:ascii="Arial" w:cs="Arial" w:eastAsia="Arial" w:hAnsi="Arial"/>
                <w:sz w:val="13"/>
                <w:szCs w:val="13"/>
                <w:color w:val="auto"/>
              </w:rPr>
              <w:t>GAS-seven Ltd.</w:t>
            </w:r>
          </w:p>
        </w:tc>
        <w:tc>
          <w:tcPr>
            <w:tcW w:w="150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87"/>
              </w:rPr>
              <w:t>Bermuda</w:t>
            </w:r>
          </w:p>
        </w:tc>
        <w:tc>
          <w:tcPr>
            <w:tcW w:w="152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87"/>
              </w:rPr>
              <w:t>March 2011</w:t>
            </w:r>
          </w:p>
        </w:tc>
        <w:tc>
          <w:tcPr>
            <w:tcW w:w="176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87"/>
              </w:rPr>
              <w:t>Vessel-owning company</w:t>
            </w:r>
          </w:p>
        </w:tc>
        <w:tc>
          <w:tcPr>
            <w:tcW w:w="1780" w:type="dxa"/>
            <w:vAlign w:val="bottom"/>
            <w:gridSpan w:val="2"/>
          </w:tcPr>
          <w:p>
            <w:pPr>
              <w:jc w:val="center"/>
              <w:ind w:right="240"/>
              <w:spacing w:after="0" w:line="135" w:lineRule="exact"/>
              <w:rPr>
                <w:sz w:val="20"/>
                <w:szCs w:val="20"/>
                <w:color w:val="auto"/>
              </w:rPr>
            </w:pPr>
            <w:r>
              <w:rPr>
                <w:rFonts w:ascii="Arial" w:cs="Arial" w:eastAsia="Arial" w:hAnsi="Arial"/>
                <w:sz w:val="13"/>
                <w:szCs w:val="13"/>
                <w:i w:val="1"/>
                <w:iCs w:val="1"/>
                <w:color w:val="auto"/>
                <w:w w:val="86"/>
              </w:rPr>
              <w:t>GasLog Seattle</w:t>
            </w:r>
          </w:p>
        </w:tc>
        <w:tc>
          <w:tcPr>
            <w:tcW w:w="1000" w:type="dxa"/>
            <w:vAlign w:val="bottom"/>
          </w:tcPr>
          <w:p>
            <w:pPr>
              <w:jc w:val="center"/>
              <w:spacing w:after="0" w:line="135" w:lineRule="exact"/>
              <w:rPr>
                <w:sz w:val="20"/>
                <w:szCs w:val="20"/>
                <w:color w:val="auto"/>
              </w:rPr>
            </w:pPr>
            <w:r>
              <w:rPr>
                <w:rFonts w:ascii="Arial" w:cs="Arial" w:eastAsia="Arial" w:hAnsi="Arial"/>
                <w:sz w:val="13"/>
                <w:szCs w:val="13"/>
                <w:color w:val="auto"/>
                <w:w w:val="85"/>
              </w:rPr>
              <w:t>155,000</w:t>
            </w:r>
          </w:p>
        </w:tc>
        <w:tc>
          <w:tcPr>
            <w:tcW w:w="26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3"/>
                <w:szCs w:val="13"/>
                <w:color w:val="auto"/>
                <w:w w:val="86"/>
              </w:rPr>
              <w:t>December 2013</w:t>
            </w:r>
          </w:p>
        </w:tc>
      </w:tr>
      <w:tr>
        <w:trPr>
          <w:trHeight w:val="135"/>
        </w:trPr>
        <w:tc>
          <w:tcPr>
            <w:tcW w:w="23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GAS-eleven Ltd.</w:t>
            </w:r>
          </w:p>
        </w:tc>
        <w:tc>
          <w:tcPr>
            <w:tcW w:w="150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color w:val="auto"/>
                <w:w w:val="87"/>
              </w:rPr>
              <w:t>Bermuda</w:t>
            </w:r>
          </w:p>
        </w:tc>
        <w:tc>
          <w:tcPr>
            <w:tcW w:w="152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color w:val="auto"/>
                <w:w w:val="86"/>
              </w:rPr>
              <w:t>December 2012</w:t>
            </w:r>
          </w:p>
        </w:tc>
        <w:tc>
          <w:tcPr>
            <w:tcW w:w="176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color w:val="auto"/>
                <w:w w:val="87"/>
              </w:rPr>
              <w:t>Vessel-owning company</w:t>
            </w:r>
          </w:p>
        </w:tc>
        <w:tc>
          <w:tcPr>
            <w:tcW w:w="178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i w:val="1"/>
                <w:iCs w:val="1"/>
                <w:color w:val="auto"/>
                <w:w w:val="84"/>
              </w:rPr>
              <w:t>GasLog Greece</w:t>
            </w:r>
          </w:p>
        </w:tc>
        <w:tc>
          <w:tcPr>
            <w:tcW w:w="10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174,000</w:t>
            </w:r>
          </w:p>
        </w:tc>
        <w:tc>
          <w:tcPr>
            <w:tcW w:w="260" w:type="dxa"/>
            <w:vAlign w:val="bottom"/>
            <w:shd w:val="clear" w:color="auto" w:fill="CCEEFF"/>
          </w:tcPr>
          <w:p>
            <w:pPr>
              <w:spacing w:after="0"/>
              <w:rPr>
                <w:sz w:val="11"/>
                <w:szCs w:val="11"/>
                <w:color w:val="auto"/>
              </w:rPr>
            </w:pPr>
          </w:p>
        </w:tc>
        <w:tc>
          <w:tcPr>
            <w:tcW w:w="12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March 2016</w:t>
            </w:r>
          </w:p>
        </w:tc>
      </w:tr>
      <w:tr>
        <w:trPr>
          <w:trHeight w:val="135"/>
        </w:trPr>
        <w:tc>
          <w:tcPr>
            <w:tcW w:w="2340" w:type="dxa"/>
            <w:vAlign w:val="bottom"/>
            <w:gridSpan w:val="2"/>
          </w:tcPr>
          <w:p>
            <w:pPr>
              <w:spacing w:after="0" w:line="135" w:lineRule="exact"/>
              <w:rPr>
                <w:sz w:val="20"/>
                <w:szCs w:val="20"/>
                <w:color w:val="auto"/>
              </w:rPr>
            </w:pPr>
            <w:r>
              <w:rPr>
                <w:rFonts w:ascii="Arial" w:cs="Arial" w:eastAsia="Arial" w:hAnsi="Arial"/>
                <w:sz w:val="13"/>
                <w:szCs w:val="13"/>
                <w:color w:val="auto"/>
              </w:rPr>
              <w:t>GAS-thirteen Ltd.</w:t>
            </w:r>
          </w:p>
        </w:tc>
        <w:tc>
          <w:tcPr>
            <w:tcW w:w="150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87"/>
              </w:rPr>
              <w:t>Bermuda</w:t>
            </w:r>
          </w:p>
        </w:tc>
        <w:tc>
          <w:tcPr>
            <w:tcW w:w="152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86"/>
              </w:rPr>
              <w:t>July 2013</w:t>
            </w:r>
          </w:p>
        </w:tc>
        <w:tc>
          <w:tcPr>
            <w:tcW w:w="176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87"/>
              </w:rPr>
              <w:t>Vessel-owning company</w:t>
            </w:r>
          </w:p>
        </w:tc>
        <w:tc>
          <w:tcPr>
            <w:tcW w:w="1780" w:type="dxa"/>
            <w:vAlign w:val="bottom"/>
            <w:gridSpan w:val="2"/>
          </w:tcPr>
          <w:p>
            <w:pPr>
              <w:jc w:val="center"/>
              <w:ind w:right="240"/>
              <w:spacing w:after="0" w:line="135" w:lineRule="exact"/>
              <w:rPr>
                <w:sz w:val="20"/>
                <w:szCs w:val="20"/>
                <w:color w:val="auto"/>
              </w:rPr>
            </w:pPr>
            <w:r>
              <w:rPr>
                <w:rFonts w:ascii="Arial" w:cs="Arial" w:eastAsia="Arial" w:hAnsi="Arial"/>
                <w:sz w:val="13"/>
                <w:szCs w:val="13"/>
                <w:i w:val="1"/>
                <w:iCs w:val="1"/>
                <w:color w:val="auto"/>
                <w:w w:val="86"/>
              </w:rPr>
              <w:t>GasLog Geneva</w:t>
            </w:r>
          </w:p>
        </w:tc>
        <w:tc>
          <w:tcPr>
            <w:tcW w:w="1000" w:type="dxa"/>
            <w:vAlign w:val="bottom"/>
          </w:tcPr>
          <w:p>
            <w:pPr>
              <w:jc w:val="center"/>
              <w:spacing w:after="0" w:line="135" w:lineRule="exact"/>
              <w:rPr>
                <w:sz w:val="20"/>
                <w:szCs w:val="20"/>
                <w:color w:val="auto"/>
              </w:rPr>
            </w:pPr>
            <w:r>
              <w:rPr>
                <w:rFonts w:ascii="Arial" w:cs="Arial" w:eastAsia="Arial" w:hAnsi="Arial"/>
                <w:sz w:val="13"/>
                <w:szCs w:val="13"/>
                <w:color w:val="auto"/>
                <w:w w:val="85"/>
              </w:rPr>
              <w:t>174,000</w:t>
            </w:r>
          </w:p>
        </w:tc>
        <w:tc>
          <w:tcPr>
            <w:tcW w:w="26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3"/>
                <w:szCs w:val="13"/>
                <w:color w:val="auto"/>
                <w:w w:val="85"/>
              </w:rPr>
              <w:t>September 2016</w:t>
            </w:r>
          </w:p>
        </w:tc>
      </w:tr>
      <w:tr>
        <w:trPr>
          <w:trHeight w:val="135"/>
        </w:trPr>
        <w:tc>
          <w:tcPr>
            <w:tcW w:w="23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GAS-sixteen Ltd.</w:t>
            </w:r>
          </w:p>
        </w:tc>
        <w:tc>
          <w:tcPr>
            <w:tcW w:w="150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color w:val="auto"/>
                <w:w w:val="87"/>
              </w:rPr>
              <w:t>Bermuda</w:t>
            </w:r>
          </w:p>
        </w:tc>
        <w:tc>
          <w:tcPr>
            <w:tcW w:w="152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color w:val="auto"/>
                <w:w w:val="86"/>
              </w:rPr>
              <w:t>January 2014</w:t>
            </w:r>
          </w:p>
        </w:tc>
        <w:tc>
          <w:tcPr>
            <w:tcW w:w="176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color w:val="auto"/>
                <w:w w:val="87"/>
              </w:rPr>
              <w:t>Vessel-owning company</w:t>
            </w:r>
          </w:p>
        </w:tc>
        <w:tc>
          <w:tcPr>
            <w:tcW w:w="178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i w:val="1"/>
                <w:iCs w:val="1"/>
                <w:color w:val="auto"/>
                <w:w w:val="87"/>
              </w:rPr>
              <w:t>Methane Rita Andrea</w:t>
            </w:r>
          </w:p>
        </w:tc>
        <w:tc>
          <w:tcPr>
            <w:tcW w:w="10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145,000</w:t>
            </w:r>
          </w:p>
        </w:tc>
        <w:tc>
          <w:tcPr>
            <w:tcW w:w="260" w:type="dxa"/>
            <w:vAlign w:val="bottom"/>
            <w:shd w:val="clear" w:color="auto" w:fill="CCEEFF"/>
          </w:tcPr>
          <w:p>
            <w:pPr>
              <w:spacing w:after="0"/>
              <w:rPr>
                <w:sz w:val="11"/>
                <w:szCs w:val="11"/>
                <w:color w:val="auto"/>
              </w:rPr>
            </w:pPr>
          </w:p>
        </w:tc>
        <w:tc>
          <w:tcPr>
            <w:tcW w:w="12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April 2014</w:t>
            </w:r>
          </w:p>
        </w:tc>
      </w:tr>
      <w:tr>
        <w:trPr>
          <w:trHeight w:val="135"/>
        </w:trPr>
        <w:tc>
          <w:tcPr>
            <w:tcW w:w="2340" w:type="dxa"/>
            <w:vAlign w:val="bottom"/>
            <w:gridSpan w:val="2"/>
          </w:tcPr>
          <w:p>
            <w:pPr>
              <w:spacing w:after="0" w:line="135" w:lineRule="exact"/>
              <w:rPr>
                <w:sz w:val="20"/>
                <w:szCs w:val="20"/>
                <w:color w:val="auto"/>
              </w:rPr>
            </w:pPr>
            <w:r>
              <w:rPr>
                <w:rFonts w:ascii="Arial" w:cs="Arial" w:eastAsia="Arial" w:hAnsi="Arial"/>
                <w:sz w:val="13"/>
                <w:szCs w:val="13"/>
                <w:color w:val="auto"/>
              </w:rPr>
              <w:t>GAS-seventeen Ltd.</w:t>
            </w:r>
          </w:p>
        </w:tc>
        <w:tc>
          <w:tcPr>
            <w:tcW w:w="150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87"/>
              </w:rPr>
              <w:t>Bermuda</w:t>
            </w:r>
          </w:p>
        </w:tc>
        <w:tc>
          <w:tcPr>
            <w:tcW w:w="152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86"/>
              </w:rPr>
              <w:t>January 2014</w:t>
            </w:r>
          </w:p>
        </w:tc>
        <w:tc>
          <w:tcPr>
            <w:tcW w:w="176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87"/>
              </w:rPr>
              <w:t>Vessel-owning company</w:t>
            </w:r>
          </w:p>
        </w:tc>
        <w:tc>
          <w:tcPr>
            <w:tcW w:w="1780" w:type="dxa"/>
            <w:vAlign w:val="bottom"/>
            <w:gridSpan w:val="2"/>
          </w:tcPr>
          <w:p>
            <w:pPr>
              <w:jc w:val="center"/>
              <w:ind w:right="240"/>
              <w:spacing w:after="0" w:line="135" w:lineRule="exact"/>
              <w:rPr>
                <w:sz w:val="20"/>
                <w:szCs w:val="20"/>
                <w:color w:val="auto"/>
              </w:rPr>
            </w:pPr>
            <w:r>
              <w:rPr>
                <w:rFonts w:ascii="Arial" w:cs="Arial" w:eastAsia="Arial" w:hAnsi="Arial"/>
                <w:sz w:val="13"/>
                <w:szCs w:val="13"/>
                <w:i w:val="1"/>
                <w:iCs w:val="1"/>
                <w:color w:val="auto"/>
                <w:w w:val="87"/>
              </w:rPr>
              <w:t>Methane Jane Elizabeth</w:t>
            </w:r>
          </w:p>
        </w:tc>
        <w:tc>
          <w:tcPr>
            <w:tcW w:w="1000" w:type="dxa"/>
            <w:vAlign w:val="bottom"/>
          </w:tcPr>
          <w:p>
            <w:pPr>
              <w:jc w:val="center"/>
              <w:spacing w:after="0" w:line="135" w:lineRule="exact"/>
              <w:rPr>
                <w:sz w:val="20"/>
                <w:szCs w:val="20"/>
                <w:color w:val="auto"/>
              </w:rPr>
            </w:pPr>
            <w:r>
              <w:rPr>
                <w:rFonts w:ascii="Arial" w:cs="Arial" w:eastAsia="Arial" w:hAnsi="Arial"/>
                <w:sz w:val="13"/>
                <w:szCs w:val="13"/>
                <w:color w:val="auto"/>
                <w:w w:val="85"/>
              </w:rPr>
              <w:t>145,000</w:t>
            </w:r>
          </w:p>
        </w:tc>
        <w:tc>
          <w:tcPr>
            <w:tcW w:w="26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3"/>
                <w:szCs w:val="13"/>
                <w:color w:val="auto"/>
                <w:w w:val="92"/>
              </w:rPr>
              <w:t>April 2014</w:t>
            </w:r>
          </w:p>
        </w:tc>
      </w:tr>
      <w:tr>
        <w:trPr>
          <w:trHeight w:val="135"/>
        </w:trPr>
        <w:tc>
          <w:tcPr>
            <w:tcW w:w="23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GAS-nineteen Ltd.</w:t>
            </w:r>
          </w:p>
        </w:tc>
        <w:tc>
          <w:tcPr>
            <w:tcW w:w="150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color w:val="auto"/>
                <w:w w:val="87"/>
              </w:rPr>
              <w:t>Bermuda</w:t>
            </w:r>
          </w:p>
        </w:tc>
        <w:tc>
          <w:tcPr>
            <w:tcW w:w="152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color w:val="auto"/>
                <w:w w:val="95"/>
              </w:rPr>
              <w:t>April 2014</w:t>
            </w:r>
          </w:p>
        </w:tc>
        <w:tc>
          <w:tcPr>
            <w:tcW w:w="176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color w:val="auto"/>
                <w:w w:val="87"/>
              </w:rPr>
              <w:t>Vessel-owning company</w:t>
            </w:r>
          </w:p>
        </w:tc>
        <w:tc>
          <w:tcPr>
            <w:tcW w:w="178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i w:val="1"/>
                <w:iCs w:val="1"/>
                <w:color w:val="auto"/>
                <w:w w:val="89"/>
              </w:rPr>
              <w:t>Methane Alison Victoria</w:t>
            </w:r>
          </w:p>
        </w:tc>
        <w:tc>
          <w:tcPr>
            <w:tcW w:w="10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145,000</w:t>
            </w:r>
          </w:p>
        </w:tc>
        <w:tc>
          <w:tcPr>
            <w:tcW w:w="260" w:type="dxa"/>
            <w:vAlign w:val="bottom"/>
            <w:shd w:val="clear" w:color="auto" w:fill="CCEEFF"/>
          </w:tcPr>
          <w:p>
            <w:pPr>
              <w:spacing w:after="0"/>
              <w:rPr>
                <w:sz w:val="11"/>
                <w:szCs w:val="11"/>
                <w:color w:val="auto"/>
              </w:rPr>
            </w:pPr>
          </w:p>
        </w:tc>
        <w:tc>
          <w:tcPr>
            <w:tcW w:w="12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June 2014</w:t>
            </w:r>
          </w:p>
        </w:tc>
      </w:tr>
      <w:tr>
        <w:trPr>
          <w:trHeight w:val="135"/>
        </w:trPr>
        <w:tc>
          <w:tcPr>
            <w:tcW w:w="2340" w:type="dxa"/>
            <w:vAlign w:val="bottom"/>
            <w:gridSpan w:val="2"/>
          </w:tcPr>
          <w:p>
            <w:pPr>
              <w:spacing w:after="0" w:line="135" w:lineRule="exact"/>
              <w:rPr>
                <w:sz w:val="20"/>
                <w:szCs w:val="20"/>
                <w:color w:val="auto"/>
              </w:rPr>
            </w:pPr>
            <w:r>
              <w:rPr>
                <w:rFonts w:ascii="Arial" w:cs="Arial" w:eastAsia="Arial" w:hAnsi="Arial"/>
                <w:sz w:val="13"/>
                <w:szCs w:val="13"/>
                <w:color w:val="auto"/>
              </w:rPr>
              <w:t>GAS-twenty Ltd.</w:t>
            </w:r>
          </w:p>
        </w:tc>
        <w:tc>
          <w:tcPr>
            <w:tcW w:w="150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87"/>
              </w:rPr>
              <w:t>Bermuda</w:t>
            </w:r>
          </w:p>
        </w:tc>
        <w:tc>
          <w:tcPr>
            <w:tcW w:w="152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95"/>
              </w:rPr>
              <w:t>April 2014</w:t>
            </w:r>
          </w:p>
        </w:tc>
        <w:tc>
          <w:tcPr>
            <w:tcW w:w="176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87"/>
              </w:rPr>
              <w:t>Vessel-owning company</w:t>
            </w:r>
          </w:p>
        </w:tc>
        <w:tc>
          <w:tcPr>
            <w:tcW w:w="1780" w:type="dxa"/>
            <w:vAlign w:val="bottom"/>
            <w:gridSpan w:val="2"/>
          </w:tcPr>
          <w:p>
            <w:pPr>
              <w:jc w:val="center"/>
              <w:ind w:right="240"/>
              <w:spacing w:after="0" w:line="135" w:lineRule="exact"/>
              <w:rPr>
                <w:sz w:val="20"/>
                <w:szCs w:val="20"/>
                <w:color w:val="auto"/>
              </w:rPr>
            </w:pPr>
            <w:r>
              <w:rPr>
                <w:rFonts w:ascii="Arial" w:cs="Arial" w:eastAsia="Arial" w:hAnsi="Arial"/>
                <w:sz w:val="13"/>
                <w:szCs w:val="13"/>
                <w:i w:val="1"/>
                <w:iCs w:val="1"/>
                <w:color w:val="auto"/>
                <w:w w:val="88"/>
              </w:rPr>
              <w:t>Methane Shirley Elisabeth</w:t>
            </w:r>
          </w:p>
        </w:tc>
        <w:tc>
          <w:tcPr>
            <w:tcW w:w="1000" w:type="dxa"/>
            <w:vAlign w:val="bottom"/>
          </w:tcPr>
          <w:p>
            <w:pPr>
              <w:jc w:val="center"/>
              <w:spacing w:after="0" w:line="135" w:lineRule="exact"/>
              <w:rPr>
                <w:sz w:val="20"/>
                <w:szCs w:val="20"/>
                <w:color w:val="auto"/>
              </w:rPr>
            </w:pPr>
            <w:r>
              <w:rPr>
                <w:rFonts w:ascii="Arial" w:cs="Arial" w:eastAsia="Arial" w:hAnsi="Arial"/>
                <w:sz w:val="13"/>
                <w:szCs w:val="13"/>
                <w:color w:val="auto"/>
                <w:w w:val="85"/>
              </w:rPr>
              <w:t>145,000</w:t>
            </w:r>
          </w:p>
        </w:tc>
        <w:tc>
          <w:tcPr>
            <w:tcW w:w="26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3"/>
                <w:szCs w:val="13"/>
                <w:color w:val="auto"/>
                <w:w w:val="85"/>
              </w:rPr>
              <w:t>June 2014</w:t>
            </w:r>
          </w:p>
        </w:tc>
      </w:tr>
      <w:tr>
        <w:trPr>
          <w:trHeight w:val="135"/>
        </w:trPr>
        <w:tc>
          <w:tcPr>
            <w:tcW w:w="23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GAS-twenty one Ltd.</w:t>
            </w:r>
          </w:p>
        </w:tc>
        <w:tc>
          <w:tcPr>
            <w:tcW w:w="150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color w:val="auto"/>
                <w:w w:val="87"/>
              </w:rPr>
              <w:t>Bermuda</w:t>
            </w:r>
          </w:p>
        </w:tc>
        <w:tc>
          <w:tcPr>
            <w:tcW w:w="152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color w:val="auto"/>
                <w:w w:val="95"/>
              </w:rPr>
              <w:t>April 2014</w:t>
            </w:r>
          </w:p>
        </w:tc>
        <w:tc>
          <w:tcPr>
            <w:tcW w:w="176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color w:val="auto"/>
                <w:w w:val="87"/>
              </w:rPr>
              <w:t>Vessel-owning company</w:t>
            </w:r>
          </w:p>
        </w:tc>
        <w:tc>
          <w:tcPr>
            <w:tcW w:w="178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i w:val="1"/>
                <w:iCs w:val="1"/>
                <w:color w:val="auto"/>
                <w:w w:val="89"/>
              </w:rPr>
              <w:t>Methane Heather Sally</w:t>
            </w:r>
          </w:p>
        </w:tc>
        <w:tc>
          <w:tcPr>
            <w:tcW w:w="10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145,000</w:t>
            </w:r>
          </w:p>
        </w:tc>
        <w:tc>
          <w:tcPr>
            <w:tcW w:w="260" w:type="dxa"/>
            <w:vAlign w:val="bottom"/>
            <w:shd w:val="clear" w:color="auto" w:fill="CCEEFF"/>
          </w:tcPr>
          <w:p>
            <w:pPr>
              <w:spacing w:after="0"/>
              <w:rPr>
                <w:sz w:val="11"/>
                <w:szCs w:val="11"/>
                <w:color w:val="auto"/>
              </w:rPr>
            </w:pPr>
          </w:p>
        </w:tc>
        <w:tc>
          <w:tcPr>
            <w:tcW w:w="12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June 2014</w:t>
            </w:r>
          </w:p>
        </w:tc>
      </w:tr>
      <w:tr>
        <w:trPr>
          <w:trHeight w:val="160"/>
        </w:trPr>
        <w:tc>
          <w:tcPr>
            <w:tcW w:w="2340" w:type="dxa"/>
            <w:vAlign w:val="bottom"/>
            <w:gridSpan w:val="2"/>
          </w:tcPr>
          <w:p>
            <w:pPr>
              <w:spacing w:after="0"/>
              <w:rPr>
                <w:sz w:val="20"/>
                <w:szCs w:val="20"/>
                <w:color w:val="auto"/>
              </w:rPr>
            </w:pPr>
            <w:r>
              <w:rPr>
                <w:rFonts w:ascii="Arial" w:cs="Arial" w:eastAsia="Arial" w:hAnsi="Arial"/>
                <w:sz w:val="13"/>
                <w:szCs w:val="13"/>
                <w:color w:val="auto"/>
              </w:rPr>
              <w:t>GasLog Partners Holdings LLC</w:t>
            </w:r>
          </w:p>
        </w:tc>
        <w:tc>
          <w:tcPr>
            <w:tcW w:w="1500" w:type="dxa"/>
            <w:vAlign w:val="bottom"/>
            <w:gridSpan w:val="2"/>
          </w:tcPr>
          <w:p>
            <w:pPr>
              <w:jc w:val="center"/>
              <w:ind w:right="260"/>
              <w:spacing w:after="0"/>
              <w:rPr>
                <w:sz w:val="20"/>
                <w:szCs w:val="20"/>
                <w:color w:val="auto"/>
              </w:rPr>
            </w:pPr>
            <w:r>
              <w:rPr>
                <w:rFonts w:ascii="Arial" w:cs="Arial" w:eastAsia="Arial" w:hAnsi="Arial"/>
                <w:sz w:val="13"/>
                <w:szCs w:val="13"/>
                <w:color w:val="auto"/>
                <w:w w:val="89"/>
              </w:rPr>
              <w:t>Marshall Islands</w:t>
            </w:r>
          </w:p>
        </w:tc>
        <w:tc>
          <w:tcPr>
            <w:tcW w:w="1520" w:type="dxa"/>
            <w:vAlign w:val="bottom"/>
            <w:gridSpan w:val="2"/>
          </w:tcPr>
          <w:p>
            <w:pPr>
              <w:jc w:val="center"/>
              <w:ind w:right="240"/>
              <w:spacing w:after="0"/>
              <w:rPr>
                <w:sz w:val="20"/>
                <w:szCs w:val="20"/>
                <w:color w:val="auto"/>
              </w:rPr>
            </w:pPr>
            <w:r>
              <w:rPr>
                <w:rFonts w:ascii="Arial" w:cs="Arial" w:eastAsia="Arial" w:hAnsi="Arial"/>
                <w:sz w:val="13"/>
                <w:szCs w:val="13"/>
                <w:color w:val="auto"/>
                <w:w w:val="95"/>
              </w:rPr>
              <w:t>April 2014</w:t>
            </w:r>
          </w:p>
        </w:tc>
        <w:tc>
          <w:tcPr>
            <w:tcW w:w="1760" w:type="dxa"/>
            <w:vAlign w:val="bottom"/>
            <w:gridSpan w:val="2"/>
          </w:tcPr>
          <w:p>
            <w:pPr>
              <w:jc w:val="center"/>
              <w:ind w:right="240"/>
              <w:spacing w:after="0"/>
              <w:rPr>
                <w:sz w:val="20"/>
                <w:szCs w:val="20"/>
                <w:color w:val="auto"/>
              </w:rPr>
            </w:pPr>
            <w:r>
              <w:rPr>
                <w:rFonts w:ascii="Arial" w:cs="Arial" w:eastAsia="Arial" w:hAnsi="Arial"/>
                <w:sz w:val="13"/>
                <w:szCs w:val="13"/>
                <w:color w:val="auto"/>
                <w:w w:val="91"/>
              </w:rPr>
              <w:t>Holding company</w:t>
            </w:r>
          </w:p>
        </w:tc>
        <w:tc>
          <w:tcPr>
            <w:tcW w:w="1780" w:type="dxa"/>
            <w:vAlign w:val="bottom"/>
            <w:gridSpan w:val="2"/>
          </w:tcPr>
          <w:p>
            <w:pPr>
              <w:jc w:val="center"/>
              <w:ind w:right="240"/>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center"/>
              <w:ind w:right="260"/>
              <w:spacing w:after="0"/>
              <w:rPr>
                <w:sz w:val="20"/>
                <w:szCs w:val="20"/>
                <w:color w:val="auto"/>
              </w:rPr>
            </w:pPr>
            <w:r>
              <w:rPr>
                <w:rFonts w:ascii="Arial" w:cs="Arial" w:eastAsia="Arial" w:hAnsi="Arial"/>
                <w:sz w:val="13"/>
                <w:szCs w:val="13"/>
                <w:color w:val="auto"/>
                <w:w w:val="91"/>
              </w:rPr>
              <w:t>—</w:t>
            </w:r>
          </w:p>
        </w:tc>
        <w:tc>
          <w:tcPr>
            <w:tcW w:w="1260" w:type="dxa"/>
            <w:vAlign w:val="bottom"/>
          </w:tcPr>
          <w:p>
            <w:pPr>
              <w:jc w:val="center"/>
              <w:spacing w:after="0"/>
              <w:rPr>
                <w:sz w:val="20"/>
                <w:szCs w:val="20"/>
                <w:color w:val="auto"/>
              </w:rPr>
            </w:pPr>
            <w:r>
              <w:rPr>
                <w:rFonts w:ascii="Arial" w:cs="Arial" w:eastAsia="Arial" w:hAnsi="Arial"/>
                <w:sz w:val="13"/>
                <w:szCs w:val="13"/>
                <w:color w:val="auto"/>
                <w:w w:val="91"/>
              </w:rPr>
              <w:t>—</w:t>
            </w:r>
          </w:p>
        </w:tc>
      </w:tr>
    </w:tbl>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229" w:lineRule="exact"/>
        <w:rPr>
          <w:sz w:val="20"/>
          <w:szCs w:val="20"/>
          <w:color w:val="auto"/>
        </w:rPr>
      </w:pPr>
    </w:p>
    <w:p>
      <w:pPr>
        <w:ind w:right="120" w:firstLine="396"/>
        <w:spacing w:after="0" w:line="297" w:lineRule="auto"/>
        <w:rPr>
          <w:sz w:val="20"/>
          <w:szCs w:val="20"/>
          <w:color w:val="auto"/>
        </w:rPr>
      </w:pPr>
      <w:r>
        <w:rPr>
          <w:rFonts w:ascii="Arial" w:cs="Arial" w:eastAsia="Arial" w:hAnsi="Arial"/>
          <w:sz w:val="16"/>
          <w:szCs w:val="16"/>
          <w:color w:val="auto"/>
        </w:rPr>
        <w:t xml:space="preserve">These unaudited condensed consolidated financial statements have been prepared in accordance with International Accounting Standard (“IAS”) 34 </w:t>
      </w:r>
      <w:r>
        <w:rPr>
          <w:rFonts w:ascii="Arial" w:cs="Arial" w:eastAsia="Arial" w:hAnsi="Arial"/>
          <w:sz w:val="16"/>
          <w:szCs w:val="16"/>
          <w:i w:val="1"/>
          <w:iCs w:val="1"/>
          <w:color w:val="auto"/>
        </w:rPr>
        <w:t xml:space="preserve">Interim Financial Reporting </w:t>
      </w:r>
      <w:r>
        <w:rPr>
          <w:rFonts w:ascii="Arial" w:cs="Arial" w:eastAsia="Arial" w:hAnsi="Arial"/>
          <w:sz w:val="16"/>
          <w:szCs w:val="16"/>
          <w:color w:val="auto"/>
        </w:rPr>
        <w:t>as issued by the International Accounting Standards Board (“IASB”). Certain information and footnote disclosures required by</w:t>
      </w:r>
      <w:r>
        <w:rPr>
          <w:rFonts w:ascii="Arial" w:cs="Arial" w:eastAsia="Arial" w:hAnsi="Arial"/>
          <w:sz w:val="16"/>
          <w:szCs w:val="16"/>
          <w:i w:val="1"/>
          <w:iCs w:val="1"/>
          <w:color w:val="auto"/>
        </w:rPr>
        <w:t xml:space="preserve"> </w:t>
      </w:r>
      <w:r>
        <w:rPr>
          <w:rFonts w:ascii="Arial" w:cs="Arial" w:eastAsia="Arial" w:hAnsi="Arial"/>
          <w:sz w:val="16"/>
          <w:szCs w:val="16"/>
          <w:color w:val="auto"/>
        </w:rPr>
        <w:t>International Financial Reporting Standards (“IFRS”) for a complete set of annual financial statements have been omitted, and therefore, these unaudited condensed consolidated financial statements should be read in conjunction with the Partnership’s annual consolidated financial statements for the year ended December 31, 2016, filed on a Current Report on Form 6-K with the Securities Exchange Commission on September 29, 2017.</w:t>
      </w:r>
    </w:p>
    <w:p>
      <w:pPr>
        <w:spacing w:after="0" w:line="158" w:lineRule="exact"/>
        <w:rPr>
          <w:sz w:val="20"/>
          <w:szCs w:val="20"/>
          <w:color w:val="auto"/>
        </w:rPr>
      </w:pPr>
    </w:p>
    <w:p>
      <w:pPr>
        <w:ind w:right="360" w:firstLine="396"/>
        <w:spacing w:after="0" w:line="277"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Partnership and its subsidiaries assuming that they are consolidated for all periods presented, as they were under the common control of GasLog.</w:t>
      </w:r>
    </w:p>
    <w:p>
      <w:pPr>
        <w:spacing w:after="0" w:line="170" w:lineRule="exact"/>
        <w:rPr>
          <w:sz w:val="20"/>
          <w:szCs w:val="20"/>
          <w:color w:val="auto"/>
        </w:rPr>
      </w:pPr>
    </w:p>
    <w:p>
      <w:pPr>
        <w:ind w:right="160" w:firstLine="396"/>
        <w:spacing w:after="0" w:line="259" w:lineRule="auto"/>
        <w:rPr>
          <w:sz w:val="20"/>
          <w:szCs w:val="20"/>
          <w:color w:val="auto"/>
        </w:rPr>
      </w:pPr>
      <w:r>
        <w:rPr>
          <w:rFonts w:ascii="Arial" w:cs="Arial" w:eastAsia="Arial" w:hAnsi="Arial"/>
          <w:sz w:val="18"/>
          <w:szCs w:val="18"/>
          <w:color w:val="auto"/>
        </w:rPr>
        <w:t>The unaudited condensed consolidated financial statements have been prepared on the historical cost basis. The same accounting policies and methods of computation have been followed in these unaudited condensed consolidated financial statements as applied in the preparation of the Partnership’s consolidated financial statements for the year ended December 31, 2016. On October 25, 2017, the Partnership’s board of directors authorized the unaudited condensed consolidated financial statements for issuance.</w:t>
      </w:r>
    </w:p>
    <w:p>
      <w:pPr>
        <w:spacing w:after="0" w:line="187" w:lineRule="exact"/>
        <w:rPr>
          <w:sz w:val="20"/>
          <w:szCs w:val="20"/>
          <w:color w:val="auto"/>
        </w:rPr>
      </w:pPr>
    </w:p>
    <w:p>
      <w:pPr>
        <w:ind w:right="20" w:firstLine="396"/>
        <w:spacing w:after="0" w:line="277" w:lineRule="auto"/>
        <w:rPr>
          <w:sz w:val="20"/>
          <w:szCs w:val="20"/>
          <w:color w:val="auto"/>
        </w:rPr>
      </w:pPr>
      <w:r>
        <w:rPr>
          <w:rFonts w:ascii="Arial" w:cs="Arial" w:eastAsia="Arial" w:hAnsi="Arial"/>
          <w:sz w:val="18"/>
          <w:szCs w:val="18"/>
          <w:color w:val="auto"/>
        </w:rPr>
        <w:t>The critical accounting judgments and key sources of estimation uncertainty were disclosed in the Partnership’s annual consolidated financial statements for the year ended December 31, 2016.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80" w:firstLine="396"/>
        <w:spacing w:after="0" w:line="264" w:lineRule="auto"/>
        <w:rPr>
          <w:sz w:val="20"/>
          <w:szCs w:val="20"/>
          <w:color w:val="auto"/>
        </w:rPr>
      </w:pPr>
      <w:r>
        <w:rPr>
          <w:rFonts w:ascii="Arial" w:cs="Arial" w:eastAsia="Arial" w:hAnsi="Arial"/>
          <w:sz w:val="18"/>
          <w:szCs w:val="18"/>
          <w:color w:val="auto"/>
        </w:rPr>
        <w:t>The unaudited condensed consolidated financial statements are expressed in thousands of U.S. Dollars (“USD”), which is the functional currency of the Partnership and each of its subsidiaries because their vessels operate in international shipping markets, in which revenues and expenses are primarily settled in USD and the Partnership’s most significant assets and liabilities are paid for and settled in USD.</w:t>
      </w:r>
    </w:p>
    <w:p>
      <w:pPr>
        <w:spacing w:after="0" w:line="168" w:lineRule="exact"/>
        <w:rPr>
          <w:sz w:val="20"/>
          <w:szCs w:val="20"/>
          <w:color w:val="auto"/>
        </w:rPr>
      </w:pPr>
    </w:p>
    <w:p>
      <w:pPr>
        <w:ind w:right="20" w:firstLine="396"/>
        <w:spacing w:after="0" w:line="342" w:lineRule="auto"/>
        <w:rPr>
          <w:sz w:val="20"/>
          <w:szCs w:val="20"/>
          <w:color w:val="auto"/>
        </w:rPr>
      </w:pPr>
      <w:r>
        <w:rPr>
          <w:rFonts w:ascii="Arial" w:cs="Arial" w:eastAsia="Arial" w:hAnsi="Arial"/>
          <w:sz w:val="16"/>
          <w:szCs w:val="16"/>
          <w:color w:val="auto"/>
        </w:rPr>
        <w:t>Management anticipates that the Partnership’s primary sources of funds will be available cash, cash from operations, borrowings under existing debt and equity financing. Management believes that these sources of funds will be sufficient for the Partnership to meet its liquidity needs and comply with its</w:t>
      </w:r>
    </w:p>
    <w:p>
      <w:pPr>
        <w:sectPr>
          <w:pgSz w:w="11900" w:h="16838" w:orient="portrait"/>
          <w:cols w:equalWidth="0" w:num="1">
            <w:col w:w="11420"/>
          </w:cols>
          <w:pgMar w:left="240" w:top="337" w:right="239" w:bottom="0" w:gutter="0" w:footer="0" w:header="0"/>
        </w:sectPr>
      </w:pPr>
    </w:p>
    <w:bookmarkStart w:id="25" w:name="page26"/>
    <w:bookmarkEnd w:id="25"/>
    <w:p>
      <w:pPr>
        <w:ind w:right="40"/>
        <w:spacing w:after="0" w:line="342" w:lineRule="auto"/>
        <w:rPr>
          <w:sz w:val="20"/>
          <w:szCs w:val="20"/>
          <w:color w:val="auto"/>
        </w:rPr>
      </w:pPr>
      <w:r>
        <w:rPr>
          <w:rFonts w:ascii="Arial" w:cs="Arial" w:eastAsia="Arial" w:hAnsi="Arial"/>
          <w:sz w:val="16"/>
          <w:szCs w:val="16"/>
          <w:color w:val="auto"/>
        </w:rPr>
        <w:t>banking covenants for at least twelve months from the end of the reporting period and therefore it is appropriate to prepare the financial statements on a going concern basis, although there can be no assurance that the Partnership will be able to obtain future debt and equity financing on acceptable terms.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and revised IFRS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Standards and interpretations adopted in the current period</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standards and amendments relevant to the Partnership were effective in the current period:</w:t>
      </w:r>
    </w:p>
    <w:p>
      <w:pPr>
        <w:spacing w:after="0" w:line="212"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 xml:space="preserve">In February 2016, the IASB issued amendments to IAS 7 </w:t>
      </w:r>
      <w:r>
        <w:rPr>
          <w:rFonts w:ascii="Arial" w:cs="Arial" w:eastAsia="Arial" w:hAnsi="Arial"/>
          <w:sz w:val="17"/>
          <w:szCs w:val="17"/>
          <w:i w:val="1"/>
          <w:iCs w:val="1"/>
          <w:color w:val="auto"/>
        </w:rPr>
        <w:t>Statement of Cash Flows</w:t>
      </w:r>
      <w:r>
        <w:rPr>
          <w:rFonts w:ascii="Arial" w:cs="Arial" w:eastAsia="Arial" w:hAnsi="Arial"/>
          <w:sz w:val="17"/>
          <w:szCs w:val="17"/>
          <w:color w:val="auto"/>
        </w:rPr>
        <w:t xml:space="preserve"> introducing an additional disclosure that will enable users of financial statements to evaluate changes in liabilities arising from financing activities. The amendments are part of the IASB’s Disclosure Initiative, which continues to explore how financial statement disclosure can be improved. Entities will be required to disclose changes arising from cash flows, such as drawdowns and repayments of borrowings and also non-cash changes, such as acquisitions, disposals and unrealised exchange differences. Even though a specific format is not mandated, where a reconciliation is used the disclosure should provide sufficient information to link items included in the reconciliation to the statement of financial position and statement of cash flows. The amendments, which were effective for annual periods beginning on or after January 1, 2017, had a disclosure impact on the Partnership’s financial statements; refer to Notes 6 and 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Standards and amendments in issue not yet adopted</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the date of authorization of these unaudited condensed consolidated financial statements, the following standards and amendments relevant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Partnership were in issue but not yet effective:</w:t>
      </w:r>
    </w:p>
    <w:p>
      <w:pPr>
        <w:spacing w:after="0" w:line="197"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 xml:space="preserve">In May 2014, the IASB issued IFRS 15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which applies to all contracts with customers: the main exceptions are leases, financial instruments and insurance contracts. IFRS 15 specifies how and when an IFRS reporter will recognize revenue as well as requiring such entities to provide users of financial statements with more informative, relevant disclosures. The standard supersedes IAS 18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IAS 11 </w:t>
      </w:r>
      <w:r>
        <w:rPr>
          <w:rFonts w:ascii="Arial" w:cs="Arial" w:eastAsia="Arial" w:hAnsi="Arial"/>
          <w:sz w:val="17"/>
          <w:szCs w:val="17"/>
          <w:i w:val="1"/>
          <w:iCs w:val="1"/>
          <w:color w:val="auto"/>
        </w:rPr>
        <w:t>Construction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t>
      </w:r>
      <w:r>
        <w:rPr>
          <w:rFonts w:ascii="Arial" w:cs="Arial" w:eastAsia="Arial" w:hAnsi="Arial"/>
          <w:sz w:val="17"/>
          <w:szCs w:val="17"/>
          <w:color w:val="auto"/>
        </w:rPr>
        <w:t>and a number of revenue-related interpretations. The standard was amended in September 2015 to delay the effective date to annual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beginning on or after January 1, 2018 but early adoption is permitted. In addition, the standard was further amended in April 2016 to clarify the guidance on identifying performance obligations, accounting for licences of intellectual property and the principal versus agent assessment (gross versus net revenue presentation), as well as to give new and amended illustrative examples and practical expedients. The Partnership will adopt the standard as of January 1, 2018 and is expecting that the adoption will not have a material effect on its financial statements, other than additional disclosure requirements in the notes to the financial statements, since the Partnership has chartered its vessels under time charter agreements, and in this respect revenue is accounted under the leases standard.</w:t>
      </w:r>
    </w:p>
    <w:p>
      <w:pPr>
        <w:spacing w:after="0" w:line="164"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 xml:space="preserve">In July 2014, the IASB issued the complete version of IFRS 9 </w:t>
      </w:r>
      <w:r>
        <w:rPr>
          <w:rFonts w:ascii="Arial" w:cs="Arial" w:eastAsia="Arial" w:hAnsi="Arial"/>
          <w:sz w:val="17"/>
          <w:szCs w:val="17"/>
          <w:i w:val="1"/>
          <w:iCs w:val="1"/>
          <w:color w:val="auto"/>
        </w:rPr>
        <w:t>Financial Instruments</w:t>
      </w:r>
      <w:r>
        <w:rPr>
          <w:rFonts w:ascii="Arial" w:cs="Arial" w:eastAsia="Arial" w:hAnsi="Arial"/>
          <w:sz w:val="17"/>
          <w:szCs w:val="17"/>
          <w:color w:val="auto"/>
        </w:rPr>
        <w:t>. IFRS 9 specifies how an entity should classify and measure financial assets and financial liabilities. The new standard requires all financial assets to be subsequently measured at amortized cost or fair value depending on the business model of the legal entity in relation to the management of the financial assets and the contractual cash flows of the financial assets. The standard also requires a financial liability to be classified as either at fair value through profit or loss or at amortized cost. In addition, a new hedge accounting model was introduced, that is designed to be more closely aligned with how entities undertake risk management activities when hedging financial and non-financial risk exposures. The standard is effective for accounting periods beginning on or after January 1, 2018 but early adoption is permitted. Management is currently evaluating the impact of this standard on the Partnership’s financial statements.</w:t>
      </w:r>
    </w:p>
    <w:p>
      <w:pPr>
        <w:spacing w:after="0" w:line="164"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 xml:space="preserve">In January 2016, the IASB issued IFRS 16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which sets out the principles for the recognition, measurement, presentation and disclosure of leases for both parties to a contract, i.e. the customer (“lessee”) and the supplier (“lessor”). IFRS 16 eliminates the classification of leases by lessees as either operating leases or finance leases and, instead, introduces a single lessee accounting model. Applying that model, a lessee is required to recognise: (a) assets and liabilities for all leases with a term of more than twelve months, unless the underlying asset is of low value; and (b) depreciation of lease assets separately from interest on lease liabilities in the statement of profit or loss. Lessors continue to classify their leases as operating leases or finance leases, and to account for those two types of leases differently. IFRS 16 supersedes the previous leases Standard, IAS 17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and related Interpretations. The standard is effective from January 1, 2019, with early adoption permitted only with concurrent adoption of IFRS 15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Management anticipates that the implementation of this standard will not have a material impact on the Partnership’s financial statements, since the changes for lessors are fairly minor.</w:t>
      </w:r>
    </w:p>
    <w:p>
      <w:pPr>
        <w:spacing w:after="0" w:line="168" w:lineRule="exact"/>
        <w:rPr>
          <w:sz w:val="20"/>
          <w:szCs w:val="20"/>
          <w:color w:val="auto"/>
        </w:rPr>
      </w:pPr>
    </w:p>
    <w:p>
      <w:pPr>
        <w:ind w:right="760" w:firstLine="356"/>
        <w:spacing w:after="0" w:line="277" w:lineRule="auto"/>
        <w:rPr>
          <w:sz w:val="20"/>
          <w:szCs w:val="20"/>
          <w:color w:val="auto"/>
        </w:rPr>
      </w:pPr>
      <w:r>
        <w:rPr>
          <w:rFonts w:ascii="Arial" w:cs="Arial" w:eastAsia="Arial" w:hAnsi="Arial"/>
          <w:sz w:val="18"/>
          <w:szCs w:val="18"/>
          <w:color w:val="auto"/>
        </w:rPr>
        <w:t>The impact of all other IFRS standards and amendments issued but not yet adopted is not expected to be material on the Partnership’s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Related party transactions</w:t>
      </w:r>
    </w:p>
    <w:p>
      <w:pPr>
        <w:spacing w:after="0" w:line="216" w:lineRule="exact"/>
        <w:rPr>
          <w:sz w:val="20"/>
          <w:szCs w:val="20"/>
          <w:color w:val="auto"/>
        </w:rPr>
      </w:pPr>
    </w:p>
    <w:p>
      <w:pPr>
        <w:ind w:right="580" w:firstLine="383"/>
        <w:spacing w:after="0" w:line="277" w:lineRule="auto"/>
        <w:rPr>
          <w:sz w:val="20"/>
          <w:szCs w:val="20"/>
          <w:color w:val="auto"/>
        </w:rPr>
      </w:pPr>
      <w:r>
        <w:rPr>
          <w:rFonts w:ascii="Arial" w:cs="Arial" w:eastAsia="Arial" w:hAnsi="Arial"/>
          <w:sz w:val="18"/>
          <w:szCs w:val="18"/>
          <w:color w:val="auto"/>
        </w:rPr>
        <w:t>The Partnership has the following balances with related parties, which have been included in the unaudited condensed consolidated statements of financial position: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Amounts due from related parties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40" w:type="dxa"/>
            <w:vAlign w:val="bottom"/>
          </w:tcPr>
          <w:p>
            <w:pPr>
              <w:spacing w:after="0"/>
              <w:rPr>
                <w:sz w:val="14"/>
                <w:szCs w:val="14"/>
                <w:color w:val="auto"/>
              </w:rPr>
            </w:pPr>
          </w:p>
        </w:tc>
        <w:tc>
          <w:tcPr>
            <w:tcW w:w="188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 2016</w:t>
            </w:r>
          </w:p>
        </w:tc>
        <w:tc>
          <w:tcPr>
            <w:tcW w:w="1700" w:type="dxa"/>
            <w:vAlign w:val="bottom"/>
            <w:gridSpan w:val="2"/>
          </w:tcPr>
          <w:p>
            <w:pPr>
              <w:ind w:left="200"/>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210"/>
        </w:trPr>
        <w:tc>
          <w:tcPr>
            <w:tcW w:w="784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Due from GasLog LNG Services </w:t>
            </w:r>
            <w:r>
              <w:rPr>
                <w:rFonts w:ascii="Arial" w:cs="Arial" w:eastAsia="Arial" w:hAnsi="Arial"/>
                <w:sz w:val="23"/>
                <w:szCs w:val="23"/>
                <w:color w:val="auto"/>
                <w:vertAlign w:val="superscript"/>
              </w:rPr>
              <w:t>(a)</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3,072</w:t>
            </w:r>
          </w:p>
        </w:tc>
        <w:tc>
          <w:tcPr>
            <w:tcW w:w="28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Amounts due to related parties</w:t>
            </w: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84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40" w:type="dxa"/>
            <w:vAlign w:val="bottom"/>
          </w:tcPr>
          <w:p>
            <w:pPr>
              <w:spacing w:after="0"/>
              <w:rPr>
                <w:sz w:val="24"/>
                <w:szCs w:val="24"/>
                <w:color w:val="auto"/>
              </w:rPr>
            </w:pPr>
          </w:p>
        </w:tc>
        <w:tc>
          <w:tcPr>
            <w:tcW w:w="188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 2016</w:t>
            </w:r>
          </w:p>
        </w:tc>
        <w:tc>
          <w:tcPr>
            <w:tcW w:w="1700" w:type="dxa"/>
            <w:vAlign w:val="bottom"/>
            <w:gridSpan w:val="2"/>
          </w:tcPr>
          <w:p>
            <w:pPr>
              <w:ind w:left="200"/>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210"/>
        </w:trPr>
        <w:tc>
          <w:tcPr>
            <w:tcW w:w="784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Due to GasLog </w:t>
            </w:r>
            <w:r>
              <w:rPr>
                <w:rFonts w:ascii="Arial" w:cs="Arial" w:eastAsia="Arial" w:hAnsi="Arial"/>
                <w:sz w:val="23"/>
                <w:szCs w:val="23"/>
                <w:color w:val="auto"/>
                <w:vertAlign w:val="superscript"/>
              </w:rPr>
              <w:t>(b)</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line="216" w:lineRule="exact"/>
              <w:rPr>
                <w:sz w:val="20"/>
                <w:szCs w:val="20"/>
                <w:color w:val="auto"/>
              </w:rPr>
            </w:pPr>
            <w:r>
              <w:rPr>
                <w:rFonts w:ascii="Arial" w:cs="Arial" w:eastAsia="Arial" w:hAnsi="Arial"/>
                <w:sz w:val="18"/>
                <w:szCs w:val="18"/>
                <w:color w:val="auto"/>
              </w:rPr>
              <w:t xml:space="preserve">Due to GasLog Carriers Ltd. (“GasLog Carriers”) </w:t>
            </w:r>
            <w:r>
              <w:rPr>
                <w:rFonts w:ascii="Arial" w:cs="Arial" w:eastAsia="Arial" w:hAnsi="Arial"/>
                <w:sz w:val="23"/>
                <w:szCs w:val="23"/>
                <w:color w:val="auto"/>
                <w:vertAlign w:val="superscript"/>
              </w:rPr>
              <w:t>(c)</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3,357</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3,612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8268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10" w:lineRule="exact"/>
        <w:rPr>
          <w:sz w:val="20"/>
          <w:szCs w:val="20"/>
          <w:color w:val="auto"/>
        </w:rPr>
      </w:pPr>
    </w:p>
    <w:p>
      <w:pPr>
        <w:ind w:left="640" w:hanging="318"/>
        <w:spacing w:after="0"/>
        <w:tabs>
          <w:tab w:leader="none" w:pos="64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The balances represent mainly amounts advanced to the Manager to cover future operating expenses of the Partnership.</w:t>
      </w:r>
    </w:p>
    <w:p>
      <w:pPr>
        <w:sectPr>
          <w:pgSz w:w="11900" w:h="16838" w:orient="portrait"/>
          <w:cols w:equalWidth="0" w:num="1">
            <w:col w:w="11420"/>
          </w:cols>
          <w:pgMar w:left="240" w:top="125" w:right="239" w:bottom="0" w:gutter="0" w:footer="0" w:header="0"/>
        </w:sectPr>
      </w:pPr>
    </w:p>
    <w:bookmarkStart w:id="26" w:name="page27"/>
    <w:bookmarkEnd w:id="26"/>
    <w:p>
      <w:pPr>
        <w:ind w:left="640" w:hanging="308"/>
        <w:spacing w:after="0"/>
        <w:tabs>
          <w:tab w:leader="none" w:pos="64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The balances represent mainly payments made by GasLog on behalf of the Partnership.</w:t>
      </w:r>
    </w:p>
    <w:p>
      <w:pPr>
        <w:spacing w:after="0" w:line="134" w:lineRule="exact"/>
        <w:rPr>
          <w:rFonts w:ascii="Arial" w:cs="Arial" w:eastAsia="Arial" w:hAnsi="Arial"/>
          <w:sz w:val="23"/>
          <w:szCs w:val="23"/>
          <w:color w:val="auto"/>
          <w:vertAlign w:val="superscript"/>
        </w:rPr>
      </w:pPr>
    </w:p>
    <w:p>
      <w:pPr>
        <w:ind w:left="660" w:right="160" w:hanging="328"/>
        <w:spacing w:after="0" w:line="234" w:lineRule="auto"/>
        <w:tabs>
          <w:tab w:leader="none" w:pos="655"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As of December 31, 2016, the balance due to GasLog Carriers, the parent company of GAS-eleven Ltd. and GAS-thirteen Ltd. prior to their acquisitions by the Partnership, represented mainly amounts paid directly by GasLog Carriers on behalf of GAS-eleven Ltd. and GAS-thirteen Ltd. As of September 30, 2017, the balance had been fully settled.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due to related parties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40" w:type="dxa"/>
            <w:vAlign w:val="bottom"/>
          </w:tcPr>
          <w:p>
            <w:pPr>
              <w:spacing w:after="0"/>
              <w:rPr>
                <w:sz w:val="14"/>
                <w:szCs w:val="14"/>
                <w:color w:val="auto"/>
              </w:rPr>
            </w:pPr>
          </w:p>
        </w:tc>
        <w:tc>
          <w:tcPr>
            <w:tcW w:w="1400" w:type="dxa"/>
            <w:vAlign w:val="bottom"/>
          </w:tcPr>
          <w:p>
            <w:pPr>
              <w:ind w:left="220"/>
              <w:spacing w:after="0"/>
              <w:rPr>
                <w:sz w:val="20"/>
                <w:szCs w:val="20"/>
                <w:color w:val="auto"/>
              </w:rPr>
            </w:pPr>
            <w:r>
              <w:rPr>
                <w:rFonts w:ascii="Arial" w:cs="Arial" w:eastAsia="Arial" w:hAnsi="Arial"/>
                <w:sz w:val="14"/>
                <w:szCs w:val="14"/>
                <w:b w:val="1"/>
                <w:bCs w:val="1"/>
                <w:color w:val="auto"/>
                <w:w w:val="91"/>
              </w:rPr>
              <w:t>December 31, 2016</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3"/>
          </w:tcPr>
          <w:p>
            <w:pPr>
              <w:ind w:left="200"/>
              <w:spacing w:after="0"/>
              <w:rPr>
                <w:sz w:val="20"/>
                <w:szCs w:val="20"/>
                <w:color w:val="auto"/>
              </w:rPr>
            </w:pPr>
            <w:r>
              <w:rPr>
                <w:rFonts w:ascii="Arial" w:cs="Arial" w:eastAsia="Arial" w:hAnsi="Arial"/>
                <w:sz w:val="14"/>
                <w:szCs w:val="14"/>
                <w:b w:val="1"/>
                <w:bCs w:val="1"/>
                <w:color w:val="auto"/>
              </w:rPr>
              <w:t>September 30, 2017</w:t>
            </w:r>
          </w:p>
        </w:tc>
      </w:tr>
      <w:tr>
        <w:trPr>
          <w:trHeight w:val="210"/>
        </w:trPr>
        <w:tc>
          <w:tcPr>
            <w:tcW w:w="7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facility with GasLog</w:t>
            </w:r>
          </w:p>
        </w:tc>
        <w:tc>
          <w:tcPr>
            <w:tcW w:w="140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78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8"/>
              </w:rPr>
              <w:t>—</w:t>
            </w:r>
          </w:p>
        </w:tc>
        <w:tc>
          <w:tcPr>
            <w:tcW w:w="28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45,000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8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Upon completion of the IPO on May 12, 2014, the Partnership entered into a $30,000 revolving credit facility with GasLog (the “Old Sponsor Credit Facility”), to be used for general partnership purposes. The credit facility was for a term of 36 months, unsecured and bore interest at a rate of 5.0% per annum, with no commitment fee for the first year. After the first year, the interest increased to a rate of 6.0% per annum, with an annual 2.4% commitment fee on the undrawn balance.</w:t>
      </w:r>
    </w:p>
    <w:p>
      <w:pPr>
        <w:spacing w:after="0" w:line="119" w:lineRule="exact"/>
        <w:rPr>
          <w:sz w:val="20"/>
          <w:szCs w:val="20"/>
          <w:color w:val="auto"/>
        </w:rPr>
      </w:pPr>
    </w:p>
    <w:p>
      <w:pPr>
        <w:ind w:right="200" w:firstLine="324"/>
        <w:spacing w:after="0" w:line="302" w:lineRule="auto"/>
        <w:rPr>
          <w:sz w:val="20"/>
          <w:szCs w:val="20"/>
          <w:color w:val="auto"/>
        </w:rPr>
      </w:pPr>
      <w:r>
        <w:rPr>
          <w:rFonts w:ascii="Arial" w:cs="Arial" w:eastAsia="Arial" w:hAnsi="Arial"/>
          <w:sz w:val="16"/>
          <w:szCs w:val="16"/>
          <w:color w:val="auto"/>
        </w:rPr>
        <w:t>On April 3, 2017, GasLog Partners signed a deed of termination with respect to the Old Sponsor Credit Facility. On the same date, GasLog Partners entered into a new unsecured five-year term loan of $45,000 and a new five-year revolving credit facility of $30,000 with GasLog (together, the “New Sponsor Credit Facility”). On April 5, 2017, an amount of $45,000 under the term loan facility and an amount of $15,000 under the revolving credit facility were drawn by the Partnership, with the latter fully repaid on May 22, 2017. For the terms of the New Sponsor Credit Facility, please refer to Note 6.</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2017, an amount of $45,000 was outstanding under the facilities described above (December 31, 2016: nil).</w:t>
      </w:r>
    </w:p>
    <w:p>
      <w:pPr>
        <w:spacing w:after="0" w:line="158"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Partnership had the following transactions with related parties, which have been included in the unaudited condensed consolidated statements of profit or loss for the three and nine months ended September 30, 2016 and 2017:</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0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For the three months ended</w:t>
            </w:r>
          </w:p>
        </w:tc>
        <w:tc>
          <w:tcPr>
            <w:tcW w:w="300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19"/>
        </w:trPr>
        <w:tc>
          <w:tcPr>
            <w:tcW w:w="2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130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Details</w:t>
            </w:r>
          </w:p>
        </w:tc>
        <w:tc>
          <w:tcPr>
            <w:tcW w:w="260" w:type="dxa"/>
            <w:vAlign w:val="bottom"/>
          </w:tcPr>
          <w:p>
            <w:pPr>
              <w:spacing w:after="0"/>
              <w:rPr>
                <w:sz w:val="10"/>
                <w:szCs w:val="10"/>
                <w:color w:val="auto"/>
              </w:rPr>
            </w:pPr>
          </w:p>
        </w:tc>
        <w:tc>
          <w:tcPr>
            <w:tcW w:w="15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Account</w:t>
            </w:r>
          </w:p>
        </w:tc>
        <w:tc>
          <w:tcPr>
            <w:tcW w:w="1540" w:type="dxa"/>
            <w:vAlign w:val="bottom"/>
            <w:tcBorders>
              <w:top w:val="single" w:sz="8" w:color="auto"/>
            </w:tcBorders>
            <w:gridSpan w:val="2"/>
          </w:tcPr>
          <w:p>
            <w:pPr>
              <w:ind w:left="200"/>
              <w:spacing w:after="0" w:line="119" w:lineRule="exact"/>
              <w:rPr>
                <w:sz w:val="20"/>
                <w:szCs w:val="20"/>
                <w:color w:val="auto"/>
              </w:rPr>
            </w:pPr>
            <w:r>
              <w:rPr>
                <w:rFonts w:ascii="Arial" w:cs="Arial" w:eastAsia="Arial" w:hAnsi="Arial"/>
                <w:sz w:val="13"/>
                <w:szCs w:val="13"/>
                <w:b w:val="1"/>
                <w:bCs w:val="1"/>
                <w:color w:val="auto"/>
              </w:rPr>
              <w:t>September 30,</w:t>
            </w:r>
          </w:p>
        </w:tc>
        <w:tc>
          <w:tcPr>
            <w:tcW w:w="1300" w:type="dxa"/>
            <w:vAlign w:val="bottom"/>
            <w:tcBorders>
              <w:top w:val="single" w:sz="8" w:color="auto"/>
            </w:tcBorders>
          </w:tcPr>
          <w:p>
            <w:pPr>
              <w:jc w:val="right"/>
              <w:ind w:right="115"/>
              <w:spacing w:after="0" w:line="119" w:lineRule="exact"/>
              <w:rPr>
                <w:sz w:val="20"/>
                <w:szCs w:val="20"/>
                <w:color w:val="auto"/>
              </w:rPr>
            </w:pPr>
            <w:r>
              <w:rPr>
                <w:rFonts w:ascii="Arial" w:cs="Arial" w:eastAsia="Arial" w:hAnsi="Arial"/>
                <w:sz w:val="13"/>
                <w:szCs w:val="13"/>
                <w:b w:val="1"/>
                <w:bCs w:val="1"/>
                <w:color w:val="auto"/>
              </w:rPr>
              <w:t>September 30,</w:t>
            </w:r>
          </w:p>
        </w:tc>
        <w:tc>
          <w:tcPr>
            <w:tcW w:w="260" w:type="dxa"/>
            <w:vAlign w:val="bottom"/>
          </w:tcPr>
          <w:p>
            <w:pPr>
              <w:spacing w:after="0"/>
              <w:rPr>
                <w:sz w:val="10"/>
                <w:szCs w:val="10"/>
                <w:color w:val="auto"/>
              </w:rPr>
            </w:pPr>
          </w:p>
        </w:tc>
        <w:tc>
          <w:tcPr>
            <w:tcW w:w="1560" w:type="dxa"/>
            <w:vAlign w:val="bottom"/>
            <w:tcBorders>
              <w:top w:val="single" w:sz="8" w:color="auto"/>
            </w:tcBorders>
            <w:gridSpan w:val="2"/>
          </w:tcPr>
          <w:p>
            <w:pPr>
              <w:ind w:left="220"/>
              <w:spacing w:after="0" w:line="119" w:lineRule="exact"/>
              <w:rPr>
                <w:sz w:val="20"/>
                <w:szCs w:val="20"/>
                <w:color w:val="auto"/>
              </w:rPr>
            </w:pPr>
            <w:r>
              <w:rPr>
                <w:rFonts w:ascii="Arial" w:cs="Arial" w:eastAsia="Arial" w:hAnsi="Arial"/>
                <w:sz w:val="13"/>
                <w:szCs w:val="13"/>
                <w:b w:val="1"/>
                <w:bCs w:val="1"/>
                <w:color w:val="auto"/>
              </w:rPr>
              <w:t>September 30,</w:t>
            </w:r>
          </w:p>
        </w:tc>
        <w:tc>
          <w:tcPr>
            <w:tcW w:w="1300" w:type="dxa"/>
            <w:vAlign w:val="bottom"/>
            <w:tcBorders>
              <w:top w:val="single" w:sz="8" w:color="auto"/>
            </w:tcBorders>
          </w:tcPr>
          <w:p>
            <w:pPr>
              <w:jc w:val="right"/>
              <w:ind w:right="135"/>
              <w:spacing w:after="0" w:line="119" w:lineRule="exact"/>
              <w:rPr>
                <w:sz w:val="20"/>
                <w:szCs w:val="20"/>
                <w:color w:val="auto"/>
              </w:rPr>
            </w:pPr>
            <w:r>
              <w:rPr>
                <w:rFonts w:ascii="Arial" w:cs="Arial" w:eastAsia="Arial" w:hAnsi="Arial"/>
                <w:sz w:val="13"/>
                <w:szCs w:val="13"/>
                <w:b w:val="1"/>
                <w:bCs w:val="1"/>
                <w:color w:val="auto"/>
              </w:rPr>
              <w:t>September 30,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00" w:type="dxa"/>
            <w:vAlign w:val="bottom"/>
            <w:gridSpan w:val="2"/>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300" w:type="dxa"/>
            <w:vAlign w:val="bottom"/>
          </w:tcPr>
          <w:p>
            <w:pPr>
              <w:jc w:val="right"/>
              <w:ind w:right="436"/>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1300" w:type="dxa"/>
            <w:vAlign w:val="bottom"/>
          </w:tcPr>
          <w:p>
            <w:pPr>
              <w:jc w:val="right"/>
              <w:ind w:right="415"/>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1300" w:type="dxa"/>
            <w:vAlign w:val="bottom"/>
          </w:tcPr>
          <w:p>
            <w:pPr>
              <w:jc w:val="right"/>
              <w:ind w:right="416"/>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4"/>
                <w:szCs w:val="14"/>
                <w:color w:val="auto"/>
              </w:rPr>
            </w:pPr>
          </w:p>
        </w:tc>
        <w:tc>
          <w:tcPr>
            <w:tcW w:w="1300" w:type="dxa"/>
            <w:vAlign w:val="bottom"/>
          </w:tcPr>
          <w:p>
            <w:pPr>
              <w:jc w:val="right"/>
              <w:ind w:right="415"/>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9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GasLog</w:t>
            </w:r>
          </w:p>
        </w:tc>
        <w:tc>
          <w:tcPr>
            <w:tcW w:w="24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Commercial</w:t>
            </w:r>
          </w:p>
        </w:tc>
        <w:tc>
          <w:tcPr>
            <w:tcW w:w="26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General and</w:t>
            </w:r>
          </w:p>
        </w:tc>
        <w:tc>
          <w:tcPr>
            <w:tcW w:w="26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w w:val="86"/>
              </w:rPr>
              <w:t>management fee</w:t>
            </w:r>
            <w:r>
              <w:rPr>
                <w:rFonts w:ascii="Arial" w:cs="Arial" w:eastAsia="Arial" w:hAnsi="Arial"/>
                <w:sz w:val="23"/>
                <w:szCs w:val="23"/>
                <w:color w:val="auto"/>
                <w:w w:val="86"/>
                <w:vertAlign w:val="superscript"/>
              </w:rPr>
              <w:t>(i)</w:t>
            </w:r>
          </w:p>
        </w:tc>
        <w:tc>
          <w:tcPr>
            <w:tcW w:w="18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administrative</w:t>
            </w: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8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expenses</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946</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990</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2,749</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2,970</w:t>
            </w:r>
          </w:p>
        </w:tc>
        <w:tc>
          <w:tcPr>
            <w:tcW w:w="0" w:type="dxa"/>
            <w:vAlign w:val="bottom"/>
          </w:tcPr>
          <w:p>
            <w:pPr>
              <w:spacing w:after="0"/>
              <w:rPr>
                <w:sz w:val="1"/>
                <w:szCs w:val="1"/>
                <w:color w:val="auto"/>
              </w:rPr>
            </w:pPr>
          </w:p>
        </w:tc>
      </w:tr>
      <w:tr>
        <w:trPr>
          <w:trHeight w:val="202"/>
        </w:trPr>
        <w:tc>
          <w:tcPr>
            <w:tcW w:w="2200" w:type="dxa"/>
            <w:vAlign w:val="bottom"/>
            <w:gridSpan w:val="2"/>
          </w:tcPr>
          <w:p>
            <w:pPr>
              <w:spacing w:after="0" w:line="201" w:lineRule="exact"/>
              <w:rPr>
                <w:sz w:val="20"/>
                <w:szCs w:val="20"/>
                <w:color w:val="auto"/>
              </w:rPr>
            </w:pPr>
            <w:r>
              <w:rPr>
                <w:rFonts w:ascii="Arial" w:cs="Arial" w:eastAsia="Arial" w:hAnsi="Arial"/>
                <w:sz w:val="18"/>
                <w:szCs w:val="18"/>
                <w:color w:val="auto"/>
              </w:rPr>
              <w:t>GasLog</w:t>
            </w:r>
          </w:p>
        </w:tc>
        <w:tc>
          <w:tcPr>
            <w:tcW w:w="1300" w:type="dxa"/>
            <w:vAlign w:val="bottom"/>
          </w:tcPr>
          <w:p>
            <w:pPr>
              <w:spacing w:after="0" w:line="201" w:lineRule="exact"/>
              <w:rPr>
                <w:sz w:val="20"/>
                <w:szCs w:val="20"/>
                <w:color w:val="auto"/>
              </w:rPr>
            </w:pPr>
            <w:r>
              <w:rPr>
                <w:rFonts w:ascii="Arial" w:cs="Arial" w:eastAsia="Arial" w:hAnsi="Arial"/>
                <w:sz w:val="18"/>
                <w:szCs w:val="18"/>
                <w:color w:val="auto"/>
              </w:rPr>
              <w:t>Administrative</w:t>
            </w:r>
          </w:p>
        </w:tc>
        <w:tc>
          <w:tcPr>
            <w:tcW w:w="1820" w:type="dxa"/>
            <w:vAlign w:val="bottom"/>
            <w:gridSpan w:val="3"/>
          </w:tcPr>
          <w:p>
            <w:pPr>
              <w:ind w:left="260"/>
              <w:spacing w:after="0" w:line="201" w:lineRule="exact"/>
              <w:rPr>
                <w:sz w:val="20"/>
                <w:szCs w:val="20"/>
                <w:color w:val="auto"/>
              </w:rPr>
            </w:pPr>
            <w:r>
              <w:rPr>
                <w:rFonts w:ascii="Arial" w:cs="Arial" w:eastAsia="Arial" w:hAnsi="Arial"/>
                <w:sz w:val="18"/>
                <w:szCs w:val="18"/>
                <w:color w:val="auto"/>
              </w:rPr>
              <w:t>General and</w:t>
            </w: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line="216" w:lineRule="exact"/>
              <w:rPr>
                <w:sz w:val="20"/>
                <w:szCs w:val="20"/>
                <w:color w:val="auto"/>
              </w:rPr>
            </w:pPr>
            <w:r>
              <w:rPr>
                <w:rFonts w:ascii="Arial" w:cs="Arial" w:eastAsia="Arial" w:hAnsi="Arial"/>
                <w:sz w:val="18"/>
                <w:szCs w:val="18"/>
                <w:color w:val="auto"/>
              </w:rPr>
              <w:t>services fee</w:t>
            </w:r>
            <w:r>
              <w:rPr>
                <w:rFonts w:ascii="Arial" w:cs="Arial" w:eastAsia="Arial" w:hAnsi="Arial"/>
                <w:sz w:val="23"/>
                <w:szCs w:val="23"/>
                <w:color w:val="auto"/>
                <w:vertAlign w:val="superscript"/>
              </w:rPr>
              <w:t>(ii)</w:t>
            </w:r>
          </w:p>
        </w:tc>
        <w:tc>
          <w:tcPr>
            <w:tcW w:w="1820" w:type="dxa"/>
            <w:vAlign w:val="bottom"/>
            <w:gridSpan w:val="3"/>
          </w:tcPr>
          <w:p>
            <w:pPr>
              <w:ind w:left="260"/>
              <w:spacing w:after="0"/>
              <w:rPr>
                <w:sz w:val="20"/>
                <w:szCs w:val="20"/>
                <w:color w:val="auto"/>
              </w:rPr>
            </w:pPr>
            <w:r>
              <w:rPr>
                <w:rFonts w:ascii="Arial" w:cs="Arial" w:eastAsia="Arial" w:hAnsi="Arial"/>
                <w:sz w:val="18"/>
                <w:szCs w:val="18"/>
                <w:color w:val="auto"/>
              </w:rPr>
              <w:t>administrative</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20" w:type="dxa"/>
            <w:vAlign w:val="bottom"/>
            <w:gridSpan w:val="3"/>
          </w:tcPr>
          <w:p>
            <w:pPr>
              <w:ind w:left="260"/>
              <w:spacing w:after="0"/>
              <w:rPr>
                <w:sz w:val="20"/>
                <w:szCs w:val="20"/>
                <w:color w:val="auto"/>
              </w:rPr>
            </w:pPr>
            <w:r>
              <w:rPr>
                <w:rFonts w:ascii="Arial" w:cs="Arial" w:eastAsia="Arial" w:hAnsi="Arial"/>
                <w:sz w:val="18"/>
                <w:szCs w:val="18"/>
                <w:color w:val="auto"/>
              </w:rPr>
              <w:t>expenses</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1,176</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1,735</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3,528</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4,683</w:t>
            </w:r>
          </w:p>
        </w:tc>
        <w:tc>
          <w:tcPr>
            <w:tcW w:w="0" w:type="dxa"/>
            <w:vAlign w:val="bottom"/>
          </w:tcPr>
          <w:p>
            <w:pPr>
              <w:spacing w:after="0"/>
              <w:rPr>
                <w:sz w:val="1"/>
                <w:szCs w:val="1"/>
                <w:color w:val="auto"/>
              </w:rPr>
            </w:pPr>
          </w:p>
        </w:tc>
      </w:tr>
      <w:tr>
        <w:trPr>
          <w:trHeight w:val="202"/>
        </w:trPr>
        <w:tc>
          <w:tcPr>
            <w:tcW w:w="2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GasLog LNG Services</w:t>
            </w: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Management</w:t>
            </w:r>
          </w:p>
        </w:tc>
        <w:tc>
          <w:tcPr>
            <w:tcW w:w="1820" w:type="dxa"/>
            <w:vAlign w:val="bottom"/>
            <w:gridSpan w:val="3"/>
            <w:shd w:val="clear" w:color="auto" w:fill="CCEEFF"/>
          </w:tcPr>
          <w:p>
            <w:pPr>
              <w:ind w:left="260"/>
              <w:spacing w:after="0" w:line="201" w:lineRule="exact"/>
              <w:rPr>
                <w:sz w:val="20"/>
                <w:szCs w:val="20"/>
                <w:color w:val="auto"/>
              </w:rPr>
            </w:pPr>
            <w:r>
              <w:rPr>
                <w:rFonts w:ascii="Arial" w:cs="Arial" w:eastAsia="Arial" w:hAnsi="Arial"/>
                <w:sz w:val="18"/>
                <w:szCs w:val="18"/>
                <w:color w:val="auto"/>
              </w:rPr>
              <w:t>Vessel operating</w:t>
            </w: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line="230" w:lineRule="exact"/>
              <w:rPr>
                <w:sz w:val="20"/>
                <w:szCs w:val="20"/>
                <w:color w:val="auto"/>
              </w:rPr>
            </w:pPr>
            <w:r>
              <w:rPr>
                <w:rFonts w:ascii="Arial" w:cs="Arial" w:eastAsia="Arial" w:hAnsi="Arial"/>
                <w:sz w:val="26"/>
                <w:szCs w:val="26"/>
                <w:color w:val="auto"/>
                <w:vertAlign w:val="subscript"/>
              </w:rPr>
              <w:t>fees</w:t>
            </w:r>
            <w:r>
              <w:rPr>
                <w:rFonts w:ascii="Arial" w:cs="Arial" w:eastAsia="Arial" w:hAnsi="Arial"/>
                <w:sz w:val="10"/>
                <w:szCs w:val="10"/>
                <w:color w:val="auto"/>
              </w:rPr>
              <w:t>(iii)</w:t>
            </w:r>
          </w:p>
        </w:tc>
        <w:tc>
          <w:tcPr>
            <w:tcW w:w="18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costs</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1,382</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1,518</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4,008</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4,554</w:t>
            </w:r>
          </w:p>
        </w:tc>
        <w:tc>
          <w:tcPr>
            <w:tcW w:w="0" w:type="dxa"/>
            <w:vAlign w:val="bottom"/>
          </w:tcPr>
          <w:p>
            <w:pPr>
              <w:spacing w:after="0"/>
              <w:rPr>
                <w:sz w:val="1"/>
                <w:szCs w:val="1"/>
                <w:color w:val="auto"/>
              </w:rPr>
            </w:pPr>
          </w:p>
        </w:tc>
      </w:tr>
      <w:tr>
        <w:trPr>
          <w:trHeight w:val="202"/>
        </w:trPr>
        <w:tc>
          <w:tcPr>
            <w:tcW w:w="2200" w:type="dxa"/>
            <w:vAlign w:val="bottom"/>
            <w:gridSpan w:val="2"/>
          </w:tcPr>
          <w:p>
            <w:pPr>
              <w:spacing w:after="0" w:line="201" w:lineRule="exact"/>
              <w:rPr>
                <w:sz w:val="20"/>
                <w:szCs w:val="20"/>
                <w:color w:val="auto"/>
              </w:rPr>
            </w:pPr>
            <w:r>
              <w:rPr>
                <w:rFonts w:ascii="Arial" w:cs="Arial" w:eastAsia="Arial" w:hAnsi="Arial"/>
                <w:sz w:val="18"/>
                <w:szCs w:val="18"/>
                <w:color w:val="auto"/>
              </w:rPr>
              <w:t>GasLog LNG Services</w:t>
            </w:r>
          </w:p>
        </w:tc>
        <w:tc>
          <w:tcPr>
            <w:tcW w:w="1300" w:type="dxa"/>
            <w:vAlign w:val="bottom"/>
          </w:tcPr>
          <w:p>
            <w:pPr>
              <w:spacing w:after="0" w:line="201" w:lineRule="exact"/>
              <w:rPr>
                <w:sz w:val="20"/>
                <w:szCs w:val="20"/>
                <w:color w:val="auto"/>
              </w:rPr>
            </w:pPr>
            <w:r>
              <w:rPr>
                <w:rFonts w:ascii="Arial" w:cs="Arial" w:eastAsia="Arial" w:hAnsi="Arial"/>
                <w:sz w:val="18"/>
                <w:szCs w:val="18"/>
                <w:color w:val="auto"/>
              </w:rPr>
              <w:t>Other vessel</w:t>
            </w:r>
          </w:p>
        </w:tc>
        <w:tc>
          <w:tcPr>
            <w:tcW w:w="1820" w:type="dxa"/>
            <w:vAlign w:val="bottom"/>
            <w:gridSpan w:val="3"/>
          </w:tcPr>
          <w:p>
            <w:pPr>
              <w:ind w:left="260"/>
              <w:spacing w:after="0" w:line="201" w:lineRule="exact"/>
              <w:rPr>
                <w:sz w:val="20"/>
                <w:szCs w:val="20"/>
                <w:color w:val="auto"/>
              </w:rPr>
            </w:pPr>
            <w:r>
              <w:rPr>
                <w:rFonts w:ascii="Arial" w:cs="Arial" w:eastAsia="Arial" w:hAnsi="Arial"/>
                <w:sz w:val="18"/>
                <w:szCs w:val="18"/>
                <w:color w:val="auto"/>
              </w:rPr>
              <w:t>Vessel operating</w:t>
            </w: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operating costs</w:t>
            </w:r>
          </w:p>
        </w:tc>
        <w:tc>
          <w:tcPr>
            <w:tcW w:w="1820" w:type="dxa"/>
            <w:vAlign w:val="bottom"/>
            <w:gridSpan w:val="3"/>
          </w:tcPr>
          <w:p>
            <w:pPr>
              <w:ind w:left="260"/>
              <w:spacing w:after="0"/>
              <w:rPr>
                <w:sz w:val="20"/>
                <w:szCs w:val="20"/>
                <w:color w:val="auto"/>
              </w:rPr>
            </w:pPr>
            <w:r>
              <w:rPr>
                <w:rFonts w:ascii="Arial" w:cs="Arial" w:eastAsia="Arial" w:hAnsi="Arial"/>
                <w:sz w:val="18"/>
                <w:szCs w:val="18"/>
                <w:color w:val="auto"/>
              </w:rPr>
              <w:t>costs</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2"/>
        </w:trPr>
        <w:tc>
          <w:tcPr>
            <w:tcW w:w="2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GasLog</w:t>
            </w: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Interest expense</w:t>
            </w:r>
          </w:p>
        </w:tc>
        <w:tc>
          <w:tcPr>
            <w:tcW w:w="1820" w:type="dxa"/>
            <w:vAlign w:val="bottom"/>
            <w:gridSpan w:val="3"/>
            <w:shd w:val="clear" w:color="auto" w:fill="CCEEFF"/>
          </w:tcPr>
          <w:p>
            <w:pPr>
              <w:ind w:left="260"/>
              <w:spacing w:after="0" w:line="201" w:lineRule="exact"/>
              <w:rPr>
                <w:sz w:val="20"/>
                <w:szCs w:val="20"/>
                <w:color w:val="auto"/>
              </w:rPr>
            </w:pPr>
            <w:r>
              <w:rPr>
                <w:rFonts w:ascii="Arial" w:cs="Arial" w:eastAsia="Arial" w:hAnsi="Arial"/>
                <w:sz w:val="18"/>
                <w:szCs w:val="18"/>
                <w:color w:val="auto"/>
              </w:rPr>
              <w:t>Financial costs</w:t>
            </w: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(Note 6)</w:t>
            </w: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1,026</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343</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02"/>
        </w:trPr>
        <w:tc>
          <w:tcPr>
            <w:tcW w:w="2200" w:type="dxa"/>
            <w:vAlign w:val="bottom"/>
            <w:gridSpan w:val="2"/>
          </w:tcPr>
          <w:p>
            <w:pPr>
              <w:spacing w:after="0" w:line="201" w:lineRule="exact"/>
              <w:rPr>
                <w:sz w:val="20"/>
                <w:szCs w:val="20"/>
                <w:color w:val="auto"/>
              </w:rPr>
            </w:pPr>
            <w:r>
              <w:rPr>
                <w:rFonts w:ascii="Arial" w:cs="Arial" w:eastAsia="Arial" w:hAnsi="Arial"/>
                <w:sz w:val="18"/>
                <w:szCs w:val="18"/>
                <w:color w:val="auto"/>
              </w:rPr>
              <w:t>GasLog</w:t>
            </w:r>
          </w:p>
        </w:tc>
        <w:tc>
          <w:tcPr>
            <w:tcW w:w="1300" w:type="dxa"/>
            <w:vAlign w:val="bottom"/>
          </w:tcPr>
          <w:p>
            <w:pPr>
              <w:spacing w:after="0" w:line="201" w:lineRule="exact"/>
              <w:rPr>
                <w:sz w:val="20"/>
                <w:szCs w:val="20"/>
                <w:color w:val="auto"/>
              </w:rPr>
            </w:pPr>
            <w:r>
              <w:rPr>
                <w:rFonts w:ascii="Arial" w:cs="Arial" w:eastAsia="Arial" w:hAnsi="Arial"/>
                <w:sz w:val="18"/>
                <w:szCs w:val="18"/>
                <w:color w:val="auto"/>
                <w:w w:val="96"/>
              </w:rPr>
              <w:t>Commitment fee</w:t>
            </w:r>
          </w:p>
        </w:tc>
        <w:tc>
          <w:tcPr>
            <w:tcW w:w="1820" w:type="dxa"/>
            <w:vAlign w:val="bottom"/>
            <w:gridSpan w:val="3"/>
          </w:tcPr>
          <w:p>
            <w:pPr>
              <w:ind w:left="260"/>
              <w:spacing w:after="0" w:line="201" w:lineRule="exact"/>
              <w:rPr>
                <w:sz w:val="20"/>
                <w:szCs w:val="20"/>
                <w:color w:val="auto"/>
              </w:rPr>
            </w:pPr>
            <w:r>
              <w:rPr>
                <w:rFonts w:ascii="Arial" w:cs="Arial" w:eastAsia="Arial" w:hAnsi="Arial"/>
                <w:sz w:val="18"/>
                <w:szCs w:val="18"/>
                <w:color w:val="auto"/>
              </w:rPr>
              <w:t>Financial costs</w:t>
            </w: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(Note 6)</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168</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77</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411</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2"/>
        </w:trPr>
        <w:tc>
          <w:tcPr>
            <w:tcW w:w="2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GasLog</w:t>
            </w: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Interest on swaps</w:t>
            </w:r>
          </w:p>
        </w:tc>
        <w:tc>
          <w:tcPr>
            <w:tcW w:w="1820" w:type="dxa"/>
            <w:vAlign w:val="bottom"/>
            <w:gridSpan w:val="3"/>
            <w:shd w:val="clear" w:color="auto" w:fill="CCEEFF"/>
          </w:tcPr>
          <w:p>
            <w:pPr>
              <w:ind w:left="260"/>
              <w:spacing w:after="0" w:line="201" w:lineRule="exact"/>
              <w:rPr>
                <w:sz w:val="20"/>
                <w:szCs w:val="20"/>
                <w:color w:val="auto"/>
              </w:rPr>
            </w:pPr>
            <w:r>
              <w:rPr>
                <w:rFonts w:ascii="Arial" w:cs="Arial" w:eastAsia="Arial" w:hAnsi="Arial"/>
                <w:sz w:val="18"/>
                <w:szCs w:val="18"/>
                <w:color w:val="auto"/>
              </w:rPr>
              <w:t>Loss on interest</w:t>
            </w: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(Note 10)</w:t>
            </w:r>
          </w:p>
        </w:tc>
        <w:tc>
          <w:tcPr>
            <w:tcW w:w="18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rate swaps</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487</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8268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10" w:lineRule="exact"/>
        <w:rPr>
          <w:sz w:val="20"/>
          <w:szCs w:val="20"/>
          <w:color w:val="auto"/>
        </w:rPr>
      </w:pPr>
    </w:p>
    <w:p>
      <w:pPr>
        <w:ind w:left="320" w:hanging="182"/>
        <w:spacing w:after="0"/>
        <w:tabs>
          <w:tab w:leader="none" w:pos="32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Commercial Management Agreements</w:t>
      </w:r>
    </w:p>
    <w:p>
      <w:pPr>
        <w:spacing w:after="0" w:line="134" w:lineRule="exact"/>
        <w:rPr>
          <w:rFonts w:ascii="Arial" w:cs="Arial" w:eastAsia="Arial" w:hAnsi="Arial"/>
          <w:sz w:val="23"/>
          <w:szCs w:val="23"/>
          <w:color w:val="auto"/>
          <w:vertAlign w:val="superscript"/>
        </w:rPr>
      </w:pPr>
    </w:p>
    <w:p>
      <w:pPr>
        <w:ind w:left="340" w:right="120"/>
        <w:spacing w:after="0" w:line="273" w:lineRule="auto"/>
        <w:rPr>
          <w:rFonts w:ascii="Arial" w:cs="Arial" w:eastAsia="Arial" w:hAnsi="Arial"/>
          <w:sz w:val="23"/>
          <w:szCs w:val="23"/>
          <w:color w:val="auto"/>
          <w:vertAlign w:val="superscript"/>
        </w:rPr>
      </w:pPr>
      <w:r>
        <w:rPr>
          <w:rFonts w:ascii="Arial" w:cs="Arial" w:eastAsia="Arial" w:hAnsi="Arial"/>
          <w:sz w:val="17"/>
          <w:szCs w:val="17"/>
          <w:color w:val="auto"/>
        </w:rPr>
        <w:t>Upon completion of the IPO on May 12, 2014, the vessel-owning subsidiaries of the Initial Fleet entered into amended commercial management agreements with GasLog (the “Amended Commercial Management Agreements”), pursuant to which GasLog provides certain commercial management services, including chartering services, consultancy services on market issues and invoicing and collection of hire payables, to the Partnership. The annual commercial management fee under the amended agreements is $360 for each vessel payable quarterly in advance in lump sum amounts. In December 2013, GAS-seven Ltd. entered into a commercial management agreement with GasLog for an annual commercial management fee of $540 that was amended to $360 when the vessel was acquired by the Partnership on November 1, 2016.</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right="100"/>
        <w:spacing w:after="0" w:line="255" w:lineRule="auto"/>
        <w:rPr>
          <w:sz w:val="20"/>
          <w:szCs w:val="20"/>
          <w:color w:val="auto"/>
        </w:rPr>
      </w:pPr>
      <w:r>
        <w:rPr>
          <w:rFonts w:ascii="Arial" w:cs="Arial" w:eastAsia="Arial" w:hAnsi="Arial"/>
          <w:sz w:val="18"/>
          <w:szCs w:val="18"/>
          <w:color w:val="auto"/>
        </w:rPr>
        <w:t xml:space="preserve">The same provisions are included in the commercial management agreements that GAS-eleven Ltd., GAS-thirteen Ltd., GAS-sixteen Ltd., GAS-seventeen Ltd., GAS-nineteen Ltd., GAS-twenty Ltd. and GAS-twenty one Ltd. entered into with GasLog upon the deliveries of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Geneva</w:t>
      </w:r>
      <w:r>
        <w:rPr>
          <w:rFonts w:ascii="Arial" w:cs="Arial" w:eastAsia="Arial" w:hAnsi="Arial"/>
          <w:sz w:val="18"/>
          <w:szCs w:val="18"/>
          <w:color w:val="auto"/>
        </w:rPr>
        <w:t>, the</w:t>
      </w:r>
      <w:r>
        <w:rPr>
          <w:rFonts w:ascii="Arial" w:cs="Arial" w:eastAsia="Arial" w:hAnsi="Arial"/>
          <w:sz w:val="18"/>
          <w:szCs w:val="18"/>
          <w:i w:val="1"/>
          <w:iCs w:val="1"/>
          <w:color w:val="auto"/>
        </w:rPr>
        <w:t xml:space="preserve"> Methane Rita Andrea</w:t>
      </w:r>
      <w:r>
        <w:rPr>
          <w:rFonts w:ascii="Arial" w:cs="Arial" w:eastAsia="Arial" w:hAnsi="Arial"/>
          <w:sz w:val="18"/>
          <w:szCs w:val="18"/>
          <w:color w:val="auto"/>
        </w:rPr>
        <w:t>, the</w:t>
      </w:r>
      <w:r>
        <w:rPr>
          <w:rFonts w:ascii="Arial" w:cs="Arial" w:eastAsia="Arial" w:hAnsi="Arial"/>
          <w:sz w:val="18"/>
          <w:szCs w:val="18"/>
          <w:i w:val="1"/>
          <w:iCs w:val="1"/>
          <w:color w:val="auto"/>
        </w:rPr>
        <w:t xml:space="preserve"> Methane Jane Elizabeth</w:t>
      </w:r>
      <w:r>
        <w:rPr>
          <w:rFonts w:ascii="Arial" w:cs="Arial" w:eastAsia="Arial" w:hAnsi="Arial"/>
          <w:sz w:val="18"/>
          <w:szCs w:val="18"/>
          <w:color w:val="auto"/>
        </w:rPr>
        <w:t>, the</w:t>
      </w:r>
      <w:r>
        <w:rPr>
          <w:rFonts w:ascii="Arial" w:cs="Arial" w:eastAsia="Arial" w:hAnsi="Arial"/>
          <w:sz w:val="18"/>
          <w:szCs w:val="18"/>
          <w:i w:val="1"/>
          <w:iCs w:val="1"/>
          <w:color w:val="auto"/>
        </w:rPr>
        <w:t xml:space="preserve"> Methane Alison Victoria</w:t>
      </w:r>
      <w:r>
        <w:rPr>
          <w:rFonts w:ascii="Arial" w:cs="Arial" w:eastAsia="Arial" w:hAnsi="Arial"/>
          <w:sz w:val="18"/>
          <w:szCs w:val="18"/>
          <w:color w:val="auto"/>
        </w:rPr>
        <w:t>, the</w:t>
      </w:r>
      <w:r>
        <w:rPr>
          <w:rFonts w:ascii="Arial" w:cs="Arial" w:eastAsia="Arial" w:hAnsi="Arial"/>
          <w:sz w:val="18"/>
          <w:szCs w:val="18"/>
          <w:i w:val="1"/>
          <w:iCs w:val="1"/>
          <w:color w:val="auto"/>
        </w:rPr>
        <w:t xml:space="preserve"> Methane Shirley Elisabeth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Methane Heather Sally</w:t>
      </w:r>
      <w:r>
        <w:rPr>
          <w:rFonts w:ascii="Arial" w:cs="Arial" w:eastAsia="Arial" w:hAnsi="Arial"/>
          <w:sz w:val="18"/>
          <w:szCs w:val="18"/>
          <w:color w:val="auto"/>
        </w:rPr>
        <w:t>, respectively, into GasLog’s fleet in March 2016, September 2016, April 2014 and June 2014 (together with the Amended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Agreements and the commercial management agreement between GAS-seven Ltd. and GasLog, the “Commercial Management Agreements”).</w:t>
      </w:r>
    </w:p>
    <w:p>
      <w:pPr>
        <w:spacing w:after="0" w:line="159" w:lineRule="exact"/>
        <w:rPr>
          <w:sz w:val="20"/>
          <w:szCs w:val="20"/>
          <w:color w:val="auto"/>
        </w:rPr>
      </w:pPr>
    </w:p>
    <w:p>
      <w:pPr>
        <w:ind w:left="380" w:hanging="242"/>
        <w:spacing w:after="0"/>
        <w:tabs>
          <w:tab w:leader="none" w:pos="38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Administrative Services Agreement</w:t>
      </w:r>
    </w:p>
    <w:p>
      <w:pPr>
        <w:spacing w:after="0" w:line="202" w:lineRule="exact"/>
        <w:rPr>
          <w:sz w:val="20"/>
          <w:szCs w:val="20"/>
          <w:color w:val="auto"/>
        </w:rPr>
      </w:pPr>
    </w:p>
    <w:p>
      <w:pPr>
        <w:ind w:left="340" w:right="60"/>
        <w:spacing w:after="0" w:line="254" w:lineRule="auto"/>
        <w:rPr>
          <w:sz w:val="20"/>
          <w:szCs w:val="20"/>
          <w:color w:val="auto"/>
        </w:rPr>
      </w:pPr>
      <w:r>
        <w:rPr>
          <w:rFonts w:ascii="Arial" w:cs="Arial" w:eastAsia="Arial" w:hAnsi="Arial"/>
          <w:sz w:val="18"/>
          <w:szCs w:val="18"/>
          <w:color w:val="auto"/>
        </w:rPr>
        <w:t>Upon completion of the IPO on May 12, 2014, the Partnership entered into an administrative services agreement (the “Administrative Services Agreement”) with GasLog, pursuant to which GasLog will provide certain management and administrative services. The services provided under the Administrative Services Agreement are provided as the Partnership may direct, and include bookkeeping, audit, legal, insurance, administrative, clerical, banking, financial, advisory, client and investor relations services. The Administrative Services Agreement will continue indefinitely until terminated by the Partnership upon 90 days’ notice for any reason in the sole discretion of the Partnership’s board of directors. GasLog receives a service fee of $588 per vessel per year in connection with providing services under this agreement. On November 16, 2016, the board of directors approved an increase in the service fee payable to GasLog under the terms of the Administrative Services Agreement. With effect from January 1, 2017, the service fee increased to $632 per vessel per year.</w:t>
      </w:r>
    </w:p>
    <w:p>
      <w:pPr>
        <w:spacing w:after="0" w:line="158" w:lineRule="exact"/>
        <w:rPr>
          <w:sz w:val="20"/>
          <w:szCs w:val="20"/>
          <w:color w:val="auto"/>
        </w:rPr>
      </w:pPr>
    </w:p>
    <w:p>
      <w:pPr>
        <w:ind w:left="360" w:hanging="222"/>
        <w:spacing w:after="0"/>
        <w:tabs>
          <w:tab w:leader="none" w:pos="36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Ship Management Agreements</w:t>
      </w:r>
    </w:p>
    <w:p>
      <w:pPr>
        <w:sectPr>
          <w:pgSz w:w="11900" w:h="16838" w:orient="portrait"/>
          <w:cols w:equalWidth="0" w:num="1">
            <w:col w:w="11420"/>
          </w:cols>
          <w:pgMar w:left="240" w:top="91" w:right="239" w:bottom="0" w:gutter="0" w:footer="0" w:header="0"/>
        </w:sectPr>
      </w:pPr>
    </w:p>
    <w:bookmarkStart w:id="27" w:name="page28"/>
    <w:bookmarkEnd w:id="27"/>
    <w:p>
      <w:pPr>
        <w:ind w:left="340" w:right="120"/>
        <w:spacing w:after="0" w:line="285" w:lineRule="auto"/>
        <w:rPr>
          <w:sz w:val="20"/>
          <w:szCs w:val="20"/>
          <w:color w:val="auto"/>
        </w:rPr>
      </w:pPr>
      <w:r>
        <w:rPr>
          <w:rFonts w:ascii="Arial" w:cs="Arial" w:eastAsia="Arial" w:hAnsi="Arial"/>
          <w:sz w:val="16"/>
          <w:szCs w:val="16"/>
          <w:color w:val="auto"/>
        </w:rPr>
        <w:t xml:space="preserve">Upon completion of the IPO on May 12, 2014, each of the vessel owning subsidiaries of the Initial Fleet entered into an amended ship management agreement (collectively, the “Amended Ship Management Agreements”) under which the vessel owning subsidiaries pay a management fee of $46 per month to the Manager and reimburse the Manager for all expenses incurred on their behalf. The Amended Ship Management Agreements also provide for superintendent fees of $1 per day payable to the Manager for each day in excess of 25 days per calendar year for which a superintendent performed visits to the vessels, an annual incentive bonus of up to $72 based on key performance indicators predetermined annually and contain clauses for decreased management fees in case of a vessel’s lay-up. The management fees are subject to an annual adjustment, agreed between the parties in good faith, on the basis of general inflation and proof of increases in actual costs incurred by the Manager. Each Amended Ship Management Agreement continues indefinitely until terminated by either party. The same provisions are included in the ship management agreements that GAS-sixteen Ltd., GAS-seventeen Ltd., GAS-nineteen Ltd., GAS-twenty Ltd. and GAS-twenty one Ltd. entered into with the Manager upon the deliveries of the </w:t>
      </w:r>
      <w:r>
        <w:rPr>
          <w:rFonts w:ascii="Arial" w:cs="Arial" w:eastAsia="Arial" w:hAnsi="Arial"/>
          <w:sz w:val="16"/>
          <w:szCs w:val="16"/>
          <w:i w:val="1"/>
          <w:iCs w:val="1"/>
          <w:color w:val="auto"/>
        </w:rPr>
        <w:t>Methane</w:t>
      </w:r>
      <w:r>
        <w:rPr>
          <w:rFonts w:ascii="Arial" w:cs="Arial" w:eastAsia="Arial" w:hAnsi="Arial"/>
          <w:sz w:val="16"/>
          <w:szCs w:val="16"/>
          <w:color w:val="auto"/>
        </w:rPr>
        <w:t xml:space="preserve"> </w:t>
      </w:r>
      <w:r>
        <w:rPr>
          <w:rFonts w:ascii="Arial" w:cs="Arial" w:eastAsia="Arial" w:hAnsi="Arial"/>
          <w:sz w:val="16"/>
          <w:szCs w:val="16"/>
          <w:i w:val="1"/>
          <w:iCs w:val="1"/>
          <w:color w:val="auto"/>
        </w:rPr>
        <w:t>Rita Andrea</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Jane Elizabeth</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Alison Victoria</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Shirley Elisabeth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Heather Sally</w:t>
      </w:r>
      <w:r>
        <w:rPr>
          <w:rFonts w:ascii="Arial" w:cs="Arial" w:eastAsia="Arial" w:hAnsi="Arial"/>
          <w:sz w:val="16"/>
          <w:szCs w:val="16"/>
          <w:color w:val="auto"/>
        </w:rPr>
        <w:t>, respectively, into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GasLog’s fleet in April 2014 and June 2014 (together with the Amended Ship Management Agreements and the ship management agreement that GAS-seven Ltd. entered into with the Manager upon its vessel’s delivery form the shipyard in 2013, the “Ship Management Agreements”). In May 2015, the Ship Management Agreements were further amended to delete the annual incentive bonus and superintendent fees clauses and in the case of GAS-seven Ltd. to also increase the fixed monthly charge to $46 with effect from April 1, 2015. In April 2016, the Ship Management Agreements were amended to consolidate all ship management related fees into a single fee structure. This single fee structure was already provided for in the ship management agreements that GAS-eleven Ltd. and GAS-thirteen Ltd. had entered into with GasLog upon the deliveries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in March 2016 and the </w:t>
      </w:r>
      <w:r>
        <w:rPr>
          <w:rFonts w:ascii="Arial" w:cs="Arial" w:eastAsia="Arial" w:hAnsi="Arial"/>
          <w:sz w:val="16"/>
          <w:szCs w:val="16"/>
          <w:i w:val="1"/>
          <w:iCs w:val="1"/>
          <w:color w:val="auto"/>
        </w:rPr>
        <w:t xml:space="preserve">GasLog Geneva </w:t>
      </w:r>
      <w:r>
        <w:rPr>
          <w:rFonts w:ascii="Arial" w:cs="Arial" w:eastAsia="Arial" w:hAnsi="Arial"/>
          <w:sz w:val="16"/>
          <w:szCs w:val="16"/>
          <w:color w:val="auto"/>
        </w:rPr>
        <w:t>in September 2016, respectively, (with a fixed monthly charge of $46).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Vessels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movement in vessels is reported in the following table: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1480" w:type="dxa"/>
            <w:vAlign w:val="bottom"/>
            <w:gridSpan w:val="2"/>
          </w:tcPr>
          <w:p>
            <w:pPr>
              <w:ind w:left="480"/>
              <w:spacing w:after="0"/>
              <w:rPr>
                <w:sz w:val="20"/>
                <w:szCs w:val="20"/>
                <w:color w:val="auto"/>
              </w:rPr>
            </w:pPr>
            <w:r>
              <w:rPr>
                <w:rFonts w:ascii="Arial" w:cs="Arial" w:eastAsia="Arial" w:hAnsi="Arial"/>
                <w:sz w:val="14"/>
                <w:szCs w:val="14"/>
                <w:b w:val="1"/>
                <w:bCs w:val="1"/>
                <w:color w:val="auto"/>
              </w:rPr>
              <w:t>Vessels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79"/>
              </w:rPr>
              <w:t>Cost</w:t>
            </w:r>
          </w:p>
        </w:tc>
        <w:tc>
          <w:tcPr>
            <w:tcW w:w="9580" w:type="dxa"/>
            <w:vAlign w:val="bottom"/>
            <w:tcBorders>
              <w:top w:val="single" w:sz="8" w:color="CCEEFF"/>
              <w:bottom w:val="single" w:sz="8" w:color="CCEEFF"/>
            </w:tcBorders>
            <w:shd w:val="clear" w:color="auto" w:fill="CCEEFF"/>
          </w:tcPr>
          <w:p>
            <w:pPr>
              <w:spacing w:after="0"/>
              <w:rPr>
                <w:sz w:val="15"/>
                <w:szCs w:val="15"/>
                <w:color w:val="auto"/>
              </w:rPr>
            </w:pPr>
          </w:p>
        </w:tc>
        <w:tc>
          <w:tcPr>
            <w:tcW w:w="13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As of January 1, 2017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1,981,005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As of September 30, 2017</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1,983,162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5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b w:val="1"/>
                <w:bCs w:val="1"/>
                <w:color w:val="auto"/>
              </w:rPr>
              <w:t>Accumulated depreciation</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January 1, 2017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Depreciation expense</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46,327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 of September 30, 2017</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200,337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book value</w:t>
            </w:r>
          </w:p>
        </w:tc>
        <w:tc>
          <w:tcPr>
            <w:tcW w:w="13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As of December 31, 2016</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1,826,995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 of September 30, 2017</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1,782,825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vessels have been pledged as collateral under the terms of the Partnership’s bank loan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Partners’ Equity</w:t>
      </w:r>
    </w:p>
    <w:p>
      <w:pPr>
        <w:spacing w:after="0" w:line="229"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On January 27, 2017, GasLog Partners completed an equity offering of 3,750,000 common units at a public offering price of $20.50 per unit. In addition, the option to purchase additional units was partially exercised by the underwriter on February 24, 2017, resulting in 120,000 additional units being sold at the same price. The aggregate net proceeds from this offering, including the partial exercise by the underwriter of the option to purchase additional units, after deducting underwriting discounts and other offering expenses, were $78,197. In connection with the offering, the Partnership also issued 78,980 general partner units to its general partner in order for GasLog to retain its 2.0% general partner interest. The net proceeds from the issuance of the general partner units were $1,619.</w:t>
      </w:r>
    </w:p>
    <w:p>
      <w:pPr>
        <w:spacing w:after="0" w:line="193"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On May 15, 2017, GasLog Partners completed a public offering of 5,750,000 8.625% Series A Cumulative Redeemable Perpetual Fixed to Floating Rate Preference Units (the “Series A Preference Units”), including 750,000 units issued upon the exercise in full by the underwriters of their option to purchase additional Series A Preference Units, liquidation preference $25.00 per unit, at a price to the public of $25.00 per preference unit. The net proceeds from the offering, after deducting underwriting discounts, commissions and other offering expenses, were $138,782. The Series A Preference Units are listed on the New York Stock Exchange under the symbol “GLOP PR 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initial distribution on the Series A Preference Units was paid on September 15, 2017. The Series A Preference Units issued have been accounted for as equity instruments based on certain characteristics such as the discretion held by our board of directors over distributions, which can be deferred and accumulated, as well as the redemption rights held only by the Partnership. The Series A Preference Units have preference upon liquidation and the holders would receive $25.00 per unit plus any accumulated and unpaid distributions.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May 16, 2017, GasLog Partners commenced an “at-the-market” common equity offering programme (“ATM Programme”) under which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Partnership may, from time to time, raise equity through the issuance and sale of new common units having an aggregate offering price of up to $100,000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the terms of an equity distribution agreement, entered into on the same date. Citigroup Global Markets Inc., Merrill Lynch, Pierce, Fenner &amp;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Smith Incorporated, Credit Suisse Securities (USA) LLC and Morgan Stanley &amp; Co. LLC have agreed to act as sales agents. From establishment of the ATM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Programme through September 30, 2017, GasLog Partners had issued and received payment for 2,351,885 common units at a weighted average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$22.91 per common unit for total net proceeds of $52,730. In connection with the issuance of common units under the ATM Programme during this period,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Partnership also issued 47,998 general partner units to its general partner in order for GasLog to retain its 2.0% general partner interest. The net proceeds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the issuance of the general partner units were $1,100. During the quarter ended September 30, 2017, GasLog Partners had issued and received payment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1,941,008 common units at a weighted average price of $22.96 per common unit for total net proceeds of $43,912. In connection with the issuance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common units under the ATM Programme during this period, the Partnership also issued 39,613 general partner units to its general partner in order for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GasLog to retain its 2.0% general partner interest and received net proceeds $910.</w:t>
      </w:r>
    </w:p>
    <w:p>
      <w:pPr>
        <w:sectPr>
          <w:pgSz w:w="11900" w:h="16838" w:orient="portrait"/>
          <w:cols w:equalWidth="0" w:num="1">
            <w:col w:w="11420"/>
          </w:cols>
          <w:pgMar w:left="240" w:top="341" w:right="239" w:bottom="0" w:gutter="0" w:footer="0" w:header="0"/>
        </w:sectPr>
      </w:pPr>
    </w:p>
    <w:bookmarkStart w:id="28" w:name="page29"/>
    <w:bookmarkEnd w:id="28"/>
    <w:p>
      <w:pPr>
        <w:ind w:right="320" w:firstLine="405"/>
        <w:spacing w:after="0" w:line="264" w:lineRule="auto"/>
        <w:rPr>
          <w:sz w:val="20"/>
          <w:szCs w:val="20"/>
          <w:color w:val="auto"/>
        </w:rPr>
      </w:pPr>
      <w:r>
        <w:rPr>
          <w:rFonts w:ascii="Arial" w:cs="Arial" w:eastAsia="Arial" w:hAnsi="Arial"/>
          <w:sz w:val="18"/>
          <w:szCs w:val="18"/>
          <w:color w:val="auto"/>
        </w:rPr>
        <w:t>Additionally, during the second quarter of 2017, the subordination period of the subordinated units held by GasLog expired and consequently all 9,822,358 subordinated units converted into common units on a one-for-one basis and now participate pro rata with all other outstanding common units in distributions of available cash.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Borrowings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4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83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Amounts due within one year</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71,008</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100,758</w:t>
            </w:r>
          </w:p>
        </w:tc>
        <w:tc>
          <w:tcPr>
            <w:tcW w:w="10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Less: unamortized deferred loan issuance costs</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(4,311)</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(4,672)</w:t>
            </w:r>
          </w:p>
        </w:tc>
      </w:tr>
      <w:tr>
        <w:trPr>
          <w:trHeight w:val="210"/>
        </w:trPr>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Borrowings — current portion</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66,697</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96,086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Amounts due after one year</w:t>
            </w:r>
          </w:p>
        </w:tc>
        <w:tc>
          <w:tcPr>
            <w:tcW w:w="1360" w:type="dxa"/>
            <w:vAlign w:val="bottom"/>
          </w:tcPr>
          <w:p>
            <w:pPr>
              <w:jc w:val="right"/>
              <w:spacing w:after="0"/>
              <w:rPr>
                <w:sz w:val="20"/>
                <w:szCs w:val="20"/>
                <w:color w:val="auto"/>
              </w:rPr>
            </w:pPr>
            <w:r>
              <w:rPr>
                <w:rFonts w:ascii="Arial" w:cs="Arial" w:eastAsia="Arial" w:hAnsi="Arial"/>
                <w:sz w:val="18"/>
                <w:szCs w:val="18"/>
                <w:color w:val="auto"/>
              </w:rPr>
              <w:t>1,071,880</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966,140</w:t>
            </w:r>
          </w:p>
        </w:tc>
        <w:tc>
          <w:tcPr>
            <w:tcW w:w="10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deferred loan issuance costs</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(16,107)</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(13,122)</w:t>
            </w:r>
          </w:p>
        </w:tc>
      </w:tr>
      <w:tr>
        <w:trPr>
          <w:trHeight w:val="210"/>
        </w:trPr>
        <w:tc>
          <w:tcPr>
            <w:tcW w:w="8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Borrowings — non-current portion</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1,055,773</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953,018</w:t>
            </w:r>
          </w:p>
        </w:tc>
        <w:tc>
          <w:tcPr>
            <w:tcW w:w="100" w:type="dxa"/>
            <w:vAlign w:val="bottom"/>
            <w:tcBorders>
              <w:bottom w:val="single" w:sz="8" w:color="CCEEFF"/>
            </w:tcBorders>
          </w:tcPr>
          <w:p>
            <w:pPr>
              <w:spacing w:after="0"/>
              <w:rPr>
                <w:sz w:val="18"/>
                <w:szCs w:val="18"/>
                <w:color w:val="auto"/>
              </w:rPr>
            </w:pPr>
          </w:p>
        </w:tc>
      </w:tr>
      <w:tr>
        <w:trPr>
          <w:trHeight w:val="210"/>
        </w:trPr>
        <w:tc>
          <w:tcPr>
            <w:tcW w:w="8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1,122,470</w:t>
            </w:r>
          </w:p>
        </w:tc>
        <w:tc>
          <w:tcPr>
            <w:tcW w:w="2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1,049,104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main terms of the bank loan facilities and the Old Sponsor Credit Facility have been disclosed in the annual consolidated financial statements for the year ended December 31, 2016. Refer to Note 7 “Borrowings”.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April 3, 2017, the Partnership signed a deed of termination with respect to the Old Sponsor Credit Facility with GasLog. On the same date,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Partnership entered into the New Sponsor Credit Facility (Note 3). On April 5, 2017, an amount of $45,000 under the term loan facility and an amount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$15,000 under the revolving credit facility were drawn by the Partnership and were used on the same date to prepay $60,125 of the outstanding debt of GAS-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nineteen Ltd., GAS-twenty Ltd. and GAS-twenty one Ltd. under the junior tranche of the credit agreement that subsidiaries of the Partnership and GasLog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entered into on February 18, 2016 (the “Five Vessel Refinancing”), which would have been originally due in April 2018. The New Sponsor Credit Facility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unsecured and the revolving credit facility provides for an availability period of five years. Each borrowing under the New Sponsor Credit Facility accrues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interest at a rate of 9.125% per annum with an annual 1.0% commitment fee on the undrawn balance.</w:t>
      </w:r>
    </w:p>
    <w:p>
      <w:pPr>
        <w:spacing w:after="0" w:line="211"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The New Sponsor Facility contains customary events of default, including nonpayment of principal or interest, breach of covenants or material inaccuracy of representations, default under other material indebtedness and bankruptcy. In addition, the New Sponsor Facility covenants require that at all times GasLog must continue to control, directly or indirectly, the affairs or composition of the Partnership’s board of directors and any amendment to our limited partnership agreement, in the reasonable opinion of the lender, must not be adverse to its interests in connection with the New Sponsor Credit Facility.</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 of the New Sponsor Facility as of September 30, 2017 is $44,113.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GAS-eleven Ltd. and GAS-thirteen Ltd. facility</w:t>
      </w:r>
    </w:p>
    <w:p>
      <w:pPr>
        <w:spacing w:after="0" w:line="229"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Following the acquisitions of GAS-eleven Ltd. on May 3, 2017 and GAS-thirteen Ltd. on July 3, 2017, the Partnership assumed $151,423 and $155,005 of outstanding indebtedness of the acquired entities respectively under a debt financing agreement dated October 16, 2015 with 14 international banks, with Citibank N.A. London Branch and Nordea Bank AB, London Branch acting as agents on behalf of the other finance parties. The financing was backed by the Export Import Bank of Korea (“KEXIM”) and the Korea Trade Insurance Corporation (“K-Sure”), who were either directly lending or providing cover for over 60% of the facility.</w:t>
      </w:r>
    </w:p>
    <w:p>
      <w:pPr>
        <w:spacing w:after="0" w:line="188"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 xml:space="preserve">The loan agreement with respect to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provided for four tranches of $51,257, $25,615, $24,991 and $61,104, while the loan agreement with respect to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provided for four tranches of $50,544, $25,258, $24,643 and $60,252. Under the terms of the agreement, each drawing under the first three tranches would be repaid in 24 consecutive semi-annual equal installments commencing six months after the actual deliveries of the </w:t>
      </w:r>
      <w:r>
        <w:rPr>
          <w:rFonts w:ascii="Arial" w:cs="Arial" w:eastAsia="Arial" w:hAnsi="Arial"/>
          <w:sz w:val="18"/>
          <w:szCs w:val="18"/>
          <w:i w:val="1"/>
          <w:iCs w:val="1"/>
          <w:color w:val="auto"/>
        </w:rPr>
        <w:t xml:space="preserve">GasLog Greece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GasLog Geneva </w:t>
      </w:r>
      <w:r>
        <w:rPr>
          <w:rFonts w:ascii="Arial" w:cs="Arial" w:eastAsia="Arial" w:hAnsi="Arial"/>
          <w:sz w:val="18"/>
          <w:szCs w:val="18"/>
          <w:color w:val="auto"/>
        </w:rPr>
        <w:t>according to a 12-year profile.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 xml:space="preserve">Each drawing under the fourth tranche would be repaid in 20 consecutive semi-annual equal installments commencing six months after the actual delivery of the relevant vessel according to a 20-year profile, with a balloon payment together with the final installment. On March 22, 2016, $162,967 was drawn down to partially finance the delivery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and on September 26, 2016, $160,697 million was drawn down to partially finance the delivery of the </w:t>
      </w:r>
      <w:r>
        <w:rPr>
          <w:rFonts w:ascii="Arial" w:cs="Arial" w:eastAsia="Arial" w:hAnsi="Arial"/>
          <w:sz w:val="16"/>
          <w:szCs w:val="16"/>
          <w:i w:val="1"/>
          <w:iCs w:val="1"/>
          <w:color w:val="auto"/>
        </w:rPr>
        <w:t>GasLog Geneva</w:t>
      </w:r>
      <w:r>
        <w:rPr>
          <w:rFonts w:ascii="Arial" w:cs="Arial" w:eastAsia="Arial" w:hAnsi="Arial"/>
          <w:sz w:val="16"/>
          <w:szCs w:val="16"/>
          <w:color w:val="auto"/>
        </w:rPr>
        <w:t>. Amounts drawn under each applicable tranche bear interest at London Interbank Offered Rate (“LIBOR”) plus a margin.</w:t>
      </w:r>
    </w:p>
    <w:p>
      <w:pPr>
        <w:spacing w:after="0" w:line="154"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 xml:space="preserve">The obligations under the aforementioned facility are secured by a first priority mortgage over each vessel, a pledge of the share capital of the respective vessel owning companies and a first priority assignment of earnings related to each vessel, including charter revenue, management revenue and any insurance and requisition compensation. Obligations under the facility are guaranteed by GasLog, with the Partnership and its subsidiary GasLog Partners Holdings LLC guaranteeing up to the value of the commitments relating to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Geneva</w:t>
      </w:r>
      <w:r>
        <w:rPr>
          <w:rFonts w:ascii="Arial" w:cs="Arial" w:eastAsia="Arial" w:hAnsi="Arial"/>
          <w:sz w:val="16"/>
          <w:szCs w:val="16"/>
          <w:color w:val="auto"/>
        </w:rPr>
        <w:t>. The facility includes customary respective covenants and, among other restrictions, the facilities include a fair market value covenant pursuant to which an event of default could occur under the facility if the aggregate fair market value of the collateral vessels (without taking into account any charter arrangements) were to fall below 115% of the aggregate outstanding principal balances for the first two years after each drawdown and below 120% at any time thereafter.</w:t>
      </w:r>
    </w:p>
    <w:p>
      <w:pPr>
        <w:spacing w:after="0" w:line="167"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GasLog, as corporate guarantor for the aforementioned facility, is also subject to specified financial covenants on a consolidated basis. The financial covenants include the following:</w:t>
      </w:r>
    </w:p>
    <w:p>
      <w:pPr>
        <w:spacing w:after="0" w:line="170" w:lineRule="exact"/>
        <w:rPr>
          <w:sz w:val="20"/>
          <w:szCs w:val="20"/>
          <w:color w:val="auto"/>
        </w:rPr>
      </w:pPr>
    </w:p>
    <w:p>
      <w:pPr>
        <w:ind w:left="340" w:hanging="289"/>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3" w:lineRule="exact"/>
        <w:rPr>
          <w:rFonts w:ascii="Arial" w:cs="Arial" w:eastAsia="Arial" w:hAnsi="Arial"/>
          <w:sz w:val="18"/>
          <w:szCs w:val="18"/>
          <w:color w:val="auto"/>
        </w:rPr>
      </w:pPr>
    </w:p>
    <w:p>
      <w:pPr>
        <w:ind w:left="340" w:hanging="289"/>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9" w:lineRule="exact"/>
        <w:rPr>
          <w:rFonts w:ascii="Arial" w:cs="Arial" w:eastAsia="Arial" w:hAnsi="Arial"/>
          <w:sz w:val="18"/>
          <w:szCs w:val="18"/>
          <w:color w:val="auto"/>
        </w:rPr>
      </w:pPr>
    </w:p>
    <w:p>
      <w:pPr>
        <w:ind w:left="380" w:right="540" w:hanging="329"/>
        <w:spacing w:after="0" w:line="250" w:lineRule="auto"/>
        <w:tabs>
          <w:tab w:leader="none" w:pos="3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(including interest and debt repayments) on a trailing twelve months basis must be not less than 110.0%;</w:t>
      </w:r>
    </w:p>
    <w:p>
      <w:pPr>
        <w:ind w:left="380" w:right="160" w:hanging="329"/>
        <w:spacing w:after="0" w:line="250" w:lineRule="auto"/>
        <w:tabs>
          <w:tab w:leader="none" w:pos="3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3.0% of total indebtedness or $50,000 after the first drawdown;</w:t>
      </w:r>
    </w:p>
    <w:p>
      <w:pPr>
        <w:ind w:left="380" w:right="400" w:hanging="329"/>
        <w:spacing w:after="0" w:line="265" w:lineRule="auto"/>
        <w:tabs>
          <w:tab w:leader="none" w:pos="344" w:val="left"/>
        </w:tabs>
        <w:numPr>
          <w:ilvl w:val="0"/>
          <w:numId w:val="25"/>
        </w:numPr>
        <w:rPr>
          <w:rFonts w:ascii="Arial" w:cs="Arial" w:eastAsia="Arial" w:hAnsi="Arial"/>
          <w:sz w:val="17"/>
          <w:szCs w:val="17"/>
          <w:color w:val="auto"/>
        </w:rPr>
      </w:pPr>
      <w:r>
        <w:rPr>
          <w:rFonts w:ascii="Arial" w:cs="Arial" w:eastAsia="Arial" w:hAnsi="Arial"/>
          <w:sz w:val="17"/>
          <w:szCs w:val="17"/>
          <w:color w:val="auto"/>
        </w:rPr>
        <w:t>GasLog is permitted to pay dividends, provided that it holds unencumbered cash and cash equivalents equal to at least 4.0% of its total indebtedness subject to no event of default having occurred or occurring as a consequence of the payment of such dividends; and</w:t>
      </w:r>
    </w:p>
    <w:p>
      <w:pPr>
        <w:ind w:left="340" w:hanging="289"/>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market value adjusted net worth of GasLog must at all times be not less than $350,000.</w:t>
      </w:r>
    </w:p>
    <w:p>
      <w:pPr>
        <w:sectPr>
          <w:pgSz w:w="11900" w:h="16838" w:orient="portrait"/>
          <w:cols w:equalWidth="0" w:num="1">
            <w:col w:w="11420"/>
          </w:cols>
          <w:pgMar w:left="240" w:top="125" w:right="239" w:bottom="0" w:gutter="0" w:footer="0" w:header="0"/>
        </w:sectPr>
      </w:pPr>
    </w:p>
    <w:bookmarkStart w:id="29" w:name="page30"/>
    <w:bookmarkEnd w:id="29"/>
    <w:p>
      <w:pPr>
        <w:spacing w:after="0" w:line="62" w:lineRule="exact"/>
        <w:rPr>
          <w:sz w:val="20"/>
          <w:szCs w:val="20"/>
          <w:color w:val="auto"/>
        </w:rPr>
      </w:pPr>
    </w:p>
    <w:p>
      <w:pPr>
        <w:ind w:right="400" w:firstLine="405"/>
        <w:spacing w:after="0" w:line="264" w:lineRule="auto"/>
        <w:rPr>
          <w:sz w:val="20"/>
          <w:szCs w:val="20"/>
          <w:color w:val="auto"/>
        </w:rPr>
      </w:pPr>
      <w:r>
        <w:rPr>
          <w:rFonts w:ascii="Arial" w:cs="Arial" w:eastAsia="Arial" w:hAnsi="Arial"/>
          <w:sz w:val="18"/>
          <w:szCs w:val="18"/>
          <w:color w:val="auto"/>
        </w:rPr>
        <w:t xml:space="preserve">GasLog was in compliance with the above financial covenants as of September 30, 2017. Any failure by GasLog to comply with these financial covenants would permit the lenders under this credit facility to exercise remedies as secured creditors which, if such a default was to occur, could include foreclosing on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Geneva</w:t>
      </w:r>
      <w:r>
        <w:rPr>
          <w:rFonts w:ascii="Arial" w:cs="Arial" w:eastAsia="Arial" w:hAnsi="Arial"/>
          <w:sz w:val="18"/>
          <w:szCs w:val="18"/>
          <w:color w:val="auto"/>
        </w:rPr>
        <w:t>.</w:t>
      </w:r>
    </w:p>
    <w:p>
      <w:pPr>
        <w:spacing w:after="0" w:line="181"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The credit facility also imposes certain restrictions relating to GasLog, including restrictions that limit its ability to make any substantial change in the nature of its business or to engage in transactions that would constitute a change of control, as defined in the relevant credit facility, without repaying all of its indebtedness in full, or to allow its largest shareholders to reduce their shareholding in GasLog below specified thresholds.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GasLog Partners was in compliance with its financial covenants as of September 30, 2017.</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borrowings arising from financing activities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Opening</w:t>
            </w:r>
          </w:p>
        </w:tc>
        <w:tc>
          <w:tcPr>
            <w:tcW w:w="16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Cash flows</w:t>
            </w:r>
          </w:p>
        </w:tc>
        <w:tc>
          <w:tcPr>
            <w:tcW w:w="16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Non-cash items</w:t>
            </w: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balance</w:t>
            </w:r>
          </w:p>
        </w:tc>
        <w:tc>
          <w:tcPr>
            <w:tcW w:w="164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Borrowings outstanding as of January 1, 2017</w:t>
            </w: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1,122,470</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1,122,470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Borrowings drawdowns</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60,000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Borrowings repayments</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(135,990)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(135,990)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Additions in deferred loan fees</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(1,507)</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(1,517)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deferred loan issuance costs (Note 10)</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4,141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b w:val="1"/>
                <w:bCs w:val="1"/>
                <w:color w:val="auto"/>
              </w:rPr>
              <w:t>Borrowings outstanding as of September 30, 2017</w:t>
            </w: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1,122,470</w:t>
            </w:r>
          </w:p>
        </w:tc>
        <w:tc>
          <w:tcPr>
            <w:tcW w:w="3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(77,497</w:t>
            </w:r>
          </w:p>
        </w:tc>
        <w:tc>
          <w:tcPr>
            <w:tcW w:w="280" w:type="dxa"/>
            <w:vAlign w:val="bottom"/>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4,131</w:t>
            </w:r>
          </w:p>
        </w:tc>
        <w:tc>
          <w:tcPr>
            <w:tcW w:w="28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1,049,104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7. Other Payables and Accruals</w:t>
            </w: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20" w:type="dxa"/>
            <w:vAlign w:val="bottom"/>
            <w:gridSpan w:val="2"/>
          </w:tcPr>
          <w:p>
            <w:pPr>
              <w:ind w:left="400"/>
              <w:spacing w:after="0"/>
              <w:rPr>
                <w:sz w:val="20"/>
                <w:szCs w:val="20"/>
                <w:color w:val="auto"/>
              </w:rPr>
            </w:pPr>
            <w:r>
              <w:rPr>
                <w:rFonts w:ascii="Arial" w:cs="Arial" w:eastAsia="Arial" w:hAnsi="Arial"/>
                <w:sz w:val="18"/>
                <w:szCs w:val="18"/>
                <w:color w:val="auto"/>
              </w:rPr>
              <w:t>An analysis of other payables and accruals is as follows:</w:t>
            </w: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September 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0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Unearned revenue</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22,534</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Accrued legal and professional fees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213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crew costs</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3,118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Accrued off-hire</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141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purchases</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Accrued interest</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9,486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5,601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board of directors’ fees</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Accrued cash distributions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payables and accruals</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38,294</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34,662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2"/>
            <w:vMerge w:val="restart"/>
          </w:tcPr>
          <w:p>
            <w:pPr>
              <w:jc w:val="right"/>
              <w:ind w:right="780"/>
              <w:spacing w:after="0"/>
              <w:rPr>
                <w:sz w:val="20"/>
                <w:szCs w:val="20"/>
                <w:color w:val="auto"/>
              </w:rPr>
            </w:pPr>
            <w:r>
              <w:rPr>
                <w:rFonts w:ascii="Arial" w:cs="Arial" w:eastAsia="Arial" w:hAnsi="Arial"/>
                <w:sz w:val="18"/>
                <w:szCs w:val="18"/>
                <w:color w:val="auto"/>
              </w:rPr>
              <w:t>F-12</w:t>
            </w: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120" w:type="dxa"/>
            <w:vAlign w:val="bottom"/>
            <w:tcBorders>
              <w:bottom w:val="single" w:sz="8" w:color="808080"/>
            </w:tcBorders>
            <w:gridSpan w:val="2"/>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8. General and Administrative Expenses</w:t>
            </w: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20" w:type="dxa"/>
            <w:vAlign w:val="bottom"/>
            <w:gridSpan w:val="2"/>
          </w:tcPr>
          <w:p>
            <w:pPr>
              <w:ind w:left="340"/>
              <w:spacing w:after="0"/>
              <w:rPr>
                <w:sz w:val="20"/>
                <w:szCs w:val="20"/>
                <w:color w:val="auto"/>
              </w:rPr>
            </w:pPr>
            <w:r>
              <w:rPr>
                <w:rFonts w:ascii="Arial" w:cs="Arial" w:eastAsia="Arial" w:hAnsi="Arial"/>
                <w:sz w:val="18"/>
                <w:szCs w:val="18"/>
                <w:color w:val="auto"/>
                <w:w w:val="92"/>
              </w:rPr>
              <w:t>An analysis of general and administrative expenses is as follows:</w:t>
            </w: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For the three months ended</w:t>
            </w:r>
          </w:p>
        </w:tc>
        <w:tc>
          <w:tcPr>
            <w:tcW w:w="312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For the nine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0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280" w:type="dxa"/>
            <w:vAlign w:val="bottom"/>
          </w:tcPr>
          <w:p>
            <w:pPr>
              <w:spacing w:after="0"/>
              <w:rPr>
                <w:sz w:val="10"/>
                <w:szCs w:val="10"/>
                <w:color w:val="auto"/>
              </w:rPr>
            </w:pPr>
          </w:p>
        </w:tc>
        <w:tc>
          <w:tcPr>
            <w:tcW w:w="164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2016</w:t>
            </w:r>
          </w:p>
        </w:tc>
        <w:tc>
          <w:tcPr>
            <w:tcW w:w="3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Board of directors’ fees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Share-based compensation (Note 14)</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138</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243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342</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and professional fees</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264</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Commercial management fees (Note 3)</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946</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990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2,749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2,970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Administrative fees (Note 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3,528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Foreign exchange differences, net</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116</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149</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209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251</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675</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3,130</w:t>
            </w:r>
          </w:p>
        </w:tc>
        <w:tc>
          <w:tcPr>
            <w:tcW w:w="3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3,787</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9,227</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10,470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9. Derivative Financial Instruments</w:t>
            </w: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20" w:type="dxa"/>
            <w:vAlign w:val="bottom"/>
            <w:gridSpan w:val="2"/>
          </w:tcPr>
          <w:p>
            <w:pPr>
              <w:ind w:left="340"/>
              <w:spacing w:after="0"/>
              <w:rPr>
                <w:sz w:val="20"/>
                <w:szCs w:val="20"/>
                <w:color w:val="auto"/>
              </w:rPr>
            </w:pPr>
            <w:r>
              <w:rPr>
                <w:rFonts w:ascii="Arial" w:cs="Arial" w:eastAsia="Arial" w:hAnsi="Arial"/>
                <w:sz w:val="18"/>
                <w:szCs w:val="18"/>
                <w:color w:val="auto"/>
              </w:rPr>
              <w:t>The fair value of the derivative assets is as follows:</w:t>
            </w: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September 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0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6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 carried at fair value through profit or loss (FVTPL)</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Interest rate swaps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6,008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3,963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6,008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Derivative financial instruments, current asset</w:t>
            </w: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gridSpan w:val="2"/>
            <w:vMerge w:val="continue"/>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1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financial instruments, non-current asset</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6,008</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3,963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ind w:left="340"/>
              <w:spacing w:after="0"/>
              <w:rPr>
                <w:sz w:val="20"/>
                <w:szCs w:val="20"/>
                <w:color w:val="auto"/>
              </w:rPr>
            </w:pPr>
            <w:r>
              <w:rPr>
                <w:rFonts w:ascii="Arial" w:cs="Arial" w:eastAsia="Arial" w:hAnsi="Arial"/>
                <w:sz w:val="18"/>
                <w:szCs w:val="18"/>
                <w:color w:val="auto"/>
              </w:rPr>
              <w:t>The fair value of the derivative liabilities is as follows:</w:t>
            </w: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2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September 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0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6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liabilities carried at fair value through profit or loss (FVTPL)</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Interest rate swaps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1,836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1,185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0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auto"/>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-5036820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-5036820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41" w:right="199" w:bottom="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1,836</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Derivative financial instruments, current liability</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0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1,836</w:t>
            </w:r>
          </w:p>
        </w:tc>
        <w:tc>
          <w:tcPr>
            <w:tcW w:w="28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857</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non-current liability</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1,836</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Interest rate swap agreements</w:t>
      </w:r>
    </w:p>
    <w:p>
      <w:pPr>
        <w:spacing w:after="0" w:line="229"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The Partnership enters into interest rate swap agreements which convert the floating interest rate exposure into a fixed interest rate in order to hedge a portion of the Partnership’s exposure to fluctuations in prevailing market interest rates. Under the interest rate swaps, the counterparty effects quarterly floating-rate payments to the Partnership for the notional amounts based on the three-month U.S. dollar LIBOR, and the Partnership effects quarterly payments to the counterparty on the notional amounts at the respective fixed rates.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rate swaps held for trading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principal terms of the interest rate swaps held for trading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Fixed</w:t>
            </w:r>
          </w:p>
        </w:tc>
        <w:tc>
          <w:tcPr>
            <w:tcW w:w="2500" w:type="dxa"/>
            <w:vAlign w:val="bottom"/>
            <w:tcBorders>
              <w:bottom w:val="single" w:sz="8" w:color="auto"/>
            </w:tcBorders>
            <w:gridSpan w:val="3"/>
          </w:tcPr>
          <w:p>
            <w:pPr>
              <w:jc w:val="right"/>
              <w:ind w:right="635"/>
              <w:spacing w:after="0"/>
              <w:rPr>
                <w:sz w:val="20"/>
                <w:szCs w:val="20"/>
                <w:color w:val="auto"/>
              </w:rPr>
            </w:pPr>
            <w:r>
              <w:rPr>
                <w:rFonts w:ascii="Arial" w:cs="Arial" w:eastAsia="Arial" w:hAnsi="Arial"/>
                <w:sz w:val="14"/>
                <w:szCs w:val="14"/>
                <w:b w:val="1"/>
                <w:bCs w:val="1"/>
                <w:color w:val="auto"/>
              </w:rPr>
              <w:t>Notional Amount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Termination</w:t>
            </w:r>
          </w:p>
        </w:tc>
        <w:tc>
          <w:tcPr>
            <w:tcW w:w="1360" w:type="dxa"/>
            <w:vAlign w:val="bottom"/>
            <w:gridSpan w:val="2"/>
            <w:vMerge w:val="continue"/>
          </w:tcPr>
          <w:p>
            <w:pPr>
              <w:spacing w:after="0"/>
              <w:rPr>
                <w:sz w:val="9"/>
                <w:szCs w:val="9"/>
                <w:color w:val="auto"/>
              </w:rPr>
            </w:pPr>
          </w:p>
        </w:tc>
        <w:tc>
          <w:tcPr>
            <w:tcW w:w="13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9"/>
        </w:trPr>
        <w:tc>
          <w:tcPr>
            <w:tcW w:w="1720" w:type="dxa"/>
            <w:vAlign w:val="bottom"/>
            <w:vMerge w:val="restart"/>
          </w:tcPr>
          <w:p>
            <w:pPr>
              <w:spacing w:after="0"/>
              <w:rPr>
                <w:sz w:val="20"/>
                <w:szCs w:val="20"/>
                <w:color w:val="auto"/>
              </w:rPr>
            </w:pPr>
            <w:r>
              <w:rPr>
                <w:rFonts w:ascii="Arial" w:cs="Arial" w:eastAsia="Arial" w:hAnsi="Arial"/>
                <w:sz w:val="14"/>
                <w:szCs w:val="14"/>
                <w:b w:val="1"/>
                <w:bCs w:val="1"/>
                <w:color w:val="auto"/>
              </w:rPr>
              <w:t>Company</w:t>
            </w:r>
          </w:p>
        </w:tc>
        <w:tc>
          <w:tcPr>
            <w:tcW w:w="240" w:type="dxa"/>
            <w:vAlign w:val="bottom"/>
            <w:vMerge w:val="restart"/>
          </w:tcPr>
          <w:p>
            <w:pPr>
              <w:spacing w:after="0"/>
              <w:rPr>
                <w:sz w:val="12"/>
                <w:szCs w:val="12"/>
                <w:color w:val="auto"/>
              </w:rPr>
            </w:pPr>
          </w:p>
        </w:tc>
        <w:tc>
          <w:tcPr>
            <w:tcW w:w="11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Counterparty</w:t>
            </w:r>
          </w:p>
        </w:tc>
        <w:tc>
          <w:tcPr>
            <w:tcW w:w="240" w:type="dxa"/>
            <w:vAlign w:val="bottom"/>
            <w:vMerge w:val="restart"/>
          </w:tcPr>
          <w:p>
            <w:pPr>
              <w:spacing w:after="0"/>
              <w:rPr>
                <w:sz w:val="12"/>
                <w:szCs w:val="12"/>
                <w:color w:val="auto"/>
              </w:rPr>
            </w:pPr>
          </w:p>
        </w:tc>
        <w:tc>
          <w:tcPr>
            <w:tcW w:w="11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Trade Date</w:t>
            </w:r>
          </w:p>
        </w:tc>
        <w:tc>
          <w:tcPr>
            <w:tcW w:w="220" w:type="dxa"/>
            <w:vAlign w:val="bottom"/>
            <w:vMerge w:val="restart"/>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Effective Date</w:t>
            </w:r>
          </w:p>
        </w:tc>
        <w:tc>
          <w:tcPr>
            <w:tcW w:w="220" w:type="dxa"/>
            <w:vAlign w:val="bottom"/>
            <w:vMerge w:val="restart"/>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Interest</w:t>
            </w:r>
          </w:p>
        </w:tc>
        <w:tc>
          <w:tcPr>
            <w:tcW w:w="136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2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2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GasLog Partners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GasLog</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Nov 2016</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Nov 2016</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July 2020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GasLog Partners</w:t>
            </w:r>
          </w:p>
        </w:tc>
        <w:tc>
          <w:tcPr>
            <w:tcW w:w="1380" w:type="dxa"/>
            <w:vAlign w:val="bottom"/>
            <w:gridSpan w:val="2"/>
          </w:tcPr>
          <w:p>
            <w:pPr>
              <w:spacing w:after="0"/>
              <w:rPr>
                <w:sz w:val="20"/>
                <w:szCs w:val="20"/>
                <w:color w:val="auto"/>
              </w:rPr>
            </w:pPr>
            <w:r>
              <w:rPr>
                <w:rFonts w:ascii="Arial" w:cs="Arial" w:eastAsia="Arial" w:hAnsi="Arial"/>
                <w:sz w:val="18"/>
                <w:szCs w:val="18"/>
                <w:color w:val="auto"/>
              </w:rPr>
              <w:t>GasLog</w:t>
            </w:r>
          </w:p>
        </w:tc>
        <w:tc>
          <w:tcPr>
            <w:tcW w:w="1360" w:type="dxa"/>
            <w:vAlign w:val="bottom"/>
            <w:gridSpan w:val="2"/>
          </w:tcPr>
          <w:p>
            <w:pPr>
              <w:ind w:left="200"/>
              <w:spacing w:after="0"/>
              <w:rPr>
                <w:sz w:val="20"/>
                <w:szCs w:val="20"/>
                <w:color w:val="auto"/>
              </w:rPr>
            </w:pPr>
            <w:r>
              <w:rPr>
                <w:rFonts w:ascii="Arial" w:cs="Arial" w:eastAsia="Arial" w:hAnsi="Arial"/>
                <w:sz w:val="18"/>
                <w:szCs w:val="18"/>
                <w:color w:val="auto"/>
              </w:rPr>
              <w:t>Nov 2016</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Nov 2016</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July 2021</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1.63%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130,000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130,000</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 Partners</w:t>
            </w: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w:t>
            </w: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Nov 2016</w:t>
            </w:r>
          </w:p>
        </w:tc>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Nov 2016</w:t>
            </w:r>
          </w:p>
        </w:tc>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July 2022</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130,000</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GasLog Partners</w:t>
            </w:r>
          </w:p>
        </w:tc>
        <w:tc>
          <w:tcPr>
            <w:tcW w:w="1380" w:type="dxa"/>
            <w:vAlign w:val="bottom"/>
            <w:gridSpan w:val="2"/>
          </w:tcPr>
          <w:p>
            <w:pPr>
              <w:spacing w:after="0"/>
              <w:rPr>
                <w:sz w:val="20"/>
                <w:szCs w:val="20"/>
                <w:color w:val="auto"/>
              </w:rPr>
            </w:pPr>
            <w:r>
              <w:rPr>
                <w:rFonts w:ascii="Arial" w:cs="Arial" w:eastAsia="Arial" w:hAnsi="Arial"/>
                <w:sz w:val="18"/>
                <w:szCs w:val="18"/>
                <w:color w:val="auto"/>
              </w:rPr>
              <w:t>GasLog</w:t>
            </w:r>
          </w:p>
        </w:tc>
        <w:tc>
          <w:tcPr>
            <w:tcW w:w="1360" w:type="dxa"/>
            <w:vAlign w:val="bottom"/>
            <w:gridSpan w:val="2"/>
          </w:tcPr>
          <w:p>
            <w:pPr>
              <w:ind w:left="220"/>
              <w:spacing w:after="0"/>
              <w:rPr>
                <w:sz w:val="20"/>
                <w:szCs w:val="20"/>
                <w:color w:val="auto"/>
              </w:rPr>
            </w:pPr>
            <w:r>
              <w:rPr>
                <w:rFonts w:ascii="Arial" w:cs="Arial" w:eastAsia="Arial" w:hAnsi="Arial"/>
                <w:sz w:val="18"/>
                <w:szCs w:val="18"/>
                <w:color w:val="auto"/>
              </w:rPr>
              <w:t>July 2017</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July 2017</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June 2022</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2.19%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0"/>
        </w:trPr>
        <w:tc>
          <w:tcPr>
            <w:tcW w:w="17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b w:val="1"/>
                <w:bCs w:val="1"/>
                <w:color w:val="auto"/>
                <w:w w:val="88"/>
              </w:rPr>
              <w:t>Total</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390,000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derivative instruments listed above were not designated as cash flow hedging instruments as of September 30,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change in the fair value of the derivative contracts for the three and nine months ended September 30, 2017 amounted to a loss of $185 and $1,394, respectively (for the three and nine months ended September 30, 2016: $85 gain and $2,532 loss, respectively), which was recognized against profit or loss in the period incurred and is included in Loss on interest rate swaps. During the three and nine months ended September 30, 2017, the loss of $185 and $1,394, respectively, derived mainly from the fact that the LIBOR yield curve, which was used to calculate the present value of the estimated future cash flows, was lower than the agreed fixed interest rates resulting in a decrease in net derivative assets from interest rate swaps held for trading.</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derivatives arising from financing activities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660" w:type="dxa"/>
            <w:vAlign w:val="bottom"/>
            <w:gridSpan w:val="2"/>
          </w:tcPr>
          <w:p>
            <w:pPr>
              <w:ind w:left="180"/>
              <w:spacing w:after="0"/>
              <w:rPr>
                <w:sz w:val="20"/>
                <w:szCs w:val="20"/>
                <w:color w:val="auto"/>
              </w:rPr>
            </w:pPr>
            <w:r>
              <w:rPr>
                <w:rFonts w:ascii="Arial" w:cs="Arial" w:eastAsia="Arial" w:hAnsi="Arial"/>
                <w:sz w:val="14"/>
                <w:szCs w:val="14"/>
                <w:b w:val="1"/>
                <w:bCs w:val="1"/>
                <w:color w:val="auto"/>
              </w:rPr>
              <w:t>Opening balance</w:t>
            </w:r>
          </w:p>
        </w:tc>
        <w:tc>
          <w:tcPr>
            <w:tcW w:w="16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Non-cash items</w:t>
            </w:r>
          </w:p>
        </w:tc>
        <w:tc>
          <w:tcPr>
            <w:tcW w:w="14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Total</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derivative assets as of January 1, 2017</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4,172</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Unrealized loss on interest rate swaps held for trading (Note 10)</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(1,394)</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(1,394)</w:t>
            </w:r>
          </w:p>
        </w:tc>
      </w:tr>
      <w:tr>
        <w:trPr>
          <w:trHeight w:val="223"/>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derivative assets as of September 30, 2017</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4,172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(1,394</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140" w:right="239" w:bottom="0" w:gutter="0" w:footer="0" w:header="0"/>
        </w:sectPr>
      </w:pPr>
    </w:p>
    <w:p>
      <w:pPr>
        <w:ind w:left="420" w:right="360" w:hanging="412"/>
        <w:spacing w:after="0" w:line="629" w:lineRule="auto"/>
        <w:tabs>
          <w:tab w:leader="none" w:pos="285"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Costs and Loss on Interest Rate Swaps </w:t>
      </w:r>
      <w:r>
        <w:rPr>
          <w:rFonts w:ascii="Arial" w:cs="Arial" w:eastAsia="Arial" w:hAnsi="Arial"/>
          <w:sz w:val="16"/>
          <w:szCs w:val="16"/>
          <w:color w:val="auto"/>
        </w:rPr>
        <w:t>An analysis of financial costs is as follows:</w:t>
      </w:r>
    </w:p>
    <w:p>
      <w:pPr>
        <w:spacing w:after="0" w:line="363" w:lineRule="exact"/>
        <w:rPr>
          <w:sz w:val="20"/>
          <w:szCs w:val="20"/>
          <w:color w:val="auto"/>
        </w:rPr>
      </w:pPr>
    </w:p>
    <w:p>
      <w:pPr>
        <w:ind w:right="1160"/>
        <w:spacing w:after="0" w:line="266" w:lineRule="auto"/>
        <w:rPr>
          <w:sz w:val="20"/>
          <w:szCs w:val="20"/>
          <w:color w:val="auto"/>
        </w:rPr>
      </w:pPr>
      <w:r>
        <w:rPr>
          <w:rFonts w:ascii="Arial" w:cs="Arial" w:eastAsia="Arial" w:hAnsi="Arial"/>
          <w:sz w:val="18"/>
          <w:szCs w:val="18"/>
          <w:color w:val="auto"/>
        </w:rPr>
        <w:t>Amortization of deferred loan issuance costs Interest expense on loans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Commitment fees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costs including bank commissions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financial costs</w:t>
      </w:r>
    </w:p>
    <w:p>
      <w:pPr>
        <w:spacing w:after="0" w:line="27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An analysis of loss on interest rate swaps is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330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For the three months ended</w:t>
            </w:r>
          </w:p>
        </w:tc>
        <w:tc>
          <w:tcPr>
            <w:tcW w:w="30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For the nine months ended</w:t>
            </w:r>
          </w:p>
        </w:tc>
      </w:tr>
      <w:tr>
        <w:trPr>
          <w:trHeight w:val="119"/>
        </w:trPr>
        <w:tc>
          <w:tcPr>
            <w:tcW w:w="1660" w:type="dxa"/>
            <w:vAlign w:val="bottom"/>
            <w:tcBorders>
              <w:top w:val="single" w:sz="8" w:color="auto"/>
            </w:tcBorders>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September 30,</w:t>
            </w:r>
          </w:p>
        </w:tc>
        <w:tc>
          <w:tcPr>
            <w:tcW w:w="1360" w:type="dxa"/>
            <w:vAlign w:val="bottom"/>
            <w:tcBorders>
              <w:top w:val="single" w:sz="8" w:color="auto"/>
            </w:tcBorders>
          </w:tcPr>
          <w:p>
            <w:pPr>
              <w:jc w:val="right"/>
              <w:ind w:right="156"/>
              <w:spacing w:after="0" w:line="119" w:lineRule="exact"/>
              <w:rPr>
                <w:sz w:val="20"/>
                <w:szCs w:val="20"/>
                <w:color w:val="auto"/>
              </w:rPr>
            </w:pPr>
            <w:r>
              <w:rPr>
                <w:rFonts w:ascii="Arial" w:cs="Arial" w:eastAsia="Arial" w:hAnsi="Arial"/>
                <w:sz w:val="13"/>
                <w:szCs w:val="13"/>
                <w:b w:val="1"/>
                <w:bCs w:val="1"/>
                <w:color w:val="auto"/>
              </w:rPr>
              <w:t>September 30,</w:t>
            </w:r>
          </w:p>
        </w:tc>
        <w:tc>
          <w:tcPr>
            <w:tcW w:w="280" w:type="dxa"/>
            <w:vAlign w:val="bottom"/>
          </w:tcPr>
          <w:p>
            <w:pPr>
              <w:spacing w:after="0"/>
              <w:rPr>
                <w:sz w:val="10"/>
                <w:szCs w:val="10"/>
                <w:color w:val="auto"/>
              </w:rPr>
            </w:pPr>
          </w:p>
        </w:tc>
        <w:tc>
          <w:tcPr>
            <w:tcW w:w="164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September 30,</w:t>
            </w:r>
          </w:p>
        </w:tc>
        <w:tc>
          <w:tcPr>
            <w:tcW w:w="1380" w:type="dxa"/>
            <w:vAlign w:val="bottom"/>
            <w:tcBorders>
              <w:top w:val="single" w:sz="8" w:color="auto"/>
            </w:tcBorders>
          </w:tcPr>
          <w:p>
            <w:pPr>
              <w:jc w:val="right"/>
              <w:ind w:right="176"/>
              <w:spacing w:after="0" w:line="119" w:lineRule="exact"/>
              <w:rPr>
                <w:sz w:val="20"/>
                <w:szCs w:val="20"/>
                <w:color w:val="auto"/>
              </w:rPr>
            </w:pPr>
            <w:r>
              <w:rPr>
                <w:rFonts w:ascii="Arial" w:cs="Arial" w:eastAsia="Arial" w:hAnsi="Arial"/>
                <w:sz w:val="13"/>
                <w:szCs w:val="13"/>
                <w:b w:val="1"/>
                <w:bCs w:val="1"/>
                <w:color w:val="auto"/>
              </w:rPr>
              <w:t>September 30,</w:t>
            </w:r>
          </w:p>
        </w:tc>
        <w:tc>
          <w:tcPr>
            <w:tcW w:w="60" w:type="dxa"/>
            <w:vAlign w:val="bottom"/>
            <w:gridSpan w:val="2"/>
          </w:tcPr>
          <w:p>
            <w:pPr>
              <w:spacing w:after="0"/>
              <w:rPr>
                <w:sz w:val="10"/>
                <w:szCs w:val="10"/>
                <w:color w:val="auto"/>
              </w:rPr>
            </w:pPr>
          </w:p>
        </w:tc>
      </w:tr>
      <w:tr>
        <w:trPr>
          <w:trHeight w:val="171"/>
        </w:trPr>
        <w:tc>
          <w:tcPr>
            <w:tcW w:w="13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13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13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13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5"/>
        </w:trPr>
        <w:tc>
          <w:tcPr>
            <w:tcW w:w="1360" w:type="dxa"/>
            <w:vAlign w:val="bottom"/>
          </w:tcPr>
          <w:p>
            <w:pPr>
              <w:jc w:val="right"/>
              <w:spacing w:after="0" w:line="195" w:lineRule="exact"/>
              <w:rPr>
                <w:sz w:val="20"/>
                <w:szCs w:val="20"/>
                <w:color w:val="auto"/>
              </w:rPr>
            </w:pPr>
            <w:r>
              <w:rPr>
                <w:rFonts w:ascii="Arial" w:cs="Arial" w:eastAsia="Arial" w:hAnsi="Arial"/>
                <w:sz w:val="18"/>
                <w:szCs w:val="18"/>
                <w:color w:val="auto"/>
              </w:rPr>
              <w:t>(3,648)</w:t>
            </w:r>
          </w:p>
        </w:tc>
        <w:tc>
          <w:tcPr>
            <w:tcW w:w="300" w:type="dxa"/>
            <w:vAlign w:val="bottom"/>
          </w:tcPr>
          <w:p>
            <w:pPr>
              <w:spacing w:after="0"/>
              <w:rPr>
                <w:sz w:val="16"/>
                <w:szCs w:val="16"/>
                <w:color w:val="auto"/>
              </w:rPr>
            </w:pPr>
          </w:p>
        </w:tc>
        <w:tc>
          <w:tcPr>
            <w:tcW w:w="1360" w:type="dxa"/>
            <w:vAlign w:val="bottom"/>
          </w:tcPr>
          <w:p>
            <w:pPr>
              <w:jc w:val="right"/>
              <w:spacing w:after="0" w:line="195" w:lineRule="exact"/>
              <w:rPr>
                <w:sz w:val="20"/>
                <w:szCs w:val="20"/>
                <w:color w:val="auto"/>
              </w:rPr>
            </w:pPr>
            <w:r>
              <w:rPr>
                <w:rFonts w:ascii="Arial" w:cs="Arial" w:eastAsia="Arial" w:hAnsi="Arial"/>
                <w:sz w:val="18"/>
                <w:szCs w:val="18"/>
                <w:color w:val="auto"/>
              </w:rPr>
              <w:t>(1,399)</w:t>
            </w:r>
          </w:p>
        </w:tc>
        <w:tc>
          <w:tcPr>
            <w:tcW w:w="280" w:type="dxa"/>
            <w:vAlign w:val="bottom"/>
          </w:tcPr>
          <w:p>
            <w:pPr>
              <w:spacing w:after="0"/>
              <w:rPr>
                <w:sz w:val="16"/>
                <w:szCs w:val="16"/>
                <w:color w:val="auto"/>
              </w:rPr>
            </w:pPr>
          </w:p>
        </w:tc>
        <w:tc>
          <w:tcPr>
            <w:tcW w:w="1360" w:type="dxa"/>
            <w:vAlign w:val="bottom"/>
          </w:tcPr>
          <w:p>
            <w:pPr>
              <w:jc w:val="right"/>
              <w:spacing w:after="0" w:line="195" w:lineRule="exact"/>
              <w:rPr>
                <w:sz w:val="20"/>
                <w:szCs w:val="20"/>
                <w:color w:val="auto"/>
              </w:rPr>
            </w:pPr>
            <w:r>
              <w:rPr>
                <w:rFonts w:ascii="Arial" w:cs="Arial" w:eastAsia="Arial" w:hAnsi="Arial"/>
                <w:sz w:val="18"/>
                <w:szCs w:val="18"/>
                <w:color w:val="auto"/>
              </w:rPr>
              <w:t>(6,069)</w:t>
            </w:r>
          </w:p>
        </w:tc>
        <w:tc>
          <w:tcPr>
            <w:tcW w:w="280" w:type="dxa"/>
            <w:vAlign w:val="bottom"/>
          </w:tcPr>
          <w:p>
            <w:pPr>
              <w:spacing w:after="0"/>
              <w:rPr>
                <w:sz w:val="16"/>
                <w:szCs w:val="16"/>
                <w:color w:val="auto"/>
              </w:rPr>
            </w:pPr>
          </w:p>
        </w:tc>
        <w:tc>
          <w:tcPr>
            <w:tcW w:w="1380" w:type="dxa"/>
            <w:vAlign w:val="bottom"/>
          </w:tcPr>
          <w:p>
            <w:pPr>
              <w:jc w:val="right"/>
              <w:spacing w:after="0" w:line="195" w:lineRule="exact"/>
              <w:rPr>
                <w:sz w:val="20"/>
                <w:szCs w:val="20"/>
                <w:color w:val="auto"/>
              </w:rPr>
            </w:pPr>
            <w:r>
              <w:rPr>
                <w:rFonts w:ascii="Arial" w:cs="Arial" w:eastAsia="Arial" w:hAnsi="Arial"/>
                <w:sz w:val="18"/>
                <w:szCs w:val="18"/>
                <w:color w:val="auto"/>
              </w:rPr>
              <w:t>(4,141)</w:t>
            </w:r>
          </w:p>
        </w:tc>
        <w:tc>
          <w:tcPr>
            <w:tcW w:w="60" w:type="dxa"/>
            <w:vAlign w:val="bottom"/>
            <w:gridSpan w:val="2"/>
          </w:tcPr>
          <w:p>
            <w:pPr>
              <w:spacing w:after="0"/>
              <w:rPr>
                <w:sz w:val="16"/>
                <w:szCs w:val="16"/>
                <w:color w:val="auto"/>
              </w:rPr>
            </w:pPr>
          </w:p>
        </w:tc>
      </w:tr>
      <w:tr>
        <w:trPr>
          <w:trHeight w:val="216"/>
        </w:trPr>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(8,341)</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(10,746)</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(23,395)</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(31,332)</w:t>
            </w:r>
          </w:p>
        </w:tc>
      </w:tr>
      <w:tr>
        <w:trPr>
          <w:trHeight w:val="216"/>
        </w:trPr>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(191)</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(434)</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(407)</w:t>
            </w:r>
          </w:p>
        </w:tc>
      </w:tr>
      <w:tr>
        <w:trPr>
          <w:trHeight w:val="230"/>
        </w:trPr>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(264)</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(218)</w:t>
            </w:r>
          </w:p>
        </w:tc>
      </w:tr>
      <w:tr>
        <w:trPr>
          <w:trHeight w:val="223"/>
        </w:trPr>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(12,249</w:t>
            </w:r>
          </w:p>
        </w:tc>
        <w:tc>
          <w:tcPr>
            <w:tcW w:w="300" w:type="dxa"/>
            <w:vAlign w:val="bottom"/>
          </w:tcPr>
          <w:p>
            <w:pPr>
              <w:jc w:val="right"/>
              <w:ind w:right="160"/>
              <w:spacing w:after="0"/>
              <w:rPr>
                <w:sz w:val="20"/>
                <w:szCs w:val="20"/>
                <w:color w:val="auto"/>
              </w:rPr>
            </w:pPr>
            <w:r>
              <w:rPr>
                <w:rFonts w:ascii="Arial" w:cs="Arial" w:eastAsia="Arial" w:hAnsi="Arial"/>
                <w:sz w:val="16"/>
                <w:szCs w:val="16"/>
                <w:b w:val="1"/>
                <w:bCs w:val="1"/>
                <w:color w:val="auto"/>
                <w:w w:val="7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(12,319</w:t>
            </w:r>
          </w:p>
        </w:tc>
        <w:tc>
          <w:tcPr>
            <w:tcW w:w="280" w:type="dxa"/>
            <w:vAlign w:val="bottom"/>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(30,162</w:t>
            </w:r>
          </w:p>
        </w:tc>
        <w:tc>
          <w:tcPr>
            <w:tcW w:w="280" w:type="dxa"/>
            <w:vAlign w:val="bottom"/>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14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(36,098</w:t>
            </w:r>
          </w:p>
        </w:tc>
        <w:tc>
          <w:tcPr>
            <w:tcW w:w="4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-736600</wp:posOffset>
            </wp:positionV>
            <wp:extent cx="724662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-454025</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-179705</wp:posOffset>
            </wp:positionV>
            <wp:extent cx="7246620"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85" w:lineRule="exact"/>
        <w:rPr>
          <w:sz w:val="20"/>
          <w:szCs w:val="20"/>
          <w:color w:val="auto"/>
        </w:rPr>
      </w:pPr>
    </w:p>
    <w:p>
      <w:pPr>
        <w:sectPr>
          <w:pgSz w:w="11900" w:h="16838" w:orient="portrait"/>
          <w:cols w:equalWidth="0" w:num="2">
            <w:col w:w="4380" w:space="620"/>
            <w:col w:w="6420"/>
          </w:cols>
          <w:pgMar w:left="240" w:top="140" w:right="239" w:bottom="0" w:gutter="0" w:footer="0" w:header="0"/>
          <w:type w:val="continuous"/>
        </w:sectPr>
      </w:pPr>
    </w:p>
    <w:p>
      <w:pPr>
        <w:spacing w:after="0" w:line="200" w:lineRule="exact"/>
        <w:rPr>
          <w:sz w:val="20"/>
          <w:szCs w:val="20"/>
          <w:color w:val="auto"/>
        </w:rPr>
      </w:pPr>
    </w:p>
    <w:p>
      <w:pPr>
        <w:spacing w:after="0" w:line="30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Unrealized gain/(loss) on interest rate swaps held for trading (Note 9) Realized loss on interest rate swaps held for trading</w:t>
      </w:r>
    </w:p>
    <w:p>
      <w:pPr>
        <w:spacing w:after="0" w:line="1"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 xml:space="preserve">Recycled loss of cash flow hedges reclassified to profit or loss </w:t>
      </w:r>
      <w:r>
        <w:rPr>
          <w:rFonts w:ascii="Arial" w:cs="Arial" w:eastAsia="Arial" w:hAnsi="Arial"/>
          <w:sz w:val="18"/>
          <w:szCs w:val="18"/>
          <w:b w:val="1"/>
          <w:bCs w:val="1"/>
          <w:color w:val="auto"/>
        </w:rPr>
        <w:t>Total loss on interest rate swaps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Non-cash Items on Statements of Cash Flows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3080" w:type="dxa"/>
            <w:vAlign w:val="bottom"/>
            <w:gridSpan w:val="4"/>
          </w:tcPr>
          <w:p>
            <w:pPr>
              <w:ind w:left="540"/>
              <w:spacing w:after="0"/>
              <w:rPr>
                <w:sz w:val="20"/>
                <w:szCs w:val="20"/>
                <w:color w:val="auto"/>
              </w:rPr>
            </w:pPr>
            <w:r>
              <w:rPr>
                <w:rFonts w:ascii="Arial" w:cs="Arial" w:eastAsia="Arial" w:hAnsi="Arial"/>
                <w:sz w:val="14"/>
                <w:szCs w:val="14"/>
                <w:b w:val="1"/>
                <w:bCs w:val="1"/>
                <w:color w:val="auto"/>
              </w:rPr>
              <w:t>For the three months ended</w:t>
            </w:r>
          </w:p>
        </w:tc>
        <w:tc>
          <w:tcPr>
            <w:tcW w:w="2620" w:type="dxa"/>
            <w:vAlign w:val="bottom"/>
            <w:gridSpan w:val="5"/>
          </w:tcPr>
          <w:p>
            <w:pPr>
              <w:ind w:left="460"/>
              <w:spacing w:after="0"/>
              <w:rPr>
                <w:sz w:val="20"/>
                <w:szCs w:val="20"/>
                <w:color w:val="auto"/>
              </w:rPr>
            </w:pPr>
            <w:r>
              <w:rPr>
                <w:rFonts w:ascii="Arial" w:cs="Arial" w:eastAsia="Arial" w:hAnsi="Arial"/>
                <w:sz w:val="14"/>
                <w:szCs w:val="14"/>
                <w:b w:val="1"/>
                <w:bCs w:val="1"/>
                <w:color w:val="auto"/>
              </w:rPr>
              <w:t>For the nine months ended</w:t>
            </w:r>
          </w:p>
        </w:tc>
      </w:tr>
      <w:tr>
        <w:trPr>
          <w:trHeight w:val="119"/>
        </w:trPr>
        <w:tc>
          <w:tcPr>
            <w:tcW w:w="1660" w:type="dxa"/>
            <w:vAlign w:val="bottom"/>
            <w:tcBorders>
              <w:top w:val="single" w:sz="8" w:color="auto"/>
            </w:tcBorders>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September 30,</w:t>
            </w:r>
          </w:p>
        </w:tc>
        <w:tc>
          <w:tcPr>
            <w:tcW w:w="1140" w:type="dxa"/>
            <w:vAlign w:val="bottom"/>
            <w:tcBorders>
              <w:top w:val="single" w:sz="8" w:color="auto"/>
            </w:tcBorders>
          </w:tcPr>
          <w:p>
            <w:pPr>
              <w:jc w:val="right"/>
              <w:ind w:right="57"/>
              <w:spacing w:after="0" w:line="119" w:lineRule="exact"/>
              <w:rPr>
                <w:sz w:val="20"/>
                <w:szCs w:val="20"/>
                <w:color w:val="auto"/>
              </w:rPr>
            </w:pPr>
            <w:r>
              <w:rPr>
                <w:rFonts w:ascii="Arial" w:cs="Arial" w:eastAsia="Arial" w:hAnsi="Arial"/>
                <w:sz w:val="13"/>
                <w:szCs w:val="13"/>
                <w:b w:val="1"/>
                <w:bCs w:val="1"/>
                <w:color w:val="auto"/>
              </w:rPr>
              <w:t>September 30,</w:t>
            </w:r>
          </w:p>
        </w:tc>
        <w:tc>
          <w:tcPr>
            <w:tcW w:w="280" w:type="dxa"/>
            <w:vAlign w:val="bottom"/>
          </w:tcPr>
          <w:p>
            <w:pPr>
              <w:spacing w:after="0"/>
              <w:rPr>
                <w:sz w:val="10"/>
                <w:szCs w:val="10"/>
                <w:color w:val="auto"/>
              </w:rPr>
            </w:pPr>
          </w:p>
        </w:tc>
        <w:tc>
          <w:tcPr>
            <w:tcW w:w="1420" w:type="dxa"/>
            <w:vAlign w:val="bottom"/>
            <w:tcBorders>
              <w:top w:val="single" w:sz="8" w:color="auto"/>
            </w:tcBorders>
            <w:gridSpan w:val="2"/>
          </w:tcPr>
          <w:p>
            <w:pPr>
              <w:ind w:left="120"/>
              <w:spacing w:after="0" w:line="119" w:lineRule="exact"/>
              <w:rPr>
                <w:sz w:val="20"/>
                <w:szCs w:val="20"/>
                <w:color w:val="auto"/>
              </w:rPr>
            </w:pPr>
            <w:r>
              <w:rPr>
                <w:rFonts w:ascii="Arial" w:cs="Arial" w:eastAsia="Arial" w:hAnsi="Arial"/>
                <w:sz w:val="13"/>
                <w:szCs w:val="13"/>
                <w:b w:val="1"/>
                <w:bCs w:val="1"/>
                <w:color w:val="auto"/>
              </w:rPr>
              <w:t>September 30,</w:t>
            </w:r>
          </w:p>
        </w:tc>
        <w:tc>
          <w:tcPr>
            <w:tcW w:w="1140" w:type="dxa"/>
            <w:vAlign w:val="bottom"/>
            <w:tcBorders>
              <w:top w:val="single" w:sz="8" w:color="auto"/>
            </w:tcBorders>
          </w:tcPr>
          <w:p>
            <w:pPr>
              <w:jc w:val="right"/>
              <w:ind w:right="57"/>
              <w:spacing w:after="0" w:line="119" w:lineRule="exact"/>
              <w:rPr>
                <w:sz w:val="20"/>
                <w:szCs w:val="20"/>
                <w:color w:val="auto"/>
              </w:rPr>
            </w:pPr>
            <w:r>
              <w:rPr>
                <w:rFonts w:ascii="Arial" w:cs="Arial" w:eastAsia="Arial" w:hAnsi="Arial"/>
                <w:sz w:val="13"/>
                <w:szCs w:val="13"/>
                <w:b w:val="1"/>
                <w:bCs w:val="1"/>
                <w:color w:val="auto"/>
              </w:rPr>
              <w:t>September 30,</w:t>
            </w:r>
          </w:p>
        </w:tc>
        <w:tc>
          <w:tcPr>
            <w:tcW w:w="60" w:type="dxa"/>
            <w:vAlign w:val="bottom"/>
            <w:gridSpan w:val="2"/>
          </w:tcPr>
          <w:p>
            <w:pPr>
              <w:spacing w:after="0"/>
              <w:rPr>
                <w:sz w:val="10"/>
                <w:szCs w:val="10"/>
                <w:color w:val="auto"/>
              </w:rPr>
            </w:pPr>
          </w:p>
        </w:tc>
      </w:tr>
      <w:tr>
        <w:trPr>
          <w:trHeight w:val="171"/>
        </w:trPr>
        <w:tc>
          <w:tcPr>
            <w:tcW w:w="13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11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11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5"/>
        </w:trPr>
        <w:tc>
          <w:tcPr>
            <w:tcW w:w="1380" w:type="dxa"/>
            <w:vAlign w:val="bottom"/>
          </w:tcPr>
          <w:p>
            <w:pPr>
              <w:jc w:val="right"/>
              <w:spacing w:after="0" w:line="195" w:lineRule="exact"/>
              <w:rPr>
                <w:sz w:val="20"/>
                <w:szCs w:val="20"/>
                <w:color w:val="auto"/>
              </w:rPr>
            </w:pPr>
            <w:r>
              <w:rPr>
                <w:rFonts w:ascii="Arial" w:cs="Arial" w:eastAsia="Arial" w:hAnsi="Arial"/>
                <w:sz w:val="18"/>
                <w:szCs w:val="18"/>
                <w:color w:val="auto"/>
              </w:rPr>
              <w:t>85</w:t>
            </w:r>
          </w:p>
        </w:tc>
        <w:tc>
          <w:tcPr>
            <w:tcW w:w="280" w:type="dxa"/>
            <w:vAlign w:val="bottom"/>
          </w:tcPr>
          <w:p>
            <w:pPr>
              <w:spacing w:after="0"/>
              <w:rPr>
                <w:sz w:val="16"/>
                <w:szCs w:val="16"/>
                <w:color w:val="auto"/>
              </w:rPr>
            </w:pP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(185)</w:t>
            </w:r>
          </w:p>
        </w:tc>
        <w:tc>
          <w:tcPr>
            <w:tcW w:w="280" w:type="dxa"/>
            <w:vAlign w:val="bottom"/>
          </w:tcPr>
          <w:p>
            <w:pPr>
              <w:spacing w:after="0"/>
              <w:rPr>
                <w:sz w:val="16"/>
                <w:szCs w:val="16"/>
                <w:color w:val="auto"/>
              </w:rPr>
            </w:pPr>
          </w:p>
        </w:tc>
        <w:tc>
          <w:tcPr>
            <w:tcW w:w="1140" w:type="dxa"/>
            <w:vAlign w:val="bottom"/>
          </w:tcPr>
          <w:p>
            <w:pPr>
              <w:ind w:left="660"/>
              <w:spacing w:after="0" w:line="195" w:lineRule="exact"/>
              <w:rPr>
                <w:sz w:val="20"/>
                <w:szCs w:val="20"/>
                <w:color w:val="auto"/>
              </w:rPr>
            </w:pPr>
            <w:r>
              <w:rPr>
                <w:rFonts w:ascii="Arial" w:cs="Arial" w:eastAsia="Arial" w:hAnsi="Arial"/>
                <w:sz w:val="18"/>
                <w:szCs w:val="18"/>
                <w:color w:val="auto"/>
                <w:w w:val="80"/>
              </w:rPr>
              <w:t>(2,532)</w:t>
            </w:r>
          </w:p>
        </w:tc>
        <w:tc>
          <w:tcPr>
            <w:tcW w:w="280" w:type="dxa"/>
            <w:vAlign w:val="bottom"/>
          </w:tcPr>
          <w:p>
            <w:pPr>
              <w:spacing w:after="0"/>
              <w:rPr>
                <w:sz w:val="16"/>
                <w:szCs w:val="16"/>
                <w:color w:val="auto"/>
              </w:rPr>
            </w:pP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(1,394)</w:t>
            </w:r>
          </w:p>
        </w:tc>
        <w:tc>
          <w:tcPr>
            <w:tcW w:w="60" w:type="dxa"/>
            <w:vAlign w:val="bottom"/>
            <w:gridSpan w:val="2"/>
          </w:tcPr>
          <w:p>
            <w:pPr>
              <w:spacing w:after="0"/>
              <w:rPr>
                <w:sz w:val="16"/>
                <w:szCs w:val="16"/>
                <w:color w:val="auto"/>
              </w:rPr>
            </w:pPr>
          </w:p>
        </w:tc>
      </w:tr>
      <w:tr>
        <w:trPr>
          <w:trHeight w:val="216"/>
        </w:trPr>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(89)</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(487)</w:t>
            </w:r>
          </w:p>
        </w:tc>
        <w:tc>
          <w:tcPr>
            <w:tcW w:w="1420" w:type="dxa"/>
            <w:vAlign w:val="bottom"/>
            <w:gridSpan w:val="2"/>
          </w:tcPr>
          <w:p>
            <w:pPr>
              <w:ind w:left="660"/>
              <w:spacing w:after="0"/>
              <w:rPr>
                <w:sz w:val="20"/>
                <w:szCs w:val="20"/>
                <w:color w:val="auto"/>
              </w:rPr>
            </w:pPr>
            <w:r>
              <w:rPr>
                <w:rFonts w:ascii="Arial" w:cs="Arial" w:eastAsia="Arial" w:hAnsi="Arial"/>
                <w:sz w:val="18"/>
                <w:szCs w:val="18"/>
                <w:color w:val="auto"/>
              </w:rPr>
              <w:t>(1,077)</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(1,591)</w:t>
            </w:r>
          </w:p>
        </w:tc>
      </w:tr>
      <w:tr>
        <w:trPr>
          <w:trHeight w:val="230"/>
        </w:trPr>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(2,240)</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660"/>
              <w:spacing w:after="0"/>
              <w:rPr>
                <w:sz w:val="20"/>
                <w:szCs w:val="20"/>
                <w:color w:val="auto"/>
              </w:rPr>
            </w:pPr>
            <w:r>
              <w:rPr>
                <w:rFonts w:ascii="Arial" w:cs="Arial" w:eastAsia="Arial" w:hAnsi="Arial"/>
                <w:sz w:val="18"/>
                <w:szCs w:val="18"/>
                <w:color w:val="auto"/>
              </w:rPr>
              <w:t>(2,527)</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(2,244</w:t>
            </w:r>
          </w:p>
        </w:tc>
        <w:tc>
          <w:tcPr>
            <w:tcW w:w="280" w:type="dxa"/>
            <w:vAlign w:val="bottom"/>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(672</w:t>
            </w:r>
          </w:p>
        </w:tc>
        <w:tc>
          <w:tcPr>
            <w:tcW w:w="280" w:type="dxa"/>
            <w:vAlign w:val="bottom"/>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11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b w:val="1"/>
                <w:bCs w:val="1"/>
                <w:color w:val="auto"/>
                <w:w w:val="90"/>
              </w:rPr>
              <w:t>(6,136</w:t>
            </w:r>
          </w:p>
        </w:tc>
        <w:tc>
          <w:tcPr>
            <w:tcW w:w="280" w:type="dxa"/>
            <w:vAlign w:val="bottom"/>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(2,985</w:t>
            </w:r>
          </w:p>
        </w:tc>
        <w:tc>
          <w:tcPr>
            <w:tcW w:w="4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-599440</wp:posOffset>
            </wp:positionV>
            <wp:extent cx="724662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-316865</wp:posOffset>
            </wp:positionV>
            <wp:extent cx="72466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5020" w:space="660"/>
            <w:col w:w="5740"/>
          </w:cols>
          <w:pgMar w:left="240" w:top="140" w:right="239" w:bottom="0" w:gutter="0" w:footer="0" w:header="0"/>
          <w:type w:val="continuous"/>
        </w:sectPr>
      </w:pPr>
    </w:p>
    <w:p>
      <w:pPr>
        <w:spacing w:after="0" w:line="29"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As of September 30, 2017, there were capital expenditures of $986 which had not been paid during the period ended September 30, 2017 and were included in current liabilities (December 31, 2016: $628).</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September 30, 2017, there were capital expenditures before dropdown of $0 paid through capital contributions (December 31, 2016: $37,299).</w:t>
      </w:r>
    </w:p>
    <w:p>
      <w:pPr>
        <w:spacing w:after="0" w:line="248"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As of September 30, 2017, there were financing costs of $10 which had not been paid during the period ended September 30, 2017 and were included in liabilities (December 31, 2016: $0).</w:t>
      </w:r>
    </w:p>
    <w:p>
      <w:pPr>
        <w:sectPr>
          <w:pgSz w:w="11900" w:h="16838" w:orient="portrait"/>
          <w:cols w:equalWidth="0" w:num="1">
            <w:col w:w="11420"/>
          </w:cols>
          <w:pgMar w:left="240" w:top="140" w:right="239" w:bottom="0" w:gutter="0" w:footer="0" w:header="0"/>
          <w:type w:val="continuous"/>
        </w:sectPr>
      </w:pPr>
    </w:p>
    <w:bookmarkStart w:id="31" w:name="page32"/>
    <w:bookmarkEnd w:id="31"/>
    <w:p>
      <w:pPr>
        <w:ind w:left="420"/>
        <w:spacing w:after="0"/>
        <w:rPr>
          <w:sz w:val="20"/>
          <w:szCs w:val="20"/>
          <w:color w:val="auto"/>
        </w:rPr>
      </w:pPr>
      <w:r>
        <w:rPr>
          <w:rFonts w:ascii="Arial" w:cs="Arial" w:eastAsia="Arial" w:hAnsi="Arial"/>
          <w:sz w:val="18"/>
          <w:szCs w:val="18"/>
          <w:color w:val="auto"/>
        </w:rPr>
        <w:t>As of September 30, 2017, there were financing costs of $0 paid through capital contributions (December 31, 2016: $1,379).</w:t>
      </w:r>
    </w:p>
    <w:p>
      <w:pPr>
        <w:spacing w:after="0" w:line="225"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As of September 30, 2017, there were offering costs of $713 which had not been paid during the period ended September 30, 2017 and were included in current liabilities (December 31, 2016: $5).</w:t>
      </w:r>
    </w:p>
    <w:p>
      <w:pPr>
        <w:spacing w:after="0" w:line="170"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As of September 30, 2016, there were capital expenditures of $1,316 which had not been paid during the period ended September 30, 2016 and were included in current liabilities (December 31, 2015: $1,365).</w:t>
      </w:r>
    </w:p>
    <w:p>
      <w:pPr>
        <w:spacing w:after="0" w:line="170"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As of September 30, 2016, there were capital expenditures for vessels before dropdown of $10,395 paid through capital contributions (December 31, 2015: $39,786).</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2016, there were capital expenditures paid through related parties of $0 (December 31, 2015: $2,313).</w:t>
      </w:r>
    </w:p>
    <w:p>
      <w:pPr>
        <w:spacing w:after="0" w:line="22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As of September 30, 2016, there were financing costs of $597 which had not been paid during the period ended September 30, 2016 and were included in liabilities (December 31, 2015: $61).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2016, there were financing costs paid through related parties of $2,927 (December 31, 2015: $4,428).</w:t>
      </w:r>
    </w:p>
    <w:p>
      <w:pPr>
        <w:spacing w:after="0" w:line="225"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As of September 30, 2016, there were offering costs of $187 which had not been paid during the period ended September 30, 2016 and were included in current liabilities (December 31, 2015: $0).</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2016, there were offering costs paid through related parties of $0 (December 31, 2015: $26).</w:t>
      </w:r>
    </w:p>
    <w:p>
      <w:pPr>
        <w:spacing w:after="0" w:line="225" w:lineRule="exact"/>
        <w:rPr>
          <w:sz w:val="20"/>
          <w:szCs w:val="20"/>
          <w:color w:val="auto"/>
        </w:rPr>
      </w:pPr>
    </w:p>
    <w:p>
      <w:pPr>
        <w:jc w:val="both"/>
        <w:ind w:right="240" w:firstLine="405"/>
        <w:spacing w:after="0" w:line="277" w:lineRule="auto"/>
        <w:rPr>
          <w:sz w:val="20"/>
          <w:szCs w:val="20"/>
          <w:color w:val="auto"/>
        </w:rPr>
      </w:pPr>
      <w:r>
        <w:rPr>
          <w:rFonts w:ascii="Arial" w:cs="Arial" w:eastAsia="Arial" w:hAnsi="Arial"/>
          <w:sz w:val="18"/>
          <w:szCs w:val="18"/>
          <w:color w:val="auto"/>
        </w:rPr>
        <w:t>As of September 30, 2016, there were no dividends declared which had not been paid during the year ended December 31, 2016 and were included in liabilities (December 31, 2015: $7,800).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Cash Distributions</w:t>
      </w:r>
    </w:p>
    <w:p>
      <w:pPr>
        <w:spacing w:after="0" w:line="229" w:lineRule="exact"/>
        <w:rPr>
          <w:sz w:val="20"/>
          <w:szCs w:val="20"/>
          <w:color w:val="auto"/>
        </w:rPr>
      </w:pPr>
    </w:p>
    <w:p>
      <w:pPr>
        <w:ind w:right="400" w:firstLine="383"/>
        <w:spacing w:after="0" w:line="342" w:lineRule="auto"/>
        <w:rPr>
          <w:sz w:val="20"/>
          <w:szCs w:val="20"/>
          <w:color w:val="auto"/>
        </w:rPr>
      </w:pPr>
      <w:r>
        <w:rPr>
          <w:rFonts w:ascii="Arial" w:cs="Arial" w:eastAsia="Arial" w:hAnsi="Arial"/>
          <w:sz w:val="16"/>
          <w:szCs w:val="16"/>
          <w:color w:val="auto"/>
        </w:rPr>
        <w:t>On January 26, 2017, the board of directors of the Partnership approved and declared a quarterly cash distribution, with respect to the quarter ended December 31, 2016, of $0.49 per common unit. The cash distribution was paid on February 10, 2017 to all unitholders of record as of February 6, 2017.</w:t>
      </w:r>
    </w:p>
    <w:p>
      <w:pPr>
        <w:spacing w:after="0" w:line="124" w:lineRule="exact"/>
        <w:rPr>
          <w:sz w:val="20"/>
          <w:szCs w:val="20"/>
          <w:color w:val="auto"/>
        </w:rPr>
      </w:pPr>
    </w:p>
    <w:p>
      <w:pPr>
        <w:ind w:right="580" w:firstLine="383"/>
        <w:spacing w:after="0" w:line="342" w:lineRule="auto"/>
        <w:rPr>
          <w:sz w:val="20"/>
          <w:szCs w:val="20"/>
          <w:color w:val="auto"/>
        </w:rPr>
      </w:pPr>
      <w:r>
        <w:rPr>
          <w:rFonts w:ascii="Arial" w:cs="Arial" w:eastAsia="Arial" w:hAnsi="Arial"/>
          <w:sz w:val="16"/>
          <w:szCs w:val="16"/>
          <w:color w:val="auto"/>
        </w:rPr>
        <w:t>On April 26, 2017, the board of directors of the Partnership approved and declared a quarterly cash distribution, with respect to the quarter ended March 31, 2017, of $0.50 per common unit. The cash distribution was paid on May 12, 2017 to all unitholders of record as of May 8, 2017.</w:t>
      </w:r>
    </w:p>
    <w:p>
      <w:pPr>
        <w:spacing w:after="0" w:line="124" w:lineRule="exact"/>
        <w:rPr>
          <w:sz w:val="20"/>
          <w:szCs w:val="20"/>
          <w:color w:val="auto"/>
        </w:rPr>
      </w:pPr>
    </w:p>
    <w:p>
      <w:pPr>
        <w:jc w:val="both"/>
        <w:ind w:right="660" w:firstLine="383"/>
        <w:spacing w:after="0" w:line="342" w:lineRule="auto"/>
        <w:rPr>
          <w:sz w:val="20"/>
          <w:szCs w:val="20"/>
          <w:color w:val="auto"/>
        </w:rPr>
      </w:pPr>
      <w:r>
        <w:rPr>
          <w:rFonts w:ascii="Arial" w:cs="Arial" w:eastAsia="Arial" w:hAnsi="Arial"/>
          <w:sz w:val="16"/>
          <w:szCs w:val="16"/>
          <w:color w:val="auto"/>
        </w:rPr>
        <w:t>On July 26, 2017, the board of directors of the Partnership approved and declared a quarterly cash distribution, with respect to the quarter ended September 30, 2017, of $0.51 per common unit. The cash distribution was paid on August 11, 2017, to all unitholders of record as of August 7, 2017.</w:t>
      </w:r>
    </w:p>
    <w:p>
      <w:pPr>
        <w:spacing w:after="0" w:line="124" w:lineRule="exact"/>
        <w:rPr>
          <w:sz w:val="20"/>
          <w:szCs w:val="20"/>
          <w:color w:val="auto"/>
        </w:rPr>
      </w:pPr>
    </w:p>
    <w:p>
      <w:pPr>
        <w:ind w:right="300" w:firstLine="383"/>
        <w:spacing w:after="0" w:line="308" w:lineRule="auto"/>
        <w:rPr>
          <w:sz w:val="20"/>
          <w:szCs w:val="20"/>
          <w:color w:val="auto"/>
        </w:rPr>
      </w:pPr>
      <w:r>
        <w:rPr>
          <w:rFonts w:ascii="Arial" w:cs="Arial" w:eastAsia="Arial" w:hAnsi="Arial"/>
          <w:sz w:val="17"/>
          <w:szCs w:val="17"/>
          <w:color w:val="auto"/>
        </w:rPr>
        <w:t>On September 15, 2017, the board of directors of the Partnership approved and declared a dividend on the Series A Preference Units of $0.71875 per preference unit. The cash distribution was paid on September 15, 2017, to all unitholders of record as of September 8,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Unit (“EPU”)</w:t>
      </w:r>
    </w:p>
    <w:p>
      <w:pPr>
        <w:spacing w:after="0" w:line="229" w:lineRule="exact"/>
        <w:rPr>
          <w:sz w:val="20"/>
          <w:szCs w:val="20"/>
          <w:color w:val="auto"/>
        </w:rPr>
      </w:pPr>
    </w:p>
    <w:p>
      <w:pPr>
        <w:ind w:right="80" w:firstLine="396"/>
        <w:spacing w:after="0" w:line="277" w:lineRule="auto"/>
        <w:rPr>
          <w:sz w:val="20"/>
          <w:szCs w:val="20"/>
          <w:color w:val="auto"/>
        </w:rPr>
      </w:pPr>
      <w:r>
        <w:rPr>
          <w:rFonts w:ascii="Arial" w:cs="Arial" w:eastAsia="Arial" w:hAnsi="Arial"/>
          <w:sz w:val="18"/>
          <w:szCs w:val="18"/>
          <w:color w:val="auto"/>
        </w:rPr>
        <w:t>The Partnership calculates earnings per unit by allocating reported profit for each period after deducting accrued dividends on preference units, whether or not declared, to each class of units based on the distribution policy for available cash stated in the Partnership Agreement.</w:t>
      </w:r>
    </w:p>
    <w:p>
      <w:pPr>
        <w:spacing w:after="0" w:line="170" w:lineRule="exact"/>
        <w:rPr>
          <w:sz w:val="20"/>
          <w:szCs w:val="20"/>
          <w:color w:val="auto"/>
        </w:rPr>
      </w:pPr>
    </w:p>
    <w:p>
      <w:pPr>
        <w:jc w:val="both"/>
        <w:ind w:right="220" w:firstLine="396"/>
        <w:spacing w:after="0" w:line="312" w:lineRule="auto"/>
        <w:rPr>
          <w:sz w:val="20"/>
          <w:szCs w:val="20"/>
          <w:color w:val="auto"/>
        </w:rPr>
      </w:pPr>
      <w:r>
        <w:rPr>
          <w:rFonts w:ascii="Arial" w:cs="Arial" w:eastAsia="Arial" w:hAnsi="Arial"/>
          <w:sz w:val="16"/>
          <w:szCs w:val="16"/>
          <w:color w:val="auto"/>
        </w:rPr>
        <w:t>Basic earnings per unit is determined by dividing profit for the period by the weighted average number of units outstanding during the period. Diluted earnings per unit is calculated by dividing the profit of the period attributable to common unitholders by the weighted average number of potential ordinary common units assumed to have been converted into common units, unless such potential ordinary common units have an antidilutive effect.</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Earnings per unit is presented for the period in which the units were outstanding, with earnings calculated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330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For the three months ended</w:t>
            </w:r>
          </w:p>
        </w:tc>
        <w:tc>
          <w:tcPr>
            <w:tcW w:w="312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19"/>
        </w:trPr>
        <w:tc>
          <w:tcPr>
            <w:tcW w:w="5000" w:type="dxa"/>
            <w:vAlign w:val="bottom"/>
          </w:tcPr>
          <w:p>
            <w:pPr>
              <w:spacing w:after="0"/>
              <w:rPr>
                <w:sz w:val="10"/>
                <w:szCs w:val="10"/>
                <w:color w:val="auto"/>
              </w:rPr>
            </w:pPr>
          </w:p>
        </w:tc>
        <w:tc>
          <w:tcPr>
            <w:tcW w:w="166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September 30,</w:t>
            </w:r>
          </w:p>
        </w:tc>
        <w:tc>
          <w:tcPr>
            <w:tcW w:w="1360" w:type="dxa"/>
            <w:vAlign w:val="bottom"/>
            <w:tcBorders>
              <w:top w:val="single" w:sz="8" w:color="auto"/>
            </w:tcBorders>
          </w:tcPr>
          <w:p>
            <w:pPr>
              <w:jc w:val="right"/>
              <w:ind w:right="153"/>
              <w:spacing w:after="0" w:line="119" w:lineRule="exact"/>
              <w:rPr>
                <w:sz w:val="20"/>
                <w:szCs w:val="20"/>
                <w:color w:val="auto"/>
              </w:rPr>
            </w:pPr>
            <w:r>
              <w:rPr>
                <w:rFonts w:ascii="Arial" w:cs="Arial" w:eastAsia="Arial" w:hAnsi="Arial"/>
                <w:sz w:val="13"/>
                <w:szCs w:val="13"/>
                <w:b w:val="1"/>
                <w:bCs w:val="1"/>
                <w:color w:val="auto"/>
              </w:rPr>
              <w:t>September 30,</w:t>
            </w:r>
          </w:p>
        </w:tc>
        <w:tc>
          <w:tcPr>
            <w:tcW w:w="280" w:type="dxa"/>
            <w:vAlign w:val="bottom"/>
          </w:tcPr>
          <w:p>
            <w:pPr>
              <w:spacing w:after="0"/>
              <w:rPr>
                <w:sz w:val="10"/>
                <w:szCs w:val="10"/>
                <w:color w:val="auto"/>
              </w:rPr>
            </w:pPr>
          </w:p>
        </w:tc>
        <w:tc>
          <w:tcPr>
            <w:tcW w:w="1640" w:type="dxa"/>
            <w:vAlign w:val="bottom"/>
            <w:tcBorders>
              <w:top w:val="single" w:sz="8" w:color="auto"/>
            </w:tcBorders>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September 30,</w:t>
            </w:r>
          </w:p>
        </w:tc>
        <w:tc>
          <w:tcPr>
            <w:tcW w:w="1380" w:type="dxa"/>
            <w:vAlign w:val="bottom"/>
            <w:tcBorders>
              <w:top w:val="single" w:sz="8" w:color="auto"/>
            </w:tcBorders>
          </w:tcPr>
          <w:p>
            <w:pPr>
              <w:jc w:val="right"/>
              <w:ind w:right="173"/>
              <w:spacing w:after="0" w:line="119" w:lineRule="exact"/>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for the period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20,038</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25,374</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58,422</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76,411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Less: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Profit attributable to GasLog’s operations*</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(1,169)</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(5,979)</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(10,732)</w:t>
            </w:r>
          </w:p>
        </w:tc>
        <w:tc>
          <w:tcPr>
            <w:tcW w:w="0" w:type="dxa"/>
            <w:vAlign w:val="bottom"/>
          </w:tcPr>
          <w:p>
            <w:pPr>
              <w:spacing w:after="0"/>
              <w:rPr>
                <w:sz w:val="1"/>
                <w:szCs w:val="1"/>
                <w:color w:val="auto"/>
              </w:rPr>
            </w:pPr>
          </w:p>
        </w:tc>
      </w:tr>
      <w:tr>
        <w:trPr>
          <w:trHeight w:val="210"/>
        </w:trPr>
        <w:tc>
          <w:tcPr>
            <w:tcW w:w="5000" w:type="dxa"/>
            <w:vAlign w:val="bottom"/>
          </w:tcPr>
          <w:p>
            <w:pPr>
              <w:spacing w:after="0"/>
              <w:rPr>
                <w:sz w:val="20"/>
                <w:szCs w:val="20"/>
                <w:color w:val="auto"/>
              </w:rPr>
            </w:pPr>
            <w:r>
              <w:rPr>
                <w:rFonts w:ascii="Arial" w:cs="Arial" w:eastAsia="Arial" w:hAnsi="Arial"/>
                <w:sz w:val="18"/>
                <w:szCs w:val="18"/>
                <w:b w:val="1"/>
                <w:bCs w:val="1"/>
                <w:color w:val="auto"/>
              </w:rPr>
              <w:t>Partnership’s profit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18,869</w:t>
            </w:r>
          </w:p>
        </w:tc>
        <w:tc>
          <w:tcPr>
            <w:tcW w:w="30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25,299</w:t>
            </w:r>
          </w:p>
        </w:tc>
        <w:tc>
          <w:tcPr>
            <w:tcW w:w="28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52,443</w:t>
            </w:r>
          </w:p>
        </w:tc>
        <w:tc>
          <w:tcPr>
            <w:tcW w:w="2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Adjustment for:</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Accrued preferred equity distributions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(3,100)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(4,649)</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Partnership’s profit attributable to:</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18,869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22,199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52,443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61,030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Common unitholders</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12,706</w:t>
            </w:r>
          </w:p>
        </w:tc>
        <w:tc>
          <w:tcPr>
            <w:tcW w:w="30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20,941</w:t>
            </w:r>
          </w:p>
        </w:tc>
        <w:tc>
          <w:tcPr>
            <w:tcW w:w="28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34,680</w:t>
            </w:r>
          </w:p>
        </w:tc>
        <w:tc>
          <w:tcPr>
            <w:tcW w:w="28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53,014</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Subordinated unitholders**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14,970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5,085</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General partner</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377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443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1,049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Incentive distribution rights***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b w:val="1"/>
                <w:bCs w:val="1"/>
                <w:color w:val="auto"/>
              </w:rPr>
              <w:t>Weighted average number of units outstanding (basic)</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Common units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23,496,271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39,334,356</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22,384,402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35,011,970</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Subordinated units**</w:t>
            </w:r>
          </w:p>
        </w:tc>
        <w:tc>
          <w:tcPr>
            <w:tcW w:w="1360" w:type="dxa"/>
            <w:vAlign w:val="bottom"/>
          </w:tcPr>
          <w:p>
            <w:pPr>
              <w:jc w:val="right"/>
              <w:spacing w:after="0"/>
              <w:rPr>
                <w:sz w:val="20"/>
                <w:szCs w:val="20"/>
                <w:color w:val="auto"/>
              </w:rPr>
            </w:pPr>
            <w:r>
              <w:rPr>
                <w:rFonts w:ascii="Arial" w:cs="Arial" w:eastAsia="Arial" w:hAnsi="Arial"/>
                <w:sz w:val="18"/>
                <w:szCs w:val="18"/>
                <w:color w:val="auto"/>
              </w:rPr>
              <w:t>9,822,358</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360" w:type="dxa"/>
            <w:vAlign w:val="bottom"/>
          </w:tcPr>
          <w:p>
            <w:pPr>
              <w:jc w:val="right"/>
              <w:spacing w:after="0"/>
              <w:rPr>
                <w:sz w:val="20"/>
                <w:szCs w:val="20"/>
                <w:color w:val="auto"/>
              </w:rPr>
            </w:pPr>
            <w:r>
              <w:rPr>
                <w:rFonts w:ascii="Arial" w:cs="Arial" w:eastAsia="Arial" w:hAnsi="Arial"/>
                <w:sz w:val="18"/>
                <w:szCs w:val="18"/>
                <w:color w:val="auto"/>
              </w:rPr>
              <w:t>9,822,358</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9,822,358</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 units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679,972</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793,459</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657,281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777,109</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b w:val="1"/>
                <w:bCs w:val="1"/>
                <w:color w:val="auto"/>
              </w:rPr>
              <w:t>Earnings per unit (basic)</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Common unitholders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0.53</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Subordinated unitholders</w:t>
            </w:r>
          </w:p>
        </w:tc>
        <w:tc>
          <w:tcPr>
            <w:tcW w:w="1840" w:type="dxa"/>
            <w:vAlign w:val="bottom"/>
          </w:tcPr>
          <w:p>
            <w:pPr>
              <w:jc w:val="right"/>
              <w:ind w:right="330"/>
              <w:spacing w:after="0"/>
              <w:rPr>
                <w:sz w:val="20"/>
                <w:szCs w:val="20"/>
                <w:color w:val="auto"/>
              </w:rPr>
            </w:pPr>
            <w:r>
              <w:rPr>
                <w:rFonts w:ascii="Arial" w:cs="Arial" w:eastAsia="Arial" w:hAnsi="Arial"/>
                <w:sz w:val="18"/>
                <w:szCs w:val="18"/>
                <w:color w:val="auto"/>
              </w:rPr>
              <w:t>0.52</w:t>
            </w:r>
          </w:p>
        </w:tc>
        <w:tc>
          <w:tcPr>
            <w:tcW w:w="1660" w:type="dxa"/>
            <w:vAlign w:val="bottom"/>
          </w:tcPr>
          <w:p>
            <w:pPr>
              <w:jc w:val="right"/>
              <w:ind w:right="330"/>
              <w:spacing w:after="0"/>
              <w:rPr>
                <w:sz w:val="20"/>
                <w:szCs w:val="20"/>
                <w:color w:val="auto"/>
              </w:rPr>
            </w:pPr>
            <w:r>
              <w:rPr>
                <w:rFonts w:ascii="Arial" w:cs="Arial" w:eastAsia="Arial" w:hAnsi="Arial"/>
                <w:sz w:val="18"/>
                <w:szCs w:val="18"/>
                <w:color w:val="auto"/>
              </w:rPr>
              <w:t>N/A</w:t>
            </w:r>
          </w:p>
        </w:tc>
        <w:tc>
          <w:tcPr>
            <w:tcW w:w="1640" w:type="dxa"/>
            <w:vAlign w:val="bottom"/>
          </w:tcPr>
          <w:p>
            <w:pPr>
              <w:jc w:val="right"/>
              <w:ind w:right="330"/>
              <w:spacing w:after="0"/>
              <w:rPr>
                <w:sz w:val="20"/>
                <w:szCs w:val="20"/>
                <w:color w:val="auto"/>
              </w:rPr>
            </w:pPr>
            <w:r>
              <w:rPr>
                <w:rFonts w:ascii="Arial" w:cs="Arial" w:eastAsia="Arial" w:hAnsi="Arial"/>
                <w:sz w:val="18"/>
                <w:szCs w:val="18"/>
                <w:color w:val="auto"/>
              </w:rPr>
              <w:t>1.52</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0.52</w:t>
            </w:r>
          </w:p>
        </w:tc>
        <w:tc>
          <w:tcPr>
            <w:tcW w:w="40" w:type="dxa"/>
            <w:vAlign w:val="bottom"/>
          </w:tcPr>
          <w:p>
            <w:pPr>
              <w:spacing w:after="0"/>
              <w:rPr>
                <w:sz w:val="20"/>
                <w:szCs w:val="20"/>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18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0.56</w:t>
            </w:r>
          </w:p>
        </w:tc>
        <w:tc>
          <w:tcPr>
            <w:tcW w:w="1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0.56</w:t>
            </w:r>
          </w:p>
        </w:tc>
        <w:tc>
          <w:tcPr>
            <w:tcW w:w="1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1.60</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40" w:type="dxa"/>
            <w:vAlign w:val="bottom"/>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b w:val="1"/>
                <w:bCs w:val="1"/>
                <w:color w:val="auto"/>
              </w:rPr>
              <w:t>Weighted average number of units outstanding (diluted)</w:t>
            </w:r>
          </w:p>
        </w:tc>
        <w:tc>
          <w:tcPr>
            <w:tcW w:w="1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Common units</w:t>
            </w:r>
          </w:p>
        </w:tc>
        <w:tc>
          <w:tcPr>
            <w:tcW w:w="18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23,521,921</w:t>
            </w:r>
          </w:p>
        </w:tc>
        <w:tc>
          <w:tcPr>
            <w:tcW w:w="1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39,397,507</w:t>
            </w:r>
          </w:p>
        </w:tc>
        <w:tc>
          <w:tcPr>
            <w:tcW w:w="1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22,403,462</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35,063,379</w:t>
            </w:r>
          </w:p>
        </w:tc>
        <w:tc>
          <w:tcPr>
            <w:tcW w:w="40" w:type="dxa"/>
            <w:vAlign w:val="bottom"/>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Subordinated units**</w:t>
            </w:r>
          </w:p>
        </w:tc>
        <w:tc>
          <w:tcPr>
            <w:tcW w:w="1840" w:type="dxa"/>
            <w:vAlign w:val="bottom"/>
          </w:tcPr>
          <w:p>
            <w:pPr>
              <w:jc w:val="right"/>
              <w:ind w:right="330"/>
              <w:spacing w:after="0"/>
              <w:rPr>
                <w:sz w:val="20"/>
                <w:szCs w:val="20"/>
                <w:color w:val="auto"/>
              </w:rPr>
            </w:pPr>
            <w:r>
              <w:rPr>
                <w:rFonts w:ascii="Arial" w:cs="Arial" w:eastAsia="Arial" w:hAnsi="Arial"/>
                <w:sz w:val="18"/>
                <w:szCs w:val="18"/>
                <w:color w:val="auto"/>
              </w:rPr>
              <w:t>9,822,358</w:t>
            </w:r>
          </w:p>
        </w:tc>
        <w:tc>
          <w:tcPr>
            <w:tcW w:w="1660" w:type="dxa"/>
            <w:vAlign w:val="bottom"/>
          </w:tcPr>
          <w:p>
            <w:pPr>
              <w:jc w:val="right"/>
              <w:ind w:right="330"/>
              <w:spacing w:after="0"/>
              <w:rPr>
                <w:sz w:val="20"/>
                <w:szCs w:val="20"/>
                <w:color w:val="auto"/>
              </w:rPr>
            </w:pPr>
            <w:r>
              <w:rPr>
                <w:rFonts w:ascii="Arial" w:cs="Arial" w:eastAsia="Arial" w:hAnsi="Arial"/>
                <w:sz w:val="18"/>
                <w:szCs w:val="18"/>
                <w:color w:val="auto"/>
              </w:rPr>
              <w:t>N/A</w:t>
            </w:r>
          </w:p>
        </w:tc>
        <w:tc>
          <w:tcPr>
            <w:tcW w:w="1640" w:type="dxa"/>
            <w:vAlign w:val="bottom"/>
          </w:tcPr>
          <w:p>
            <w:pPr>
              <w:jc w:val="right"/>
              <w:ind w:right="330"/>
              <w:spacing w:after="0"/>
              <w:rPr>
                <w:sz w:val="20"/>
                <w:szCs w:val="20"/>
                <w:color w:val="auto"/>
              </w:rPr>
            </w:pPr>
            <w:r>
              <w:rPr>
                <w:rFonts w:ascii="Arial" w:cs="Arial" w:eastAsia="Arial" w:hAnsi="Arial"/>
                <w:sz w:val="18"/>
                <w:szCs w:val="18"/>
                <w:color w:val="auto"/>
              </w:rPr>
              <w:t>9,822,358</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9,822,358</w:t>
            </w:r>
          </w:p>
        </w:tc>
        <w:tc>
          <w:tcPr>
            <w:tcW w:w="4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 units</w:t>
            </w:r>
          </w:p>
        </w:tc>
        <w:tc>
          <w:tcPr>
            <w:tcW w:w="18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679,972</w:t>
            </w:r>
          </w:p>
        </w:tc>
        <w:tc>
          <w:tcPr>
            <w:tcW w:w="1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793,459</w:t>
            </w:r>
          </w:p>
        </w:tc>
        <w:tc>
          <w:tcPr>
            <w:tcW w:w="1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657,281</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777,109</w:t>
            </w:r>
          </w:p>
        </w:tc>
        <w:tc>
          <w:tcPr>
            <w:tcW w:w="40" w:type="dxa"/>
            <w:vAlign w:val="bottom"/>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b w:val="1"/>
                <w:bCs w:val="1"/>
                <w:color w:val="auto"/>
              </w:rPr>
              <w:t>Earnings per unit (diluted)</w:t>
            </w:r>
          </w:p>
        </w:tc>
        <w:tc>
          <w:tcPr>
            <w:tcW w:w="1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Common unitholders</w:t>
            </w:r>
          </w:p>
        </w:tc>
        <w:tc>
          <w:tcPr>
            <w:tcW w:w="18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0.54</w:t>
            </w:r>
          </w:p>
        </w:tc>
        <w:tc>
          <w:tcPr>
            <w:tcW w:w="1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0.53</w:t>
            </w:r>
          </w:p>
        </w:tc>
        <w:tc>
          <w:tcPr>
            <w:tcW w:w="1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1.55</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40" w:type="dxa"/>
            <w:vAlign w:val="bottom"/>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Subordinated unitholders</w:t>
            </w:r>
          </w:p>
        </w:tc>
        <w:tc>
          <w:tcPr>
            <w:tcW w:w="1840" w:type="dxa"/>
            <w:vAlign w:val="bottom"/>
          </w:tcPr>
          <w:p>
            <w:pPr>
              <w:jc w:val="right"/>
              <w:ind w:right="330"/>
              <w:spacing w:after="0"/>
              <w:rPr>
                <w:sz w:val="20"/>
                <w:szCs w:val="20"/>
                <w:color w:val="auto"/>
              </w:rPr>
            </w:pPr>
            <w:r>
              <w:rPr>
                <w:rFonts w:ascii="Arial" w:cs="Arial" w:eastAsia="Arial" w:hAnsi="Arial"/>
                <w:sz w:val="18"/>
                <w:szCs w:val="18"/>
                <w:color w:val="auto"/>
              </w:rPr>
              <w:t>0.52</w:t>
            </w:r>
          </w:p>
        </w:tc>
        <w:tc>
          <w:tcPr>
            <w:tcW w:w="1660" w:type="dxa"/>
            <w:vAlign w:val="bottom"/>
          </w:tcPr>
          <w:p>
            <w:pPr>
              <w:jc w:val="right"/>
              <w:ind w:right="330"/>
              <w:spacing w:after="0"/>
              <w:rPr>
                <w:sz w:val="20"/>
                <w:szCs w:val="20"/>
                <w:color w:val="auto"/>
              </w:rPr>
            </w:pPr>
            <w:r>
              <w:rPr>
                <w:rFonts w:ascii="Arial" w:cs="Arial" w:eastAsia="Arial" w:hAnsi="Arial"/>
                <w:sz w:val="18"/>
                <w:szCs w:val="18"/>
                <w:color w:val="auto"/>
              </w:rPr>
              <w:t>N/A</w:t>
            </w:r>
          </w:p>
        </w:tc>
        <w:tc>
          <w:tcPr>
            <w:tcW w:w="1640" w:type="dxa"/>
            <w:vAlign w:val="bottom"/>
          </w:tcPr>
          <w:p>
            <w:pPr>
              <w:jc w:val="right"/>
              <w:ind w:right="330"/>
              <w:spacing w:after="0"/>
              <w:rPr>
                <w:sz w:val="20"/>
                <w:szCs w:val="20"/>
                <w:color w:val="auto"/>
              </w:rPr>
            </w:pPr>
            <w:r>
              <w:rPr>
                <w:rFonts w:ascii="Arial" w:cs="Arial" w:eastAsia="Arial" w:hAnsi="Arial"/>
                <w:sz w:val="18"/>
                <w:szCs w:val="18"/>
                <w:color w:val="auto"/>
              </w:rPr>
              <w:t>1.52</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0.52</w:t>
            </w:r>
          </w:p>
        </w:tc>
        <w:tc>
          <w:tcPr>
            <w:tcW w:w="4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18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0.56</w:t>
            </w:r>
          </w:p>
        </w:tc>
        <w:tc>
          <w:tcPr>
            <w:tcW w:w="1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0.56</w:t>
            </w:r>
          </w:p>
        </w:tc>
        <w:tc>
          <w:tcPr>
            <w:tcW w:w="1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1.60</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40" w:type="dxa"/>
            <w:vAlign w:val="bottom"/>
          </w:tcPr>
          <w:p>
            <w:pPr>
              <w:spacing w:after="0"/>
              <w:rPr>
                <w:sz w:val="18"/>
                <w:szCs w:val="18"/>
                <w:color w:val="auto"/>
              </w:rPr>
            </w:pPr>
          </w:p>
        </w:tc>
      </w:tr>
      <w:tr>
        <w:trPr>
          <w:trHeight w:val="432"/>
        </w:trPr>
        <w:tc>
          <w:tcPr>
            <w:tcW w:w="4940" w:type="dxa"/>
            <w:vAlign w:val="bottom"/>
          </w:tcPr>
          <w:p>
            <w:pPr>
              <w:spacing w:after="0"/>
              <w:rPr>
                <w:sz w:val="24"/>
                <w:szCs w:val="24"/>
                <w:color w:val="auto"/>
              </w:rPr>
            </w:pPr>
          </w:p>
        </w:tc>
        <w:tc>
          <w:tcPr>
            <w:tcW w:w="1840" w:type="dxa"/>
            <w:vAlign w:val="bottom"/>
          </w:tcPr>
          <w:p>
            <w:pPr>
              <w:jc w:val="right"/>
              <w:ind w:right="810"/>
              <w:spacing w:after="0"/>
              <w:rPr>
                <w:sz w:val="20"/>
                <w:szCs w:val="20"/>
                <w:color w:val="auto"/>
              </w:rPr>
            </w:pPr>
            <w:r>
              <w:rPr>
                <w:rFonts w:ascii="Arial" w:cs="Arial" w:eastAsia="Arial" w:hAnsi="Arial"/>
                <w:sz w:val="18"/>
                <w:szCs w:val="18"/>
                <w:color w:val="auto"/>
              </w:rPr>
              <w:t>F-15</w:t>
            </w:r>
          </w:p>
        </w:tc>
        <w:tc>
          <w:tcPr>
            <w:tcW w:w="1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940" w:type="dxa"/>
            <w:vAlign w:val="bottom"/>
            <w:tcBorders>
              <w:bottom w:val="single" w:sz="8" w:color="808080"/>
            </w:tcBorders>
          </w:tcPr>
          <w:p>
            <w:pPr>
              <w:spacing w:after="0"/>
              <w:rPr>
                <w:sz w:val="11"/>
                <w:szCs w:val="11"/>
                <w:color w:val="auto"/>
              </w:rPr>
            </w:pPr>
          </w:p>
        </w:tc>
        <w:tc>
          <w:tcPr>
            <w:tcW w:w="1840" w:type="dxa"/>
            <w:vAlign w:val="bottom"/>
            <w:tcBorders>
              <w:bottom w:val="single" w:sz="8" w:color="808080"/>
            </w:tcBorders>
          </w:tcPr>
          <w:p>
            <w:pPr>
              <w:spacing w:after="0"/>
              <w:rPr>
                <w:sz w:val="11"/>
                <w:szCs w:val="11"/>
                <w:color w:val="auto"/>
              </w:rPr>
            </w:pPr>
          </w:p>
        </w:tc>
        <w:tc>
          <w:tcPr>
            <w:tcW w:w="1660" w:type="dxa"/>
            <w:vAlign w:val="bottom"/>
            <w:tcBorders>
              <w:bottom w:val="single" w:sz="8" w:color="808080"/>
            </w:tcBorders>
          </w:tcPr>
          <w:p>
            <w:pPr>
              <w:spacing w:after="0"/>
              <w:rPr>
                <w:sz w:val="11"/>
                <w:szCs w:val="11"/>
                <w:color w:val="auto"/>
              </w:rPr>
            </w:pPr>
          </w:p>
        </w:tc>
        <w:tc>
          <w:tcPr>
            <w:tcW w:w="164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426720</wp:posOffset>
            </wp:positionV>
            <wp:extent cx="18097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40" w:right="180" w:hanging="132"/>
        <w:spacing w:after="0" w:line="276" w:lineRule="auto"/>
        <w:tabs>
          <w:tab w:leader="none" w:pos="147"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Includes the aggregate profit of GAS-seven Ltd., GAS-eleven Ltd. and GAS-thirteen Ltd. for the period prior to their transfers to the Partnership on November 1, 2016, May 3, 2017 and July 3, 2017, respectively. While such amounts are reflected in the Partnership’s financial statements because the transfers to the Partnership were accounted for as reorganizations of entities under common control (Note 1), GAS-seven Ltd., GAS-eleven Ltd. and GAS-thirteen Ltd. were not owned by the Partnership prior to their transfers to the Partnership in November 2016, May 2017 and July 2017, respectively, and accordingly the Partnership was not entitled to the cash or results generated in the period prior to such transfers.</w:t>
      </w:r>
    </w:p>
    <w:p>
      <w:pPr>
        <w:spacing w:after="0" w:line="173" w:lineRule="exact"/>
        <w:rPr>
          <w:sz w:val="20"/>
          <w:szCs w:val="20"/>
          <w:color w:val="auto"/>
        </w:rPr>
      </w:pPr>
    </w:p>
    <w:p>
      <w:pPr>
        <w:ind w:left="140" w:right="80" w:hanging="132"/>
        <w:spacing w:after="0" w:line="302" w:lineRule="auto"/>
        <w:tabs>
          <w:tab w:leader="none" w:pos="237"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May 16, 2017, all 9,822,358 subordinated units converted into common units on a one-for-one basis. As of September 30, 2017, they participated pro rata with all other outstanding common units in distributions of available cash for the three months ended September 30, 2017. Consequently, earnings have been allocated to subordinated units and the weighted average number of subordinated units has been calculated only for the applicable period during which they were entitled to distributions based on the Partnership Agreement, i.e. for the three months ended March 31, 2017.</w:t>
      </w:r>
    </w:p>
    <w:p>
      <w:pPr>
        <w:spacing w:after="0" w:line="154" w:lineRule="exact"/>
        <w:rPr>
          <w:rFonts w:ascii="Arial" w:cs="Arial" w:eastAsia="Arial" w:hAnsi="Arial"/>
          <w:sz w:val="16"/>
          <w:szCs w:val="16"/>
          <w:color w:val="auto"/>
        </w:rPr>
      </w:pPr>
    </w:p>
    <w:p>
      <w:pPr>
        <w:ind w:left="140" w:right="240" w:hanging="132"/>
        <w:spacing w:after="0" w:line="279" w:lineRule="auto"/>
        <w:tabs>
          <w:tab w:leader="none" w:pos="327"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Represent the right to receive an increasing percentage of quarterly distributions of available cash from operating surplus after the minimum quarterly distribution and the target distribution levels have been achieved. GasLog holds the incentive distribution rights following completion of the Partnership’s initial public offering. The IDRs may be transferred separately from any other interests, subject to restrictions in the Partnership Agreement. Based on the nature of such right, earnings attributable to IDRs cannot be allocated on a per unit basis.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Compensation</w:t>
      </w:r>
    </w:p>
    <w:p>
      <w:pPr>
        <w:spacing w:after="0" w:line="229" w:lineRule="exact"/>
        <w:rPr>
          <w:sz w:val="20"/>
          <w:szCs w:val="20"/>
          <w:color w:val="auto"/>
        </w:rPr>
      </w:pPr>
    </w:p>
    <w:p>
      <w:pPr>
        <w:ind w:right="160" w:firstLine="383"/>
        <w:spacing w:after="0" w:line="264" w:lineRule="auto"/>
        <w:rPr>
          <w:sz w:val="20"/>
          <w:szCs w:val="20"/>
          <w:color w:val="auto"/>
        </w:rPr>
      </w:pPr>
      <w:r>
        <w:rPr>
          <w:rFonts w:ascii="Arial" w:cs="Arial" w:eastAsia="Arial" w:hAnsi="Arial"/>
          <w:sz w:val="18"/>
          <w:szCs w:val="18"/>
          <w:color w:val="auto"/>
        </w:rPr>
        <w:t>The terms of the 2015 Long-Term Incentive Plan (the “2015 Plan”) and the assumptions for the valuation of Restricted Common Units (“RCUs”) and Performance Common Units (“PCUs”) have been disclosed in Note 19 “Share-Based Compensation” in the annual audited consolidated financial statements for the year ended December 31, 2016.</w:t>
      </w:r>
    </w:p>
    <w:p>
      <w:pPr>
        <w:spacing w:after="0" w:line="18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On April 3, 2017, the Partnership granted to its executives 26,097 RCUs and 26,097 PCUs in accordance with its 2015 Plan. The RCUs and PCUs will vest on April 3, 2020. The holders are entitled to cash distributions that will be accrued and settled on vesting.</w:t>
      </w:r>
    </w:p>
    <w:p>
      <w:pPr>
        <w:spacing w:after="0" w:line="15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2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Awards</w:t>
            </w:r>
          </w:p>
        </w:tc>
        <w:tc>
          <w:tcPr>
            <w:tcW w:w="194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Number</w:t>
            </w:r>
          </w:p>
        </w:tc>
        <w:tc>
          <w:tcPr>
            <w:tcW w:w="1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Grant date</w:t>
            </w:r>
          </w:p>
        </w:tc>
        <w:tc>
          <w:tcPr>
            <w:tcW w:w="280" w:type="dxa"/>
            <w:vAlign w:val="bottom"/>
          </w:tcPr>
          <w:p>
            <w:pPr>
              <w:spacing w:after="0"/>
              <w:rPr>
                <w:sz w:val="14"/>
                <w:szCs w:val="14"/>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Fair value at</w:t>
            </w:r>
          </w:p>
        </w:tc>
        <w:tc>
          <w:tcPr>
            <w:tcW w:w="0" w:type="dxa"/>
            <w:vAlign w:val="bottom"/>
          </w:tcPr>
          <w:p>
            <w:pPr>
              <w:spacing w:after="0"/>
              <w:rPr>
                <w:sz w:val="1"/>
                <w:szCs w:val="1"/>
                <w:color w:val="auto"/>
              </w:rPr>
            </w:pPr>
          </w:p>
        </w:tc>
      </w:tr>
      <w:tr>
        <w:trPr>
          <w:trHeight w:val="171"/>
        </w:trPr>
        <w:tc>
          <w:tcPr>
            <w:tcW w:w="2660" w:type="dxa"/>
            <w:vAlign w:val="bottom"/>
            <w:gridSpan w:val="2"/>
            <w:vMerge w:val="continue"/>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grant date</w:t>
            </w:r>
          </w:p>
        </w:tc>
        <w:tc>
          <w:tcPr>
            <w:tcW w:w="0" w:type="dxa"/>
            <w:vAlign w:val="bottom"/>
          </w:tcPr>
          <w:p>
            <w:pPr>
              <w:spacing w:after="0"/>
              <w:rPr>
                <w:sz w:val="1"/>
                <w:szCs w:val="1"/>
                <w:color w:val="auto"/>
              </w:rPr>
            </w:pPr>
          </w:p>
        </w:tc>
      </w:tr>
      <w:tr>
        <w:trPr>
          <w:trHeight w:val="210"/>
        </w:trPr>
        <w:tc>
          <w:tcPr>
            <w:tcW w:w="2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RCUs</w:t>
            </w:r>
          </w:p>
        </w:tc>
        <w:tc>
          <w:tcPr>
            <w:tcW w:w="2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26,097</w:t>
            </w:r>
          </w:p>
        </w:tc>
        <w:tc>
          <w:tcPr>
            <w:tcW w:w="2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April 3, 2017</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spacing w:after="0"/>
              <w:rPr>
                <w:sz w:val="20"/>
                <w:szCs w:val="20"/>
                <w:color w:val="auto"/>
              </w:rPr>
            </w:pPr>
            <w:r>
              <w:rPr>
                <w:rFonts w:ascii="Arial" w:cs="Arial" w:eastAsia="Arial" w:hAnsi="Arial"/>
                <w:sz w:val="18"/>
                <w:szCs w:val="18"/>
                <w:color w:val="auto"/>
              </w:rPr>
              <w:t>PCUs</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26,097</w:t>
            </w: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April 3, 2017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23.85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In accordance with the terms of the 2015 Plan, the awards will be settled in cash or in common units at the sole discretion of the board of directors or such committee as may be designated by the board to administer the 2015 Plan. These awards have been treated as equity settled because the Partnership has no present obligation to settle them in cash.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fair value of the RCUs and PCUs in accordance with the Plan was determined by using the grant date closing price of $23.85 per common unit and was not further adjusted since the holders are entitled to cash distributions.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Movement in RCUs and PCUs during the period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summary of RCUs and PCUs is presented below:</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7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162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1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awards</w:t>
            </w: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contractual life</w:t>
            </w:r>
          </w:p>
        </w:tc>
        <w:tc>
          <w:tcPr>
            <w:tcW w:w="1620" w:type="dxa"/>
            <w:vAlign w:val="bottom"/>
            <w:gridSpan w:val="3"/>
          </w:tcPr>
          <w:p>
            <w:pPr>
              <w:ind w:left="4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4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RCUs</w:t>
            </w:r>
          </w:p>
        </w:tc>
        <w:tc>
          <w:tcPr>
            <w:tcW w:w="1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b w:val="1"/>
                <w:bCs w:val="1"/>
                <w:color w:val="auto"/>
              </w:rPr>
              <w:t>Outstanding as of January 1, 2017</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41,924</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1.84</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period</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26,097</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Outstanding as of September 30, 2017</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68,021</w:t>
            </w:r>
          </w:p>
        </w:tc>
        <w:tc>
          <w:tcPr>
            <w:tcW w:w="200" w:type="dxa"/>
            <w:vAlign w:val="bottom"/>
            <w:tcBorders>
              <w:bottom w:val="single" w:sz="8" w:color="CCEEFF"/>
            </w:tcBorders>
          </w:tcPr>
          <w:p>
            <w:pPr>
              <w:spacing w:after="0"/>
              <w:rPr>
                <w:sz w:val="21"/>
                <w:szCs w:val="21"/>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w:t>
            </w:r>
          </w:p>
        </w:tc>
        <w:tc>
          <w:tcPr>
            <w:tcW w:w="200" w:type="dxa"/>
            <w:vAlign w:val="bottom"/>
            <w:tcBorders>
              <w:bottom w:val="single" w:sz="8" w:color="CCEEFF"/>
            </w:tcBorders>
          </w:tcPr>
          <w:p>
            <w:pPr>
              <w:spacing w:after="0"/>
              <w:rPr>
                <w:sz w:val="21"/>
                <w:szCs w:val="21"/>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410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PCUs</w:t>
            </w:r>
          </w:p>
        </w:tc>
        <w:tc>
          <w:tcPr>
            <w:tcW w:w="1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b w:val="1"/>
                <w:bCs w:val="1"/>
                <w:color w:val="auto"/>
              </w:rPr>
              <w:t>Outstanding as of January 1, 2017</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41,924</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1.84</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period</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26,097</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Pr>
          <w:p>
            <w:pPr>
              <w:spacing w:after="0"/>
              <w:rPr>
                <w:sz w:val="20"/>
                <w:szCs w:val="20"/>
                <w:color w:val="auto"/>
              </w:rPr>
            </w:pPr>
            <w:r>
              <w:rPr>
                <w:rFonts w:ascii="Arial" w:cs="Arial" w:eastAsia="Arial" w:hAnsi="Arial"/>
                <w:sz w:val="18"/>
                <w:szCs w:val="18"/>
                <w:b w:val="1"/>
                <w:bCs w:val="1"/>
                <w:color w:val="auto"/>
              </w:rPr>
              <w:t>Outstanding as of September 30, 2017</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68,021</w:t>
            </w:r>
          </w:p>
        </w:tc>
        <w:tc>
          <w:tcPr>
            <w:tcW w:w="20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w:t>
            </w:r>
          </w:p>
        </w:tc>
        <w:tc>
          <w:tcPr>
            <w:tcW w:w="20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The total expense recognized in respect of equity-settled employee benefits for the three and nine months ended September 30, 2017 was $243 and $614, respectively (for the three and nine months ended September 30, 2016: $138 and $342, respectively). The total accrued cash distribution as of September 30, 2017 is $358 (December 31, 2016: $182).</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29" w:lineRule="exact"/>
        <w:rPr>
          <w:sz w:val="20"/>
          <w:szCs w:val="20"/>
          <w:color w:val="auto"/>
        </w:rPr>
      </w:pPr>
    </w:p>
    <w:p>
      <w:pPr>
        <w:ind w:right="380" w:firstLine="405"/>
        <w:spacing w:after="0" w:line="286" w:lineRule="auto"/>
        <w:rPr>
          <w:sz w:val="20"/>
          <w:szCs w:val="20"/>
          <w:color w:val="auto"/>
        </w:rPr>
      </w:pPr>
      <w:r>
        <w:rPr>
          <w:rFonts w:ascii="Arial" w:cs="Arial" w:eastAsia="Arial" w:hAnsi="Arial"/>
          <w:sz w:val="17"/>
          <w:szCs w:val="17"/>
          <w:color w:val="auto"/>
        </w:rPr>
        <w:t>Future gross minimum revenues receivable upon collection of hire under non-cancellable time charter agreements for vessels in operation as of September 30, 2017 are as follows (30 off-hire days are assumed when each vessel will undergo scheduled dry-docking; in addition, early delivery of the vessels by the charterers or any exercise of the charterers’ options to extend the terms of the charters are not accounted for):</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8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1940" w:type="dxa"/>
            <w:vAlign w:val="bottom"/>
            <w:gridSpan w:val="2"/>
          </w:tcPr>
          <w:p>
            <w:pPr>
              <w:ind w:left="320"/>
              <w:spacing w:after="0"/>
              <w:rPr>
                <w:sz w:val="20"/>
                <w:szCs w:val="20"/>
                <w:color w:val="auto"/>
              </w:rPr>
            </w:pPr>
            <w:r>
              <w:rPr>
                <w:rFonts w:ascii="Arial" w:cs="Arial" w:eastAsia="Arial" w:hAnsi="Arial"/>
                <w:sz w:val="14"/>
                <w:szCs w:val="14"/>
                <w:b w:val="1"/>
                <w:bCs w:val="1"/>
                <w:color w:val="auto"/>
              </w:rPr>
              <w:t>September 30, 2017</w:t>
            </w:r>
          </w:p>
        </w:tc>
      </w:tr>
      <w:tr>
        <w:trPr>
          <w:trHeight w:val="210"/>
        </w:trPr>
        <w:tc>
          <w:tcPr>
            <w:tcW w:w="9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Not later than one year</w:t>
            </w:r>
          </w:p>
        </w:tc>
        <w:tc>
          <w:tcPr>
            <w:tcW w:w="28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Later than one year and not later than three years</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347,231</w:t>
            </w:r>
          </w:p>
        </w:tc>
      </w:tr>
      <w:tr>
        <w:trPr>
          <w:trHeight w:val="216"/>
        </w:trPr>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Later than three years and not later than five years</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127,504</w:t>
            </w: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More than five years</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136,715</w:t>
            </w:r>
          </w:p>
        </w:tc>
      </w:tr>
      <w:tr>
        <w:trPr>
          <w:trHeight w:val="210"/>
        </w:trPr>
        <w:tc>
          <w:tcPr>
            <w:tcW w:w="9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882,426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383"/>
        <w:spacing w:after="0" w:line="264" w:lineRule="auto"/>
        <w:rPr>
          <w:sz w:val="20"/>
          <w:szCs w:val="20"/>
          <w:color w:val="auto"/>
        </w:rPr>
      </w:pPr>
      <w:r>
        <w:rPr>
          <w:rFonts w:ascii="Arial" w:cs="Arial" w:eastAsia="Arial" w:hAnsi="Arial"/>
          <w:sz w:val="18"/>
          <w:szCs w:val="18"/>
          <w:color w:val="auto"/>
        </w:rPr>
        <w:t>In April and May 2017, GasLog LNG Services entered into agreements in relation to investments in certain of the Partnership and GasLog’s vessels, with the aim of enhancing their operational performance. Commitments relating to these agreements for the Partnership, without including additional estimated costs for which no agreement has been signed as of September 30, 2017, are as follows:</w:t>
      </w:r>
    </w:p>
    <w:p>
      <w:pPr>
        <w:sectPr>
          <w:pgSz w:w="11900" w:h="16838" w:orient="portrait"/>
          <w:cols w:equalWidth="0" w:num="1">
            <w:col w:w="11420"/>
          </w:cols>
          <w:pgMar w:left="240" w:top="580" w:right="239" w:bottom="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Not later than one year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September 30, 2017</w:t>
      </w:r>
    </w:p>
    <w:p>
      <w:pPr>
        <w:spacing w:after="0" w:line="2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17,554</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17,554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14605</wp:posOffset>
            </wp:positionV>
            <wp:extent cx="11576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-196850</wp:posOffset>
            </wp:positionH>
            <wp:positionV relativeFrom="paragraph">
              <wp:posOffset>31750</wp:posOffset>
            </wp:positionV>
            <wp:extent cx="115760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-196850</wp:posOffset>
            </wp:positionH>
            <wp:positionV relativeFrom="paragraph">
              <wp:posOffset>-130810</wp:posOffset>
            </wp:positionV>
            <wp:extent cx="115760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9080" w:space="720"/>
            <w:col w:w="1620"/>
          </w:cols>
          <w:pgMar w:left="240" w:top="580" w:right="239" w:bottom="0" w:gutter="0" w:footer="0" w:header="0"/>
          <w:type w:val="continuous"/>
        </w:sectPr>
      </w:pPr>
    </w:p>
    <w:p>
      <w:pPr>
        <w:spacing w:after="0" w:line="56" w:lineRule="exact"/>
        <w:rPr>
          <w:sz w:val="20"/>
          <w:szCs w:val="20"/>
          <w:color w:val="auto"/>
        </w:rPr>
      </w:pPr>
    </w:p>
    <w:p>
      <w:pPr>
        <w:ind w:right="160" w:firstLine="383"/>
        <w:spacing w:after="0" w:line="259" w:lineRule="auto"/>
        <w:rPr>
          <w:sz w:val="20"/>
          <w:szCs w:val="20"/>
          <w:color w:val="auto"/>
        </w:rPr>
      </w:pPr>
      <w:r>
        <w:rPr>
          <w:rFonts w:ascii="Arial" w:cs="Arial" w:eastAsia="Arial" w:hAnsi="Arial"/>
          <w:sz w:val="18"/>
          <w:szCs w:val="18"/>
          <w:color w:val="auto"/>
        </w:rPr>
        <w:t xml:space="preserve">On September 19, 2017, GasLog Partners entered into an agreement to acquire 100% of the shares in the entity that owns and charters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from GasLog.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is a 155,000 cbm tri-fuel diesel electric (“TFDE”) LNG carrier built in 2014 which is chartered to Royal Dutch Shell plc (“Shell”) through June 2021. The aggregate purchase price for the acquisition was $185,900, which included $1,000 for positive net working capital balances transferred with the vessel. The acquisition was completed on October 20, 2017 (Note 16).</w:t>
      </w:r>
    </w:p>
    <w:p>
      <w:pPr>
        <w:spacing w:after="0" w:line="187" w:lineRule="exact"/>
        <w:rPr>
          <w:sz w:val="20"/>
          <w:szCs w:val="20"/>
          <w:color w:val="auto"/>
        </w:rPr>
      </w:pPr>
    </w:p>
    <w:p>
      <w:pPr>
        <w:ind w:right="140" w:firstLine="383"/>
        <w:spacing w:after="0" w:line="257" w:lineRule="auto"/>
        <w:rPr>
          <w:sz w:val="20"/>
          <w:szCs w:val="20"/>
          <w:color w:val="auto"/>
        </w:rPr>
      </w:pPr>
      <w:r>
        <w:rPr>
          <w:rFonts w:ascii="Arial" w:cs="Arial" w:eastAsia="Arial" w:hAnsi="Arial"/>
          <w:sz w:val="18"/>
          <w:szCs w:val="18"/>
          <w:color w:val="auto"/>
        </w:rPr>
        <w:t xml:space="preserve">Following the acquisition of (i) the </w:t>
      </w:r>
      <w:r>
        <w:rPr>
          <w:rFonts w:ascii="Arial" w:cs="Arial" w:eastAsia="Arial" w:hAnsi="Arial"/>
          <w:sz w:val="18"/>
          <w:szCs w:val="18"/>
          <w:i w:val="1"/>
          <w:iCs w:val="1"/>
          <w:color w:val="auto"/>
        </w:rPr>
        <w:t>Methane Rita Andrea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Jane Elizabeth</w:t>
      </w:r>
      <w:r>
        <w:rPr>
          <w:rFonts w:ascii="Arial" w:cs="Arial" w:eastAsia="Arial" w:hAnsi="Arial"/>
          <w:sz w:val="18"/>
          <w:szCs w:val="18"/>
          <w:color w:val="auto"/>
        </w:rPr>
        <w:t xml:space="preserve"> and (ii)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Shirley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Elisabeth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Methane Heather Sally</w:t>
      </w:r>
      <w:r>
        <w:rPr>
          <w:rFonts w:ascii="Arial" w:cs="Arial" w:eastAsia="Arial" w:hAnsi="Arial"/>
          <w:sz w:val="18"/>
          <w:szCs w:val="18"/>
          <w:color w:val="auto"/>
        </w:rPr>
        <w:t>, the Partnership, through its subsidiaries (i) GAS-sixteen Ltd. and GAS-seventeen Ltd. and (ii) GAS-nineteen Ltd.,</w:t>
      </w:r>
      <w:r>
        <w:rPr>
          <w:rFonts w:ascii="Arial" w:cs="Arial" w:eastAsia="Arial" w:hAnsi="Arial"/>
          <w:sz w:val="18"/>
          <w:szCs w:val="18"/>
          <w:i w:val="1"/>
          <w:iCs w:val="1"/>
          <w:color w:val="auto"/>
        </w:rPr>
        <w:t xml:space="preserve"> </w:t>
      </w:r>
      <w:r>
        <w:rPr>
          <w:rFonts w:ascii="Arial" w:cs="Arial" w:eastAsia="Arial" w:hAnsi="Arial"/>
          <w:sz w:val="18"/>
          <w:szCs w:val="18"/>
          <w:color w:val="auto"/>
        </w:rPr>
        <w:t>GAS-twenty Ltd. and GAS-twenty one Ltd., respectively, is counter guarantor for the acquisition from BG Group plc of 83.33% of depot spares with an aggregate value of $6,000, of which $660 have been purchased and paid as of September 30, 2017 by GasLog. These spares are expected to be acquired before the end of the initial term of the charter party agreements.</w:t>
      </w:r>
    </w:p>
    <w:p>
      <w:pPr>
        <w:spacing w:after="0" w:line="18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Partnership’s vessels. Currently, management is not aware of any such claims or contingent liabilities requiring disclosure in the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29" w:lineRule="exact"/>
        <w:rPr>
          <w:sz w:val="20"/>
          <w:szCs w:val="20"/>
          <w:color w:val="auto"/>
        </w:rPr>
      </w:pPr>
    </w:p>
    <w:p>
      <w:pPr>
        <w:ind w:right="40" w:firstLine="383"/>
        <w:spacing w:after="0" w:line="257" w:lineRule="auto"/>
        <w:rPr>
          <w:sz w:val="20"/>
          <w:szCs w:val="20"/>
          <w:color w:val="auto"/>
        </w:rPr>
      </w:pPr>
      <w:r>
        <w:rPr>
          <w:rFonts w:ascii="Arial" w:cs="Arial" w:eastAsia="Arial" w:hAnsi="Arial"/>
          <w:sz w:val="18"/>
          <w:szCs w:val="18"/>
          <w:color w:val="auto"/>
        </w:rPr>
        <w:t>In the period from October 1, 2017 through October 3, 2017, GasLog Partners issued and received payment for an additional 130,220 common units at a weighted average price of $23.26 per unit for total net proceeds of $2,991 through its ATM Programme. The issuance of these units fulfilled contractual commitments entered into on or before September 30, 2017. In connection with the issuance of common units during this subsequent period, the Partnership also issued 2,658 general partner units to its general partner in order for GasLog to retain its 2.0% general partner interest. The net proceeds from this issuance of general partner units were $62.</w:t>
      </w:r>
    </w:p>
    <w:p>
      <w:pPr>
        <w:spacing w:after="0" w:line="188" w:lineRule="exact"/>
        <w:rPr>
          <w:sz w:val="20"/>
          <w:szCs w:val="20"/>
          <w:color w:val="auto"/>
        </w:rPr>
      </w:pPr>
    </w:p>
    <w:p>
      <w:pPr>
        <w:ind w:right="120" w:firstLine="396"/>
        <w:spacing w:after="0" w:line="308" w:lineRule="auto"/>
        <w:rPr>
          <w:sz w:val="20"/>
          <w:szCs w:val="20"/>
          <w:color w:val="auto"/>
        </w:rPr>
      </w:pPr>
      <w:r>
        <w:rPr>
          <w:rFonts w:ascii="Arial" w:cs="Arial" w:eastAsia="Arial" w:hAnsi="Arial"/>
          <w:sz w:val="17"/>
          <w:szCs w:val="17"/>
          <w:color w:val="auto"/>
        </w:rPr>
        <w:t xml:space="preserve">On October 20, 2017, GasLog Partners completed the acquisition from GasLog of 100% of the shares in the entity that owns and charters the </w:t>
      </w:r>
      <w:r>
        <w:rPr>
          <w:rFonts w:ascii="Arial" w:cs="Arial" w:eastAsia="Arial" w:hAnsi="Arial"/>
          <w:sz w:val="17"/>
          <w:szCs w:val="17"/>
          <w:i w:val="1"/>
          <w:iCs w:val="1"/>
          <w:color w:val="auto"/>
        </w:rPr>
        <w:t>Solaris,</w:t>
      </w:r>
      <w:r>
        <w:rPr>
          <w:rFonts w:ascii="Arial" w:cs="Arial" w:eastAsia="Arial" w:hAnsi="Arial"/>
          <w:sz w:val="17"/>
          <w:szCs w:val="17"/>
          <w:color w:val="auto"/>
        </w:rPr>
        <w:t xml:space="preserve"> a 155,000 cbm TFDE LNG carrier built in 2014 which is chartered to Shell through June 2021, for an aggregate purchase price of $185,900.</w:t>
      </w:r>
    </w:p>
    <w:p>
      <w:pPr>
        <w:spacing w:after="0" w:line="147" w:lineRule="exact"/>
        <w:rPr>
          <w:sz w:val="20"/>
          <w:szCs w:val="20"/>
          <w:color w:val="auto"/>
        </w:rPr>
      </w:pPr>
    </w:p>
    <w:p>
      <w:pPr>
        <w:ind w:right="80" w:firstLine="383"/>
        <w:spacing w:after="0" w:line="312" w:lineRule="auto"/>
        <w:rPr>
          <w:sz w:val="20"/>
          <w:szCs w:val="20"/>
          <w:color w:val="auto"/>
        </w:rPr>
      </w:pPr>
      <w:r>
        <w:rPr>
          <w:rFonts w:ascii="Arial" w:cs="Arial" w:eastAsia="Arial" w:hAnsi="Arial"/>
          <w:sz w:val="16"/>
          <w:szCs w:val="16"/>
          <w:color w:val="auto"/>
        </w:rPr>
        <w:t>On October 25, 2017, the board of directors of GasLog Partners approved and declared a quarterly cash distribution of $0.5175 per common unit for the quarter ended September 30, 2017. The cash distribution is payable on November 10, 2017, to all unitholders of record as of November 6, 2017. The aggregate amount of the declared distribution will be $22,305 based on the number of units issued and outstanding as of September 30, 2017.</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Non-GAAP Partnership Performance Information and Reconciliation Tables</w:t>
      </w:r>
    </w:p>
    <w:p>
      <w:pPr>
        <w:spacing w:after="0" w:line="229"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 xml:space="preserve">Our IFRS Common Control Reported Results are derived from the consolidated financial statements of the Partnership. The non-GAAP Partnership Performance Results presented below exclude amounts related to GAS-seven Ltd., the owner of the </w:t>
      </w:r>
      <w:r>
        <w:rPr>
          <w:rFonts w:ascii="Arial" w:cs="Arial" w:eastAsia="Arial" w:hAnsi="Arial"/>
          <w:sz w:val="17"/>
          <w:szCs w:val="17"/>
          <w:i w:val="1"/>
          <w:iCs w:val="1"/>
          <w:color w:val="auto"/>
        </w:rPr>
        <w:t>GasLog Seattle,</w:t>
      </w:r>
      <w:r>
        <w:rPr>
          <w:rFonts w:ascii="Arial" w:cs="Arial" w:eastAsia="Arial" w:hAnsi="Arial"/>
          <w:sz w:val="17"/>
          <w:szCs w:val="17"/>
          <w:color w:val="auto"/>
        </w:rPr>
        <w:t xml:space="preserve"> GAS-eleven Ltd., the owner of the </w:t>
      </w:r>
      <w:r>
        <w:rPr>
          <w:rFonts w:ascii="Arial" w:cs="Arial" w:eastAsia="Arial" w:hAnsi="Arial"/>
          <w:sz w:val="17"/>
          <w:szCs w:val="17"/>
          <w:i w:val="1"/>
          <w:iCs w:val="1"/>
          <w:color w:val="auto"/>
        </w:rPr>
        <w:t>GasLog Greece</w:t>
      </w:r>
      <w:r>
        <w:rPr>
          <w:rFonts w:ascii="Arial" w:cs="Arial" w:eastAsia="Arial" w:hAnsi="Arial"/>
          <w:sz w:val="17"/>
          <w:szCs w:val="17"/>
          <w:color w:val="auto"/>
        </w:rPr>
        <w:t>, and GAS-thirteen Ltd., the owner of the</w:t>
      </w:r>
      <w:r>
        <w:rPr>
          <w:rFonts w:ascii="Arial" w:cs="Arial" w:eastAsia="Arial" w:hAnsi="Arial"/>
          <w:sz w:val="17"/>
          <w:szCs w:val="17"/>
          <w:i w:val="1"/>
          <w:iCs w:val="1"/>
          <w:color w:val="auto"/>
        </w:rPr>
        <w:t xml:space="preserve"> GasLog Geneva</w:t>
      </w:r>
      <w:r>
        <w:rPr>
          <w:rFonts w:ascii="Arial" w:cs="Arial" w:eastAsia="Arial" w:hAnsi="Arial"/>
          <w:sz w:val="17"/>
          <w:szCs w:val="17"/>
          <w:color w:val="auto"/>
        </w:rPr>
        <w:t>, for the periods prior to their transfers to the Partnership on November 1, 2016,</w:t>
      </w:r>
      <w:r>
        <w:rPr>
          <w:rFonts w:ascii="Arial" w:cs="Arial" w:eastAsia="Arial" w:hAnsi="Arial"/>
          <w:sz w:val="17"/>
          <w:szCs w:val="17"/>
          <w:i w:val="1"/>
          <w:iCs w:val="1"/>
          <w:color w:val="auto"/>
        </w:rPr>
        <w:t xml:space="preserve"> </w:t>
      </w:r>
      <w:r>
        <w:rPr>
          <w:rFonts w:ascii="Arial" w:cs="Arial" w:eastAsia="Arial" w:hAnsi="Arial"/>
          <w:sz w:val="17"/>
          <w:szCs w:val="17"/>
          <w:color w:val="auto"/>
        </w:rPr>
        <w:t>May 3, 2017 and July 3, 2017, respectively. While such amounts are reflected in the Partnership’s unaudited condensed consolidated financial statements because the transfers to the Partnership were accounted for as reorganizations of entities under common control under IFRS, GAS-seven Ltd., GAS-eleven Ltd. and GAS-thirteen Ltd. were not owned by the Partnership prior to their respective transfers to the Partnership in November 2016, May 2017 and July 2017, and accordingly the Partnership was not entitled to the cash or results generated in the periods prior to such transfers. The Partnership believes these measures provide meaningful supplemental information to both management and investors regarding the financial and operating performance of the Partnership which is necessary to understand the underlying basis for the calculations of the quarterly distribution and the earnings per unit, which similarly exclude the results of vessels acquired prior to their transfers to the Partnership.</w:t>
      </w:r>
    </w:p>
    <w:p>
      <w:pPr>
        <w:spacing w:after="0" w:line="17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These non-GAAP financial measures should not be viewed in isolation or as substitutes to the equivalent GAAP measures presented in accordance with IFRS, but should be used in conjunction with the most directly comparable IFRS Common Control Reported Results.</w:t>
      </w:r>
    </w:p>
    <w:p>
      <w:pPr>
        <w:sectPr>
          <w:pgSz w:w="11900" w:h="16838" w:orient="portrait"/>
          <w:cols w:equalWidth="0" w:num="1">
            <w:col w:w="11420"/>
          </w:cols>
          <w:pgMar w:left="240" w:top="580" w:right="239" w:bottom="0" w:gutter="0" w:footer="0" w:header="0"/>
          <w:type w:val="continuous"/>
        </w:sectPr>
      </w:pPr>
    </w:p>
    <w:bookmarkStart w:id="34" w:name="page35"/>
    <w:bookmarkEnd w:id="34"/>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gridSpan w:val="4"/>
          </w:tcPr>
          <w:p>
            <w:pPr>
              <w:jc w:val="right"/>
              <w:ind w:right="1000"/>
              <w:spacing w:after="0"/>
              <w:rPr>
                <w:sz w:val="20"/>
                <w:szCs w:val="20"/>
                <w:color w:val="auto"/>
              </w:rPr>
            </w:pPr>
            <w:r>
              <w:rPr>
                <w:rFonts w:ascii="Arial" w:cs="Arial" w:eastAsia="Arial" w:hAnsi="Arial"/>
                <w:sz w:val="14"/>
                <w:szCs w:val="14"/>
                <w:b w:val="1"/>
                <w:bCs w:val="1"/>
                <w:color w:val="auto"/>
              </w:rPr>
              <w:t>Partnership Performance Results</w:t>
            </w:r>
          </w:p>
        </w:tc>
        <w:tc>
          <w:tcPr>
            <w:tcW w:w="1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(All amounts expressed in thousands of</w:t>
            </w:r>
          </w:p>
        </w:tc>
        <w:tc>
          <w:tcPr>
            <w:tcW w:w="3480" w:type="dxa"/>
            <w:vAlign w:val="bottom"/>
            <w:tcBorders>
              <w:bottom w:val="single" w:sz="8" w:color="auto"/>
            </w:tcBorders>
            <w:gridSpan w:val="3"/>
          </w:tcPr>
          <w:p>
            <w:pPr>
              <w:jc w:val="right"/>
              <w:ind w:right="813"/>
              <w:spacing w:after="0" w:line="142" w:lineRule="exact"/>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2"/>
                <w:szCs w:val="12"/>
                <w:color w:val="auto"/>
              </w:rPr>
            </w:pPr>
          </w:p>
        </w:tc>
        <w:tc>
          <w:tcPr>
            <w:tcW w:w="3480" w:type="dxa"/>
            <w:vAlign w:val="bottom"/>
            <w:tcBorders>
              <w:bottom w:val="single" w:sz="8" w:color="auto"/>
            </w:tcBorders>
            <w:gridSpan w:val="3"/>
          </w:tcPr>
          <w:p>
            <w:pPr>
              <w:jc w:val="right"/>
              <w:ind w:right="831"/>
              <w:spacing w:after="0" w:line="142" w:lineRule="exact"/>
              <w:rPr>
                <w:sz w:val="20"/>
                <w:szCs w:val="20"/>
                <w:color w:val="auto"/>
              </w:rPr>
            </w:pPr>
            <w:r>
              <w:rPr>
                <w:rFonts w:ascii="Arial" w:cs="Arial" w:eastAsia="Arial" w:hAnsi="Arial"/>
                <w:sz w:val="14"/>
                <w:szCs w:val="14"/>
                <w:b w:val="1"/>
                <w:bCs w:val="1"/>
                <w:color w:val="auto"/>
              </w:rPr>
              <w:t>For the nine months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4080" w:type="dxa"/>
            <w:vAlign w:val="bottom"/>
            <w:gridSpan w:val="2"/>
            <w:vMerge w:val="continue"/>
          </w:tcPr>
          <w:p>
            <w:pPr>
              <w:spacing w:after="0"/>
              <w:rPr>
                <w:sz w:val="9"/>
                <w:szCs w:val="9"/>
                <w:color w:val="auto"/>
              </w:rPr>
            </w:pPr>
          </w:p>
        </w:tc>
        <w:tc>
          <w:tcPr>
            <w:tcW w:w="18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September 30, 2016</w:t>
            </w:r>
          </w:p>
        </w:tc>
        <w:tc>
          <w:tcPr>
            <w:tcW w:w="18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September 30, 2017</w:t>
            </w:r>
          </w:p>
        </w:tc>
        <w:tc>
          <w:tcPr>
            <w:tcW w:w="18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September 30, 2016</w:t>
            </w:r>
          </w:p>
        </w:tc>
        <w:tc>
          <w:tcPr>
            <w:tcW w:w="1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167"/>
        </w:trPr>
        <w:tc>
          <w:tcPr>
            <w:tcW w:w="40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U.S. dollars)</w:t>
            </w:r>
          </w:p>
        </w:tc>
        <w:tc>
          <w:tcPr>
            <w:tcW w:w="1880" w:type="dxa"/>
            <w:vAlign w:val="bottom"/>
            <w:gridSpan w:val="2"/>
            <w:vMerge w:val="continue"/>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51,452</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73,277</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150,446</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Vessel operating costs</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(10,822)</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(15,046)</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(32,634)</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(39,523)</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Voyage expenses and commissions</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(919)</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(2,135)</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(11,116)</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(15,580)</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(33,168)</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(41,408)</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(2,752)</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(3,783)</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(8,426)</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(10,134)</w:t>
            </w: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Profit from operations</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26,118</w:t>
            </w:r>
          </w:p>
        </w:tc>
        <w:tc>
          <w:tcPr>
            <w:tcW w:w="280" w:type="dxa"/>
            <w:vAlign w:val="bottom"/>
            <w:tcBorders>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37,949</w:t>
            </w:r>
          </w:p>
        </w:tc>
        <w:tc>
          <w:tcPr>
            <w:tcW w:w="280" w:type="dxa"/>
            <w:vAlign w:val="bottom"/>
            <w:tcBorders>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74,083</w:t>
            </w:r>
          </w:p>
        </w:tc>
        <w:tc>
          <w:tcPr>
            <w:tcW w:w="280" w:type="dxa"/>
            <w:vAlign w:val="bottom"/>
            <w:tcBorders>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99,367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(7,333)</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(12,289)</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(21,766)</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Financial income</w:t>
            </w:r>
          </w:p>
        </w:tc>
        <w:tc>
          <w:tcPr>
            <w:tcW w:w="1600" w:type="dxa"/>
            <w:vAlign w:val="bottom"/>
          </w:tcPr>
          <w:p>
            <w:pPr>
              <w:jc w:val="right"/>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18"/>
                <w:szCs w:val="18"/>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311</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126</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interest rate swaps</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(2,985)</w:t>
            </w: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other expenses, net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(7,249)</w:t>
            </w:r>
          </w:p>
        </w:tc>
        <w:tc>
          <w:tcPr>
            <w:tcW w:w="280" w:type="dxa"/>
            <w:vAlign w:val="bottom"/>
            <w:tcBorders>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(12,650)</w:t>
            </w:r>
          </w:p>
        </w:tc>
        <w:tc>
          <w:tcPr>
            <w:tcW w:w="280" w:type="dxa"/>
            <w:vAlign w:val="bottom"/>
            <w:tcBorders>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(21,640)</w:t>
            </w:r>
          </w:p>
        </w:tc>
        <w:tc>
          <w:tcPr>
            <w:tcW w:w="280" w:type="dxa"/>
            <w:vAlign w:val="bottom"/>
            <w:tcBorders>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(33,688)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Partnership’s profit for the period</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18,869</w:t>
            </w:r>
          </w:p>
        </w:tc>
        <w:tc>
          <w:tcPr>
            <w:tcW w:w="2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25,299</w:t>
            </w:r>
          </w:p>
        </w:tc>
        <w:tc>
          <w:tcPr>
            <w:tcW w:w="2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52,443</w:t>
            </w:r>
          </w:p>
        </w:tc>
        <w:tc>
          <w:tcPr>
            <w:tcW w:w="2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65,679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IFRS Common Control Reported Results in our Financial Statements to Partnership Performance Results: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6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1"/>
              </w:rPr>
              <w:t>For the three months ended September 30, 2016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Results attributable</w:t>
            </w:r>
          </w:p>
        </w:tc>
        <w:tc>
          <w:tcPr>
            <w:tcW w:w="2120" w:type="dxa"/>
            <w:vAlign w:val="bottom"/>
            <w:tcBorders>
              <w:top w:val="single" w:sz="8" w:color="auto"/>
            </w:tcBorders>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5"/>
              </w:rPr>
              <w:t>Partnership</w:t>
            </w:r>
          </w:p>
        </w:tc>
        <w:tc>
          <w:tcPr>
            <w:tcW w:w="1240" w:type="dxa"/>
            <w:vAlign w:val="bottom"/>
            <w:tcBorders>
              <w:top w:val="single" w:sz="8" w:color="auto"/>
            </w:tcBorders>
          </w:tcPr>
          <w:p>
            <w:pPr>
              <w:jc w:val="center"/>
              <w:ind w:right="55"/>
              <w:spacing w:after="0" w:line="119" w:lineRule="exact"/>
              <w:rPr>
                <w:sz w:val="20"/>
                <w:szCs w:val="20"/>
                <w:color w:val="auto"/>
              </w:rPr>
            </w:pPr>
            <w:r>
              <w:rPr>
                <w:rFonts w:ascii="Arial" w:cs="Arial" w:eastAsia="Arial" w:hAnsi="Arial"/>
                <w:sz w:val="13"/>
                <w:szCs w:val="13"/>
                <w:b w:val="1"/>
                <w:bCs w:val="1"/>
                <w:color w:val="auto"/>
              </w:rPr>
              <w:t>IFRS Common</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(All amounts expressed in thousands of</w:t>
            </w: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Control Reported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20"/>
                <w:szCs w:val="20"/>
                <w:color w:val="auto"/>
              </w:rPr>
            </w:pPr>
            <w:r>
              <w:rPr>
                <w:rFonts w:ascii="Arial" w:cs="Arial" w:eastAsia="Arial" w:hAnsi="Arial"/>
                <w:sz w:val="14"/>
                <w:szCs w:val="14"/>
                <w:b w:val="1"/>
                <w:bCs w:val="1"/>
                <w:i w:val="1"/>
                <w:iCs w:val="1"/>
                <w:color w:val="auto"/>
              </w:rPr>
              <w:t>U.S. dollars)</w:t>
            </w: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to GasLog</w:t>
            </w:r>
          </w:p>
        </w:tc>
        <w:tc>
          <w:tcPr>
            <w:tcW w:w="21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Performance Results</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Results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5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14,581</w:t>
            </w: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51,452</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66,033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Vessel operating costs</w:t>
            </w:r>
          </w:p>
        </w:tc>
        <w:tc>
          <w:tcPr>
            <w:tcW w:w="3840" w:type="dxa"/>
            <w:vAlign w:val="bottom"/>
            <w:gridSpan w:val="4"/>
          </w:tcPr>
          <w:p>
            <w:pPr>
              <w:jc w:val="right"/>
              <w:ind w:right="220"/>
              <w:spacing w:after="0"/>
              <w:rPr>
                <w:sz w:val="20"/>
                <w:szCs w:val="20"/>
                <w:color w:val="auto"/>
              </w:rPr>
            </w:pPr>
            <w:r>
              <w:rPr>
                <w:rFonts w:ascii="Arial" w:cs="Arial" w:eastAsia="Arial" w:hAnsi="Arial"/>
                <w:sz w:val="18"/>
                <w:szCs w:val="18"/>
                <w:color w:val="auto"/>
              </w:rPr>
              <w:t>(2,714)</w:t>
            </w: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(10,822)</w:t>
            </w:r>
          </w:p>
        </w:tc>
        <w:tc>
          <w:tcPr>
            <w:tcW w:w="1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(13,536)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 and commissions</w:t>
            </w:r>
          </w:p>
        </w:tc>
        <w:tc>
          <w:tcPr>
            <w:tcW w:w="38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(205)</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Depreciation</w:t>
            </w:r>
          </w:p>
        </w:tc>
        <w:tc>
          <w:tcPr>
            <w:tcW w:w="3840" w:type="dxa"/>
            <w:vAlign w:val="bottom"/>
            <w:gridSpan w:val="4"/>
          </w:tcPr>
          <w:p>
            <w:pPr>
              <w:jc w:val="right"/>
              <w:ind w:right="220"/>
              <w:spacing w:after="0"/>
              <w:rPr>
                <w:sz w:val="20"/>
                <w:szCs w:val="20"/>
                <w:color w:val="auto"/>
              </w:rPr>
            </w:pPr>
            <w:r>
              <w:rPr>
                <w:rFonts w:ascii="Arial" w:cs="Arial" w:eastAsia="Arial" w:hAnsi="Arial"/>
                <w:sz w:val="18"/>
                <w:szCs w:val="18"/>
                <w:color w:val="auto"/>
              </w:rPr>
              <w:t>(2,960)</w:t>
            </w: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(11,116)</w:t>
            </w:r>
          </w:p>
        </w:tc>
        <w:tc>
          <w:tcPr>
            <w:tcW w:w="1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(14,076)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8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(378)</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(2,752)</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Profit from operations</w:t>
            </w:r>
          </w:p>
        </w:tc>
        <w:tc>
          <w:tcPr>
            <w:tcW w:w="15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8,324</w:t>
            </w:r>
          </w:p>
        </w:tc>
        <w:tc>
          <w:tcPr>
            <w:tcW w:w="280" w:type="dxa"/>
            <w:vAlign w:val="bottom"/>
            <w:tcBorders>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26,118</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34,442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Financial income</w:t>
            </w:r>
          </w:p>
        </w:tc>
        <w:tc>
          <w:tcPr>
            <w:tcW w:w="3840" w:type="dxa"/>
            <w:vAlign w:val="bottom"/>
            <w:gridSpan w:val="4"/>
          </w:tcPr>
          <w:p>
            <w:pPr>
              <w:jc w:val="right"/>
              <w:ind w:right="280"/>
              <w:spacing w:after="0"/>
              <w:rPr>
                <w:sz w:val="20"/>
                <w:szCs w:val="20"/>
                <w:color w:val="auto"/>
              </w:rPr>
            </w:pPr>
            <w:r>
              <w:rPr>
                <w:rFonts w:ascii="Arial" w:cs="Arial" w:eastAsia="Arial" w:hAnsi="Arial"/>
                <w:sz w:val="18"/>
                <w:szCs w:val="18"/>
                <w:color w:val="auto"/>
              </w:rPr>
              <w:t>5</w:t>
            </w:r>
          </w:p>
        </w:tc>
        <w:tc>
          <w:tcPr>
            <w:tcW w:w="1700" w:type="dxa"/>
            <w:vAlign w:val="bottom"/>
          </w:tcPr>
          <w:p>
            <w:pPr>
              <w:jc w:val="right"/>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Loss on interest rate swaps</w:t>
            </w:r>
          </w:p>
        </w:tc>
        <w:tc>
          <w:tcPr>
            <w:tcW w:w="38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(2,244)</w:t>
            </w:r>
          </w:p>
        </w:tc>
        <w:tc>
          <w:tcPr>
            <w:tcW w:w="2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other expenses, net</w:t>
            </w:r>
          </w:p>
        </w:tc>
        <w:tc>
          <w:tcPr>
            <w:tcW w:w="15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(7,155)</w:t>
            </w:r>
          </w:p>
        </w:tc>
        <w:tc>
          <w:tcPr>
            <w:tcW w:w="280" w:type="dxa"/>
            <w:vAlign w:val="bottom"/>
            <w:tcBorders>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(7,249)</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(14,404)</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 for the period</w:t>
            </w:r>
          </w:p>
        </w:tc>
        <w:tc>
          <w:tcPr>
            <w:tcW w:w="15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1,169</w:t>
            </w:r>
          </w:p>
        </w:tc>
        <w:tc>
          <w:tcPr>
            <w:tcW w:w="28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18,869</w:t>
            </w:r>
          </w:p>
        </w:tc>
        <w:tc>
          <w:tcPr>
            <w:tcW w:w="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20,038</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20" w:type="dxa"/>
            <w:vAlign w:val="bottom"/>
          </w:tcPr>
          <w:p>
            <w:pPr>
              <w:spacing w:after="0"/>
              <w:rPr>
                <w:sz w:val="24"/>
                <w:szCs w:val="24"/>
                <w:color w:val="auto"/>
              </w:rPr>
            </w:pPr>
          </w:p>
        </w:tc>
        <w:tc>
          <w:tcPr>
            <w:tcW w:w="3840" w:type="dxa"/>
            <w:vAlign w:val="bottom"/>
            <w:gridSpan w:val="4"/>
          </w:tcPr>
          <w:p>
            <w:pPr>
              <w:jc w:val="right"/>
              <w:ind w:right="2100"/>
              <w:spacing w:after="0"/>
              <w:rPr>
                <w:sz w:val="20"/>
                <w:szCs w:val="20"/>
                <w:color w:val="auto"/>
              </w:rPr>
            </w:pPr>
            <w:r>
              <w:rPr>
                <w:rFonts w:ascii="Arial" w:cs="Arial" w:eastAsia="Arial" w:hAnsi="Arial"/>
                <w:sz w:val="18"/>
                <w:szCs w:val="18"/>
                <w:color w:val="auto"/>
              </w:rPr>
              <w:t>A-1</w:t>
            </w: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120" w:type="dxa"/>
            <w:vAlign w:val="bottom"/>
            <w:tcBorders>
              <w:bottom w:val="single" w:sz="8" w:color="808080"/>
            </w:tcBorders>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5460" w:type="dxa"/>
            <w:vAlign w:val="bottom"/>
            <w:tcBorders>
              <w:bottom w:val="single" w:sz="8" w:color="808080"/>
            </w:tcBorders>
            <w:gridSpan w:val="7"/>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13"/>
        </w:trPr>
        <w:tc>
          <w:tcPr>
            <w:tcW w:w="4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1"/>
              </w:rPr>
              <w:t>For the three months ended September 30,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1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Results attributable</w:t>
            </w:r>
          </w:p>
        </w:tc>
        <w:tc>
          <w:tcPr>
            <w:tcW w:w="2120" w:type="dxa"/>
            <w:vAlign w:val="bottom"/>
            <w:tcBorders>
              <w:top w:val="single" w:sz="8" w:color="auto"/>
            </w:tcBorders>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5"/>
              </w:rPr>
              <w:t>Partnership</w:t>
            </w:r>
          </w:p>
        </w:tc>
        <w:tc>
          <w:tcPr>
            <w:tcW w:w="1240" w:type="dxa"/>
            <w:vAlign w:val="bottom"/>
            <w:tcBorders>
              <w:top w:val="single" w:sz="8" w:color="auto"/>
            </w:tcBorders>
          </w:tcPr>
          <w:p>
            <w:pPr>
              <w:jc w:val="center"/>
              <w:ind w:right="55"/>
              <w:spacing w:after="0" w:line="119" w:lineRule="exact"/>
              <w:rPr>
                <w:sz w:val="20"/>
                <w:szCs w:val="20"/>
                <w:color w:val="auto"/>
              </w:rPr>
            </w:pPr>
            <w:r>
              <w:rPr>
                <w:rFonts w:ascii="Arial" w:cs="Arial" w:eastAsia="Arial" w:hAnsi="Arial"/>
                <w:sz w:val="13"/>
                <w:szCs w:val="13"/>
                <w:b w:val="1"/>
                <w:bCs w:val="1"/>
                <w:color w:val="auto"/>
              </w:rPr>
              <w:t>IFRS Common</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(All amounts expressed in thousands of</w:t>
            </w: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Control Reported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20"/>
                <w:szCs w:val="20"/>
                <w:color w:val="auto"/>
              </w:rPr>
            </w:pPr>
            <w:r>
              <w:rPr>
                <w:rFonts w:ascii="Arial" w:cs="Arial" w:eastAsia="Arial" w:hAnsi="Arial"/>
                <w:sz w:val="14"/>
                <w:szCs w:val="14"/>
                <w:b w:val="1"/>
                <w:bCs w:val="1"/>
                <w:i w:val="1"/>
                <w:iCs w:val="1"/>
                <w:color w:val="auto"/>
              </w:rPr>
              <w:t>U.S. dollars)</w:t>
            </w: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to GasLog</w:t>
            </w:r>
          </w:p>
        </w:tc>
        <w:tc>
          <w:tcPr>
            <w:tcW w:w="21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Performance Results</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Results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5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73,277</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73,439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Vessel operating costs</w:t>
            </w:r>
          </w:p>
        </w:tc>
        <w:tc>
          <w:tcPr>
            <w:tcW w:w="3840" w:type="dxa"/>
            <w:vAlign w:val="bottom"/>
            <w:gridSpan w:val="4"/>
          </w:tcPr>
          <w:p>
            <w:pPr>
              <w:jc w:val="right"/>
              <w:ind w:right="220"/>
              <w:spacing w:after="0"/>
              <w:rPr>
                <w:sz w:val="20"/>
                <w:szCs w:val="20"/>
                <w:color w:val="auto"/>
              </w:rPr>
            </w:pPr>
            <w:r>
              <w:rPr>
                <w:rFonts w:ascii="Arial" w:cs="Arial" w:eastAsia="Arial" w:hAnsi="Arial"/>
                <w:sz w:val="18"/>
                <w:szCs w:val="18"/>
                <w:color w:val="auto"/>
              </w:rPr>
              <w:t>(20)</w:t>
            </w: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(15,046)</w:t>
            </w:r>
          </w:p>
        </w:tc>
        <w:tc>
          <w:tcPr>
            <w:tcW w:w="1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(15,066)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 and commissions</w:t>
            </w:r>
          </w:p>
        </w:tc>
        <w:tc>
          <w:tcPr>
            <w:tcW w:w="38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(919)</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Depreciation</w:t>
            </w:r>
          </w:p>
        </w:tc>
        <w:tc>
          <w:tcPr>
            <w:tcW w:w="3840" w:type="dxa"/>
            <w:vAlign w:val="bottom"/>
            <w:gridSpan w:val="4"/>
          </w:tcPr>
          <w:p>
            <w:pPr>
              <w:jc w:val="right"/>
              <w:ind w:right="220"/>
              <w:spacing w:after="0"/>
              <w:rPr>
                <w:sz w:val="20"/>
                <w:szCs w:val="20"/>
                <w:color w:val="auto"/>
              </w:rPr>
            </w:pPr>
            <w:r>
              <w:rPr>
                <w:rFonts w:ascii="Arial" w:cs="Arial" w:eastAsia="Arial" w:hAnsi="Arial"/>
                <w:sz w:val="18"/>
                <w:szCs w:val="18"/>
                <w:color w:val="auto"/>
              </w:rPr>
              <w:t>(31)</w:t>
            </w: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(15,580)</w:t>
            </w:r>
          </w:p>
        </w:tc>
        <w:tc>
          <w:tcPr>
            <w:tcW w:w="1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(15,611)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8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(3,783)</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Profit from operations</w:t>
            </w:r>
          </w:p>
        </w:tc>
        <w:tc>
          <w:tcPr>
            <w:tcW w:w="1840" w:type="dxa"/>
            <w:vAlign w:val="bottom"/>
            <w:tcBorders>
              <w:bottom w:val="single" w:sz="8" w:color="CCEEFF"/>
            </w:tcBorders>
            <w:gridSpan w:val="2"/>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w:t>
            </w:r>
          </w:p>
        </w:tc>
        <w:tc>
          <w:tcPr>
            <w:tcW w:w="280" w:type="dxa"/>
            <w:vAlign w:val="bottom"/>
            <w:tcBorders>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37,949</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38,054</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1840" w:type="dxa"/>
            <w:vAlign w:val="bottom"/>
            <w:gridSpan w:val="2"/>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Financial income</w:t>
            </w: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Loss on interest rate swaps</w:t>
            </w: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other expenses, net</w:t>
            </w:r>
          </w:p>
        </w:tc>
        <w:tc>
          <w:tcPr>
            <w:tcW w:w="1840" w:type="dxa"/>
            <w:vAlign w:val="bottom"/>
            <w:tcBorders>
              <w:bottom w:val="single" w:sz="8" w:color="CCEEFF"/>
            </w:tcBorders>
            <w:gridSpan w:val="2"/>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280" w:type="dxa"/>
            <w:vAlign w:val="bottom"/>
            <w:tcBorders>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(12,650)</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(12,680)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 for the period</w:t>
            </w:r>
          </w:p>
        </w:tc>
        <w:tc>
          <w:tcPr>
            <w:tcW w:w="1840" w:type="dxa"/>
            <w:vAlign w:val="bottom"/>
            <w:tcBorders>
              <w:bottom w:val="single" w:sz="8" w:color="CCEEFF"/>
            </w:tcBorders>
            <w:gridSpan w:val="2"/>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28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25,299</w:t>
            </w:r>
          </w:p>
        </w:tc>
        <w:tc>
          <w:tcPr>
            <w:tcW w:w="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25,374</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20" w:type="dxa"/>
            <w:vAlign w:val="bottom"/>
            <w:tcBorders>
              <w:bottom w:val="single" w:sz="8" w:color="auto"/>
            </w:tcBorders>
            <w:gridSpan w:val="5"/>
          </w:tcPr>
          <w:p>
            <w:pPr>
              <w:jc w:val="center"/>
              <w:ind w:left="1157"/>
              <w:spacing w:after="0"/>
              <w:rPr>
                <w:sz w:val="20"/>
                <w:szCs w:val="20"/>
                <w:color w:val="auto"/>
              </w:rPr>
            </w:pPr>
            <w:r>
              <w:rPr>
                <w:rFonts w:ascii="Arial" w:cs="Arial" w:eastAsia="Arial" w:hAnsi="Arial"/>
                <w:sz w:val="14"/>
                <w:szCs w:val="14"/>
                <w:b w:val="1"/>
                <w:bCs w:val="1"/>
                <w:color w:val="auto"/>
                <w:w w:val="91"/>
              </w:rPr>
              <w:t>For the nine months ended September 30, 2016</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1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Results attributable</w:t>
            </w:r>
          </w:p>
        </w:tc>
        <w:tc>
          <w:tcPr>
            <w:tcW w:w="212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5"/>
              </w:rPr>
              <w:t>Partnership</w:t>
            </w:r>
          </w:p>
        </w:tc>
        <w:tc>
          <w:tcPr>
            <w:tcW w:w="1240" w:type="dxa"/>
            <w:vAlign w:val="bottom"/>
          </w:tcPr>
          <w:p>
            <w:pPr>
              <w:jc w:val="center"/>
              <w:ind w:right="55"/>
              <w:spacing w:after="0" w:line="119" w:lineRule="exact"/>
              <w:rPr>
                <w:sz w:val="20"/>
                <w:szCs w:val="20"/>
                <w:color w:val="auto"/>
              </w:rPr>
            </w:pPr>
            <w:r>
              <w:rPr>
                <w:rFonts w:ascii="Arial" w:cs="Arial" w:eastAsia="Arial" w:hAnsi="Arial"/>
                <w:sz w:val="13"/>
                <w:szCs w:val="13"/>
                <w:b w:val="1"/>
                <w:bCs w:val="1"/>
                <w:color w:val="auto"/>
              </w:rPr>
              <w:t>IFRS Common</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(All amounts expressed in thousands of</w:t>
            </w: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Control Reported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20"/>
                <w:szCs w:val="20"/>
                <w:color w:val="auto"/>
              </w:rPr>
            </w:pPr>
            <w:r>
              <w:rPr>
                <w:rFonts w:ascii="Arial" w:cs="Arial" w:eastAsia="Arial" w:hAnsi="Arial"/>
                <w:sz w:val="14"/>
                <w:szCs w:val="14"/>
                <w:b w:val="1"/>
                <w:bCs w:val="1"/>
                <w:i w:val="1"/>
                <w:iCs w:val="1"/>
                <w:color w:val="auto"/>
              </w:rPr>
              <w:t>U.S. dollars)</w:t>
            </w: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to GasLog</w:t>
            </w:r>
          </w:p>
        </w:tc>
        <w:tc>
          <w:tcPr>
            <w:tcW w:w="21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Performance Results</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Results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5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35,941</w:t>
            </w: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150,446</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186,387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Vessel operating costs</w:t>
            </w:r>
          </w:p>
        </w:tc>
        <w:tc>
          <w:tcPr>
            <w:tcW w:w="3840" w:type="dxa"/>
            <w:vAlign w:val="bottom"/>
            <w:gridSpan w:val="4"/>
          </w:tcPr>
          <w:p>
            <w:pPr>
              <w:jc w:val="right"/>
              <w:ind w:right="220"/>
              <w:spacing w:after="0"/>
              <w:rPr>
                <w:sz w:val="20"/>
                <w:szCs w:val="20"/>
                <w:color w:val="auto"/>
              </w:rPr>
            </w:pPr>
            <w:r>
              <w:rPr>
                <w:rFonts w:ascii="Arial" w:cs="Arial" w:eastAsia="Arial" w:hAnsi="Arial"/>
                <w:sz w:val="18"/>
                <w:szCs w:val="18"/>
                <w:color w:val="auto"/>
              </w:rPr>
              <w:t>(6,791)</w:t>
            </w: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(32,634)</w:t>
            </w:r>
          </w:p>
        </w:tc>
        <w:tc>
          <w:tcPr>
            <w:tcW w:w="1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(39,425)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 and commissions</w:t>
            </w:r>
          </w:p>
        </w:tc>
        <w:tc>
          <w:tcPr>
            <w:tcW w:w="38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(495)</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(2,135)</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Depreciation</w:t>
            </w:r>
          </w:p>
        </w:tc>
        <w:tc>
          <w:tcPr>
            <w:tcW w:w="3840" w:type="dxa"/>
            <w:vAlign w:val="bottom"/>
            <w:gridSpan w:val="4"/>
          </w:tcPr>
          <w:p>
            <w:pPr>
              <w:jc w:val="right"/>
              <w:ind w:right="220"/>
              <w:spacing w:after="0"/>
              <w:rPr>
                <w:sz w:val="20"/>
                <w:szCs w:val="20"/>
                <w:color w:val="auto"/>
              </w:rPr>
            </w:pPr>
            <w:r>
              <w:rPr>
                <w:rFonts w:ascii="Arial" w:cs="Arial" w:eastAsia="Arial" w:hAnsi="Arial"/>
                <w:sz w:val="18"/>
                <w:szCs w:val="18"/>
                <w:color w:val="auto"/>
              </w:rPr>
              <w:t>(7,348)</w:t>
            </w: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(33,168)</w:t>
            </w:r>
          </w:p>
        </w:tc>
        <w:tc>
          <w:tcPr>
            <w:tcW w:w="1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(40,516)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8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(801)</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(8,426)</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Profit from operations</w:t>
            </w:r>
          </w:p>
        </w:tc>
        <w:tc>
          <w:tcPr>
            <w:tcW w:w="1840" w:type="dxa"/>
            <w:vAlign w:val="bottom"/>
            <w:tcBorders>
              <w:bottom w:val="single" w:sz="8" w:color="CCEEFF"/>
            </w:tcBorders>
            <w:gridSpan w:val="2"/>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20,506</w:t>
            </w:r>
          </w:p>
        </w:tc>
        <w:tc>
          <w:tcPr>
            <w:tcW w:w="280" w:type="dxa"/>
            <w:vAlign w:val="bottom"/>
            <w:tcBorders>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74,083</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94,589</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1840" w:type="dxa"/>
            <w:vAlign w:val="bottom"/>
            <w:gridSpan w:val="2"/>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(8,396)</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Financial income</w:t>
            </w:r>
          </w:p>
        </w:tc>
        <w:tc>
          <w:tcPr>
            <w:tcW w:w="3840" w:type="dxa"/>
            <w:vAlign w:val="bottom"/>
            <w:gridSpan w:val="4"/>
          </w:tcPr>
          <w:p>
            <w:pPr>
              <w:jc w:val="right"/>
              <w:ind w:right="280"/>
              <w:spacing w:after="0"/>
              <w:rPr>
                <w:sz w:val="20"/>
                <w:szCs w:val="20"/>
                <w:color w:val="auto"/>
              </w:rPr>
            </w:pPr>
            <w:r>
              <w:rPr>
                <w:rFonts w:ascii="Arial" w:cs="Arial" w:eastAsia="Arial" w:hAnsi="Arial"/>
                <w:sz w:val="18"/>
                <w:szCs w:val="18"/>
                <w:color w:val="auto"/>
              </w:rPr>
              <w:t>5</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Loss on interest rate swaps</w:t>
            </w:r>
          </w:p>
        </w:tc>
        <w:tc>
          <w:tcPr>
            <w:tcW w:w="38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(6,136)</w:t>
            </w:r>
          </w:p>
        </w:tc>
        <w:tc>
          <w:tcPr>
            <w:tcW w:w="2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other expenses, net</w:t>
            </w:r>
          </w:p>
        </w:tc>
        <w:tc>
          <w:tcPr>
            <w:tcW w:w="1840" w:type="dxa"/>
            <w:vAlign w:val="bottom"/>
            <w:tcBorders>
              <w:bottom w:val="single" w:sz="8" w:color="CCEEFF"/>
            </w:tcBorders>
            <w:gridSpan w:val="2"/>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(14,527)</w:t>
            </w:r>
          </w:p>
        </w:tc>
        <w:tc>
          <w:tcPr>
            <w:tcW w:w="280" w:type="dxa"/>
            <w:vAlign w:val="bottom"/>
            <w:tcBorders>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(21,640)</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(36,167)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 for the period</w:t>
            </w:r>
          </w:p>
        </w:tc>
        <w:tc>
          <w:tcPr>
            <w:tcW w:w="1840" w:type="dxa"/>
            <w:vAlign w:val="bottom"/>
            <w:tcBorders>
              <w:bottom w:val="single" w:sz="8" w:color="CCEEFF"/>
            </w:tcBorders>
            <w:gridSpan w:val="2"/>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5,979</w:t>
            </w:r>
          </w:p>
        </w:tc>
        <w:tc>
          <w:tcPr>
            <w:tcW w:w="28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52,443</w:t>
            </w:r>
          </w:p>
        </w:tc>
        <w:tc>
          <w:tcPr>
            <w:tcW w:w="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58,422</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20" w:type="dxa"/>
            <w:vAlign w:val="bottom"/>
            <w:tcBorders>
              <w:bottom w:val="single" w:sz="8" w:color="auto"/>
            </w:tcBorders>
            <w:gridSpan w:val="5"/>
          </w:tcPr>
          <w:p>
            <w:pPr>
              <w:jc w:val="center"/>
              <w:ind w:left="1157"/>
              <w:spacing w:after="0"/>
              <w:rPr>
                <w:sz w:val="20"/>
                <w:szCs w:val="20"/>
                <w:color w:val="auto"/>
              </w:rPr>
            </w:pPr>
            <w:r>
              <w:rPr>
                <w:rFonts w:ascii="Arial" w:cs="Arial" w:eastAsia="Arial" w:hAnsi="Arial"/>
                <w:sz w:val="14"/>
                <w:szCs w:val="14"/>
                <w:b w:val="1"/>
                <w:bCs w:val="1"/>
                <w:color w:val="auto"/>
                <w:w w:val="91"/>
              </w:rPr>
              <w:t>For the nine months ended September 30, 2017</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1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Results attributable</w:t>
            </w:r>
          </w:p>
        </w:tc>
        <w:tc>
          <w:tcPr>
            <w:tcW w:w="212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5"/>
              </w:rPr>
              <w:t>Partnership</w:t>
            </w:r>
          </w:p>
        </w:tc>
        <w:tc>
          <w:tcPr>
            <w:tcW w:w="1240" w:type="dxa"/>
            <w:vAlign w:val="bottom"/>
          </w:tcPr>
          <w:p>
            <w:pPr>
              <w:jc w:val="center"/>
              <w:ind w:right="55"/>
              <w:spacing w:after="0" w:line="119" w:lineRule="exact"/>
              <w:rPr>
                <w:sz w:val="20"/>
                <w:szCs w:val="20"/>
                <w:color w:val="auto"/>
              </w:rPr>
            </w:pPr>
            <w:r>
              <w:rPr>
                <w:rFonts w:ascii="Arial" w:cs="Arial" w:eastAsia="Arial" w:hAnsi="Arial"/>
                <w:sz w:val="13"/>
                <w:szCs w:val="13"/>
                <w:b w:val="1"/>
                <w:bCs w:val="1"/>
                <w:color w:val="auto"/>
              </w:rPr>
              <w:t>IFRS Common</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(All amounts expressed in thousands of</w:t>
            </w: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Control Reported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20"/>
                <w:szCs w:val="20"/>
                <w:color w:val="auto"/>
              </w:rPr>
            </w:pPr>
            <w:r>
              <w:rPr>
                <w:rFonts w:ascii="Arial" w:cs="Arial" w:eastAsia="Arial" w:hAnsi="Arial"/>
                <w:sz w:val="14"/>
                <w:szCs w:val="14"/>
                <w:b w:val="1"/>
                <w:bCs w:val="1"/>
                <w:i w:val="1"/>
                <w:iCs w:val="1"/>
                <w:color w:val="auto"/>
              </w:rPr>
              <w:t>U.S. dollars)</w:t>
            </w: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to GasLog</w:t>
            </w:r>
          </w:p>
        </w:tc>
        <w:tc>
          <w:tcPr>
            <w:tcW w:w="21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Performance Results</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Results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5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25,071</w:t>
            </w: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192,852</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217,923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Vessel operating costs</w:t>
            </w:r>
          </w:p>
        </w:tc>
        <w:tc>
          <w:tcPr>
            <w:tcW w:w="3840" w:type="dxa"/>
            <w:vAlign w:val="bottom"/>
            <w:gridSpan w:val="4"/>
          </w:tcPr>
          <w:p>
            <w:pPr>
              <w:jc w:val="right"/>
              <w:ind w:right="220"/>
              <w:spacing w:after="0"/>
              <w:rPr>
                <w:sz w:val="20"/>
                <w:szCs w:val="20"/>
                <w:color w:val="auto"/>
              </w:rPr>
            </w:pPr>
            <w:r>
              <w:rPr>
                <w:rFonts w:ascii="Arial" w:cs="Arial" w:eastAsia="Arial" w:hAnsi="Arial"/>
                <w:sz w:val="18"/>
                <w:szCs w:val="18"/>
                <w:color w:val="auto"/>
              </w:rPr>
              <w:t>(4,045)</w:t>
            </w: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(39,523)</w:t>
            </w:r>
          </w:p>
        </w:tc>
        <w:tc>
          <w:tcPr>
            <w:tcW w:w="1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(43,568)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 and commissions</w:t>
            </w:r>
          </w:p>
        </w:tc>
        <w:tc>
          <w:tcPr>
            <w:tcW w:w="38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(313)</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(2,420)</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Depreciation</w:t>
            </w:r>
          </w:p>
        </w:tc>
        <w:tc>
          <w:tcPr>
            <w:tcW w:w="3840" w:type="dxa"/>
            <w:vAlign w:val="bottom"/>
            <w:gridSpan w:val="4"/>
          </w:tcPr>
          <w:p>
            <w:pPr>
              <w:jc w:val="right"/>
              <w:ind w:right="220"/>
              <w:spacing w:after="0"/>
              <w:rPr>
                <w:sz w:val="20"/>
                <w:szCs w:val="20"/>
                <w:color w:val="auto"/>
              </w:rPr>
            </w:pPr>
            <w:r>
              <w:rPr>
                <w:rFonts w:ascii="Arial" w:cs="Arial" w:eastAsia="Arial" w:hAnsi="Arial"/>
                <w:sz w:val="18"/>
                <w:szCs w:val="18"/>
                <w:color w:val="auto"/>
              </w:rPr>
              <w:t>(4,919)</w:t>
            </w: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(41,408)</w:t>
            </w:r>
          </w:p>
        </w:tc>
        <w:tc>
          <w:tcPr>
            <w:tcW w:w="1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(46,327)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840" w:type="dxa"/>
            <w:vAlign w:val="bottom"/>
            <w:gridSpan w:val="2"/>
            <w:shd w:val="clear" w:color="auto" w:fill="CCEEFF"/>
          </w:tcPr>
          <w:p>
            <w:pPr>
              <w:spacing w:after="0"/>
              <w:rPr>
                <w:sz w:val="18"/>
                <w:szCs w:val="18"/>
                <w:color w:val="auto"/>
              </w:rPr>
            </w:pP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(10,134)</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-5678805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-5678805</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84" w:orient="portrait"/>
          <w:cols w:equalWidth="0" w:num="1">
            <w:col w:w="11460"/>
          </w:cols>
          <w:pgMar w:left="240" w:top="118" w:right="199" w:bottom="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Arial" w:cs="Arial" w:eastAsia="Arial" w:hAnsi="Arial"/>
                <w:sz w:val="18"/>
                <w:szCs w:val="18"/>
                <w:b w:val="1"/>
                <w:bCs w:val="1"/>
                <w:color w:val="auto"/>
              </w:rPr>
              <w:t>Profit from operations</w:t>
            </w:r>
          </w:p>
        </w:tc>
        <w:tc>
          <w:tcPr>
            <w:tcW w:w="42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15,458</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99,367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114,825</w:t>
            </w:r>
          </w:p>
        </w:tc>
        <w:tc>
          <w:tcPr>
            <w:tcW w:w="40" w:type="dxa"/>
            <w:vAlign w:val="bottom"/>
          </w:tcPr>
          <w:p>
            <w:pPr>
              <w:spacing w:after="0"/>
              <w:rPr>
                <w:sz w:val="20"/>
                <w:szCs w:val="20"/>
                <w:color w:val="auto"/>
              </w:rPr>
            </w:pP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22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(4,739)</w:t>
            </w: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(31,359)</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(36,098)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Financial income</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656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669</w:t>
            </w:r>
          </w:p>
        </w:tc>
        <w:tc>
          <w:tcPr>
            <w:tcW w:w="4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Loss on interest rate swaps</w:t>
            </w:r>
          </w:p>
        </w:tc>
        <w:tc>
          <w:tcPr>
            <w:tcW w:w="22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(2,985)</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(2,985)</w:t>
            </w:r>
          </w:p>
        </w:tc>
        <w:tc>
          <w:tcPr>
            <w:tcW w:w="40" w:type="dxa"/>
            <w:vAlign w:val="bottom"/>
          </w:tcPr>
          <w:p>
            <w:pPr>
              <w:spacing w:after="0"/>
              <w:rPr>
                <w:sz w:val="18"/>
                <w:szCs w:val="18"/>
                <w:color w:val="auto"/>
              </w:rPr>
            </w:pPr>
          </w:p>
        </w:tc>
      </w:tr>
      <w:tr>
        <w:trPr>
          <w:trHeight w:val="210"/>
        </w:trPr>
        <w:tc>
          <w:tcPr>
            <w:tcW w:w="37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other expenses, net</w:t>
            </w:r>
          </w:p>
        </w:tc>
        <w:tc>
          <w:tcPr>
            <w:tcW w:w="2200" w:type="dxa"/>
            <w:vAlign w:val="bottom"/>
            <w:tcBorders>
              <w:bottom w:val="single" w:sz="8" w:color="CCEEFF"/>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(4,726)</w:t>
            </w:r>
          </w:p>
        </w:tc>
        <w:tc>
          <w:tcPr>
            <w:tcW w:w="280" w:type="dxa"/>
            <w:vAlign w:val="bottom"/>
            <w:tcBorders>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(33,688)</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(38,414)</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 for the period</w:t>
            </w:r>
          </w:p>
        </w:tc>
        <w:tc>
          <w:tcPr>
            <w:tcW w:w="22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10,732</w:t>
            </w:r>
          </w:p>
        </w:tc>
        <w:tc>
          <w:tcPr>
            <w:tcW w:w="28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65,679</w:t>
            </w:r>
          </w:p>
        </w:tc>
        <w:tc>
          <w:tcPr>
            <w:tcW w:w="2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76,411</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3760" w:type="dxa"/>
            <w:vAlign w:val="bottom"/>
          </w:tcPr>
          <w:p>
            <w:pPr>
              <w:spacing w:after="0"/>
              <w:rPr>
                <w:sz w:val="24"/>
                <w:szCs w:val="24"/>
                <w:color w:val="auto"/>
              </w:rPr>
            </w:pPr>
          </w:p>
        </w:tc>
        <w:tc>
          <w:tcPr>
            <w:tcW w:w="4200" w:type="dxa"/>
            <w:vAlign w:val="bottom"/>
            <w:gridSpan w:val="3"/>
          </w:tcPr>
          <w:p>
            <w:pPr>
              <w:ind w:left="1820"/>
              <w:spacing w:after="0"/>
              <w:rPr>
                <w:sz w:val="20"/>
                <w:szCs w:val="20"/>
                <w:color w:val="auto"/>
              </w:rPr>
            </w:pPr>
            <w:r>
              <w:rPr>
                <w:rFonts w:ascii="Arial" w:cs="Arial" w:eastAsia="Arial" w:hAnsi="Arial"/>
                <w:sz w:val="18"/>
                <w:szCs w:val="18"/>
                <w:color w:val="auto"/>
              </w:rPr>
              <w:t>A-2</w:t>
            </w: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60" w:type="dxa"/>
            <w:vAlign w:val="bottom"/>
            <w:tcBorders>
              <w:bottom w:val="single" w:sz="8" w:color="808080"/>
            </w:tcBorders>
          </w:tcPr>
          <w:p>
            <w:pPr>
              <w:spacing w:after="0"/>
              <w:rPr>
                <w:sz w:val="11"/>
                <w:szCs w:val="11"/>
                <w:color w:val="auto"/>
              </w:rPr>
            </w:pPr>
          </w:p>
        </w:tc>
        <w:tc>
          <w:tcPr>
            <w:tcW w:w="220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2"/>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1)"/>
      <w:numFmt w:val="lowerLetter"/>
      <w:start w:val="2"/>
    </w:lvl>
  </w:abstractNum>
  <w:abstractNum w:abstractNumId="21">
    <w:nsid w:val="4353D0CD"/>
    <w:multiLevelType w:val="hybridMultilevel"/>
    <w:lvl w:ilvl="0">
      <w:lvlJc w:val="left"/>
      <w:lvlText w:val="(%1)"/>
      <w:numFmt w:val="lowerRoman"/>
      <w:start w:val="1"/>
    </w:lvl>
  </w:abstractNum>
  <w:abstractNum w:abstractNumId="22">
    <w:nsid w:val="B03E0C6"/>
    <w:multiLevelType w:val="hybridMultilevel"/>
    <w:lvl w:ilvl="0">
      <w:lvlJc w:val="left"/>
      <w:lvlText w:val="(%1)"/>
      <w:numFmt w:val="lowerRoman"/>
      <w:start w:val="2"/>
    </w:lvl>
  </w:abstractNum>
  <w:abstractNum w:abstractNumId="23">
    <w:nsid w:val="189A769B"/>
    <w:multiLevelType w:val="hybridMultilevel"/>
    <w:lvl w:ilvl="0">
      <w:lvlJc w:val="left"/>
      <w:lvlText w:val="(%1)"/>
      <w:numFmt w:val="lowerRoman"/>
      <w:start w:val="3"/>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0"/>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2019-12-07T22:55:21Z</dcterms:created>
  <dcterms:modified xsi:type="dcterms:W3CDTF">2019-12-07T22:55:21Z</dcterms:modified>
</cp:coreProperties>
</file>