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For the month of June 2017</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1520" w:type="dxa"/>
            <w:vAlign w:val="bottom"/>
          </w:tcPr>
          <w:p>
            <w:pPr>
              <w:spacing w:after="0"/>
              <w:rPr>
                <w:sz w:val="24"/>
                <w:szCs w:val="24"/>
                <w:color w:val="auto"/>
              </w:rPr>
            </w:pPr>
          </w:p>
        </w:tc>
      </w:tr>
      <w:tr>
        <w:trPr>
          <w:trHeight w:val="418"/>
        </w:trPr>
        <w:tc>
          <w:tcPr>
            <w:tcW w:w="99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GasLog Partners LP</w:t>
            </w:r>
          </w:p>
        </w:tc>
        <w:tc>
          <w:tcPr>
            <w:tcW w:w="1520" w:type="dxa"/>
            <w:vAlign w:val="bottom"/>
          </w:tcPr>
          <w:p>
            <w:pPr>
              <w:spacing w:after="0"/>
              <w:rPr>
                <w:sz w:val="24"/>
                <w:szCs w:val="24"/>
                <w:color w:val="auto"/>
              </w:rPr>
            </w:pPr>
          </w:p>
        </w:tc>
      </w:tr>
      <w:tr>
        <w:trPr>
          <w:trHeight w:val="230"/>
        </w:trPr>
        <w:tc>
          <w:tcPr>
            <w:tcW w:w="9900" w:type="dxa"/>
            <w:vAlign w:val="bottom"/>
          </w:tcPr>
          <w:p>
            <w:pPr>
              <w:jc w:val="center"/>
              <w:ind w:left="1450"/>
              <w:spacing w:after="0"/>
              <w:rPr>
                <w:sz w:val="20"/>
                <w:szCs w:val="20"/>
                <w:color w:val="auto"/>
              </w:rPr>
            </w:pPr>
            <w:r>
              <w:rPr>
                <w:rFonts w:ascii="Arial" w:cs="Arial" w:eastAsia="Arial" w:hAnsi="Arial"/>
                <w:sz w:val="18"/>
                <w:szCs w:val="18"/>
                <w:color w:val="auto"/>
                <w:w w:val="91"/>
              </w:rPr>
              <w:t>(Translation of registrant’s name into English)</w:t>
            </w:r>
          </w:p>
        </w:tc>
        <w:tc>
          <w:tcPr>
            <w:tcW w:w="1520" w:type="dxa"/>
            <w:vAlign w:val="bottom"/>
          </w:tcPr>
          <w:p>
            <w:pPr>
              <w:spacing w:after="0"/>
              <w:rPr>
                <w:sz w:val="20"/>
                <w:szCs w:val="20"/>
                <w:color w:val="auto"/>
              </w:rPr>
            </w:pPr>
          </w:p>
        </w:tc>
      </w:tr>
      <w:tr>
        <w:trPr>
          <w:trHeight w:val="418"/>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89"/>
              </w:rPr>
              <w:t>Gildo Pastor Center</w:t>
            </w:r>
          </w:p>
        </w:tc>
        <w:tc>
          <w:tcPr>
            <w:tcW w:w="1520" w:type="dxa"/>
            <w:vAlign w:val="bottom"/>
          </w:tcPr>
          <w:p>
            <w:pPr>
              <w:spacing w:after="0"/>
              <w:rPr>
                <w:sz w:val="24"/>
                <w:szCs w:val="24"/>
                <w:color w:val="auto"/>
              </w:rPr>
            </w:pPr>
          </w:p>
        </w:tc>
      </w:tr>
      <w:tr>
        <w:trPr>
          <w:trHeight w:val="216"/>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89"/>
              </w:rPr>
              <w:t>7 Rue du Gabian</w:t>
            </w:r>
          </w:p>
        </w:tc>
        <w:tc>
          <w:tcPr>
            <w:tcW w:w="1520" w:type="dxa"/>
            <w:vAlign w:val="bottom"/>
          </w:tcPr>
          <w:p>
            <w:pPr>
              <w:spacing w:after="0"/>
              <w:rPr>
                <w:sz w:val="18"/>
                <w:szCs w:val="18"/>
                <w:color w:val="auto"/>
              </w:rPr>
            </w:pPr>
          </w:p>
        </w:tc>
      </w:tr>
      <w:tr>
        <w:trPr>
          <w:trHeight w:val="216"/>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92"/>
              </w:rPr>
              <w:t>MC 98000, Monaco</w:t>
            </w:r>
          </w:p>
        </w:tc>
        <w:tc>
          <w:tcPr>
            <w:tcW w:w="1520" w:type="dxa"/>
            <w:vAlign w:val="bottom"/>
          </w:tcPr>
          <w:p>
            <w:pPr>
              <w:spacing w:after="0"/>
              <w:rPr>
                <w:sz w:val="18"/>
                <w:szCs w:val="18"/>
                <w:color w:val="auto"/>
              </w:rPr>
            </w:pPr>
          </w:p>
        </w:tc>
      </w:tr>
      <w:tr>
        <w:trPr>
          <w:trHeight w:val="230"/>
        </w:trPr>
        <w:tc>
          <w:tcPr>
            <w:tcW w:w="9900" w:type="dxa"/>
            <w:vAlign w:val="bottom"/>
          </w:tcPr>
          <w:p>
            <w:pPr>
              <w:jc w:val="center"/>
              <w:ind w:left="1430"/>
              <w:spacing w:after="0"/>
              <w:rPr>
                <w:sz w:val="20"/>
                <w:szCs w:val="20"/>
                <w:color w:val="auto"/>
              </w:rPr>
            </w:pPr>
            <w:r>
              <w:rPr>
                <w:rFonts w:ascii="Arial" w:cs="Arial" w:eastAsia="Arial" w:hAnsi="Arial"/>
                <w:sz w:val="18"/>
                <w:szCs w:val="18"/>
                <w:color w:val="auto"/>
                <w:w w:val="92"/>
              </w:rPr>
              <w:t>(Address of principal executive office)</w:t>
            </w:r>
          </w:p>
        </w:tc>
        <w:tc>
          <w:tcPr>
            <w:tcW w:w="1520" w:type="dxa"/>
            <w:vAlign w:val="bottom"/>
          </w:tcPr>
          <w:p>
            <w:pPr>
              <w:spacing w:after="0"/>
              <w:rPr>
                <w:sz w:val="20"/>
                <w:szCs w:val="20"/>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520" w:type="dxa"/>
            <w:vAlign w:val="bottom"/>
          </w:tcPr>
          <w:p>
            <w:pPr>
              <w:spacing w:after="0"/>
              <w:rPr>
                <w:sz w:val="24"/>
                <w:szCs w:val="24"/>
                <w:color w:val="auto"/>
              </w:rPr>
            </w:pPr>
          </w:p>
        </w:tc>
      </w:tr>
      <w:tr>
        <w:trPr>
          <w:trHeight w:val="452"/>
        </w:trPr>
        <w:tc>
          <w:tcPr>
            <w:tcW w:w="990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520" w:type="dxa"/>
            <w:vAlign w:val="bottom"/>
          </w:tcPr>
          <w:p>
            <w:pPr>
              <w:spacing w:after="0"/>
              <w:rPr>
                <w:sz w:val="24"/>
                <w:szCs w:val="24"/>
                <w:color w:val="auto"/>
              </w:rPr>
            </w:pPr>
          </w:p>
        </w:tc>
      </w:tr>
      <w:tr>
        <w:trPr>
          <w:trHeight w:val="412"/>
        </w:trPr>
        <w:tc>
          <w:tcPr>
            <w:tcW w:w="99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520" w:type="dxa"/>
            <w:vAlign w:val="bottom"/>
          </w:tcPr>
          <w:p>
            <w:pPr>
              <w:ind w:left="960"/>
              <w:spacing w:after="0"/>
              <w:rPr>
                <w:sz w:val="20"/>
                <w:szCs w:val="20"/>
                <w:color w:val="auto"/>
              </w:rPr>
            </w:pPr>
            <w:r>
              <w:rPr>
                <w:rFonts w:ascii="Arial" w:cs="Arial" w:eastAsia="Arial" w:hAnsi="Arial"/>
                <w:sz w:val="18"/>
                <w:szCs w:val="18"/>
                <w:color w:val="auto"/>
              </w:rPr>
              <w:t>o</w:t>
            </w: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520" w:type="dxa"/>
            <w:vAlign w:val="bottom"/>
          </w:tcPr>
          <w:p>
            <w:pPr>
              <w:ind w:left="960"/>
              <w:spacing w:after="0"/>
              <w:rPr>
                <w:sz w:val="20"/>
                <w:szCs w:val="20"/>
                <w:color w:val="auto"/>
              </w:rPr>
            </w:pPr>
            <w:r>
              <w:rPr>
                <w:rFonts w:ascii="Arial" w:cs="Arial" w:eastAsia="Arial" w:hAnsi="Arial"/>
                <w:sz w:val="18"/>
                <w:szCs w:val="18"/>
                <w:color w:val="auto"/>
              </w:rPr>
              <w:t>o</w:t>
            </w:r>
          </w:p>
        </w:tc>
      </w:tr>
      <w:tr>
        <w:trPr>
          <w:trHeight w:val="277"/>
        </w:trPr>
        <w:tc>
          <w:tcPr>
            <w:tcW w:w="9900" w:type="dxa"/>
            <w:vAlign w:val="bottom"/>
            <w:tcBorders>
              <w:bottom w:val="single" w:sz="8" w:color="C0C0C0"/>
            </w:tcBorders>
          </w:tcPr>
          <w:p>
            <w:pPr>
              <w:spacing w:after="0"/>
              <w:rPr>
                <w:sz w:val="24"/>
                <w:szCs w:val="24"/>
                <w:color w:val="auto"/>
              </w:rPr>
            </w:pPr>
          </w:p>
        </w:tc>
        <w:tc>
          <w:tcPr>
            <w:tcW w:w="15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both"/>
        <w:ind w:firstLine="383"/>
        <w:spacing w:after="0" w:line="277" w:lineRule="auto"/>
        <w:rPr>
          <w:sz w:val="20"/>
          <w:szCs w:val="20"/>
          <w:color w:val="auto"/>
        </w:rPr>
      </w:pPr>
      <w:r>
        <w:rPr>
          <w:rFonts w:ascii="Arial" w:cs="Arial" w:eastAsia="Arial" w:hAnsi="Arial"/>
          <w:sz w:val="18"/>
          <w:szCs w:val="18"/>
          <w:color w:val="auto"/>
        </w:rPr>
        <w:t>The press release issued by GasLog Partners LP and GasLog Ltd on June 1, 2017 announcing the acquisition of GasLog Geneva from GasLog Ltd for $211 Million is attached hereto as Exhibit 99.1.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302" w:lineRule="auto"/>
        <w:rPr>
          <w:sz w:val="20"/>
          <w:szCs w:val="20"/>
          <w:color w:val="auto"/>
        </w:rPr>
      </w:pPr>
      <w:r>
        <w:rPr>
          <w:rFonts w:ascii="Arial" w:cs="Arial" w:eastAsia="Arial" w:hAnsi="Arial"/>
          <w:sz w:val="16"/>
          <w:szCs w:val="16"/>
          <w:color w:val="auto"/>
        </w:rPr>
        <w:t>Exhibit 99.1 to this Report on Form 6-K shall be incorporated by reference into our registration statement on Form F-3 (File No. 333-204616), filed with the Securities and Exchange Commission (the “SEC”) on June 1, 2015,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Orekar</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 xml:space="preserve">GasLog Partners LP Announces Acquisition Of </w:t>
      </w:r>
      <w:r>
        <w:rPr>
          <w:rFonts w:ascii="Arial" w:cs="Arial" w:eastAsia="Arial" w:hAnsi="Arial"/>
          <w:sz w:val="24"/>
          <w:szCs w:val="24"/>
          <w:b w:val="1"/>
          <w:bCs w:val="1"/>
          <w:i w:val="1"/>
          <w:iCs w:val="1"/>
          <w:color w:val="auto"/>
        </w:rPr>
        <w:t>GasLog Geneva</w:t>
      </w:r>
      <w:r>
        <w:rPr>
          <w:rFonts w:ascii="Arial" w:cs="Arial" w:eastAsia="Arial" w:hAnsi="Arial"/>
          <w:sz w:val="24"/>
          <w:szCs w:val="24"/>
          <w:b w:val="1"/>
          <w:bCs w:val="1"/>
          <w:color w:val="auto"/>
        </w:rPr>
        <w:t xml:space="preserve"> From GasLog Ltd. For $211 Million</w:t>
      </w:r>
    </w:p>
    <w:p>
      <w:pPr>
        <w:spacing w:after="0" w:line="2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MONACO — June 1, 2017 — </w:t>
      </w:r>
      <w:r>
        <w:rPr>
          <w:rFonts w:ascii="Arial" w:cs="Arial" w:eastAsia="Arial" w:hAnsi="Arial"/>
          <w:sz w:val="17"/>
          <w:szCs w:val="17"/>
          <w:color w:val="auto"/>
        </w:rPr>
        <w:t>GasLog Partners LP (NYSE:GLOP) (“GasLog Partners” or the “Partnership”) and GasLog Ltd. (NYSE:GLOG) (“GasLog”)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announced today that they have approved entering into an agreement for the Partnership to purchase from GasLog 100% of the shares in the entity that owns and charters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(the “Acquisition”). The aggregate purchase price for the Acquisition will be $211 million, which includes $1 million for positive net working capital balances to be transferred with the vessel. GasLog Partners expects to finance the acquisition with cash on hand, including proceeds from its recent preference unit offering, and the assumption of $155 million of </w:t>
      </w:r>
      <w:r>
        <w:rPr>
          <w:rFonts w:ascii="Arial" w:cs="Arial" w:eastAsia="Arial" w:hAnsi="Arial"/>
          <w:sz w:val="17"/>
          <w:szCs w:val="17"/>
          <w:i w:val="1"/>
          <w:iCs w:val="1"/>
          <w:color w:val="auto"/>
        </w:rPr>
        <w:t>GasLog Geneva</w:t>
      </w:r>
      <w:r>
        <w:rPr>
          <w:rFonts w:ascii="Arial" w:cs="Arial" w:eastAsia="Arial" w:hAnsi="Arial"/>
          <w:sz w:val="17"/>
          <w:szCs w:val="17"/>
          <w:color w:val="auto"/>
        </w:rPr>
        <w:t>’s existing debt. The Acquisition is expected to close in the third quarter of 2017 and is subject to satisfaction of certain customary closing conditions. The Board of Directors of GasLog, the Board of Directors of GasLog Partners (the “Board”), and the Conflicts Committee of the Board have approved the Acquisition.</w:t>
      </w:r>
    </w:p>
    <w:p>
      <w:pPr>
        <w:spacing w:after="0" w:line="1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GasLog Geneva </w:t>
      </w:r>
      <w:r>
        <w:rPr>
          <w:rFonts w:ascii="Arial" w:cs="Arial" w:eastAsia="Arial" w:hAnsi="Arial"/>
          <w:sz w:val="17"/>
          <w:szCs w:val="17"/>
          <w:color w:val="auto"/>
        </w:rPr>
        <w:t>is a 174,000 cubic meter tri-fuel diesel electric liquefied natural gas (“LNG”) carrier built in 2016 and operated by GasLog since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vessel is currently on a long-term time charter with a wholly owned subsidiary of Royal Dutch Shell plc (“Shell”) through September 2023. Shell has two consecutive extension options which, if exercised, would extend the charter for a period of either five or eight years.</w:t>
      </w:r>
    </w:p>
    <w:p>
      <w:pPr>
        <w:spacing w:after="0" w:line="166"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 xml:space="preserve">The Partnership believes that the Acquisition will be immediately accretive to unitholder distributions and is consistent with its strategy to grow cash distributions through dropdown and third-party acquisitions. GasLog Partners estimates that </w:t>
      </w:r>
      <w:r>
        <w:rPr>
          <w:rFonts w:ascii="Arial" w:cs="Arial" w:eastAsia="Arial" w:hAnsi="Arial"/>
          <w:sz w:val="16"/>
          <w:szCs w:val="16"/>
          <w:i w:val="1"/>
          <w:iCs w:val="1"/>
          <w:color w:val="auto"/>
        </w:rPr>
        <w:t>GasLog Geneva</w:t>
      </w:r>
      <w:r>
        <w:rPr>
          <w:rFonts w:ascii="Arial" w:cs="Arial" w:eastAsia="Arial" w:hAnsi="Arial"/>
          <w:sz w:val="16"/>
          <w:szCs w:val="16"/>
          <w:color w:val="auto"/>
        </w:rPr>
        <w:t xml:space="preserve"> will add approximately $23 million to</w:t>
      </w:r>
    </w:p>
    <w:p>
      <w:pPr>
        <w:ind w:right="700"/>
        <w:spacing w:after="0" w:line="219" w:lineRule="auto"/>
        <w:rPr>
          <w:sz w:val="20"/>
          <w:szCs w:val="20"/>
          <w:color w:val="auto"/>
        </w:rPr>
      </w:pPr>
      <w:r>
        <w:rPr>
          <w:rFonts w:ascii="Arial" w:cs="Arial" w:eastAsia="Arial" w:hAnsi="Arial"/>
          <w:sz w:val="17"/>
          <w:szCs w:val="17"/>
          <w:color w:val="auto"/>
        </w:rPr>
        <w:t>EBITDA</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in the first 12 months after closing. Accordingly, the Acquisition purchase price represents a multiple of approximately 9.1x</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estimated EBITDA.</w:t>
      </w:r>
    </w:p>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Upon closing, the Acquisition will be supportive of GasLog Partners’ guidance to grow unitholder distributions at a 10% to 15% compound annual rate from IPO through 2017. The Partnership intends to recommend an annualized distribution of greater than $2.09 per unit by the fourth quarter of 2017.</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Andy Orekar, Chief Executive Officer of GasLog Partners, stated, “I am very pleased to continue executing our growth strategy with this accretive dropdown transaction.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represents the eighth LNG carrier the Partnership will have acquired from GasLog since our IPO, and this strategically attractive vessel plus its charter to Shell provide over six years of stable cash flows. The Acquisition expands the Partnership’s fleet to eleven wholly owned LNG carriers, extends our average remaining charter duration and significantly increases our revenues and EBITDA.”</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Paul Wogan, Chief Executive Officer of GasLog, stated, “We continue to execute on our strategy of dropping vessels into GasLog Partners and recycling the capital to GasLog. This transaction values </w:t>
      </w:r>
      <w:r>
        <w:rPr>
          <w:rFonts w:ascii="Arial" w:cs="Arial" w:eastAsia="Arial" w:hAnsi="Arial"/>
          <w:sz w:val="17"/>
          <w:szCs w:val="17"/>
          <w:i w:val="1"/>
          <w:iCs w:val="1"/>
          <w:color w:val="auto"/>
        </w:rPr>
        <w:t>GasLog Geneva</w:t>
      </w:r>
      <w:r>
        <w:rPr>
          <w:rFonts w:ascii="Arial" w:cs="Arial" w:eastAsia="Arial" w:hAnsi="Arial"/>
          <w:sz w:val="17"/>
          <w:szCs w:val="17"/>
          <w:color w:val="auto"/>
        </w:rPr>
        <w:t xml:space="preserve"> at a premium to book value, allowing us to strengthen our balance sheet and providing further funding for future profitable growth. Through our unit ownership and incentive distribution rights, we will benefit from future increases in GasLog Partners’ distributions, which should continue to enhance our cash flow, growth prospects and valuation. Based on the Partnership’s growth guidance, GasLog’s annualized distributions received from GasLog Partners are expected to equal approximately $26 million by the fourth quarter of 2017, an increase of approximately 13% compared to the annualized distributions received in the fourth quarter of 2016.”</w:t>
      </w:r>
    </w:p>
    <w:p>
      <w:pPr>
        <w:spacing w:after="0" w:line="18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EBITDA is a non-GAAP financial measure. Please refer to Exhibit I for guidance on the underlying assumptions used to derive EBITDA.</w:t>
      </w:r>
    </w:p>
    <w:p>
      <w:pPr>
        <w:spacing w:after="0" w:line="128"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Acquisition multiple is calculated using net purchase price of $210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eleven LNG carriers with an average carrying capacity of approximately 154,000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auto"/>
        </w:rPr>
        <w:t>http://www.gaslogmlp.com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Upon closing of the Acquisition, GasLog’s consolidated fleet will include eleven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auto"/>
        </w:rPr>
        <w:t>http://www.gaslogltd.com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about 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 w:name="page6"/>
    <w:bookmarkEnd w:id="5"/>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0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available at http://www.sec.gov.</w:t>
      </w:r>
    </w:p>
    <w:p>
      <w:pPr>
        <w:spacing w:after="0" w:line="18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entity owning GasLog Geneva, estimated EBITDA for the first 12 months of operation following the completion of the Acquisition is based on the following assumptions: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closing of the Acquisition in the third quarter of 2017 and timely receipt of charter hire specified in the charter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utilization of 363 days and no drydocking;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6"/>
          <w:szCs w:val="16"/>
          <w:color w:val="auto"/>
        </w:rPr>
        <w:t>GasLog and GasLog Partners consider the above assumptions to be reasonable as of June 1, 2017,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2019-12-07T22:32:41Z</dcterms:created>
  <dcterms:modified xsi:type="dcterms:W3CDTF">2019-12-07T22:32:41Z</dcterms:modified>
</cp:coreProperties>
</file>